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CellSpacing w:w="4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6E60FB" w:rsidRPr="0086087B" w14:paraId="29BE5787" w14:textId="77777777" w:rsidTr="00181056">
        <w:trPr>
          <w:cantSplit/>
          <w:tblCellSpacing w:w="42" w:type="dxa"/>
        </w:trPr>
        <w:tc>
          <w:tcPr>
            <w:tcW w:w="10889" w:type="dxa"/>
            <w:tcBorders>
              <w:top w:val="nil"/>
              <w:left w:val="nil"/>
              <w:bottom w:val="nil"/>
              <w:right w:val="nil"/>
            </w:tcBorders>
            <w:shd w:val="clear" w:color="auto" w:fill="auto"/>
            <w:tcMar>
              <w:top w:w="0" w:type="dxa"/>
              <w:left w:w="0" w:type="dxa"/>
              <w:bottom w:w="0" w:type="dxa"/>
              <w:right w:w="0" w:type="dxa"/>
            </w:tcMar>
          </w:tcPr>
          <w:p w14:paraId="74959692" w14:textId="117176FC" w:rsidR="00506F09" w:rsidRPr="00E10CE3" w:rsidRDefault="00506F09" w:rsidP="00F9724E">
            <w:pPr>
              <w:pStyle w:val="Heading2"/>
              <w:shd w:val="clear" w:color="auto" w:fill="FFD966" w:themeFill="accent5" w:themeFillTint="99"/>
              <w:jc w:val="left"/>
              <w:rPr>
                <w:bCs/>
                <w:sz w:val="32"/>
                <w:szCs w:val="32"/>
              </w:rPr>
            </w:pPr>
            <w:r w:rsidRPr="00330EED">
              <w:rPr>
                <w:bCs/>
                <w:sz w:val="32"/>
                <w:szCs w:val="32"/>
              </w:rPr>
              <w:t xml:space="preserve">  </w:t>
            </w:r>
            <w:bookmarkStart w:id="0" w:name="_Toc16073966"/>
            <w:r w:rsidR="006E60FB" w:rsidRPr="00330EED">
              <w:rPr>
                <w:bCs/>
                <w:sz w:val="32"/>
                <w:szCs w:val="32"/>
              </w:rPr>
              <w:t>Land</w:t>
            </w:r>
            <w:bookmarkEnd w:id="0"/>
          </w:p>
        </w:tc>
      </w:tr>
      <w:tr w:rsidR="007F46E0" w:rsidRPr="0086087B" w14:paraId="16F8302E" w14:textId="77777777" w:rsidTr="002E2553">
        <w:trPr>
          <w:cantSplit/>
          <w:trHeight w:val="13645"/>
          <w:tblCellSpacing w:w="42" w:type="dxa"/>
        </w:trPr>
        <w:tc>
          <w:tcPr>
            <w:tcW w:w="10889" w:type="dxa"/>
            <w:shd w:val="clear" w:color="auto" w:fill="FBE4D5" w:themeFill="accent2" w:themeFillTint="33"/>
            <w:tcMar>
              <w:top w:w="57" w:type="dxa"/>
              <w:left w:w="142" w:type="dxa"/>
              <w:bottom w:w="57" w:type="dxa"/>
              <w:right w:w="142" w:type="dxa"/>
            </w:tcMar>
          </w:tcPr>
          <w:p w14:paraId="08D5C69E" w14:textId="42794DB2" w:rsidR="007F46E0" w:rsidRDefault="007F46E0" w:rsidP="00DA5E4F">
            <w:pPr>
              <w:spacing w:before="120"/>
              <w:jc w:val="left"/>
              <w:rPr>
                <w:szCs w:val="24"/>
              </w:rPr>
            </w:pPr>
            <w:r w:rsidRPr="006E60FB">
              <w:rPr>
                <w:szCs w:val="24"/>
              </w:rPr>
              <w:t>The current land rules will be reviewed, particularly in relation to investment property and speculators, land banking, and vacant land. The objective would be to recommend ways to improve the efficient use of land, and ensure that the current tax settings are fair, balanced, and encourages and supports productive investment. The review will also look at whether we can do anything more around enforcement of the current rules. It is unlikely that any significant reforms relating to vacant land and property would be feasible in the short term. However, in the short-term the Government could consider a number of measures aimed at improving the fairness and balance of the tax rules for land.</w:t>
            </w:r>
          </w:p>
          <w:p w14:paraId="5D521A86" w14:textId="77777777" w:rsidR="007F46E0" w:rsidRPr="006E60FB" w:rsidRDefault="007F46E0" w:rsidP="00DA5E4F">
            <w:pPr>
              <w:pStyle w:val="Heading3"/>
              <w:spacing w:before="240"/>
              <w:jc w:val="left"/>
              <w:rPr>
                <w:bCs/>
                <w:i w:val="0"/>
                <w:iCs/>
                <w:szCs w:val="24"/>
              </w:rPr>
            </w:pPr>
            <w:r w:rsidRPr="006E60FB">
              <w:rPr>
                <w:bCs/>
                <w:i w:val="0"/>
                <w:iCs/>
                <w:szCs w:val="24"/>
              </w:rPr>
              <w:t>Possible items that could be included in a short-term package</w:t>
            </w:r>
          </w:p>
          <w:p w14:paraId="25BCB5D4" w14:textId="77777777" w:rsidR="007F46E0" w:rsidRPr="006E60FB" w:rsidRDefault="007F46E0" w:rsidP="00DA5E4F">
            <w:pPr>
              <w:spacing w:before="240"/>
              <w:jc w:val="left"/>
              <w:rPr>
                <w:szCs w:val="24"/>
              </w:rPr>
            </w:pPr>
            <w:r w:rsidRPr="006E60FB">
              <w:rPr>
                <w:szCs w:val="24"/>
              </w:rPr>
              <w:t>Measures to support efficient land use:</w:t>
            </w:r>
          </w:p>
          <w:p w14:paraId="1774284D" w14:textId="77777777" w:rsidR="007F46E0" w:rsidRPr="006E60FB" w:rsidRDefault="007F46E0" w:rsidP="00DA5E4F">
            <w:pPr>
              <w:pStyle w:val="Bullets"/>
              <w:numPr>
                <w:ilvl w:val="0"/>
                <w:numId w:val="19"/>
              </w:numPr>
              <w:spacing w:before="120" w:after="0"/>
              <w:ind w:left="357" w:hanging="357"/>
              <w:jc w:val="left"/>
              <w:rPr>
                <w:szCs w:val="24"/>
              </w:rPr>
            </w:pPr>
            <w:r w:rsidRPr="006E60FB">
              <w:rPr>
                <w:szCs w:val="24"/>
              </w:rPr>
              <w:t>clarifying and tightening the rules for the deductibility of holding costs (e.g. rates and insurance) for land that is taxable on sale; and</w:t>
            </w:r>
          </w:p>
          <w:p w14:paraId="5E3AE092" w14:textId="77777777" w:rsidR="007F46E0" w:rsidRPr="006E60FB" w:rsidRDefault="007F46E0" w:rsidP="00DA5E4F">
            <w:pPr>
              <w:pStyle w:val="Bullets"/>
              <w:numPr>
                <w:ilvl w:val="0"/>
                <w:numId w:val="19"/>
              </w:numPr>
              <w:spacing w:before="120" w:after="0"/>
              <w:ind w:left="357" w:hanging="357"/>
              <w:jc w:val="left"/>
              <w:rPr>
                <w:szCs w:val="24"/>
              </w:rPr>
            </w:pPr>
            <w:r w:rsidRPr="006E60FB">
              <w:rPr>
                <w:szCs w:val="24"/>
              </w:rPr>
              <w:t>consider ways to encourage seismic strengthening of residential property.</w:t>
            </w:r>
          </w:p>
          <w:p w14:paraId="351E3796" w14:textId="77777777" w:rsidR="007F46E0" w:rsidRPr="006E60FB" w:rsidRDefault="007F46E0" w:rsidP="00DA5E4F">
            <w:pPr>
              <w:spacing w:before="240"/>
              <w:jc w:val="left"/>
              <w:rPr>
                <w:szCs w:val="24"/>
              </w:rPr>
            </w:pPr>
            <w:r w:rsidRPr="006E60FB">
              <w:rPr>
                <w:szCs w:val="24"/>
              </w:rPr>
              <w:t>Measures to improve the integrity of the rules:</w:t>
            </w:r>
          </w:p>
          <w:p w14:paraId="43115229" w14:textId="77777777" w:rsidR="007F46E0" w:rsidRPr="006E60FB" w:rsidRDefault="007F46E0" w:rsidP="00DA5E4F">
            <w:pPr>
              <w:pStyle w:val="Bullets"/>
              <w:numPr>
                <w:ilvl w:val="0"/>
                <w:numId w:val="18"/>
              </w:numPr>
              <w:spacing w:before="120" w:after="0"/>
              <w:ind w:left="357" w:hanging="357"/>
              <w:jc w:val="left"/>
              <w:rPr>
                <w:szCs w:val="24"/>
              </w:rPr>
            </w:pPr>
            <w:r w:rsidRPr="006E60FB">
              <w:rPr>
                <w:szCs w:val="24"/>
              </w:rPr>
              <w:t>review the exemptions in the land rules, in particular the exceptions for developers and habitual renovators; and</w:t>
            </w:r>
          </w:p>
          <w:p w14:paraId="0A89D09B" w14:textId="77777777" w:rsidR="007F46E0" w:rsidRPr="006E60FB" w:rsidRDefault="007F46E0" w:rsidP="00DA5E4F">
            <w:pPr>
              <w:pStyle w:val="Bullets"/>
              <w:numPr>
                <w:ilvl w:val="0"/>
                <w:numId w:val="18"/>
              </w:numPr>
              <w:spacing w:before="120" w:after="0"/>
              <w:ind w:left="357" w:hanging="357"/>
              <w:jc w:val="left"/>
              <w:rPr>
                <w:szCs w:val="24"/>
              </w:rPr>
            </w:pPr>
            <w:r w:rsidRPr="006E60FB">
              <w:rPr>
                <w:szCs w:val="24"/>
              </w:rPr>
              <w:t>review whether the apportionment rules for GST are working appropriately for mixed use land.</w:t>
            </w:r>
          </w:p>
          <w:p w14:paraId="005B6302" w14:textId="77777777" w:rsidR="007F46E0" w:rsidRPr="006E60FB" w:rsidRDefault="007F46E0" w:rsidP="00DA5E4F">
            <w:pPr>
              <w:spacing w:before="240"/>
              <w:jc w:val="left"/>
              <w:rPr>
                <w:szCs w:val="24"/>
              </w:rPr>
            </w:pPr>
            <w:r w:rsidRPr="006E60FB">
              <w:rPr>
                <w:szCs w:val="24"/>
              </w:rPr>
              <w:t>Measures to improve collection:</w:t>
            </w:r>
          </w:p>
          <w:p w14:paraId="780D29ED" w14:textId="77777777" w:rsidR="007F46E0" w:rsidRPr="006E60FB" w:rsidRDefault="007F46E0" w:rsidP="00DA5E4F">
            <w:pPr>
              <w:pStyle w:val="Bullets"/>
              <w:numPr>
                <w:ilvl w:val="0"/>
                <w:numId w:val="17"/>
              </w:numPr>
              <w:spacing w:before="120" w:after="0"/>
              <w:ind w:left="357" w:hanging="357"/>
              <w:jc w:val="left"/>
              <w:rPr>
                <w:szCs w:val="24"/>
              </w:rPr>
            </w:pPr>
            <w:r w:rsidRPr="006E60FB">
              <w:rPr>
                <w:szCs w:val="24"/>
              </w:rPr>
              <w:t>consider whether applying withholding tax on transactions involving New Zealand resident vendors is a better approach to collecting this revenue; and</w:t>
            </w:r>
          </w:p>
          <w:p w14:paraId="2C0E5A9E" w14:textId="77777777" w:rsidR="007F46E0" w:rsidRPr="006E60FB" w:rsidRDefault="007F46E0" w:rsidP="00DA5E4F">
            <w:pPr>
              <w:pStyle w:val="Bullets"/>
              <w:numPr>
                <w:ilvl w:val="0"/>
                <w:numId w:val="17"/>
              </w:numPr>
              <w:spacing w:before="120" w:after="0"/>
              <w:ind w:left="357" w:hanging="357"/>
              <w:jc w:val="left"/>
              <w:rPr>
                <w:szCs w:val="24"/>
              </w:rPr>
            </w:pPr>
            <w:r w:rsidRPr="006E60FB">
              <w:rPr>
                <w:szCs w:val="24"/>
              </w:rPr>
              <w:t>improving information flows (including from LINZ) to assist compliance with the current land tax rules.</w:t>
            </w:r>
          </w:p>
          <w:p w14:paraId="346FE0A2" w14:textId="77777777" w:rsidR="007F46E0" w:rsidRPr="006E60FB" w:rsidRDefault="007F46E0" w:rsidP="00DA5E4F">
            <w:pPr>
              <w:pStyle w:val="Heading3"/>
              <w:spacing w:before="240"/>
              <w:jc w:val="left"/>
              <w:rPr>
                <w:bCs/>
                <w:i w:val="0"/>
                <w:iCs/>
                <w:szCs w:val="24"/>
              </w:rPr>
            </w:pPr>
            <w:r w:rsidRPr="006E60FB">
              <w:rPr>
                <w:bCs/>
                <w:i w:val="0"/>
                <w:iCs/>
                <w:szCs w:val="24"/>
              </w:rPr>
              <w:t>Possible items that could be considered in a longer-run review</w:t>
            </w:r>
          </w:p>
          <w:p w14:paraId="5CBDAD70" w14:textId="77777777" w:rsidR="007F46E0" w:rsidRPr="006E60FB" w:rsidRDefault="007F46E0" w:rsidP="00DA5E4F">
            <w:pPr>
              <w:pStyle w:val="Bullets"/>
              <w:numPr>
                <w:ilvl w:val="0"/>
                <w:numId w:val="16"/>
              </w:numPr>
              <w:spacing w:before="120" w:after="0"/>
              <w:ind w:left="357" w:hanging="357"/>
              <w:jc w:val="left"/>
              <w:rPr>
                <w:szCs w:val="24"/>
              </w:rPr>
            </w:pPr>
            <w:r w:rsidRPr="006E60FB">
              <w:rPr>
                <w:szCs w:val="24"/>
              </w:rPr>
              <w:t>the Productivity Commission’s advice on the use of vacant land and property taxes to discourage land banking;</w:t>
            </w:r>
          </w:p>
          <w:p w14:paraId="73B39AFE" w14:textId="77777777" w:rsidR="007F46E0" w:rsidRPr="006E60FB" w:rsidRDefault="007F46E0" w:rsidP="00DA5E4F">
            <w:pPr>
              <w:pStyle w:val="Bullets"/>
              <w:numPr>
                <w:ilvl w:val="0"/>
                <w:numId w:val="16"/>
              </w:numPr>
              <w:spacing w:before="120" w:after="0"/>
              <w:ind w:left="357" w:hanging="357"/>
              <w:jc w:val="left"/>
              <w:rPr>
                <w:szCs w:val="24"/>
              </w:rPr>
            </w:pPr>
            <w:r w:rsidRPr="006E60FB">
              <w:rPr>
                <w:szCs w:val="24"/>
              </w:rPr>
              <w:t>review whether the land rules, in particular the “10-year” rules, negatively impact the supply of land or create inefficient “lock-in effects”;</w:t>
            </w:r>
          </w:p>
          <w:p w14:paraId="4C4E0566" w14:textId="77777777" w:rsidR="007F46E0" w:rsidRPr="006E60FB" w:rsidRDefault="007F46E0" w:rsidP="00DA5E4F">
            <w:pPr>
              <w:pStyle w:val="Bullets"/>
              <w:numPr>
                <w:ilvl w:val="0"/>
                <w:numId w:val="16"/>
              </w:numPr>
              <w:spacing w:before="120" w:after="0"/>
              <w:ind w:left="357" w:hanging="357"/>
              <w:jc w:val="left"/>
              <w:rPr>
                <w:szCs w:val="24"/>
              </w:rPr>
            </w:pPr>
            <w:r w:rsidRPr="006E60FB">
              <w:rPr>
                <w:szCs w:val="24"/>
              </w:rPr>
              <w:t>consider whether other tax measures could reduce speculation and improve the supply of land. This could include reviewing the scope of existing rules such as the bright-line test and ring-fencing, as well as looking at potential new taxes to help improve the supply of available housing;</w:t>
            </w:r>
          </w:p>
          <w:p w14:paraId="6831EF19" w14:textId="77777777" w:rsidR="007F46E0" w:rsidRPr="006E60FB" w:rsidRDefault="007F46E0" w:rsidP="00DA5E4F">
            <w:pPr>
              <w:pStyle w:val="Bullets"/>
              <w:numPr>
                <w:ilvl w:val="0"/>
                <w:numId w:val="16"/>
              </w:numPr>
              <w:spacing w:before="120" w:after="0"/>
              <w:ind w:left="357" w:hanging="357"/>
              <w:jc w:val="left"/>
              <w:rPr>
                <w:szCs w:val="24"/>
              </w:rPr>
            </w:pPr>
            <w:r w:rsidRPr="006E60FB">
              <w:rPr>
                <w:szCs w:val="24"/>
              </w:rPr>
              <w:t>consider whether withholding taxes might be appropriate for other taxable land transactions;</w:t>
            </w:r>
          </w:p>
          <w:p w14:paraId="5EAE7223" w14:textId="77777777" w:rsidR="007F46E0" w:rsidRPr="006E60FB" w:rsidRDefault="007F46E0" w:rsidP="00DA5E4F">
            <w:pPr>
              <w:pStyle w:val="Bullets"/>
              <w:numPr>
                <w:ilvl w:val="0"/>
                <w:numId w:val="16"/>
              </w:numPr>
              <w:spacing w:before="120" w:after="0"/>
              <w:ind w:left="357" w:hanging="357"/>
              <w:jc w:val="left"/>
              <w:rPr>
                <w:szCs w:val="24"/>
              </w:rPr>
            </w:pPr>
            <w:r w:rsidRPr="006E60FB">
              <w:rPr>
                <w:szCs w:val="24"/>
              </w:rPr>
              <w:t>consider whether allowing losses on building disposals might improve the fairness and efficiency of the current land tax rules. This option may remove a potential distortion discouraging transactions that may result in capital losses – for example, the acquisition of earthquake prone buildings; and</w:t>
            </w:r>
          </w:p>
          <w:p w14:paraId="580D72C1" w14:textId="655DA3AC" w:rsidR="007F46E0" w:rsidRPr="006E60FB" w:rsidRDefault="007F46E0" w:rsidP="00DA5E4F">
            <w:pPr>
              <w:pStyle w:val="ListParagraph"/>
              <w:numPr>
                <w:ilvl w:val="0"/>
                <w:numId w:val="16"/>
              </w:numPr>
              <w:spacing w:before="120"/>
              <w:ind w:left="357" w:hanging="357"/>
              <w:contextualSpacing w:val="0"/>
              <w:jc w:val="left"/>
              <w:rPr>
                <w:szCs w:val="24"/>
                <w:lang w:val="en-NZ"/>
              </w:rPr>
            </w:pPr>
            <w:r w:rsidRPr="006E60FB">
              <w:rPr>
                <w:szCs w:val="24"/>
              </w:rPr>
              <w:t>review the provisional tax rules in light of bright-line income from land sales.</w:t>
            </w:r>
          </w:p>
        </w:tc>
      </w:tr>
    </w:tbl>
    <w:p w14:paraId="44B54DC2" w14:textId="77777777" w:rsidR="00F3468F" w:rsidRPr="00115047" w:rsidRDefault="00F3468F" w:rsidP="00F9724E">
      <w:pPr>
        <w:spacing w:before="240"/>
        <w:rPr>
          <w:sz w:val="2"/>
          <w:szCs w:val="2"/>
        </w:rPr>
      </w:pPr>
    </w:p>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5E2FCC86" w14:textId="77777777" w:rsidTr="00F3468F">
        <w:trPr>
          <w:cantSplit/>
          <w:tblCellSpacing w:w="42" w:type="dxa"/>
        </w:trPr>
        <w:tc>
          <w:tcPr>
            <w:tcW w:w="10889" w:type="dxa"/>
            <w:shd w:val="clear" w:color="auto" w:fill="auto"/>
            <w:tcMar>
              <w:top w:w="0" w:type="dxa"/>
              <w:left w:w="0" w:type="dxa"/>
              <w:bottom w:w="0" w:type="dxa"/>
              <w:right w:w="0" w:type="dxa"/>
            </w:tcMar>
          </w:tcPr>
          <w:p w14:paraId="5C70606B" w14:textId="645D3E06" w:rsidR="00B51BEA" w:rsidRPr="00B51BEA" w:rsidRDefault="00B51BEA" w:rsidP="00F9724E">
            <w:pPr>
              <w:pStyle w:val="Heading2"/>
              <w:shd w:val="clear" w:color="auto" w:fill="FFD966" w:themeFill="accent5" w:themeFillTint="99"/>
              <w:jc w:val="left"/>
              <w:rPr>
                <w:b w:val="0"/>
                <w:bCs/>
                <w:i/>
                <w:iCs/>
                <w:sz w:val="28"/>
                <w:szCs w:val="28"/>
              </w:rPr>
            </w:pPr>
            <w:r w:rsidRPr="00330EED">
              <w:rPr>
                <w:bCs/>
                <w:sz w:val="32"/>
                <w:szCs w:val="32"/>
              </w:rPr>
              <w:t xml:space="preserve">  </w:t>
            </w:r>
            <w:bookmarkStart w:id="1" w:name="_Toc16073967"/>
            <w:r w:rsidR="007F46E0" w:rsidRPr="00330EED">
              <w:rPr>
                <w:bCs/>
                <w:sz w:val="32"/>
                <w:szCs w:val="32"/>
              </w:rPr>
              <w:t>Business</w:t>
            </w:r>
            <w:bookmarkEnd w:id="1"/>
          </w:p>
        </w:tc>
      </w:tr>
      <w:tr w:rsidR="007F46E0" w:rsidRPr="0086087B" w14:paraId="48F3925E" w14:textId="77777777" w:rsidTr="00115047">
        <w:trPr>
          <w:cantSplit/>
          <w:trHeight w:val="13617"/>
          <w:tblCellSpacing w:w="42" w:type="dxa"/>
        </w:trPr>
        <w:tc>
          <w:tcPr>
            <w:tcW w:w="10889" w:type="dxa"/>
            <w:shd w:val="clear" w:color="auto" w:fill="FBE4D5" w:themeFill="accent2" w:themeFillTint="33"/>
            <w:tcMar>
              <w:top w:w="57" w:type="dxa"/>
              <w:left w:w="142" w:type="dxa"/>
              <w:bottom w:w="57" w:type="dxa"/>
              <w:right w:w="142" w:type="dxa"/>
            </w:tcMar>
          </w:tcPr>
          <w:p w14:paraId="56B31DB8" w14:textId="538C138D" w:rsidR="007F46E0" w:rsidRPr="006E60FB" w:rsidRDefault="007F46E0" w:rsidP="00915829">
            <w:pPr>
              <w:spacing w:before="120"/>
              <w:jc w:val="left"/>
              <w:rPr>
                <w:szCs w:val="24"/>
              </w:rPr>
            </w:pPr>
            <w:r w:rsidRPr="006E60FB">
              <w:rPr>
                <w:szCs w:val="24"/>
              </w:rPr>
              <w:t>Enhancing economic performance and minimising the tax system’s impact on businesses are priorities for the Government. Reducing compliance costs directly impacts on productivity (particularly of smaller firms) leaving them more time to focus on running their business, as well as continue to innovate and develop new opportunities. Increasing neutrality will also be a focus, ensuring that commercial decisions are not driven by tax whilst protecting the integrity of the tax base.</w:t>
            </w:r>
          </w:p>
          <w:p w14:paraId="308805DE" w14:textId="77777777" w:rsidR="007F46E0" w:rsidRPr="006E60FB" w:rsidRDefault="007F46E0" w:rsidP="00DA5E4F">
            <w:pPr>
              <w:spacing w:before="120"/>
              <w:jc w:val="left"/>
              <w:rPr>
                <w:szCs w:val="24"/>
              </w:rPr>
            </w:pPr>
            <w:r w:rsidRPr="006E60FB">
              <w:rPr>
                <w:szCs w:val="24"/>
              </w:rPr>
              <w:t>This workstream will focus on:</w:t>
            </w:r>
          </w:p>
          <w:p w14:paraId="6D55F04F" w14:textId="77777777" w:rsidR="007F46E0" w:rsidRPr="006E60FB" w:rsidRDefault="007F46E0" w:rsidP="00DA5E4F">
            <w:pPr>
              <w:pStyle w:val="Bullets"/>
              <w:numPr>
                <w:ilvl w:val="0"/>
                <w:numId w:val="24"/>
              </w:numPr>
              <w:spacing w:before="120" w:after="0"/>
              <w:ind w:left="357" w:hanging="357"/>
              <w:jc w:val="left"/>
              <w:rPr>
                <w:szCs w:val="24"/>
              </w:rPr>
            </w:pPr>
            <w:r w:rsidRPr="006E60FB">
              <w:rPr>
                <w:szCs w:val="24"/>
              </w:rPr>
              <w:t>increasing integrity, fairness and the neutrality of the system;</w:t>
            </w:r>
          </w:p>
          <w:p w14:paraId="14F0FEAA" w14:textId="77777777" w:rsidR="007F46E0" w:rsidRPr="006E60FB" w:rsidRDefault="007F46E0" w:rsidP="00DA5E4F">
            <w:pPr>
              <w:pStyle w:val="Bullets"/>
              <w:numPr>
                <w:ilvl w:val="0"/>
                <w:numId w:val="24"/>
              </w:numPr>
              <w:spacing w:before="120" w:after="0"/>
              <w:ind w:left="357" w:hanging="357"/>
              <w:jc w:val="left"/>
              <w:rPr>
                <w:szCs w:val="24"/>
              </w:rPr>
            </w:pPr>
            <w:r w:rsidRPr="006E60FB">
              <w:rPr>
                <w:szCs w:val="24"/>
              </w:rPr>
              <w:t>lifting the economic performance of all businesses, especially smaller firms; and</w:t>
            </w:r>
          </w:p>
          <w:p w14:paraId="7C666BE3" w14:textId="77777777" w:rsidR="007F46E0" w:rsidRPr="006E60FB" w:rsidRDefault="007F46E0" w:rsidP="00DA5E4F">
            <w:pPr>
              <w:pStyle w:val="Bullets"/>
              <w:numPr>
                <w:ilvl w:val="0"/>
                <w:numId w:val="24"/>
              </w:numPr>
              <w:spacing w:before="120" w:after="0"/>
              <w:ind w:left="357" w:hanging="357"/>
              <w:jc w:val="left"/>
              <w:rPr>
                <w:szCs w:val="24"/>
              </w:rPr>
            </w:pPr>
            <w:r w:rsidRPr="006E60FB">
              <w:rPr>
                <w:szCs w:val="24"/>
              </w:rPr>
              <w:t>ensuring compliance at a low cost to businesses.</w:t>
            </w:r>
          </w:p>
          <w:p w14:paraId="63B19B4A" w14:textId="77777777" w:rsidR="007F46E0" w:rsidRDefault="007F46E0" w:rsidP="00DA5E4F">
            <w:pPr>
              <w:spacing w:before="240"/>
              <w:jc w:val="left"/>
              <w:rPr>
                <w:szCs w:val="24"/>
              </w:rPr>
            </w:pPr>
            <w:r w:rsidRPr="006E60FB">
              <w:rPr>
                <w:szCs w:val="24"/>
              </w:rPr>
              <w:t>This includes working with other Government agencies to ensure that items in this workstream support wider Government work on 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6"/>
              <w:gridCol w:w="5196"/>
            </w:tblGrid>
            <w:tr w:rsidR="00DA5E4F" w14:paraId="6CD58578" w14:textId="77777777" w:rsidTr="00DA5E4F">
              <w:tc>
                <w:tcPr>
                  <w:tcW w:w="5196" w:type="dxa"/>
                </w:tcPr>
                <w:p w14:paraId="171B122F" w14:textId="77777777" w:rsidR="00DA5E4F" w:rsidRPr="006E60FB" w:rsidRDefault="00DA5E4F" w:rsidP="00DA5E4F">
                  <w:pPr>
                    <w:pStyle w:val="Heading3"/>
                    <w:spacing w:before="240"/>
                    <w:jc w:val="left"/>
                    <w:rPr>
                      <w:bCs/>
                      <w:i w:val="0"/>
                      <w:iCs/>
                      <w:szCs w:val="24"/>
                    </w:rPr>
                  </w:pPr>
                  <w:r w:rsidRPr="006E60FB">
                    <w:rPr>
                      <w:bCs/>
                      <w:i w:val="0"/>
                      <w:iCs/>
                      <w:szCs w:val="24"/>
                    </w:rPr>
                    <w:t>Examples of items that could be considered for inclusion relating to businesses</w:t>
                  </w:r>
                </w:p>
                <w:p w14:paraId="049540C3" w14:textId="77777777" w:rsidR="00DA5E4F" w:rsidRPr="006E60FB" w:rsidRDefault="00DA5E4F" w:rsidP="00DA5E4F">
                  <w:pPr>
                    <w:spacing w:before="240"/>
                    <w:jc w:val="left"/>
                    <w:rPr>
                      <w:szCs w:val="24"/>
                    </w:rPr>
                  </w:pPr>
                  <w:r w:rsidRPr="006E60FB">
                    <w:rPr>
                      <w:szCs w:val="24"/>
                    </w:rPr>
                    <w:t>TWG recommendations including:</w:t>
                  </w:r>
                </w:p>
                <w:p w14:paraId="6CE22858" w14:textId="77777777" w:rsidR="00DA5E4F" w:rsidRPr="006E60FB" w:rsidRDefault="00DA5E4F" w:rsidP="00DA5E4F">
                  <w:pPr>
                    <w:pStyle w:val="Bullets"/>
                    <w:numPr>
                      <w:ilvl w:val="0"/>
                      <w:numId w:val="23"/>
                    </w:numPr>
                    <w:spacing w:before="120" w:after="0"/>
                    <w:ind w:left="357" w:hanging="357"/>
                    <w:jc w:val="left"/>
                    <w:rPr>
                      <w:szCs w:val="24"/>
                    </w:rPr>
                  </w:pPr>
                  <w:r w:rsidRPr="006E60FB">
                    <w:rPr>
                      <w:szCs w:val="24"/>
                    </w:rPr>
                    <w:t>seismic strengthening (note this also includes consideration of residential property);</w:t>
                  </w:r>
                </w:p>
                <w:p w14:paraId="3B3297F4" w14:textId="77777777" w:rsidR="00DA5E4F" w:rsidRPr="006E60FB" w:rsidRDefault="00DA5E4F" w:rsidP="00DA5E4F">
                  <w:pPr>
                    <w:pStyle w:val="Bullets"/>
                    <w:numPr>
                      <w:ilvl w:val="0"/>
                      <w:numId w:val="23"/>
                    </w:numPr>
                    <w:spacing w:before="120" w:after="0"/>
                    <w:ind w:left="357" w:hanging="357"/>
                    <w:jc w:val="left"/>
                    <w:rPr>
                      <w:szCs w:val="24"/>
                    </w:rPr>
                  </w:pPr>
                  <w:r w:rsidRPr="006E60FB">
                    <w:rPr>
                      <w:szCs w:val="24"/>
                    </w:rPr>
                    <w:t>loss carry forwards and trading when ownership changes; and</w:t>
                  </w:r>
                </w:p>
                <w:p w14:paraId="19569E27" w14:textId="35CB6E0E" w:rsidR="00DA5E4F" w:rsidRPr="00DA5E4F" w:rsidRDefault="00DA5E4F" w:rsidP="00DA5E4F">
                  <w:pPr>
                    <w:pStyle w:val="Bullets"/>
                    <w:numPr>
                      <w:ilvl w:val="0"/>
                      <w:numId w:val="23"/>
                    </w:numPr>
                    <w:spacing w:before="120" w:after="0"/>
                    <w:ind w:left="357" w:hanging="357"/>
                    <w:jc w:val="left"/>
                    <w:rPr>
                      <w:szCs w:val="24"/>
                    </w:rPr>
                  </w:pPr>
                  <w:r w:rsidRPr="006E60FB">
                    <w:rPr>
                      <w:szCs w:val="24"/>
                    </w:rPr>
                    <w:t>tax treatment of innovative spending (feasibility and blackhole expenditure).</w:t>
                  </w:r>
                </w:p>
              </w:tc>
              <w:tc>
                <w:tcPr>
                  <w:tcW w:w="5196" w:type="dxa"/>
                </w:tcPr>
                <w:p w14:paraId="1CEDD1D9" w14:textId="77777777" w:rsidR="00DA5E4F" w:rsidRPr="006E60FB" w:rsidRDefault="00DA5E4F" w:rsidP="00DA5E4F">
                  <w:pPr>
                    <w:pStyle w:val="Heading3"/>
                    <w:spacing w:before="240"/>
                    <w:jc w:val="left"/>
                    <w:rPr>
                      <w:bCs/>
                      <w:i w:val="0"/>
                      <w:iCs/>
                      <w:szCs w:val="24"/>
                    </w:rPr>
                  </w:pPr>
                  <w:r w:rsidRPr="006E60FB">
                    <w:rPr>
                      <w:bCs/>
                      <w:i w:val="0"/>
                      <w:iCs/>
                      <w:szCs w:val="24"/>
                    </w:rPr>
                    <w:t>Examples of items that could be considered for inclusion relating to small businesses</w:t>
                  </w:r>
                </w:p>
                <w:p w14:paraId="6A9823BB" w14:textId="77777777" w:rsidR="00DA5E4F" w:rsidRPr="006E60FB" w:rsidRDefault="00DA5E4F" w:rsidP="00DA5E4F">
                  <w:pPr>
                    <w:spacing w:before="240"/>
                    <w:jc w:val="left"/>
                    <w:rPr>
                      <w:szCs w:val="24"/>
                    </w:rPr>
                  </w:pPr>
                  <w:r w:rsidRPr="006E60FB">
                    <w:rPr>
                      <w:szCs w:val="24"/>
                    </w:rPr>
                    <w:t>TWG recommendations including:</w:t>
                  </w:r>
                </w:p>
                <w:p w14:paraId="699FBC16" w14:textId="77777777" w:rsidR="00DA5E4F" w:rsidRPr="006E60FB" w:rsidRDefault="00DA5E4F" w:rsidP="00DA5E4F">
                  <w:pPr>
                    <w:pStyle w:val="Bullets"/>
                    <w:numPr>
                      <w:ilvl w:val="0"/>
                      <w:numId w:val="21"/>
                    </w:numPr>
                    <w:spacing w:before="120" w:after="0"/>
                    <w:ind w:left="357" w:hanging="357"/>
                    <w:jc w:val="left"/>
                    <w:rPr>
                      <w:szCs w:val="24"/>
                    </w:rPr>
                  </w:pPr>
                  <w:proofErr w:type="gramStart"/>
                  <w:r w:rsidRPr="006E60FB">
                    <w:rPr>
                      <w:szCs w:val="24"/>
                    </w:rPr>
                    <w:t>closely-held</w:t>
                  </w:r>
                  <w:proofErr w:type="gramEnd"/>
                  <w:r w:rsidRPr="006E60FB">
                    <w:rPr>
                      <w:szCs w:val="24"/>
                    </w:rPr>
                    <w:t xml:space="preserve"> company issues;</w:t>
                  </w:r>
                </w:p>
                <w:p w14:paraId="2FFF7B33" w14:textId="77777777" w:rsidR="00DA5E4F" w:rsidRPr="006E60FB" w:rsidRDefault="00DA5E4F" w:rsidP="00DA5E4F">
                  <w:pPr>
                    <w:pStyle w:val="Bullets"/>
                    <w:numPr>
                      <w:ilvl w:val="0"/>
                      <w:numId w:val="21"/>
                    </w:numPr>
                    <w:spacing w:before="120" w:after="0"/>
                    <w:ind w:left="357" w:hanging="357"/>
                    <w:jc w:val="left"/>
                    <w:rPr>
                      <w:szCs w:val="24"/>
                    </w:rPr>
                  </w:pPr>
                  <w:r w:rsidRPr="006E60FB">
                    <w:rPr>
                      <w:szCs w:val="24"/>
                    </w:rPr>
                    <w:t>compliance and enforcement issues;</w:t>
                  </w:r>
                </w:p>
                <w:p w14:paraId="772619E2" w14:textId="77777777" w:rsidR="00DA5E4F" w:rsidRPr="006E60FB" w:rsidRDefault="00DA5E4F" w:rsidP="00DA5E4F">
                  <w:pPr>
                    <w:pStyle w:val="Bullets"/>
                    <w:numPr>
                      <w:ilvl w:val="0"/>
                      <w:numId w:val="21"/>
                    </w:numPr>
                    <w:spacing w:before="120" w:after="0"/>
                    <w:ind w:left="357" w:hanging="357"/>
                    <w:jc w:val="left"/>
                    <w:rPr>
                      <w:szCs w:val="24"/>
                    </w:rPr>
                  </w:pPr>
                  <w:r w:rsidRPr="006E60FB">
                    <w:rPr>
                      <w:szCs w:val="24"/>
                    </w:rPr>
                    <w:t>simplifying FBT; and</w:t>
                  </w:r>
                </w:p>
                <w:p w14:paraId="2AFDFCBC" w14:textId="683937D0" w:rsidR="00DA5E4F" w:rsidRPr="00DA5E4F" w:rsidRDefault="00DA5E4F" w:rsidP="00DA5E4F">
                  <w:pPr>
                    <w:pStyle w:val="Bullets"/>
                    <w:numPr>
                      <w:ilvl w:val="0"/>
                      <w:numId w:val="21"/>
                    </w:numPr>
                    <w:spacing w:before="120" w:after="0"/>
                    <w:ind w:left="357" w:hanging="357"/>
                    <w:jc w:val="left"/>
                    <w:rPr>
                      <w:szCs w:val="24"/>
                    </w:rPr>
                  </w:pPr>
                  <w:r w:rsidRPr="006E60FB">
                    <w:rPr>
                      <w:szCs w:val="24"/>
                    </w:rPr>
                    <w:t>tax disputes for small taxpayers.</w:t>
                  </w:r>
                </w:p>
              </w:tc>
            </w:tr>
            <w:tr w:rsidR="00B51BEA" w14:paraId="5B3C0FEF" w14:textId="77777777" w:rsidTr="00DA5E4F">
              <w:tc>
                <w:tcPr>
                  <w:tcW w:w="5196" w:type="dxa"/>
                </w:tcPr>
                <w:p w14:paraId="569A93D2" w14:textId="77777777" w:rsidR="00B51BEA" w:rsidRPr="006E60FB" w:rsidRDefault="00B51BEA" w:rsidP="00DA5E4F">
                  <w:pPr>
                    <w:spacing w:before="240"/>
                    <w:jc w:val="left"/>
                    <w:rPr>
                      <w:szCs w:val="24"/>
                    </w:rPr>
                  </w:pPr>
                  <w:r w:rsidRPr="006E60FB">
                    <w:rPr>
                      <w:szCs w:val="24"/>
                    </w:rPr>
                    <w:t>Items already underway such as:</w:t>
                  </w:r>
                </w:p>
                <w:p w14:paraId="0325B28A" w14:textId="77777777" w:rsidR="00B51BEA" w:rsidRPr="006E60FB" w:rsidRDefault="00B51BEA" w:rsidP="00DA5E4F">
                  <w:pPr>
                    <w:pStyle w:val="Bullets"/>
                    <w:numPr>
                      <w:ilvl w:val="0"/>
                      <w:numId w:val="22"/>
                    </w:numPr>
                    <w:spacing w:before="120" w:after="0"/>
                    <w:ind w:left="357" w:hanging="357"/>
                    <w:jc w:val="left"/>
                    <w:rPr>
                      <w:szCs w:val="24"/>
                    </w:rPr>
                  </w:pPr>
                  <w:r w:rsidRPr="006E60FB">
                    <w:rPr>
                      <w:szCs w:val="24"/>
                    </w:rPr>
                    <w:t>R&amp;D;</w:t>
                  </w:r>
                </w:p>
                <w:p w14:paraId="583F040A" w14:textId="77777777" w:rsidR="00B51BEA" w:rsidRPr="006E60FB" w:rsidRDefault="00B51BEA" w:rsidP="00DA5E4F">
                  <w:pPr>
                    <w:pStyle w:val="Bullets"/>
                    <w:numPr>
                      <w:ilvl w:val="0"/>
                      <w:numId w:val="22"/>
                    </w:numPr>
                    <w:spacing w:before="120" w:after="0"/>
                    <w:ind w:left="357" w:hanging="357"/>
                    <w:jc w:val="left"/>
                    <w:rPr>
                      <w:szCs w:val="24"/>
                    </w:rPr>
                  </w:pPr>
                  <w:r w:rsidRPr="006E60FB">
                    <w:rPr>
                      <w:szCs w:val="24"/>
                    </w:rPr>
                    <w:t>purchase price allocation;</w:t>
                  </w:r>
                </w:p>
                <w:p w14:paraId="048ADE69" w14:textId="77777777" w:rsidR="00B51BEA" w:rsidRPr="006E60FB" w:rsidRDefault="00B51BEA" w:rsidP="00DA5E4F">
                  <w:pPr>
                    <w:pStyle w:val="Bullets"/>
                    <w:numPr>
                      <w:ilvl w:val="0"/>
                      <w:numId w:val="22"/>
                    </w:numPr>
                    <w:spacing w:before="120" w:after="0"/>
                    <w:ind w:left="357" w:hanging="357"/>
                    <w:jc w:val="left"/>
                    <w:rPr>
                      <w:szCs w:val="24"/>
                    </w:rPr>
                  </w:pPr>
                  <w:r w:rsidRPr="006E60FB">
                    <w:rPr>
                      <w:szCs w:val="24"/>
                    </w:rPr>
                    <w:t>cross-border employment;</w:t>
                  </w:r>
                </w:p>
                <w:p w14:paraId="3B9E898F" w14:textId="77777777" w:rsidR="00B51BEA" w:rsidRDefault="00B51BEA" w:rsidP="00DA5E4F">
                  <w:pPr>
                    <w:pStyle w:val="Bullets"/>
                    <w:numPr>
                      <w:ilvl w:val="0"/>
                      <w:numId w:val="22"/>
                    </w:numPr>
                    <w:spacing w:before="120" w:after="0"/>
                    <w:ind w:left="357" w:hanging="357"/>
                    <w:jc w:val="left"/>
                    <w:rPr>
                      <w:szCs w:val="24"/>
                    </w:rPr>
                  </w:pPr>
                  <w:r w:rsidRPr="006E60FB">
                    <w:rPr>
                      <w:szCs w:val="24"/>
                    </w:rPr>
                    <w:t>financial arrangement issues; and</w:t>
                  </w:r>
                </w:p>
                <w:p w14:paraId="46D16157" w14:textId="47EF1FAA" w:rsidR="00B51BEA" w:rsidRDefault="00B51BEA" w:rsidP="00DA5E4F">
                  <w:pPr>
                    <w:pStyle w:val="Bullets"/>
                    <w:numPr>
                      <w:ilvl w:val="0"/>
                      <w:numId w:val="22"/>
                    </w:numPr>
                    <w:spacing w:before="120" w:after="0"/>
                    <w:ind w:left="357" w:hanging="357"/>
                    <w:jc w:val="left"/>
                    <w:rPr>
                      <w:szCs w:val="24"/>
                    </w:rPr>
                  </w:pPr>
                  <w:r w:rsidRPr="006E60FB">
                    <w:rPr>
                      <w:szCs w:val="24"/>
                    </w:rPr>
                    <w:t>other integrity issues.</w:t>
                  </w:r>
                </w:p>
              </w:tc>
              <w:tc>
                <w:tcPr>
                  <w:tcW w:w="5196" w:type="dxa"/>
                </w:tcPr>
                <w:p w14:paraId="581E2D3D" w14:textId="5A11522E" w:rsidR="00B51BEA" w:rsidRPr="006E60FB" w:rsidRDefault="00B51BEA" w:rsidP="00DA5E4F">
                  <w:pPr>
                    <w:spacing w:before="240"/>
                    <w:jc w:val="left"/>
                    <w:rPr>
                      <w:szCs w:val="24"/>
                    </w:rPr>
                  </w:pPr>
                  <w:r w:rsidRPr="006E60FB">
                    <w:rPr>
                      <w:szCs w:val="24"/>
                    </w:rPr>
                    <w:t>Items already underway such as:</w:t>
                  </w:r>
                </w:p>
                <w:p w14:paraId="18BA537B" w14:textId="77777777" w:rsidR="00B51BEA" w:rsidRPr="006E60FB" w:rsidRDefault="00B51BEA" w:rsidP="00DA5E4F">
                  <w:pPr>
                    <w:pStyle w:val="Bullets"/>
                    <w:numPr>
                      <w:ilvl w:val="0"/>
                      <w:numId w:val="20"/>
                    </w:numPr>
                    <w:spacing w:before="120" w:after="0"/>
                    <w:ind w:left="357" w:hanging="357"/>
                    <w:jc w:val="left"/>
                    <w:rPr>
                      <w:szCs w:val="24"/>
                    </w:rPr>
                  </w:pPr>
                  <w:r w:rsidRPr="006E60FB">
                    <w:rPr>
                      <w:szCs w:val="24"/>
                    </w:rPr>
                    <w:t>tax compliance for self-employed (accounts payable reporting);</w:t>
                  </w:r>
                </w:p>
                <w:p w14:paraId="3F2152C0" w14:textId="77777777" w:rsidR="00B51BEA" w:rsidRPr="006E60FB" w:rsidRDefault="00B51BEA" w:rsidP="00DA5E4F">
                  <w:pPr>
                    <w:pStyle w:val="Bullets"/>
                    <w:numPr>
                      <w:ilvl w:val="0"/>
                      <w:numId w:val="20"/>
                    </w:numPr>
                    <w:spacing w:before="120" w:after="0"/>
                    <w:ind w:left="357" w:hanging="357"/>
                    <w:jc w:val="left"/>
                    <w:rPr>
                      <w:szCs w:val="24"/>
                    </w:rPr>
                  </w:pPr>
                  <w:r w:rsidRPr="006E60FB">
                    <w:rPr>
                      <w:szCs w:val="24"/>
                    </w:rPr>
                    <w:t>considering issues around the sharing economy/platforms;</w:t>
                  </w:r>
                </w:p>
                <w:p w14:paraId="742A314E" w14:textId="77777777" w:rsidR="00B51BEA" w:rsidRDefault="00B51BEA" w:rsidP="00DA5E4F">
                  <w:pPr>
                    <w:pStyle w:val="Bullets"/>
                    <w:numPr>
                      <w:ilvl w:val="0"/>
                      <w:numId w:val="20"/>
                    </w:numPr>
                    <w:spacing w:before="120" w:after="0"/>
                    <w:ind w:left="357" w:hanging="357"/>
                    <w:jc w:val="left"/>
                    <w:rPr>
                      <w:szCs w:val="24"/>
                    </w:rPr>
                  </w:pPr>
                  <w:r w:rsidRPr="006E60FB">
                    <w:rPr>
                      <w:szCs w:val="24"/>
                    </w:rPr>
                    <w:t>options for assisting businesses to become more digital; and</w:t>
                  </w:r>
                </w:p>
                <w:p w14:paraId="69902DDB" w14:textId="1FD2C708" w:rsidR="00B51BEA" w:rsidRDefault="00B51BEA" w:rsidP="00DA5E4F">
                  <w:pPr>
                    <w:pStyle w:val="Bullets"/>
                    <w:numPr>
                      <w:ilvl w:val="0"/>
                      <w:numId w:val="20"/>
                    </w:numPr>
                    <w:spacing w:before="120" w:after="0"/>
                    <w:ind w:left="357" w:hanging="357"/>
                    <w:jc w:val="left"/>
                    <w:rPr>
                      <w:szCs w:val="24"/>
                    </w:rPr>
                  </w:pPr>
                  <w:r w:rsidRPr="006E60FB">
                    <w:rPr>
                      <w:szCs w:val="24"/>
                    </w:rPr>
                    <w:t>AIM review.</w:t>
                  </w:r>
                </w:p>
              </w:tc>
            </w:tr>
          </w:tbl>
          <w:p w14:paraId="5AC815A7" w14:textId="43A31D8E" w:rsidR="00B51BEA" w:rsidRPr="006E60FB" w:rsidRDefault="00B51BEA" w:rsidP="00DA5E4F">
            <w:pPr>
              <w:spacing w:before="240"/>
              <w:jc w:val="left"/>
              <w:rPr>
                <w:szCs w:val="24"/>
              </w:rPr>
            </w:pPr>
          </w:p>
        </w:tc>
      </w:tr>
    </w:tbl>
    <w:p w14:paraId="5E63ACD3" w14:textId="77777777" w:rsidR="00F3468F" w:rsidRDefault="00F3468F" w:rsidP="00F9724E">
      <w:pPr>
        <w:spacing w:before="240"/>
        <w:sectPr w:rsidR="00F3468F" w:rsidSect="002E2553">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720" w:right="720" w:bottom="720" w:left="720" w:header="709" w:footer="425" w:gutter="0"/>
          <w:cols w:num="2" w:space="142"/>
          <w:docGrid w:linePitch="360"/>
        </w:sectPr>
      </w:pPr>
    </w:p>
    <w:p w14:paraId="6B48DFF9" w14:textId="77777777" w:rsidR="00BA2E49" w:rsidRPr="00BA2E49" w:rsidRDefault="00BA2E49">
      <w:pPr>
        <w:rPr>
          <w:sz w:val="8"/>
          <w:szCs w:val="8"/>
        </w:rPr>
      </w:pPr>
    </w:p>
    <w:tbl>
      <w:tblPr>
        <w:tblStyle w:val="TableGrid"/>
        <w:tblW w:w="7386"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7386"/>
      </w:tblGrid>
      <w:tr w:rsidR="007F46E0" w:rsidRPr="0086087B" w14:paraId="6F397936" w14:textId="77777777" w:rsidTr="009A0D8A">
        <w:trPr>
          <w:cantSplit/>
          <w:tblCellSpacing w:w="42" w:type="dxa"/>
        </w:trPr>
        <w:tc>
          <w:tcPr>
            <w:tcW w:w="7218" w:type="dxa"/>
            <w:shd w:val="clear" w:color="auto" w:fill="auto"/>
            <w:tcMar>
              <w:top w:w="0" w:type="dxa"/>
              <w:left w:w="0" w:type="dxa"/>
              <w:bottom w:w="0" w:type="dxa"/>
              <w:right w:w="0" w:type="dxa"/>
            </w:tcMar>
          </w:tcPr>
          <w:p w14:paraId="5029D0BB" w14:textId="635673A5" w:rsidR="007F46E0" w:rsidRPr="00E10CE3" w:rsidRDefault="009A0D8A"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3" w:name="_Toc16073968"/>
            <w:r w:rsidR="007F46E0" w:rsidRPr="00330EED">
              <w:rPr>
                <w:bCs/>
                <w:sz w:val="32"/>
                <w:szCs w:val="32"/>
              </w:rPr>
              <w:t>Infrastructure</w:t>
            </w:r>
            <w:bookmarkEnd w:id="3"/>
          </w:p>
        </w:tc>
      </w:tr>
      <w:tr w:rsidR="007F46E0" w:rsidRPr="0086087B" w14:paraId="0782882E" w14:textId="77777777" w:rsidTr="00E13DA4">
        <w:trPr>
          <w:cantSplit/>
          <w:trHeight w:val="6232"/>
          <w:tblCellSpacing w:w="42" w:type="dxa"/>
        </w:trPr>
        <w:tc>
          <w:tcPr>
            <w:tcW w:w="7218" w:type="dxa"/>
            <w:shd w:val="clear" w:color="auto" w:fill="FBE4D5" w:themeFill="accent2" w:themeFillTint="33"/>
            <w:tcMar>
              <w:top w:w="57" w:type="dxa"/>
              <w:left w:w="142" w:type="dxa"/>
              <w:bottom w:w="57" w:type="dxa"/>
              <w:right w:w="142" w:type="dxa"/>
            </w:tcMar>
          </w:tcPr>
          <w:p w14:paraId="3B4F28A2" w14:textId="77C90CD5" w:rsidR="007F46E0" w:rsidRPr="006E60FB" w:rsidRDefault="007F46E0" w:rsidP="00DA5E4F">
            <w:pPr>
              <w:spacing w:before="120"/>
              <w:jc w:val="left"/>
              <w:rPr>
                <w:szCs w:val="24"/>
              </w:rPr>
            </w:pPr>
            <w:r w:rsidRPr="006E60FB">
              <w:rPr>
                <w:szCs w:val="24"/>
              </w:rPr>
              <w:t>Infrastructure is a key area of interest for the Government. It contributes to economic performance, and the Government is focussed on achieving better outcomes for infrastructure investment in New Zealand. Many of the changes being looked at are outside of the tax system, but the tax system may have to adapt to new arrangements. This project will consider whether the tax system should have a role in driving infrastructure investment.</w:t>
            </w:r>
          </w:p>
          <w:p w14:paraId="5071E9BF" w14:textId="77777777" w:rsidR="007F46E0" w:rsidRPr="006E60FB" w:rsidRDefault="007F46E0" w:rsidP="00DA5E4F">
            <w:pPr>
              <w:spacing w:before="240"/>
              <w:jc w:val="left"/>
              <w:rPr>
                <w:szCs w:val="24"/>
              </w:rPr>
            </w:pPr>
            <w:r w:rsidRPr="006E60FB">
              <w:rPr>
                <w:szCs w:val="24"/>
              </w:rPr>
              <w:t>The infrastructure project will:</w:t>
            </w:r>
          </w:p>
          <w:p w14:paraId="38C29D90" w14:textId="77777777" w:rsidR="007F46E0" w:rsidRPr="006E60FB" w:rsidRDefault="007F46E0" w:rsidP="00DA5E4F">
            <w:pPr>
              <w:pStyle w:val="Bullets"/>
              <w:numPr>
                <w:ilvl w:val="0"/>
                <w:numId w:val="25"/>
              </w:numPr>
              <w:spacing w:before="120" w:after="0"/>
              <w:ind w:left="357" w:hanging="357"/>
              <w:jc w:val="left"/>
              <w:rPr>
                <w:szCs w:val="24"/>
              </w:rPr>
            </w:pPr>
            <w:r w:rsidRPr="006E60FB">
              <w:rPr>
                <w:szCs w:val="24"/>
              </w:rPr>
              <w:t xml:space="preserve">respond to the Tax Working Group’s recommendation to consider developing a regime that encourages investment into </w:t>
            </w:r>
            <w:proofErr w:type="gramStart"/>
            <w:r w:rsidRPr="006E60FB">
              <w:rPr>
                <w:szCs w:val="24"/>
              </w:rPr>
              <w:t>nationally-significant</w:t>
            </w:r>
            <w:proofErr w:type="gramEnd"/>
            <w:r w:rsidRPr="006E60FB">
              <w:rPr>
                <w:szCs w:val="24"/>
              </w:rPr>
              <w:t xml:space="preserve"> infrastructure projects;</w:t>
            </w:r>
          </w:p>
          <w:p w14:paraId="1D238205" w14:textId="77777777" w:rsidR="007F46E0" w:rsidRPr="006E60FB" w:rsidRDefault="007F46E0" w:rsidP="00DA5E4F">
            <w:pPr>
              <w:pStyle w:val="Bullets"/>
              <w:numPr>
                <w:ilvl w:val="0"/>
                <w:numId w:val="25"/>
              </w:numPr>
              <w:spacing w:before="120" w:after="0"/>
              <w:ind w:left="357" w:hanging="357"/>
              <w:jc w:val="left"/>
              <w:rPr>
                <w:szCs w:val="24"/>
              </w:rPr>
            </w:pPr>
            <w:r w:rsidRPr="006E60FB">
              <w:rPr>
                <w:szCs w:val="24"/>
              </w:rPr>
              <w:t>ensure that the tax system treats new institutional arrangements for infrastructure appropriately; and</w:t>
            </w:r>
          </w:p>
          <w:p w14:paraId="33C77FE7" w14:textId="609113D3" w:rsidR="007D797A" w:rsidRPr="009A0D8A" w:rsidRDefault="007F46E0" w:rsidP="00DA5E4F">
            <w:pPr>
              <w:pStyle w:val="Bullets"/>
              <w:numPr>
                <w:ilvl w:val="0"/>
                <w:numId w:val="25"/>
              </w:numPr>
              <w:spacing w:before="120" w:after="0"/>
              <w:ind w:left="357" w:hanging="357"/>
              <w:jc w:val="left"/>
              <w:rPr>
                <w:szCs w:val="24"/>
              </w:rPr>
            </w:pPr>
            <w:r w:rsidRPr="006E60FB">
              <w:rPr>
                <w:szCs w:val="24"/>
              </w:rPr>
              <w:t>consider consistency of revenue collection for infrastructure across Government.</w:t>
            </w:r>
          </w:p>
        </w:tc>
      </w:tr>
    </w:tbl>
    <w:p w14:paraId="77020567" w14:textId="77777777" w:rsidR="00F9724E" w:rsidRPr="00F9724E" w:rsidRDefault="00F9724E" w:rsidP="00F9724E">
      <w:pPr>
        <w:spacing w:before="240"/>
        <w:rPr>
          <w:sz w:val="8"/>
          <w:szCs w:val="8"/>
        </w:rPr>
      </w:pPr>
    </w:p>
    <w:tbl>
      <w:tblPr>
        <w:tblStyle w:val="TableGrid"/>
        <w:tblW w:w="7386"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7386"/>
      </w:tblGrid>
      <w:tr w:rsidR="007F46E0" w:rsidRPr="0086087B" w14:paraId="1AA11FF8" w14:textId="77777777" w:rsidTr="009A0D8A">
        <w:trPr>
          <w:cantSplit/>
          <w:tblCellSpacing w:w="42" w:type="dxa"/>
        </w:trPr>
        <w:tc>
          <w:tcPr>
            <w:tcW w:w="7218" w:type="dxa"/>
            <w:shd w:val="clear" w:color="auto" w:fill="auto"/>
            <w:tcMar>
              <w:top w:w="0" w:type="dxa"/>
              <w:left w:w="0" w:type="dxa"/>
              <w:bottom w:w="0" w:type="dxa"/>
              <w:right w:w="0" w:type="dxa"/>
            </w:tcMar>
          </w:tcPr>
          <w:p w14:paraId="5FFD7C94" w14:textId="2DB4B670" w:rsidR="00357606" w:rsidRPr="00E10CE3" w:rsidRDefault="009A0D8A"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4" w:name="_Toc16073969"/>
            <w:r w:rsidR="007F46E0" w:rsidRPr="00330EED">
              <w:rPr>
                <w:bCs/>
                <w:sz w:val="32"/>
                <w:szCs w:val="32"/>
              </w:rPr>
              <w:t>Information collection and use</w:t>
            </w:r>
            <w:bookmarkEnd w:id="4"/>
          </w:p>
        </w:tc>
      </w:tr>
      <w:tr w:rsidR="007F46E0" w:rsidRPr="0086087B" w14:paraId="67C3FBF6" w14:textId="77777777" w:rsidTr="00E13DA4">
        <w:trPr>
          <w:cantSplit/>
          <w:trHeight w:val="6232"/>
          <w:tblCellSpacing w:w="42" w:type="dxa"/>
        </w:trPr>
        <w:tc>
          <w:tcPr>
            <w:tcW w:w="7218" w:type="dxa"/>
            <w:shd w:val="clear" w:color="auto" w:fill="FBE4D5" w:themeFill="accent2" w:themeFillTint="33"/>
            <w:tcMar>
              <w:top w:w="57" w:type="dxa"/>
              <w:left w:w="142" w:type="dxa"/>
              <w:bottom w:w="57" w:type="dxa"/>
              <w:right w:w="142" w:type="dxa"/>
            </w:tcMar>
          </w:tcPr>
          <w:p w14:paraId="2451D119" w14:textId="77777777" w:rsidR="007F46E0" w:rsidRPr="006E60FB" w:rsidRDefault="007F46E0" w:rsidP="00DA5E4F">
            <w:pPr>
              <w:spacing w:before="120"/>
              <w:jc w:val="left"/>
              <w:rPr>
                <w:szCs w:val="24"/>
              </w:rPr>
            </w:pPr>
            <w:r w:rsidRPr="006E60FB">
              <w:rPr>
                <w:szCs w:val="24"/>
              </w:rPr>
              <w:t xml:space="preserve">The effective use of information by Government is critical to the efficient delivery of Government services. The efficient and effective collection and use of information helps to ensure the tax system minimises compliance and administration costs, while also supporting and contributing to wider Government priorities. Better information also contributes to the integrity and fairness of the tax system and helps to ensure that the tax system can respond well to future challenges. </w:t>
            </w:r>
          </w:p>
          <w:p w14:paraId="3E9F9F72" w14:textId="77777777" w:rsidR="007F46E0" w:rsidRPr="006E60FB" w:rsidRDefault="007F46E0" w:rsidP="00DA5E4F">
            <w:pPr>
              <w:spacing w:before="240"/>
              <w:jc w:val="left"/>
              <w:rPr>
                <w:szCs w:val="24"/>
              </w:rPr>
            </w:pPr>
            <w:r w:rsidRPr="006E60FB">
              <w:rPr>
                <w:szCs w:val="24"/>
              </w:rPr>
              <w:t>This package will consider:</w:t>
            </w:r>
          </w:p>
          <w:p w14:paraId="09D9C84A" w14:textId="77777777" w:rsidR="007F46E0" w:rsidRPr="006E60FB" w:rsidRDefault="007F46E0" w:rsidP="00DA5E4F">
            <w:pPr>
              <w:pStyle w:val="Bullets"/>
              <w:numPr>
                <w:ilvl w:val="0"/>
                <w:numId w:val="26"/>
              </w:numPr>
              <w:spacing w:before="120" w:after="0"/>
              <w:ind w:left="357" w:hanging="357"/>
              <w:jc w:val="left"/>
              <w:rPr>
                <w:szCs w:val="24"/>
              </w:rPr>
            </w:pPr>
            <w:r w:rsidRPr="006E60FB">
              <w:rPr>
                <w:szCs w:val="24"/>
              </w:rPr>
              <w:t>overall data strategy for the collection and use of information;</w:t>
            </w:r>
          </w:p>
          <w:p w14:paraId="02E58399" w14:textId="77777777" w:rsidR="007F46E0" w:rsidRPr="006E60FB" w:rsidRDefault="007F46E0" w:rsidP="00DA5E4F">
            <w:pPr>
              <w:pStyle w:val="Bullets"/>
              <w:numPr>
                <w:ilvl w:val="0"/>
                <w:numId w:val="26"/>
              </w:numPr>
              <w:spacing w:before="120" w:after="0"/>
              <w:ind w:left="357" w:hanging="357"/>
              <w:jc w:val="left"/>
              <w:rPr>
                <w:szCs w:val="24"/>
              </w:rPr>
            </w:pPr>
            <w:r w:rsidRPr="006E60FB">
              <w:rPr>
                <w:szCs w:val="24"/>
              </w:rPr>
              <w:t>information sharing agreements and development of more efficient ways to allow the sharing of information;</w:t>
            </w:r>
          </w:p>
          <w:p w14:paraId="39F62759" w14:textId="77777777" w:rsidR="007F46E0" w:rsidRPr="006E60FB" w:rsidRDefault="007F46E0" w:rsidP="00DA5E4F">
            <w:pPr>
              <w:pStyle w:val="Bullets"/>
              <w:numPr>
                <w:ilvl w:val="0"/>
                <w:numId w:val="26"/>
              </w:numPr>
              <w:spacing w:before="120" w:after="0"/>
              <w:ind w:left="357" w:hanging="357"/>
              <w:jc w:val="left"/>
              <w:rPr>
                <w:szCs w:val="24"/>
              </w:rPr>
            </w:pPr>
            <w:r w:rsidRPr="006E60FB">
              <w:rPr>
                <w:szCs w:val="24"/>
              </w:rPr>
              <w:t>automatic exchange of information and country-by-country reporting consequential matters;</w:t>
            </w:r>
          </w:p>
          <w:p w14:paraId="335065F7" w14:textId="77777777" w:rsidR="007F46E0" w:rsidRPr="006E60FB" w:rsidRDefault="007F46E0" w:rsidP="00DA5E4F">
            <w:pPr>
              <w:pStyle w:val="Bullets"/>
              <w:numPr>
                <w:ilvl w:val="0"/>
                <w:numId w:val="26"/>
              </w:numPr>
              <w:spacing w:before="120" w:after="0"/>
              <w:ind w:left="357" w:hanging="357"/>
              <w:jc w:val="left"/>
              <w:rPr>
                <w:szCs w:val="24"/>
              </w:rPr>
            </w:pPr>
            <w:r w:rsidRPr="006E60FB">
              <w:rPr>
                <w:szCs w:val="24"/>
              </w:rPr>
              <w:t>repeat collection of large datasets – reporting, consultation and regulation making processes; and</w:t>
            </w:r>
          </w:p>
          <w:p w14:paraId="30DB4A73" w14:textId="408483C3" w:rsidR="007F46E0" w:rsidRPr="006E60FB" w:rsidRDefault="007F46E0" w:rsidP="00DA5E4F">
            <w:pPr>
              <w:pStyle w:val="Bullets"/>
              <w:numPr>
                <w:ilvl w:val="0"/>
                <w:numId w:val="26"/>
              </w:numPr>
              <w:spacing w:before="120" w:after="0"/>
              <w:ind w:left="357" w:hanging="357"/>
              <w:jc w:val="left"/>
              <w:rPr>
                <w:szCs w:val="24"/>
              </w:rPr>
            </w:pPr>
            <w:r w:rsidRPr="006E60FB">
              <w:rPr>
                <w:szCs w:val="24"/>
              </w:rPr>
              <w:t>the collection and public release of information to support policy advice, evaluation and public debate on policy issues.</w:t>
            </w:r>
          </w:p>
        </w:tc>
      </w:tr>
    </w:tbl>
    <w:p w14:paraId="2396365B" w14:textId="77777777" w:rsidR="00F9724E" w:rsidRPr="00F9724E" w:rsidRDefault="00F9724E" w:rsidP="00F9724E">
      <w:pPr>
        <w:spacing w:before="240"/>
        <w:rPr>
          <w:sz w:val="8"/>
          <w:szCs w:val="8"/>
        </w:rPr>
      </w:pPr>
    </w:p>
    <w:tbl>
      <w:tblPr>
        <w:tblStyle w:val="TableGrid"/>
        <w:tblW w:w="7386"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7386"/>
      </w:tblGrid>
      <w:tr w:rsidR="007F46E0" w:rsidRPr="0086087B" w14:paraId="4243D659" w14:textId="77777777" w:rsidTr="009A0D8A">
        <w:trPr>
          <w:cantSplit/>
          <w:tblCellSpacing w:w="42" w:type="dxa"/>
        </w:trPr>
        <w:tc>
          <w:tcPr>
            <w:tcW w:w="7218" w:type="dxa"/>
            <w:shd w:val="clear" w:color="auto" w:fill="auto"/>
            <w:tcMar>
              <w:top w:w="0" w:type="dxa"/>
              <w:left w:w="0" w:type="dxa"/>
              <w:bottom w:w="0" w:type="dxa"/>
              <w:right w:w="0" w:type="dxa"/>
            </w:tcMar>
          </w:tcPr>
          <w:p w14:paraId="47EF4C02" w14:textId="6F660CEA" w:rsidR="00357606" w:rsidRPr="00E10CE3" w:rsidRDefault="009A0D8A"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5" w:name="_Toc16073970"/>
            <w:r w:rsidR="007F46E0" w:rsidRPr="00330EED">
              <w:rPr>
                <w:bCs/>
                <w:sz w:val="32"/>
                <w:szCs w:val="32"/>
              </w:rPr>
              <w:t>Business Transformation (BT)</w:t>
            </w:r>
            <w:bookmarkEnd w:id="5"/>
          </w:p>
        </w:tc>
      </w:tr>
      <w:tr w:rsidR="007F46E0" w:rsidRPr="0086087B" w14:paraId="45737DDB" w14:textId="77777777" w:rsidTr="00E13DA4">
        <w:trPr>
          <w:cantSplit/>
          <w:trHeight w:val="6232"/>
          <w:tblCellSpacing w:w="42" w:type="dxa"/>
        </w:trPr>
        <w:tc>
          <w:tcPr>
            <w:tcW w:w="7218" w:type="dxa"/>
            <w:shd w:val="clear" w:color="auto" w:fill="FBE4D5" w:themeFill="accent2" w:themeFillTint="33"/>
            <w:tcMar>
              <w:top w:w="57" w:type="dxa"/>
              <w:left w:w="142" w:type="dxa"/>
              <w:bottom w:w="57" w:type="dxa"/>
              <w:right w:w="142" w:type="dxa"/>
            </w:tcMar>
          </w:tcPr>
          <w:p w14:paraId="2CF3EBDD" w14:textId="19DF4BE5" w:rsidR="007F46E0" w:rsidRPr="006E60FB" w:rsidRDefault="007F46E0" w:rsidP="00DA5E4F">
            <w:pPr>
              <w:spacing w:before="120"/>
              <w:jc w:val="left"/>
              <w:rPr>
                <w:szCs w:val="24"/>
              </w:rPr>
            </w:pPr>
            <w:r w:rsidRPr="006E60FB">
              <w:rPr>
                <w:szCs w:val="24"/>
              </w:rPr>
              <w:t>We will continue to support Inland Revenue’s BT programme. Over the next 18 months, Inland Revenue will implement Release 4 of its BT programme (Student Loans and KiwiSaver) and commence design on Release 5 (Child Support).</w:t>
            </w:r>
          </w:p>
          <w:p w14:paraId="02FEB3A5" w14:textId="77777777" w:rsidR="007F46E0" w:rsidRPr="006E60FB" w:rsidRDefault="007F46E0" w:rsidP="00DA5E4F">
            <w:pPr>
              <w:spacing w:before="240"/>
              <w:jc w:val="left"/>
              <w:rPr>
                <w:szCs w:val="24"/>
              </w:rPr>
            </w:pPr>
            <w:r w:rsidRPr="006E60FB">
              <w:rPr>
                <w:szCs w:val="24"/>
              </w:rPr>
              <w:t>Further, we envisage the BT policy work stream as identifying and developing policy proposals that leverage off and support the new tax and social policy system. This would include work on:</w:t>
            </w:r>
          </w:p>
          <w:p w14:paraId="77B73686" w14:textId="77777777" w:rsidR="007F46E0" w:rsidRPr="006E60FB" w:rsidRDefault="007F46E0" w:rsidP="00DA5E4F">
            <w:pPr>
              <w:pStyle w:val="Bullets"/>
              <w:numPr>
                <w:ilvl w:val="0"/>
                <w:numId w:val="27"/>
              </w:numPr>
              <w:spacing w:before="120" w:after="0"/>
              <w:ind w:hanging="357"/>
              <w:jc w:val="left"/>
              <w:rPr>
                <w:szCs w:val="24"/>
              </w:rPr>
            </w:pPr>
            <w:r w:rsidRPr="006E60FB">
              <w:rPr>
                <w:szCs w:val="24"/>
              </w:rPr>
              <w:t>potential review of the prescribed investor rate (PIR);</w:t>
            </w:r>
          </w:p>
          <w:p w14:paraId="4AB3B01B" w14:textId="77777777" w:rsidR="007F46E0" w:rsidRPr="006E60FB" w:rsidRDefault="007F46E0" w:rsidP="00DA5E4F">
            <w:pPr>
              <w:pStyle w:val="Bullets"/>
              <w:numPr>
                <w:ilvl w:val="0"/>
                <w:numId w:val="27"/>
              </w:numPr>
              <w:spacing w:before="120" w:after="0"/>
              <w:ind w:hanging="357"/>
              <w:jc w:val="left"/>
              <w:rPr>
                <w:szCs w:val="24"/>
              </w:rPr>
            </w:pPr>
            <w:r w:rsidRPr="006E60FB">
              <w:rPr>
                <w:szCs w:val="24"/>
              </w:rPr>
              <w:t>taxation of lump sum payments such as ACC weekly compensation; and</w:t>
            </w:r>
          </w:p>
          <w:p w14:paraId="6A77C802" w14:textId="77777777" w:rsidR="007F46E0" w:rsidRPr="006E60FB" w:rsidRDefault="007F46E0" w:rsidP="00DA5E4F">
            <w:pPr>
              <w:pStyle w:val="Bullets"/>
              <w:numPr>
                <w:ilvl w:val="0"/>
                <w:numId w:val="27"/>
              </w:numPr>
              <w:spacing w:before="120" w:after="0"/>
              <w:ind w:hanging="357"/>
              <w:jc w:val="left"/>
              <w:rPr>
                <w:szCs w:val="24"/>
              </w:rPr>
            </w:pPr>
            <w:r w:rsidRPr="006E60FB">
              <w:rPr>
                <w:szCs w:val="24"/>
              </w:rPr>
              <w:t>other possible changes to:</w:t>
            </w:r>
          </w:p>
          <w:p w14:paraId="1040EA84" w14:textId="77777777" w:rsidR="007F46E0" w:rsidRPr="006E60FB" w:rsidRDefault="007F46E0" w:rsidP="00DA5E4F">
            <w:pPr>
              <w:pStyle w:val="Bullets2"/>
              <w:numPr>
                <w:ilvl w:val="0"/>
                <w:numId w:val="28"/>
              </w:numPr>
              <w:tabs>
                <w:tab w:val="clear" w:pos="1985"/>
                <w:tab w:val="left" w:pos="1134"/>
              </w:tabs>
              <w:spacing w:before="60"/>
              <w:ind w:hanging="357"/>
              <w:rPr>
                <w:szCs w:val="24"/>
              </w:rPr>
            </w:pPr>
            <w:r w:rsidRPr="006E60FB">
              <w:rPr>
                <w:szCs w:val="24"/>
              </w:rPr>
              <w:t>withholding tax such as PAYE and RWT to minimise where possible any over- or under-withholding, and ensure that the amount of tax is about right; and</w:t>
            </w:r>
          </w:p>
          <w:p w14:paraId="2CEAC425" w14:textId="0B22BED9" w:rsidR="007F46E0" w:rsidRPr="006E60FB" w:rsidRDefault="007F46E0" w:rsidP="00DA5E4F">
            <w:pPr>
              <w:pStyle w:val="Bullets2"/>
              <w:numPr>
                <w:ilvl w:val="0"/>
                <w:numId w:val="28"/>
              </w:numPr>
              <w:tabs>
                <w:tab w:val="clear" w:pos="1985"/>
                <w:tab w:val="left" w:pos="1134"/>
              </w:tabs>
              <w:spacing w:before="60"/>
              <w:ind w:hanging="357"/>
              <w:rPr>
                <w:szCs w:val="24"/>
              </w:rPr>
            </w:pPr>
            <w:r w:rsidRPr="006E60FB">
              <w:rPr>
                <w:szCs w:val="24"/>
              </w:rPr>
              <w:t xml:space="preserve">the tax products that have been deployed into START such as </w:t>
            </w:r>
            <w:proofErr w:type="spellStart"/>
            <w:r w:rsidRPr="006E60FB">
              <w:rPr>
                <w:szCs w:val="24"/>
              </w:rPr>
              <w:t>WfFTC</w:t>
            </w:r>
            <w:proofErr w:type="spellEnd"/>
            <w:r w:rsidRPr="006E60FB">
              <w:rPr>
                <w:szCs w:val="24"/>
              </w:rPr>
              <w:t xml:space="preserve"> to improve administration.</w:t>
            </w:r>
          </w:p>
        </w:tc>
      </w:tr>
    </w:tbl>
    <w:p w14:paraId="0FE655C5" w14:textId="77777777" w:rsidR="002E2553" w:rsidRPr="00BA2E49" w:rsidRDefault="002E2553" w:rsidP="00BA2E49">
      <w:pPr>
        <w:rPr>
          <w:sz w:val="8"/>
          <w:szCs w:val="8"/>
        </w:rPr>
        <w:sectPr w:rsidR="002E2553" w:rsidRPr="00BA2E49" w:rsidSect="002E2553">
          <w:pgSz w:w="23811" w:h="16838" w:orient="landscape" w:code="8"/>
          <w:pgMar w:top="720" w:right="720" w:bottom="720" w:left="720" w:header="709" w:footer="425" w:gutter="0"/>
          <w:cols w:num="3" w:space="142"/>
          <w:docGrid w:linePitch="360"/>
        </w:sectPr>
      </w:pPr>
    </w:p>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13CF7459" w14:textId="77777777" w:rsidTr="009A0D8A">
        <w:trPr>
          <w:cantSplit/>
          <w:tblCellSpacing w:w="42" w:type="dxa"/>
        </w:trPr>
        <w:tc>
          <w:tcPr>
            <w:tcW w:w="10889" w:type="dxa"/>
            <w:shd w:val="clear" w:color="auto" w:fill="auto"/>
            <w:tcMar>
              <w:top w:w="0" w:type="dxa"/>
              <w:left w:w="0" w:type="dxa"/>
              <w:bottom w:w="0" w:type="dxa"/>
              <w:right w:w="0" w:type="dxa"/>
            </w:tcMar>
          </w:tcPr>
          <w:p w14:paraId="612CEEBB" w14:textId="2D84651B" w:rsidR="00357606" w:rsidRPr="00E10CE3" w:rsidRDefault="00181056"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6" w:name="_Toc16073971"/>
            <w:r w:rsidR="007F46E0" w:rsidRPr="00330EED">
              <w:rPr>
                <w:bCs/>
                <w:sz w:val="32"/>
                <w:szCs w:val="32"/>
              </w:rPr>
              <w:t>Reforms and remedials</w:t>
            </w:r>
            <w:bookmarkEnd w:id="6"/>
          </w:p>
        </w:tc>
      </w:tr>
      <w:tr w:rsidR="007F46E0" w:rsidRPr="0086087B" w14:paraId="33DAD835" w14:textId="77777777" w:rsidTr="00D83875">
        <w:trPr>
          <w:cantSplit/>
          <w:trHeight w:val="6077"/>
          <w:tblCellSpacing w:w="42" w:type="dxa"/>
        </w:trPr>
        <w:tc>
          <w:tcPr>
            <w:tcW w:w="10889" w:type="dxa"/>
            <w:shd w:val="clear" w:color="auto" w:fill="FBE4D5" w:themeFill="accent2" w:themeFillTint="33"/>
            <w:tcMar>
              <w:top w:w="57" w:type="dxa"/>
              <w:left w:w="142" w:type="dxa"/>
              <w:bottom w:w="57" w:type="dxa"/>
              <w:right w:w="142" w:type="dxa"/>
            </w:tcMar>
          </w:tcPr>
          <w:p w14:paraId="1A6E3731" w14:textId="77777777" w:rsidR="007F46E0" w:rsidRPr="006E60FB" w:rsidRDefault="007F46E0" w:rsidP="00DA5E4F">
            <w:pPr>
              <w:spacing w:before="120"/>
              <w:jc w:val="left"/>
              <w:rPr>
                <w:szCs w:val="24"/>
              </w:rPr>
            </w:pPr>
            <w:r w:rsidRPr="006E60FB">
              <w:rPr>
                <w:szCs w:val="24"/>
              </w:rPr>
              <w:t xml:space="preserve">Many of the specific provisions in the Taxation Acts need to be regularly maintained or updated in response to changing technology, business practices, jurisprudence or other factors. In addition, as Inland Revenue and taxpayers begin to apply new tax </w:t>
            </w:r>
            <w:proofErr w:type="gramStart"/>
            <w:r w:rsidRPr="006E60FB">
              <w:rPr>
                <w:szCs w:val="24"/>
              </w:rPr>
              <w:t>legislation</w:t>
            </w:r>
            <w:proofErr w:type="gramEnd"/>
            <w:r w:rsidRPr="006E60FB">
              <w:rPr>
                <w:szCs w:val="24"/>
              </w:rPr>
              <w:t xml:space="preserve"> we may identify legislative errors or unintended consequences which require remedial amendments.</w:t>
            </w:r>
          </w:p>
          <w:p w14:paraId="152DEC0F" w14:textId="77777777" w:rsidR="007F46E0" w:rsidRPr="006E60FB" w:rsidRDefault="007F46E0" w:rsidP="00DA5E4F">
            <w:pPr>
              <w:spacing w:before="240"/>
              <w:jc w:val="left"/>
              <w:rPr>
                <w:szCs w:val="24"/>
              </w:rPr>
            </w:pPr>
            <w:r w:rsidRPr="006E60FB">
              <w:rPr>
                <w:szCs w:val="24"/>
              </w:rPr>
              <w:t>These issues can create high compliance costs or inadvertent non-compliance so need to be addressed promptly to maintain the certainty, efficiency and fairness of the tax system.</w:t>
            </w:r>
          </w:p>
          <w:p w14:paraId="46F687B0" w14:textId="77777777" w:rsidR="007F46E0" w:rsidRPr="006E60FB" w:rsidRDefault="007F46E0" w:rsidP="00DA5E4F">
            <w:pPr>
              <w:spacing w:before="240"/>
              <w:jc w:val="left"/>
              <w:rPr>
                <w:szCs w:val="24"/>
              </w:rPr>
            </w:pPr>
            <w:r w:rsidRPr="006E60FB">
              <w:rPr>
                <w:szCs w:val="24"/>
              </w:rPr>
              <w:t>Some examples of items include:</w:t>
            </w:r>
          </w:p>
          <w:p w14:paraId="3D3536CD" w14:textId="77777777" w:rsidR="007F46E0" w:rsidRPr="006E60FB" w:rsidRDefault="007F46E0" w:rsidP="00DA5E4F">
            <w:pPr>
              <w:pStyle w:val="Bullets"/>
              <w:numPr>
                <w:ilvl w:val="0"/>
                <w:numId w:val="29"/>
              </w:numPr>
              <w:spacing w:before="120" w:after="0"/>
              <w:ind w:left="357" w:hanging="357"/>
              <w:jc w:val="left"/>
              <w:rPr>
                <w:szCs w:val="24"/>
              </w:rPr>
            </w:pPr>
            <w:r w:rsidRPr="006E60FB">
              <w:rPr>
                <w:szCs w:val="24"/>
              </w:rPr>
              <w:t>a GST issues paper to consult on various changes to ensure GST aligns with business practices and modern technology and to maintain the GST Act more generally;</w:t>
            </w:r>
          </w:p>
          <w:p w14:paraId="3D843136" w14:textId="77777777" w:rsidR="007F46E0" w:rsidRPr="006E60FB" w:rsidRDefault="007F46E0" w:rsidP="00DA5E4F">
            <w:pPr>
              <w:pStyle w:val="Bullets"/>
              <w:numPr>
                <w:ilvl w:val="0"/>
                <w:numId w:val="29"/>
              </w:numPr>
              <w:spacing w:before="120" w:after="0"/>
              <w:ind w:left="357" w:hanging="357"/>
              <w:jc w:val="left"/>
              <w:rPr>
                <w:szCs w:val="24"/>
              </w:rPr>
            </w:pPr>
            <w:r w:rsidRPr="006E60FB">
              <w:rPr>
                <w:szCs w:val="24"/>
              </w:rPr>
              <w:t>review of donee status applications under schedule 32 (charities with activities outside New Zealand);</w:t>
            </w:r>
          </w:p>
          <w:p w14:paraId="1360BD2F" w14:textId="77777777" w:rsidR="007F46E0" w:rsidRPr="006E60FB" w:rsidRDefault="007F46E0" w:rsidP="00DA5E4F">
            <w:pPr>
              <w:pStyle w:val="Bullets"/>
              <w:numPr>
                <w:ilvl w:val="0"/>
                <w:numId w:val="29"/>
              </w:numPr>
              <w:spacing w:before="120" w:after="0"/>
              <w:ind w:left="357" w:hanging="357"/>
              <w:jc w:val="left"/>
              <w:rPr>
                <w:szCs w:val="24"/>
              </w:rPr>
            </w:pPr>
            <w:r w:rsidRPr="006E60FB">
              <w:rPr>
                <w:szCs w:val="24"/>
              </w:rPr>
              <w:t>BEPS remedials; and</w:t>
            </w:r>
          </w:p>
          <w:p w14:paraId="0E56D29F" w14:textId="7123A239" w:rsidR="007F46E0" w:rsidRPr="006E60FB" w:rsidRDefault="007F46E0" w:rsidP="00DA5E4F">
            <w:pPr>
              <w:pStyle w:val="Bullets"/>
              <w:numPr>
                <w:ilvl w:val="0"/>
                <w:numId w:val="29"/>
              </w:numPr>
              <w:spacing w:before="120" w:after="0"/>
              <w:ind w:left="357" w:hanging="357"/>
              <w:jc w:val="left"/>
              <w:rPr>
                <w:szCs w:val="24"/>
              </w:rPr>
            </w:pPr>
            <w:r w:rsidRPr="006E60FB">
              <w:rPr>
                <w:szCs w:val="24"/>
              </w:rPr>
              <w:t>general maintenance and remedial work as issues arise. This includes an important stewardship role, looking ahead to issues that might arise and working with other agencies on Government measures that have tax or social policy implications.</w:t>
            </w:r>
          </w:p>
        </w:tc>
      </w:tr>
    </w:tbl>
    <w:p w14:paraId="2634F776" w14:textId="77777777" w:rsidR="00F9724E" w:rsidRPr="00BA2E49" w:rsidRDefault="00F9724E" w:rsidP="00F9724E">
      <w:pPr>
        <w:spacing w:before="240"/>
        <w:rPr>
          <w:sz w:val="8"/>
          <w:szCs w:val="8"/>
        </w:rPr>
      </w:pPr>
    </w:p>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10358736" w14:textId="77777777" w:rsidTr="009A0D8A">
        <w:trPr>
          <w:cantSplit/>
          <w:tblCellSpacing w:w="42" w:type="dxa"/>
        </w:trPr>
        <w:tc>
          <w:tcPr>
            <w:tcW w:w="10889" w:type="dxa"/>
            <w:shd w:val="clear" w:color="auto" w:fill="auto"/>
            <w:tcMar>
              <w:top w:w="0" w:type="dxa"/>
              <w:left w:w="0" w:type="dxa"/>
              <w:bottom w:w="0" w:type="dxa"/>
              <w:right w:w="0" w:type="dxa"/>
            </w:tcMar>
          </w:tcPr>
          <w:p w14:paraId="4C450DF6" w14:textId="66F74248" w:rsidR="00357606" w:rsidRPr="00E10CE3" w:rsidRDefault="00181056"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7" w:name="_Toc16073972"/>
            <w:r w:rsidR="007F46E0" w:rsidRPr="00330EED">
              <w:rPr>
                <w:bCs/>
                <w:sz w:val="32"/>
                <w:szCs w:val="32"/>
              </w:rPr>
              <w:t>Social policy including Government response to Welfare Overhaul</w:t>
            </w:r>
            <w:bookmarkEnd w:id="7"/>
          </w:p>
        </w:tc>
      </w:tr>
      <w:tr w:rsidR="007F46E0" w:rsidRPr="0086087B" w14:paraId="20F1C36C" w14:textId="77777777" w:rsidTr="00D83875">
        <w:trPr>
          <w:cantSplit/>
          <w:trHeight w:val="6077"/>
          <w:tblCellSpacing w:w="42" w:type="dxa"/>
        </w:trPr>
        <w:tc>
          <w:tcPr>
            <w:tcW w:w="10889" w:type="dxa"/>
            <w:shd w:val="clear" w:color="auto" w:fill="FBE4D5" w:themeFill="accent2" w:themeFillTint="33"/>
            <w:tcMar>
              <w:top w:w="57" w:type="dxa"/>
              <w:left w:w="142" w:type="dxa"/>
              <w:bottom w:w="57" w:type="dxa"/>
              <w:right w:w="142" w:type="dxa"/>
            </w:tcMar>
          </w:tcPr>
          <w:p w14:paraId="5AD13AEB" w14:textId="77777777" w:rsidR="007F46E0" w:rsidRPr="006E60FB" w:rsidRDefault="007F46E0" w:rsidP="00DA5E4F">
            <w:pPr>
              <w:spacing w:before="120"/>
              <w:jc w:val="left"/>
              <w:rPr>
                <w:szCs w:val="24"/>
              </w:rPr>
            </w:pPr>
            <w:r w:rsidRPr="006E60FB">
              <w:rPr>
                <w:szCs w:val="24"/>
              </w:rPr>
              <w:t>This work stream includes policy work on:</w:t>
            </w:r>
          </w:p>
          <w:p w14:paraId="2B6B91CE" w14:textId="77777777" w:rsidR="007F46E0" w:rsidRPr="006E60FB" w:rsidRDefault="007F46E0" w:rsidP="00DA5E4F">
            <w:pPr>
              <w:pStyle w:val="Bullets"/>
              <w:numPr>
                <w:ilvl w:val="0"/>
                <w:numId w:val="30"/>
              </w:numPr>
              <w:spacing w:before="120" w:after="0"/>
              <w:ind w:hanging="357"/>
              <w:jc w:val="left"/>
              <w:rPr>
                <w:szCs w:val="24"/>
              </w:rPr>
            </w:pPr>
            <w:r w:rsidRPr="006E60FB">
              <w:rPr>
                <w:szCs w:val="24"/>
              </w:rPr>
              <w:t>the Government’s welfare overhaul work programme including:</w:t>
            </w:r>
          </w:p>
          <w:p w14:paraId="58C56406" w14:textId="77777777" w:rsidR="007F46E0" w:rsidRPr="006E60FB" w:rsidRDefault="007F46E0" w:rsidP="00DA5E4F">
            <w:pPr>
              <w:pStyle w:val="Bullets2"/>
              <w:numPr>
                <w:ilvl w:val="0"/>
                <w:numId w:val="31"/>
              </w:numPr>
              <w:tabs>
                <w:tab w:val="clear" w:pos="1985"/>
                <w:tab w:val="left" w:pos="1134"/>
              </w:tabs>
              <w:spacing w:before="60"/>
              <w:ind w:hanging="357"/>
              <w:rPr>
                <w:szCs w:val="24"/>
              </w:rPr>
            </w:pPr>
            <w:r w:rsidRPr="006E60FB">
              <w:rPr>
                <w:szCs w:val="24"/>
              </w:rPr>
              <w:t>reform of Working for Families;</w:t>
            </w:r>
          </w:p>
          <w:p w14:paraId="279B325E" w14:textId="77777777" w:rsidR="007F46E0" w:rsidRPr="006E60FB" w:rsidRDefault="007F46E0" w:rsidP="00DA5E4F">
            <w:pPr>
              <w:pStyle w:val="Bullets2"/>
              <w:numPr>
                <w:ilvl w:val="0"/>
                <w:numId w:val="31"/>
              </w:numPr>
              <w:tabs>
                <w:tab w:val="clear" w:pos="1985"/>
                <w:tab w:val="left" w:pos="1134"/>
              </w:tabs>
              <w:spacing w:before="60"/>
              <w:ind w:hanging="357"/>
              <w:rPr>
                <w:szCs w:val="24"/>
              </w:rPr>
            </w:pPr>
            <w:r w:rsidRPr="006E60FB">
              <w:rPr>
                <w:szCs w:val="24"/>
              </w:rPr>
              <w:t>child support pass-on; and</w:t>
            </w:r>
          </w:p>
          <w:p w14:paraId="07E8011D" w14:textId="77777777" w:rsidR="007F46E0" w:rsidRPr="006E60FB" w:rsidRDefault="007F46E0" w:rsidP="00DA5E4F">
            <w:pPr>
              <w:pStyle w:val="Bullets2"/>
              <w:numPr>
                <w:ilvl w:val="0"/>
                <w:numId w:val="31"/>
              </w:numPr>
              <w:tabs>
                <w:tab w:val="clear" w:pos="1985"/>
                <w:tab w:val="left" w:pos="1134"/>
              </w:tabs>
              <w:spacing w:before="60"/>
              <w:ind w:hanging="357"/>
              <w:rPr>
                <w:szCs w:val="24"/>
              </w:rPr>
            </w:pPr>
            <w:r w:rsidRPr="006E60FB">
              <w:rPr>
                <w:szCs w:val="24"/>
              </w:rPr>
              <w:t>debt;</w:t>
            </w:r>
          </w:p>
          <w:p w14:paraId="6A7F7B84" w14:textId="77777777" w:rsidR="007F46E0" w:rsidRPr="006E60FB" w:rsidRDefault="007F46E0" w:rsidP="00DA5E4F">
            <w:pPr>
              <w:pStyle w:val="Bullets"/>
              <w:numPr>
                <w:ilvl w:val="0"/>
                <w:numId w:val="30"/>
              </w:numPr>
              <w:spacing w:before="120" w:after="0"/>
              <w:ind w:hanging="357"/>
              <w:jc w:val="left"/>
              <w:rPr>
                <w:szCs w:val="24"/>
              </w:rPr>
            </w:pPr>
            <w:r w:rsidRPr="006E60FB">
              <w:rPr>
                <w:szCs w:val="24"/>
              </w:rPr>
              <w:t>student loan scheme (non-BT work);</w:t>
            </w:r>
          </w:p>
          <w:p w14:paraId="37B269D2" w14:textId="77777777" w:rsidR="007F46E0" w:rsidRPr="006E60FB" w:rsidRDefault="007F46E0" w:rsidP="00DA5E4F">
            <w:pPr>
              <w:pStyle w:val="Bullets"/>
              <w:numPr>
                <w:ilvl w:val="0"/>
                <w:numId w:val="30"/>
              </w:numPr>
              <w:spacing w:before="120" w:after="0"/>
              <w:ind w:hanging="357"/>
              <w:jc w:val="left"/>
              <w:rPr>
                <w:szCs w:val="24"/>
              </w:rPr>
            </w:pPr>
            <w:r w:rsidRPr="006E60FB">
              <w:rPr>
                <w:szCs w:val="24"/>
              </w:rPr>
              <w:t>KiwiSaver – enhancing Trans-Tasman superannuation portability; and</w:t>
            </w:r>
          </w:p>
          <w:p w14:paraId="52926239" w14:textId="77777777" w:rsidR="007F46E0" w:rsidRPr="006E60FB" w:rsidRDefault="007F46E0" w:rsidP="00DA5E4F">
            <w:pPr>
              <w:pStyle w:val="Bullets"/>
              <w:numPr>
                <w:ilvl w:val="0"/>
                <w:numId w:val="30"/>
              </w:numPr>
              <w:spacing w:before="120" w:after="0"/>
              <w:ind w:hanging="357"/>
              <w:jc w:val="left"/>
              <w:rPr>
                <w:szCs w:val="24"/>
              </w:rPr>
            </w:pPr>
            <w:r w:rsidRPr="006E60FB">
              <w:rPr>
                <w:szCs w:val="24"/>
              </w:rPr>
              <w:t>other agency initiatives that impact on the tax or social policy system.</w:t>
            </w:r>
          </w:p>
          <w:p w14:paraId="0161D33F" w14:textId="7DC1813E" w:rsidR="007F46E0" w:rsidRPr="006E60FB" w:rsidRDefault="007F46E0" w:rsidP="00DA5E4F">
            <w:pPr>
              <w:spacing w:before="240"/>
              <w:jc w:val="left"/>
              <w:rPr>
                <w:szCs w:val="24"/>
              </w:rPr>
            </w:pPr>
            <w:r w:rsidRPr="006E60FB">
              <w:rPr>
                <w:szCs w:val="24"/>
              </w:rPr>
              <w:t>On the Government response to the welfare overhaul, officials are working closely with MSD and other agencies to develop a welfare package. This will take a phased approach given the complexity of the welfare system and the need to balance fiscal prudence with improving wellbeing and other high priority government objectives.</w:t>
            </w:r>
          </w:p>
        </w:tc>
      </w:tr>
    </w:tbl>
    <w:p w14:paraId="6C6D9694" w14:textId="77777777" w:rsidR="00BA2E49" w:rsidRDefault="00BA2E49"/>
    <w:p w14:paraId="2B369B6C" w14:textId="68F53A40" w:rsidR="00BA2E49" w:rsidRDefault="00BA2E49"/>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6F00FB6E" w14:textId="77777777" w:rsidTr="009A0D8A">
        <w:trPr>
          <w:cantSplit/>
          <w:tblCellSpacing w:w="42" w:type="dxa"/>
        </w:trPr>
        <w:tc>
          <w:tcPr>
            <w:tcW w:w="10889" w:type="dxa"/>
            <w:shd w:val="clear" w:color="auto" w:fill="auto"/>
            <w:tcMar>
              <w:top w:w="0" w:type="dxa"/>
              <w:left w:w="0" w:type="dxa"/>
              <w:bottom w:w="0" w:type="dxa"/>
              <w:right w:w="0" w:type="dxa"/>
            </w:tcMar>
          </w:tcPr>
          <w:p w14:paraId="5E79500D" w14:textId="16FD6FA1" w:rsidR="008D01F8" w:rsidRPr="00E10CE3" w:rsidRDefault="009A0D8A"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8" w:name="_Toc16073973"/>
            <w:r w:rsidR="007F46E0" w:rsidRPr="00330EED">
              <w:rPr>
                <w:bCs/>
                <w:sz w:val="32"/>
                <w:szCs w:val="32"/>
              </w:rPr>
              <w:t>Environment/</w:t>
            </w:r>
            <w:r w:rsidR="007D797A" w:rsidRPr="00330EED">
              <w:rPr>
                <w:bCs/>
                <w:sz w:val="32"/>
                <w:szCs w:val="32"/>
              </w:rPr>
              <w:t>S</w:t>
            </w:r>
            <w:r w:rsidR="007F46E0" w:rsidRPr="00330EED">
              <w:rPr>
                <w:bCs/>
                <w:sz w:val="32"/>
                <w:szCs w:val="32"/>
              </w:rPr>
              <w:t>ustainable economy</w:t>
            </w:r>
            <w:bookmarkEnd w:id="8"/>
          </w:p>
        </w:tc>
      </w:tr>
      <w:tr w:rsidR="007F46E0" w:rsidRPr="0086087B" w14:paraId="31FD3F27" w14:textId="77777777" w:rsidTr="00915829">
        <w:trPr>
          <w:cantSplit/>
          <w:trHeight w:val="8572"/>
          <w:tblCellSpacing w:w="42" w:type="dxa"/>
        </w:trPr>
        <w:tc>
          <w:tcPr>
            <w:tcW w:w="10889" w:type="dxa"/>
            <w:shd w:val="clear" w:color="auto" w:fill="FBE4D5" w:themeFill="accent2" w:themeFillTint="33"/>
            <w:tcMar>
              <w:top w:w="57" w:type="dxa"/>
              <w:left w:w="142" w:type="dxa"/>
              <w:bottom w:w="0" w:type="dxa"/>
              <w:right w:w="142" w:type="dxa"/>
            </w:tcMar>
          </w:tcPr>
          <w:p w14:paraId="5630F4F6" w14:textId="1DD74E2E" w:rsidR="007F46E0" w:rsidRPr="006E60FB" w:rsidRDefault="007F46E0" w:rsidP="00BA2E49">
            <w:pPr>
              <w:spacing w:before="120"/>
              <w:jc w:val="left"/>
              <w:rPr>
                <w:szCs w:val="24"/>
              </w:rPr>
            </w:pPr>
            <w:r w:rsidRPr="006E60FB">
              <w:rPr>
                <w:szCs w:val="24"/>
              </w:rPr>
              <w:t>The Tax Working Group noted a range of areas where greater environmental taxation could be used to change behaviour and raise revenue. In response, this project will consider the Group’s framework for taxing negative environmental externalities. The Government decided not to advance specific environmental proposals raised by the Group beyond what is already on its work programme. However, this leaves scope for tax reforms for greenhouse gases, solid waste, water pollution, and congestion.</w:t>
            </w:r>
          </w:p>
          <w:p w14:paraId="3BD03BAF" w14:textId="77777777" w:rsidR="007F46E0" w:rsidRPr="006E60FB" w:rsidRDefault="007F46E0" w:rsidP="00BA2E49">
            <w:pPr>
              <w:spacing w:before="240"/>
              <w:jc w:val="left"/>
              <w:rPr>
                <w:szCs w:val="24"/>
              </w:rPr>
            </w:pPr>
            <w:r w:rsidRPr="006E60FB">
              <w:rPr>
                <w:szCs w:val="24"/>
              </w:rPr>
              <w:t>Tax policy officials will work with other agencies on environmental issues to provide environmental tax analysis and advise on tax implications of environmental policy. Key areas are:</w:t>
            </w:r>
          </w:p>
          <w:p w14:paraId="795F4E82" w14:textId="77777777" w:rsidR="007F46E0" w:rsidRPr="006E60FB" w:rsidRDefault="007F46E0" w:rsidP="00BA2E49">
            <w:pPr>
              <w:pStyle w:val="Bullets"/>
              <w:numPr>
                <w:ilvl w:val="0"/>
                <w:numId w:val="32"/>
              </w:numPr>
              <w:spacing w:before="120" w:after="0"/>
              <w:ind w:hanging="357"/>
              <w:jc w:val="left"/>
              <w:rPr>
                <w:szCs w:val="24"/>
              </w:rPr>
            </w:pPr>
            <w:r w:rsidRPr="006E60FB">
              <w:rPr>
                <w:szCs w:val="24"/>
              </w:rPr>
              <w:t>Emissions Trading Scheme (ETS) reform – specific issues include:</w:t>
            </w:r>
          </w:p>
          <w:p w14:paraId="5853CB6F" w14:textId="77777777" w:rsidR="007F46E0" w:rsidRPr="006E60FB" w:rsidRDefault="007F46E0" w:rsidP="00BA2E49">
            <w:pPr>
              <w:pStyle w:val="Bullets2"/>
              <w:numPr>
                <w:ilvl w:val="0"/>
                <w:numId w:val="33"/>
              </w:numPr>
              <w:tabs>
                <w:tab w:val="clear" w:pos="1985"/>
                <w:tab w:val="left" w:pos="1134"/>
              </w:tabs>
              <w:spacing w:before="60"/>
              <w:ind w:hanging="357"/>
              <w:rPr>
                <w:szCs w:val="24"/>
              </w:rPr>
            </w:pPr>
            <w:r w:rsidRPr="006E60FB">
              <w:rPr>
                <w:szCs w:val="24"/>
              </w:rPr>
              <w:t>auctioning of units and hypothecation of revenue from the ETS;</w:t>
            </w:r>
          </w:p>
          <w:p w14:paraId="21B0450E" w14:textId="77777777" w:rsidR="007F46E0" w:rsidRPr="006E60FB" w:rsidRDefault="007F46E0" w:rsidP="00BA2E49">
            <w:pPr>
              <w:pStyle w:val="Bullets2"/>
              <w:numPr>
                <w:ilvl w:val="0"/>
                <w:numId w:val="33"/>
              </w:numPr>
              <w:tabs>
                <w:tab w:val="clear" w:pos="1985"/>
                <w:tab w:val="left" w:pos="1134"/>
              </w:tabs>
              <w:spacing w:before="60"/>
              <w:ind w:hanging="357"/>
              <w:rPr>
                <w:szCs w:val="24"/>
              </w:rPr>
            </w:pPr>
            <w:r w:rsidRPr="006E60FB">
              <w:rPr>
                <w:szCs w:val="24"/>
              </w:rPr>
              <w:t>options for including agricultural emissions in the ETS;</w:t>
            </w:r>
          </w:p>
          <w:p w14:paraId="0255FADD" w14:textId="77777777" w:rsidR="007F46E0" w:rsidRPr="006E60FB" w:rsidRDefault="007F46E0" w:rsidP="00BA2E49">
            <w:pPr>
              <w:pStyle w:val="Bullets2"/>
              <w:numPr>
                <w:ilvl w:val="0"/>
                <w:numId w:val="33"/>
              </w:numPr>
              <w:tabs>
                <w:tab w:val="clear" w:pos="1985"/>
                <w:tab w:val="left" w:pos="1134"/>
              </w:tabs>
              <w:spacing w:before="60"/>
              <w:ind w:hanging="357"/>
              <w:rPr>
                <w:szCs w:val="24"/>
              </w:rPr>
            </w:pPr>
            <w:r w:rsidRPr="006E60FB">
              <w:rPr>
                <w:szCs w:val="24"/>
              </w:rPr>
              <w:t>changes to the way that the ETS will apply to new forests; and</w:t>
            </w:r>
          </w:p>
          <w:p w14:paraId="37859C6B" w14:textId="77777777" w:rsidR="007F46E0" w:rsidRPr="006E60FB" w:rsidRDefault="007F46E0" w:rsidP="00BA2E49">
            <w:pPr>
              <w:pStyle w:val="Bullets2"/>
              <w:numPr>
                <w:ilvl w:val="0"/>
                <w:numId w:val="33"/>
              </w:numPr>
              <w:tabs>
                <w:tab w:val="clear" w:pos="1985"/>
                <w:tab w:val="left" w:pos="1134"/>
              </w:tabs>
              <w:spacing w:before="60"/>
              <w:ind w:hanging="357"/>
              <w:rPr>
                <w:szCs w:val="24"/>
              </w:rPr>
            </w:pPr>
            <w:r w:rsidRPr="006E60FB">
              <w:rPr>
                <w:szCs w:val="24"/>
              </w:rPr>
              <w:t>the introduction of an international scheme for air travel similar to the ETS;</w:t>
            </w:r>
          </w:p>
          <w:p w14:paraId="1BCE8E31" w14:textId="77777777" w:rsidR="007F46E0" w:rsidRPr="006E60FB" w:rsidRDefault="007F46E0" w:rsidP="00BA2E49">
            <w:pPr>
              <w:pStyle w:val="Bullets"/>
              <w:numPr>
                <w:ilvl w:val="0"/>
                <w:numId w:val="32"/>
              </w:numPr>
              <w:spacing w:before="120" w:after="0"/>
              <w:ind w:hanging="357"/>
              <w:jc w:val="left"/>
              <w:rPr>
                <w:szCs w:val="24"/>
              </w:rPr>
            </w:pPr>
            <w:r w:rsidRPr="006E60FB">
              <w:rPr>
                <w:szCs w:val="24"/>
              </w:rPr>
              <w:t xml:space="preserve">the Water Taskforce is working to improve water quality and nutrient run-off; </w:t>
            </w:r>
          </w:p>
          <w:p w14:paraId="5E31A5B2" w14:textId="77777777" w:rsidR="007F46E0" w:rsidRPr="006E60FB" w:rsidRDefault="007F46E0" w:rsidP="00BA2E49">
            <w:pPr>
              <w:pStyle w:val="Bullets"/>
              <w:numPr>
                <w:ilvl w:val="0"/>
                <w:numId w:val="32"/>
              </w:numPr>
              <w:spacing w:before="120" w:after="0"/>
              <w:ind w:hanging="357"/>
              <w:jc w:val="left"/>
              <w:rPr>
                <w:szCs w:val="24"/>
              </w:rPr>
            </w:pPr>
            <w:r w:rsidRPr="006E60FB">
              <w:rPr>
                <w:szCs w:val="24"/>
              </w:rPr>
              <w:t>the Ministry for the Environment is reviewing the Waste Disposal Levy to see how it can be increased and its coverage extended; and</w:t>
            </w:r>
          </w:p>
          <w:p w14:paraId="31AE8AD6" w14:textId="77777777" w:rsidR="007F46E0" w:rsidRPr="006E60FB" w:rsidRDefault="007F46E0" w:rsidP="00BA2E49">
            <w:pPr>
              <w:pStyle w:val="Bullets"/>
              <w:numPr>
                <w:ilvl w:val="0"/>
                <w:numId w:val="32"/>
              </w:numPr>
              <w:spacing w:before="120" w:after="0"/>
              <w:ind w:hanging="357"/>
              <w:jc w:val="left"/>
              <w:rPr>
                <w:szCs w:val="24"/>
              </w:rPr>
            </w:pPr>
            <w:r w:rsidRPr="006E60FB">
              <w:rPr>
                <w:szCs w:val="24"/>
              </w:rPr>
              <w:t>the Auckland Council is working on congestion charging for the use of key roads in Auckland.</w:t>
            </w:r>
          </w:p>
          <w:p w14:paraId="774055F2" w14:textId="77777777" w:rsidR="007F46E0" w:rsidRPr="006E60FB" w:rsidRDefault="007F46E0" w:rsidP="00BA2E49">
            <w:pPr>
              <w:spacing w:before="240"/>
              <w:jc w:val="left"/>
              <w:rPr>
                <w:szCs w:val="24"/>
              </w:rPr>
            </w:pPr>
            <w:r w:rsidRPr="006E60FB">
              <w:rPr>
                <w:szCs w:val="24"/>
              </w:rPr>
              <w:t>This project will include two further areas of work:</w:t>
            </w:r>
          </w:p>
          <w:p w14:paraId="5891D35D" w14:textId="77777777" w:rsidR="007F46E0" w:rsidRPr="006E60FB" w:rsidRDefault="007F46E0" w:rsidP="00BA2E49">
            <w:pPr>
              <w:pStyle w:val="Bullets"/>
              <w:numPr>
                <w:ilvl w:val="0"/>
                <w:numId w:val="34"/>
              </w:numPr>
              <w:spacing w:before="120" w:after="0"/>
              <w:ind w:left="357" w:hanging="357"/>
              <w:jc w:val="left"/>
              <w:rPr>
                <w:szCs w:val="24"/>
              </w:rPr>
            </w:pPr>
            <w:r w:rsidRPr="006E60FB">
              <w:rPr>
                <w:szCs w:val="24"/>
              </w:rPr>
              <w:t>As part of the work on the environmental tax framework, consider how specific tax regimes, such as FBT, might be used to achieve positive environment outcomes (for example, FBT treatment of employer-provided public transport).</w:t>
            </w:r>
          </w:p>
          <w:p w14:paraId="4CE61695" w14:textId="60F402D2" w:rsidR="007F46E0" w:rsidRPr="006E60FB" w:rsidRDefault="007F46E0" w:rsidP="00BA2E49">
            <w:pPr>
              <w:pStyle w:val="Bullets"/>
              <w:numPr>
                <w:ilvl w:val="0"/>
                <w:numId w:val="34"/>
              </w:numPr>
              <w:spacing w:before="120" w:after="0"/>
              <w:ind w:left="357" w:hanging="357"/>
              <w:jc w:val="left"/>
              <w:rPr>
                <w:szCs w:val="24"/>
              </w:rPr>
            </w:pPr>
            <w:r w:rsidRPr="006E60FB">
              <w:rPr>
                <w:szCs w:val="24"/>
              </w:rPr>
              <w:t>Review of industry-specific tax provisions impacting on natural capital. Petroleum mining will be the initial focus-industry in a series of reviews. We are currently considering issues relating to the timing of deductions for petroleum development expenditure and have completed the legislative changes for the time-limited non-resident oil-rig exemption.</w:t>
            </w:r>
          </w:p>
        </w:tc>
      </w:tr>
    </w:tbl>
    <w:p w14:paraId="44AFE6D0" w14:textId="491A603F" w:rsidR="00BA2E49" w:rsidRDefault="00BA2E49">
      <w:pPr>
        <w:rPr>
          <w:sz w:val="8"/>
          <w:szCs w:val="8"/>
        </w:rPr>
      </w:pPr>
    </w:p>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217E13" w:rsidRPr="0086087B" w14:paraId="61CFE075" w14:textId="77777777" w:rsidTr="00DB3247">
        <w:trPr>
          <w:cantSplit/>
          <w:tblCellSpacing w:w="42" w:type="dxa"/>
        </w:trPr>
        <w:tc>
          <w:tcPr>
            <w:tcW w:w="10889" w:type="dxa"/>
            <w:shd w:val="clear" w:color="auto" w:fill="auto"/>
            <w:tcMar>
              <w:top w:w="0" w:type="dxa"/>
              <w:left w:w="0" w:type="dxa"/>
              <w:bottom w:w="0" w:type="dxa"/>
              <w:right w:w="0" w:type="dxa"/>
            </w:tcMar>
          </w:tcPr>
          <w:p w14:paraId="3F0C9C2B" w14:textId="77777777" w:rsidR="00217E13" w:rsidRPr="00E10CE3" w:rsidRDefault="00217E13" w:rsidP="00DB32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9" w:name="_Toc16073975"/>
            <w:r w:rsidRPr="00330EED">
              <w:rPr>
                <w:bCs/>
                <w:sz w:val="32"/>
                <w:szCs w:val="32"/>
              </w:rPr>
              <w:t>Tax exemptions</w:t>
            </w:r>
            <w:bookmarkEnd w:id="9"/>
          </w:p>
        </w:tc>
      </w:tr>
      <w:tr w:rsidR="00217E13" w:rsidRPr="0086087B" w14:paraId="37D5134D" w14:textId="77777777" w:rsidTr="00915829">
        <w:trPr>
          <w:cantSplit/>
          <w:trHeight w:val="4215"/>
          <w:tblCellSpacing w:w="42" w:type="dxa"/>
        </w:trPr>
        <w:tc>
          <w:tcPr>
            <w:tcW w:w="10889" w:type="dxa"/>
            <w:shd w:val="clear" w:color="auto" w:fill="FBE4D5" w:themeFill="accent2" w:themeFillTint="33"/>
            <w:tcMar>
              <w:top w:w="0" w:type="dxa"/>
              <w:left w:w="142" w:type="dxa"/>
              <w:bottom w:w="0" w:type="dxa"/>
              <w:right w:w="142" w:type="dxa"/>
            </w:tcMar>
          </w:tcPr>
          <w:p w14:paraId="7EE2C33D" w14:textId="77777777" w:rsidR="00217E13" w:rsidRPr="006E60FB" w:rsidRDefault="00217E13" w:rsidP="00DB3247">
            <w:pPr>
              <w:spacing w:before="120"/>
              <w:jc w:val="left"/>
              <w:rPr>
                <w:szCs w:val="24"/>
              </w:rPr>
            </w:pPr>
            <w:r w:rsidRPr="006E60FB">
              <w:rPr>
                <w:szCs w:val="24"/>
              </w:rPr>
              <w:t>The income tax legislation contains various exemptions from income tax, including income earned by charities and businesses run for charitable purposes, Local Authorities, Government entities often as public authorities, and Crown-controlled companies (in certain circumstances). In contrast state enterprises are subject to income tax and local council-controlled companies are also taxable. The overall treatment of these different entities is not completely consistent. There are an increasing number of requests for income tax exemptions, and a need to adopt a coherent framework to consider these requests.</w:t>
            </w:r>
          </w:p>
          <w:p w14:paraId="5C68FA16" w14:textId="77777777" w:rsidR="00217E13" w:rsidRPr="006E60FB" w:rsidRDefault="00217E13" w:rsidP="00DB3247">
            <w:pPr>
              <w:spacing w:before="240"/>
              <w:jc w:val="left"/>
              <w:rPr>
                <w:szCs w:val="24"/>
              </w:rPr>
            </w:pPr>
            <w:r w:rsidRPr="006E60FB">
              <w:rPr>
                <w:szCs w:val="24"/>
              </w:rPr>
              <w:t>The review will consider entity tax exemptions with a view to providing more consistency. It will consider:</w:t>
            </w:r>
          </w:p>
          <w:p w14:paraId="424F12CE" w14:textId="77777777" w:rsidR="00217E13" w:rsidRPr="006E60FB" w:rsidRDefault="00217E13" w:rsidP="00DB3247">
            <w:pPr>
              <w:pStyle w:val="Bullets"/>
              <w:numPr>
                <w:ilvl w:val="0"/>
                <w:numId w:val="37"/>
              </w:numPr>
              <w:spacing w:before="120" w:after="0"/>
              <w:ind w:left="357" w:hanging="357"/>
              <w:jc w:val="left"/>
              <w:rPr>
                <w:szCs w:val="24"/>
              </w:rPr>
            </w:pPr>
            <w:r w:rsidRPr="006E60FB">
              <w:rPr>
                <w:szCs w:val="24"/>
              </w:rPr>
              <w:t>how different entities fit within the Government’s public policy purposes;</w:t>
            </w:r>
          </w:p>
          <w:p w14:paraId="6E91497E" w14:textId="77777777" w:rsidR="00217E13" w:rsidRPr="006E60FB" w:rsidRDefault="00217E13" w:rsidP="00DB3247">
            <w:pPr>
              <w:pStyle w:val="Bullets"/>
              <w:numPr>
                <w:ilvl w:val="0"/>
                <w:numId w:val="37"/>
              </w:numPr>
              <w:spacing w:before="120" w:after="0"/>
              <w:ind w:left="357" w:hanging="357"/>
              <w:jc w:val="left"/>
              <w:rPr>
                <w:szCs w:val="24"/>
              </w:rPr>
            </w:pPr>
            <w:r w:rsidRPr="006E60FB">
              <w:rPr>
                <w:szCs w:val="24"/>
              </w:rPr>
              <w:t>the compliance costs and benefits;</w:t>
            </w:r>
          </w:p>
          <w:p w14:paraId="56BD4CC0" w14:textId="77777777" w:rsidR="00217E13" w:rsidRPr="006E60FB" w:rsidRDefault="00217E13" w:rsidP="00DB3247">
            <w:pPr>
              <w:pStyle w:val="Bullets"/>
              <w:numPr>
                <w:ilvl w:val="0"/>
                <w:numId w:val="37"/>
              </w:numPr>
              <w:spacing w:before="120" w:after="0"/>
              <w:ind w:left="357" w:hanging="357"/>
              <w:jc w:val="left"/>
              <w:rPr>
                <w:szCs w:val="24"/>
              </w:rPr>
            </w:pPr>
            <w:r w:rsidRPr="006E60FB">
              <w:rPr>
                <w:szCs w:val="24"/>
              </w:rPr>
              <w:t>fiscal implications; and</w:t>
            </w:r>
          </w:p>
          <w:p w14:paraId="373643D5" w14:textId="77777777" w:rsidR="00217E13" w:rsidRPr="006E60FB" w:rsidRDefault="00217E13" w:rsidP="00DB3247">
            <w:pPr>
              <w:pStyle w:val="Bullets"/>
              <w:numPr>
                <w:ilvl w:val="0"/>
                <w:numId w:val="37"/>
              </w:numPr>
              <w:spacing w:before="120" w:after="0"/>
              <w:ind w:left="357" w:hanging="357"/>
              <w:jc w:val="left"/>
              <w:rPr>
                <w:szCs w:val="24"/>
              </w:rPr>
            </w:pPr>
            <w:r w:rsidRPr="006E60FB">
              <w:rPr>
                <w:szCs w:val="24"/>
              </w:rPr>
              <w:t>the impact of particular exemptions on competitive neutrality with the private sector.</w:t>
            </w:r>
          </w:p>
        </w:tc>
      </w:tr>
    </w:tbl>
    <w:p w14:paraId="13EB258F" w14:textId="77777777" w:rsidR="00217E13" w:rsidRPr="00E13DA4" w:rsidRDefault="00217E13" w:rsidP="00E13DA4"/>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2176E061" w14:textId="77777777" w:rsidTr="009A0D8A">
        <w:trPr>
          <w:cantSplit/>
          <w:tblCellSpacing w:w="42" w:type="dxa"/>
        </w:trPr>
        <w:tc>
          <w:tcPr>
            <w:tcW w:w="10889" w:type="dxa"/>
            <w:shd w:val="clear" w:color="auto" w:fill="auto"/>
            <w:tcMar>
              <w:top w:w="0" w:type="dxa"/>
              <w:left w:w="0" w:type="dxa"/>
              <w:bottom w:w="0" w:type="dxa"/>
              <w:right w:w="0" w:type="dxa"/>
            </w:tcMar>
          </w:tcPr>
          <w:p w14:paraId="1D31FB00" w14:textId="6B3A9C37" w:rsidR="00357606" w:rsidRPr="00E10CE3" w:rsidRDefault="006A6DC4"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10" w:name="_Toc16073974"/>
            <w:r w:rsidR="007F46E0" w:rsidRPr="00330EED">
              <w:rPr>
                <w:bCs/>
                <w:sz w:val="32"/>
                <w:szCs w:val="32"/>
              </w:rPr>
              <w:t>Charities</w:t>
            </w:r>
            <w:bookmarkEnd w:id="10"/>
          </w:p>
        </w:tc>
      </w:tr>
      <w:tr w:rsidR="007F46E0" w:rsidRPr="0086087B" w14:paraId="725DEB6C" w14:textId="77777777" w:rsidTr="00D83875">
        <w:trPr>
          <w:cantSplit/>
          <w:trHeight w:val="8500"/>
          <w:tblCellSpacing w:w="42" w:type="dxa"/>
        </w:trPr>
        <w:tc>
          <w:tcPr>
            <w:tcW w:w="10889" w:type="dxa"/>
            <w:shd w:val="clear" w:color="auto" w:fill="FBE4D5" w:themeFill="accent2" w:themeFillTint="33"/>
            <w:tcMar>
              <w:top w:w="57" w:type="dxa"/>
              <w:left w:w="142" w:type="dxa"/>
              <w:bottom w:w="57" w:type="dxa"/>
              <w:right w:w="142" w:type="dxa"/>
            </w:tcMar>
          </w:tcPr>
          <w:p w14:paraId="5A1A0E9A" w14:textId="07756262" w:rsidR="007F46E0" w:rsidRPr="006E60FB" w:rsidRDefault="007F46E0" w:rsidP="00DA5E4F">
            <w:pPr>
              <w:spacing w:before="120"/>
              <w:jc w:val="left"/>
              <w:rPr>
                <w:szCs w:val="24"/>
              </w:rPr>
            </w:pPr>
            <w:r w:rsidRPr="006E60FB">
              <w:rPr>
                <w:szCs w:val="24"/>
              </w:rPr>
              <w:t>Government periodically reviews the charitable sector's use of what would otherwise be tax revenue, to verify that intended social outcomes are being achieved.</w:t>
            </w:r>
          </w:p>
          <w:p w14:paraId="38E92AED" w14:textId="77777777" w:rsidR="007F46E0" w:rsidRPr="006E60FB" w:rsidRDefault="007F46E0" w:rsidP="00BA2E49">
            <w:pPr>
              <w:spacing w:before="240"/>
              <w:jc w:val="left"/>
              <w:rPr>
                <w:szCs w:val="24"/>
              </w:rPr>
            </w:pPr>
            <w:r w:rsidRPr="006E60FB">
              <w:rPr>
                <w:szCs w:val="24"/>
              </w:rPr>
              <w:t xml:space="preserve">This project will include a report to Ministers before the end of 2019 to address recommendations of the TWG. It will </w:t>
            </w:r>
            <w:proofErr w:type="gramStart"/>
            <w:r w:rsidRPr="006E60FB">
              <w:rPr>
                <w:szCs w:val="24"/>
              </w:rPr>
              <w:t>take into account</w:t>
            </w:r>
            <w:proofErr w:type="gramEnd"/>
            <w:r w:rsidRPr="006E60FB">
              <w:rPr>
                <w:szCs w:val="24"/>
              </w:rPr>
              <w:t xml:space="preserve"> DIA’s modernisation review of the Charities Act. On current timeframes, it is anticipated that high level policy decisions arising from DIA’s review will be made by Cabinet before the end of 2019, with detailed policy decisions to follow in the first half of 2020. The specific tax policy issues are:</w:t>
            </w:r>
          </w:p>
          <w:p w14:paraId="50C48175" w14:textId="77777777" w:rsidR="007F46E0" w:rsidRPr="006E60FB" w:rsidRDefault="007F46E0" w:rsidP="00BA2E49">
            <w:pPr>
              <w:pStyle w:val="Bullets"/>
              <w:numPr>
                <w:ilvl w:val="0"/>
                <w:numId w:val="36"/>
              </w:numPr>
              <w:spacing w:before="120" w:after="0"/>
              <w:ind w:left="357" w:hanging="357"/>
              <w:jc w:val="left"/>
              <w:rPr>
                <w:szCs w:val="24"/>
              </w:rPr>
            </w:pPr>
            <w:r w:rsidRPr="006E60FB">
              <w:rPr>
                <w:szCs w:val="24"/>
              </w:rPr>
              <w:t>accumulation (will require coordination with DIA);</w:t>
            </w:r>
          </w:p>
          <w:p w14:paraId="1DA73C93" w14:textId="77777777" w:rsidR="007F46E0" w:rsidRPr="006E60FB" w:rsidRDefault="007F46E0" w:rsidP="00BA2E49">
            <w:pPr>
              <w:pStyle w:val="Bullets"/>
              <w:numPr>
                <w:ilvl w:val="0"/>
                <w:numId w:val="36"/>
              </w:numPr>
              <w:spacing w:before="120" w:after="0"/>
              <w:ind w:left="357" w:hanging="357"/>
              <w:jc w:val="left"/>
              <w:rPr>
                <w:szCs w:val="24"/>
              </w:rPr>
            </w:pPr>
            <w:r w:rsidRPr="006E60FB">
              <w:rPr>
                <w:szCs w:val="24"/>
              </w:rPr>
              <w:t>business activity for significant charities (coordination with DIA);</w:t>
            </w:r>
          </w:p>
          <w:p w14:paraId="33CB896D" w14:textId="77777777" w:rsidR="007F46E0" w:rsidRPr="006E60FB" w:rsidRDefault="007F46E0" w:rsidP="00BA2E49">
            <w:pPr>
              <w:pStyle w:val="Bullets"/>
              <w:numPr>
                <w:ilvl w:val="0"/>
                <w:numId w:val="36"/>
              </w:numPr>
              <w:spacing w:before="120" w:after="0"/>
              <w:ind w:left="357" w:hanging="357"/>
              <w:jc w:val="left"/>
              <w:rPr>
                <w:szCs w:val="24"/>
              </w:rPr>
            </w:pPr>
            <w:r w:rsidRPr="006E60FB">
              <w:rPr>
                <w:szCs w:val="24"/>
              </w:rPr>
              <w:t>deregistration tax; and</w:t>
            </w:r>
          </w:p>
          <w:p w14:paraId="2263F304" w14:textId="77777777" w:rsidR="007F46E0" w:rsidRPr="006E60FB" w:rsidRDefault="007F46E0" w:rsidP="00BA2E49">
            <w:pPr>
              <w:pStyle w:val="Bullets"/>
              <w:numPr>
                <w:ilvl w:val="0"/>
                <w:numId w:val="36"/>
              </w:numPr>
              <w:spacing w:before="120" w:after="0"/>
              <w:ind w:left="357" w:hanging="357"/>
              <w:jc w:val="left"/>
              <w:rPr>
                <w:szCs w:val="24"/>
              </w:rPr>
            </w:pPr>
            <w:r w:rsidRPr="006E60FB">
              <w:rPr>
                <w:szCs w:val="24"/>
              </w:rPr>
              <w:t>GST and not-for-profits (NFP).</w:t>
            </w:r>
          </w:p>
          <w:p w14:paraId="021C4CE5" w14:textId="77777777" w:rsidR="007F46E0" w:rsidRPr="006E60FB" w:rsidRDefault="007F46E0" w:rsidP="00BA2E49">
            <w:pPr>
              <w:spacing w:before="240"/>
              <w:jc w:val="left"/>
              <w:rPr>
                <w:szCs w:val="24"/>
              </w:rPr>
            </w:pPr>
            <w:r w:rsidRPr="006E60FB">
              <w:rPr>
                <w:szCs w:val="24"/>
              </w:rPr>
              <w:t>A second report to Ministers will outline other sector tax matters that could potentially be subject to policy change and sector consultation. For example:</w:t>
            </w:r>
          </w:p>
          <w:p w14:paraId="335DB1DF" w14:textId="77777777" w:rsidR="007F46E0" w:rsidRPr="006E60FB" w:rsidRDefault="007F46E0" w:rsidP="00BA2E49">
            <w:pPr>
              <w:pStyle w:val="Bullets"/>
              <w:numPr>
                <w:ilvl w:val="0"/>
                <w:numId w:val="35"/>
              </w:numPr>
              <w:spacing w:before="120" w:after="0"/>
              <w:ind w:left="357" w:hanging="357"/>
              <w:jc w:val="left"/>
              <w:rPr>
                <w:szCs w:val="24"/>
              </w:rPr>
            </w:pPr>
            <w:r w:rsidRPr="006E60FB">
              <w:rPr>
                <w:szCs w:val="24"/>
              </w:rPr>
              <w:t>imputation credit refundability;</w:t>
            </w:r>
          </w:p>
          <w:p w14:paraId="2C7D7441" w14:textId="77777777" w:rsidR="007F46E0" w:rsidRPr="006E60FB" w:rsidRDefault="007F46E0" w:rsidP="00BA2E49">
            <w:pPr>
              <w:pStyle w:val="Bullets"/>
              <w:numPr>
                <w:ilvl w:val="0"/>
                <w:numId w:val="35"/>
              </w:numPr>
              <w:spacing w:before="120" w:after="0"/>
              <w:ind w:left="357" w:hanging="357"/>
              <w:jc w:val="left"/>
              <w:rPr>
                <w:szCs w:val="24"/>
              </w:rPr>
            </w:pPr>
            <w:r w:rsidRPr="006E60FB">
              <w:rPr>
                <w:szCs w:val="24"/>
              </w:rPr>
              <w:t xml:space="preserve">tax rules for </w:t>
            </w:r>
            <w:proofErr w:type="spellStart"/>
            <w:r w:rsidRPr="006E60FB">
              <w:rPr>
                <w:szCs w:val="24"/>
              </w:rPr>
              <w:t>mutuals</w:t>
            </w:r>
            <w:proofErr w:type="spellEnd"/>
            <w:r w:rsidRPr="006E60FB">
              <w:rPr>
                <w:szCs w:val="24"/>
              </w:rPr>
              <w:t>/the $1,000 NFP deduction threshold;</w:t>
            </w:r>
          </w:p>
          <w:p w14:paraId="63E1BCF3" w14:textId="77777777" w:rsidR="007F46E0" w:rsidRPr="006E60FB" w:rsidRDefault="007F46E0" w:rsidP="00BA2E49">
            <w:pPr>
              <w:pStyle w:val="Bullets"/>
              <w:numPr>
                <w:ilvl w:val="0"/>
                <w:numId w:val="35"/>
              </w:numPr>
              <w:spacing w:before="120" w:after="0"/>
              <w:ind w:left="357" w:hanging="357"/>
              <w:jc w:val="left"/>
              <w:rPr>
                <w:szCs w:val="24"/>
              </w:rPr>
            </w:pPr>
            <w:r w:rsidRPr="006E60FB">
              <w:rPr>
                <w:szCs w:val="24"/>
              </w:rPr>
              <w:t>rules for donating trading stock;</w:t>
            </w:r>
          </w:p>
          <w:p w14:paraId="661AA039" w14:textId="77777777" w:rsidR="007F46E0" w:rsidRPr="006E60FB" w:rsidRDefault="007F46E0" w:rsidP="00BA2E49">
            <w:pPr>
              <w:pStyle w:val="Bullets"/>
              <w:numPr>
                <w:ilvl w:val="0"/>
                <w:numId w:val="35"/>
              </w:numPr>
              <w:spacing w:before="120" w:after="0"/>
              <w:ind w:left="357" w:hanging="357"/>
              <w:jc w:val="left"/>
              <w:rPr>
                <w:szCs w:val="24"/>
              </w:rPr>
            </w:pPr>
            <w:r w:rsidRPr="006E60FB">
              <w:rPr>
                <w:szCs w:val="24"/>
              </w:rPr>
              <w:t>removing out-of-date concessions; and</w:t>
            </w:r>
          </w:p>
          <w:p w14:paraId="2681A4C4" w14:textId="77777777" w:rsidR="007F46E0" w:rsidRPr="006E60FB" w:rsidRDefault="007F46E0" w:rsidP="00BA2E49">
            <w:pPr>
              <w:pStyle w:val="Bullets"/>
              <w:numPr>
                <w:ilvl w:val="0"/>
                <w:numId w:val="35"/>
              </w:numPr>
              <w:spacing w:before="120" w:after="0"/>
              <w:ind w:left="357" w:hanging="357"/>
              <w:jc w:val="left"/>
              <w:rPr>
                <w:szCs w:val="24"/>
              </w:rPr>
            </w:pPr>
            <w:r w:rsidRPr="006E60FB">
              <w:rPr>
                <w:szCs w:val="24"/>
              </w:rPr>
              <w:t>resetting donee concessions and clarifying the approach to social enterprises.</w:t>
            </w:r>
          </w:p>
          <w:p w14:paraId="0B1AD7C9" w14:textId="77777777" w:rsidR="007F46E0" w:rsidRPr="006E60FB" w:rsidRDefault="007F46E0" w:rsidP="00BA2E49">
            <w:pPr>
              <w:spacing w:before="240"/>
              <w:jc w:val="left"/>
              <w:rPr>
                <w:szCs w:val="24"/>
              </w:rPr>
            </w:pPr>
            <w:r w:rsidRPr="006E60FB">
              <w:rPr>
                <w:szCs w:val="24"/>
              </w:rPr>
              <w:t>Inland Revenue has consulted with DIA on these proposals and will be working with DIA on any policy or regulatory impacts associated with these initiatives. This work is on-going.</w:t>
            </w:r>
          </w:p>
          <w:p w14:paraId="6C8CD896" w14:textId="460F99AA" w:rsidR="007F46E0" w:rsidRPr="006E60FB" w:rsidRDefault="007F46E0" w:rsidP="00BA2E49">
            <w:pPr>
              <w:spacing w:before="240"/>
              <w:jc w:val="left"/>
              <w:rPr>
                <w:szCs w:val="24"/>
              </w:rPr>
            </w:pPr>
            <w:r w:rsidRPr="006E60FB">
              <w:rPr>
                <w:szCs w:val="24"/>
              </w:rPr>
              <w:t>NFP/charity concessions interact with both local government settings and the Māori sector.</w:t>
            </w:r>
          </w:p>
        </w:tc>
      </w:tr>
    </w:tbl>
    <w:p w14:paraId="438B1894" w14:textId="77777777" w:rsidR="00E13DA4" w:rsidRPr="00915829" w:rsidRDefault="00E13DA4">
      <w:pPr>
        <w:rPr>
          <w:sz w:val="12"/>
          <w:szCs w:val="12"/>
        </w:rPr>
      </w:pPr>
    </w:p>
    <w:tbl>
      <w:tblPr>
        <w:tblStyle w:val="TableGrid"/>
        <w:tblW w:w="11057" w:type="dxa"/>
        <w:tblCellSpacing w:w="42" w:type="dxa"/>
        <w:tblInd w:w="-3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57" w:type="dxa"/>
          <w:bottom w:w="113" w:type="dxa"/>
        </w:tblCellMar>
        <w:tblLook w:val="04A0" w:firstRow="1" w:lastRow="0" w:firstColumn="1" w:lastColumn="0" w:noHBand="0" w:noVBand="1"/>
      </w:tblPr>
      <w:tblGrid>
        <w:gridCol w:w="11057"/>
      </w:tblGrid>
      <w:tr w:rsidR="007F46E0" w:rsidRPr="0086087B" w14:paraId="37ACA279" w14:textId="77777777" w:rsidTr="009A0D8A">
        <w:trPr>
          <w:cantSplit/>
          <w:tblCellSpacing w:w="42" w:type="dxa"/>
        </w:trPr>
        <w:tc>
          <w:tcPr>
            <w:tcW w:w="10889" w:type="dxa"/>
            <w:shd w:val="clear" w:color="auto" w:fill="auto"/>
            <w:tcMar>
              <w:top w:w="0" w:type="dxa"/>
              <w:left w:w="0" w:type="dxa"/>
              <w:bottom w:w="0" w:type="dxa"/>
              <w:right w:w="0" w:type="dxa"/>
            </w:tcMar>
          </w:tcPr>
          <w:p w14:paraId="79186376" w14:textId="57F89C79" w:rsidR="007F46E0" w:rsidRPr="00E10CE3" w:rsidRDefault="00181056" w:rsidP="00115047">
            <w:pPr>
              <w:pStyle w:val="Heading2"/>
              <w:shd w:val="clear" w:color="auto" w:fill="FFD966" w:themeFill="accent5" w:themeFillTint="99"/>
              <w:spacing w:after="60"/>
              <w:jc w:val="left"/>
              <w:rPr>
                <w:bCs/>
                <w:sz w:val="32"/>
                <w:szCs w:val="32"/>
              </w:rPr>
            </w:pPr>
            <w:r w:rsidRPr="00330EED">
              <w:rPr>
                <w:bCs/>
                <w:sz w:val="32"/>
                <w:szCs w:val="32"/>
              </w:rPr>
              <w:t xml:space="preserve">  </w:t>
            </w:r>
            <w:bookmarkStart w:id="11" w:name="_Toc16073976"/>
            <w:r w:rsidR="007F46E0" w:rsidRPr="00330EED">
              <w:rPr>
                <w:bCs/>
                <w:sz w:val="32"/>
                <w:szCs w:val="32"/>
              </w:rPr>
              <w:t>International</w:t>
            </w:r>
            <w:bookmarkEnd w:id="11"/>
          </w:p>
        </w:tc>
      </w:tr>
      <w:tr w:rsidR="007F46E0" w:rsidRPr="0086087B" w14:paraId="3A7A00BD" w14:textId="77777777" w:rsidTr="00915829">
        <w:trPr>
          <w:cantSplit/>
          <w:trHeight w:val="4029"/>
          <w:tblCellSpacing w:w="42" w:type="dxa"/>
        </w:trPr>
        <w:tc>
          <w:tcPr>
            <w:tcW w:w="10889" w:type="dxa"/>
            <w:shd w:val="clear" w:color="auto" w:fill="FBE4D5" w:themeFill="accent2" w:themeFillTint="33"/>
            <w:tcMar>
              <w:top w:w="57" w:type="dxa"/>
              <w:left w:w="142" w:type="dxa"/>
              <w:bottom w:w="57" w:type="dxa"/>
              <w:right w:w="142" w:type="dxa"/>
            </w:tcMar>
          </w:tcPr>
          <w:p w14:paraId="2222CC08" w14:textId="77777777" w:rsidR="007F46E0" w:rsidRPr="006E60FB" w:rsidRDefault="007F46E0" w:rsidP="00BA2E49">
            <w:pPr>
              <w:spacing w:before="120"/>
              <w:jc w:val="left"/>
              <w:rPr>
                <w:szCs w:val="24"/>
              </w:rPr>
            </w:pPr>
            <w:r w:rsidRPr="006E60FB">
              <w:rPr>
                <w:szCs w:val="24"/>
              </w:rPr>
              <w:t>There has been recent and growing concern from Governments and the public about the low levels of income tax paid by digital companies (that is, companies operating through highly digitalised business models). Pressure has been building on the long-standing international income tax framework; and the OECD (including New Zealand) have undertaken to review the framework.</w:t>
            </w:r>
          </w:p>
          <w:p w14:paraId="34A6F3D4" w14:textId="77777777" w:rsidR="007F46E0" w:rsidRPr="006E60FB" w:rsidRDefault="007F46E0" w:rsidP="00BA2E49">
            <w:pPr>
              <w:spacing w:before="240"/>
              <w:jc w:val="left"/>
              <w:rPr>
                <w:szCs w:val="24"/>
              </w:rPr>
            </w:pPr>
            <w:r w:rsidRPr="006E60FB">
              <w:rPr>
                <w:szCs w:val="24"/>
              </w:rPr>
              <w:t>This workstream will include:</w:t>
            </w:r>
          </w:p>
          <w:p w14:paraId="009D655D" w14:textId="77777777" w:rsidR="007F46E0" w:rsidRPr="006E60FB" w:rsidRDefault="007F46E0" w:rsidP="00BA2E49">
            <w:pPr>
              <w:pStyle w:val="Bullets"/>
              <w:numPr>
                <w:ilvl w:val="0"/>
                <w:numId w:val="38"/>
              </w:numPr>
              <w:spacing w:before="120" w:after="0"/>
              <w:ind w:left="357" w:hanging="357"/>
              <w:jc w:val="left"/>
              <w:rPr>
                <w:szCs w:val="24"/>
              </w:rPr>
            </w:pPr>
            <w:r w:rsidRPr="006E60FB">
              <w:rPr>
                <w:szCs w:val="24"/>
              </w:rPr>
              <w:t>reporting back on the digital service tax discussion document;</w:t>
            </w:r>
          </w:p>
          <w:p w14:paraId="31464640" w14:textId="77777777" w:rsidR="007F46E0" w:rsidRPr="006E60FB" w:rsidRDefault="007F46E0" w:rsidP="00BA2E49">
            <w:pPr>
              <w:pStyle w:val="Bullets"/>
              <w:numPr>
                <w:ilvl w:val="0"/>
                <w:numId w:val="38"/>
              </w:numPr>
              <w:spacing w:before="120" w:after="0"/>
              <w:ind w:left="357" w:hanging="357"/>
              <w:jc w:val="left"/>
              <w:rPr>
                <w:szCs w:val="24"/>
              </w:rPr>
            </w:pPr>
            <w:r w:rsidRPr="006E60FB">
              <w:rPr>
                <w:szCs w:val="24"/>
              </w:rPr>
              <w:t>double tax agreement negotiations and assisting with free trade agreements;</w:t>
            </w:r>
          </w:p>
          <w:p w14:paraId="7001D832" w14:textId="77777777" w:rsidR="007F46E0" w:rsidRPr="006E60FB" w:rsidRDefault="007F46E0" w:rsidP="00BA2E49">
            <w:pPr>
              <w:pStyle w:val="Bullets"/>
              <w:numPr>
                <w:ilvl w:val="0"/>
                <w:numId w:val="38"/>
              </w:numPr>
              <w:spacing w:before="120" w:after="0"/>
              <w:ind w:left="357" w:hanging="357"/>
              <w:jc w:val="left"/>
              <w:rPr>
                <w:szCs w:val="24"/>
              </w:rPr>
            </w:pPr>
            <w:r w:rsidRPr="006E60FB">
              <w:rPr>
                <w:szCs w:val="24"/>
              </w:rPr>
              <w:t>multi-lateral work (including the OECD working parties); and</w:t>
            </w:r>
          </w:p>
          <w:p w14:paraId="525C501B" w14:textId="37E6568B" w:rsidR="007F46E0" w:rsidRPr="006E60FB" w:rsidRDefault="007F46E0" w:rsidP="00BA2E49">
            <w:pPr>
              <w:pStyle w:val="Bullets"/>
              <w:numPr>
                <w:ilvl w:val="0"/>
                <w:numId w:val="38"/>
              </w:numPr>
              <w:spacing w:before="120" w:after="0"/>
              <w:ind w:left="357" w:hanging="357"/>
              <w:jc w:val="left"/>
              <w:rPr>
                <w:szCs w:val="24"/>
              </w:rPr>
            </w:pPr>
            <w:r w:rsidRPr="006E60FB">
              <w:rPr>
                <w:szCs w:val="24"/>
              </w:rPr>
              <w:t>follow-on work to monitor and adjust the BEPS measures enacted last year.</w:t>
            </w:r>
          </w:p>
        </w:tc>
      </w:tr>
    </w:tbl>
    <w:p w14:paraId="28F25DCF" w14:textId="483A81A4" w:rsidR="002E2FEE" w:rsidRPr="00915829" w:rsidRDefault="002E2FEE" w:rsidP="00E13DA4">
      <w:pPr>
        <w:rPr>
          <w:sz w:val="12"/>
          <w:szCs w:val="12"/>
        </w:rPr>
      </w:pPr>
    </w:p>
    <w:sectPr w:rsidR="002E2FEE" w:rsidRPr="00915829" w:rsidSect="00BA2E49">
      <w:type w:val="continuous"/>
      <w:pgSz w:w="23811" w:h="16838" w:orient="landscape" w:code="8"/>
      <w:pgMar w:top="567" w:right="720" w:bottom="567" w:left="720" w:header="709" w:footer="425"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A8BAD" w14:textId="77777777" w:rsidR="00400A25" w:rsidRDefault="00400A25">
      <w:r>
        <w:separator/>
      </w:r>
    </w:p>
  </w:endnote>
  <w:endnote w:type="continuationSeparator" w:id="0">
    <w:p w14:paraId="66365467" w14:textId="77777777" w:rsidR="00400A25" w:rsidRDefault="0040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3B69" w14:textId="77777777" w:rsidR="00B1002E" w:rsidRDefault="00B1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0CA2" w14:textId="2EEA3283" w:rsidR="002E2553" w:rsidRPr="002E2553" w:rsidRDefault="002E2553" w:rsidP="002E2553">
    <w:pPr>
      <w:pStyle w:val="Footer"/>
      <w:tabs>
        <w:tab w:val="clear" w:pos="4153"/>
        <w:tab w:val="clear" w:pos="8306"/>
        <w:tab w:val="right" w:pos="22371"/>
      </w:tabs>
      <w:rPr>
        <w:sz w:val="20"/>
      </w:rPr>
    </w:pPr>
    <w:r w:rsidRPr="002E2553">
      <w:rPr>
        <w:sz w:val="20"/>
      </w:rPr>
      <w:t>August 2019</w:t>
    </w:r>
    <w:r w:rsidRPr="002E2553">
      <w:rPr>
        <w:sz w:val="20"/>
      </w:rPr>
      <w:tab/>
    </w:r>
    <w:sdt>
      <w:sdtPr>
        <w:rPr>
          <w:sz w:val="20"/>
        </w:rPr>
        <w:id w:val="692645573"/>
        <w:docPartObj>
          <w:docPartGallery w:val="Page Numbers (Bottom of Page)"/>
          <w:docPartUnique/>
        </w:docPartObj>
      </w:sdtPr>
      <w:sdtEndPr>
        <w:rPr>
          <w:noProof/>
        </w:rPr>
      </w:sdtEndPr>
      <w:sdtContent>
        <w:r w:rsidRPr="002E2553">
          <w:rPr>
            <w:sz w:val="20"/>
          </w:rPr>
          <w:fldChar w:fldCharType="begin"/>
        </w:r>
        <w:r w:rsidRPr="002E2553">
          <w:rPr>
            <w:sz w:val="20"/>
          </w:rPr>
          <w:instrText xml:space="preserve"> PAGE   \* MERGEFORMAT </w:instrText>
        </w:r>
        <w:r w:rsidRPr="002E2553">
          <w:rPr>
            <w:sz w:val="20"/>
          </w:rPr>
          <w:fldChar w:fldCharType="separate"/>
        </w:r>
        <w:r w:rsidRPr="002E2553">
          <w:rPr>
            <w:noProof/>
            <w:sz w:val="20"/>
          </w:rPr>
          <w:t>2</w:t>
        </w:r>
        <w:r w:rsidRPr="002E2553">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132D" w14:textId="77777777" w:rsidR="00B1002E" w:rsidRDefault="00B1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B0CA" w14:textId="77777777" w:rsidR="00400A25" w:rsidRDefault="00400A25">
      <w:r>
        <w:separator/>
      </w:r>
    </w:p>
  </w:footnote>
  <w:footnote w:type="continuationSeparator" w:id="0">
    <w:p w14:paraId="681D67BF" w14:textId="77777777" w:rsidR="00400A25" w:rsidRDefault="0040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1EFE" w14:textId="77777777" w:rsidR="00B1002E" w:rsidRDefault="00B1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09F2" w14:textId="1D1984A2" w:rsidR="006F1307" w:rsidRDefault="00E10CE3" w:rsidP="00E10CE3">
    <w:pPr>
      <w:pStyle w:val="Heading1"/>
    </w:pPr>
    <w:bookmarkStart w:id="2" w:name="_GoBack"/>
    <w:r w:rsidRPr="00E10CE3">
      <w:t>The Government’s tax policy work programme</w:t>
    </w:r>
    <w:r w:rsidR="00F9724E">
      <w:t>:</w:t>
    </w:r>
    <w:r w:rsidRPr="00E10CE3">
      <w:t xml:space="preserve"> 2019–20</w:t>
    </w:r>
  </w:p>
  <w:bookmarkEnd w:id="2"/>
  <w:p w14:paraId="3BB92FAD" w14:textId="77777777" w:rsidR="00E10CE3" w:rsidRPr="00D83875" w:rsidRDefault="00E10CE3" w:rsidP="00330EED">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3183" w14:textId="77777777" w:rsidR="00B1002E" w:rsidRDefault="00B1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688"/>
    <w:multiLevelType w:val="hybridMultilevel"/>
    <w:tmpl w:val="40DCBE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B6134C"/>
    <w:multiLevelType w:val="singleLevel"/>
    <w:tmpl w:val="7428A606"/>
    <w:lvl w:ilvl="0">
      <w:start w:val="1"/>
      <w:numFmt w:val="decimal"/>
      <w:pStyle w:val="Chapter5"/>
      <w:lvlText w:val="5.%1"/>
      <w:lvlJc w:val="left"/>
      <w:pPr>
        <w:tabs>
          <w:tab w:val="num" w:pos="851"/>
        </w:tabs>
        <w:ind w:left="851" w:hanging="851"/>
      </w:pPr>
      <w:rPr>
        <w:rFonts w:hint="default"/>
        <w:b w:val="0"/>
        <w:i w:val="0"/>
      </w:rPr>
    </w:lvl>
  </w:abstractNum>
  <w:abstractNum w:abstractNumId="2" w15:restartNumberingAfterBreak="0">
    <w:nsid w:val="15410C72"/>
    <w:multiLevelType w:val="hybridMultilevel"/>
    <w:tmpl w:val="553AF2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5936E75"/>
    <w:multiLevelType w:val="hybridMultilevel"/>
    <w:tmpl w:val="60A86A16"/>
    <w:lvl w:ilvl="0" w:tplc="389AC7F0">
      <w:start w:val="1"/>
      <w:numFmt w:val="decimal"/>
      <w:pStyle w:val="Chapter6"/>
      <w:lvlText w:val="6.%1"/>
      <w:lvlJc w:val="left"/>
      <w:pPr>
        <w:tabs>
          <w:tab w:val="num" w:pos="851"/>
        </w:tabs>
        <w:ind w:left="851" w:hanging="851"/>
      </w:pPr>
      <w:rPr>
        <w:rFonts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A92111F"/>
    <w:multiLevelType w:val="hybridMultilevel"/>
    <w:tmpl w:val="10F60C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6" w15:restartNumberingAfterBreak="0">
    <w:nsid w:val="1DF45200"/>
    <w:multiLevelType w:val="hybridMultilevel"/>
    <w:tmpl w:val="5F78FE4A"/>
    <w:lvl w:ilvl="0" w:tplc="FFB09102">
      <w:start w:val="1"/>
      <w:numFmt w:val="decimal"/>
      <w:pStyle w:val="Chapter10"/>
      <w:lvlText w:val="10.%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1347233"/>
    <w:multiLevelType w:val="hybridMultilevel"/>
    <w:tmpl w:val="98DA47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75A5DA3"/>
    <w:multiLevelType w:val="hybridMultilevel"/>
    <w:tmpl w:val="F3E67D42"/>
    <w:lvl w:ilvl="0" w:tplc="311EAD32">
      <w:start w:val="1"/>
      <w:numFmt w:val="bullet"/>
      <w:lvlText w:val="–"/>
      <w:lvlJc w:val="left"/>
      <w:pPr>
        <w:ind w:left="720" w:hanging="360"/>
      </w:pPr>
      <w:rPr>
        <w:rFonts w:ascii="Times New Roman" w:hAnsi="Times New Roman" w:cs="Times New Roman" w:hint="default"/>
      </w:rPr>
    </w:lvl>
    <w:lvl w:ilvl="1" w:tplc="311EAD32">
      <w:start w:val="1"/>
      <w:numFmt w:val="bullet"/>
      <w:lvlText w:val="–"/>
      <w:lvlJc w:val="left"/>
      <w:pPr>
        <w:ind w:left="1440" w:hanging="360"/>
      </w:pPr>
      <w:rPr>
        <w:rFonts w:ascii="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11408B"/>
    <w:multiLevelType w:val="hybridMultilevel"/>
    <w:tmpl w:val="90A21C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83685A"/>
    <w:multiLevelType w:val="hybridMultilevel"/>
    <w:tmpl w:val="188E87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D6D59BE"/>
    <w:multiLevelType w:val="hybridMultilevel"/>
    <w:tmpl w:val="37D081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E85647B"/>
    <w:multiLevelType w:val="hybridMultilevel"/>
    <w:tmpl w:val="FE5A66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1CB034F"/>
    <w:multiLevelType w:val="hybridMultilevel"/>
    <w:tmpl w:val="7C70641C"/>
    <w:lvl w:ilvl="0" w:tplc="DA883CCA">
      <w:start w:val="5"/>
      <w:numFmt w:val="bullet"/>
      <w:pStyle w:val="Bullets2"/>
      <w:lvlText w:val="–"/>
      <w:lvlJc w:val="left"/>
      <w:pPr>
        <w:ind w:left="1778" w:hanging="360"/>
      </w:pPr>
      <w:rPr>
        <w:rFonts w:ascii="Times New Roman" w:eastAsia="Times New Roman" w:hAnsi="Times New Roman" w:cs="Times New Roman"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14" w15:restartNumberingAfterBreak="0">
    <w:nsid w:val="360938EC"/>
    <w:multiLevelType w:val="hybridMultilevel"/>
    <w:tmpl w:val="810ABB94"/>
    <w:lvl w:ilvl="0" w:tplc="A1FA7328">
      <w:start w:val="1"/>
      <w:numFmt w:val="decimal"/>
      <w:pStyle w:val="Chapter4"/>
      <w:lvlText w:val="4.%1"/>
      <w:lvlJc w:val="left"/>
      <w:pPr>
        <w:tabs>
          <w:tab w:val="num" w:pos="851"/>
        </w:tabs>
        <w:ind w:left="851" w:hanging="851"/>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B5D1A14"/>
    <w:multiLevelType w:val="multilevel"/>
    <w:tmpl w:val="00540552"/>
    <w:styleLink w:val="StyleBulletedWingdingssymbol"/>
    <w:lvl w:ilvl="0">
      <w:start w:val="1"/>
      <w:numFmt w:val="bullet"/>
      <w:lvlText w:val=""/>
      <w:lvlJc w:val="left"/>
      <w:pPr>
        <w:tabs>
          <w:tab w:val="num" w:pos="720"/>
        </w:tabs>
        <w:ind w:left="720" w:hanging="360"/>
      </w:pPr>
      <w:rPr>
        <w:rFonts w:ascii="Times New Roman" w:hAnsi="Times New Roman"/>
        <w:sz w:val="24"/>
        <w:szCs w:val="24"/>
      </w:rPr>
    </w:lvl>
    <w:lvl w:ilvl="1">
      <w:start w:val="1"/>
      <w:numFmt w:val="decimal"/>
      <w:lvlText w:val="4.%2"/>
      <w:lvlJc w:val="left"/>
      <w:pPr>
        <w:tabs>
          <w:tab w:val="num" w:pos="284"/>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31F"/>
    <w:multiLevelType w:val="hybridMultilevel"/>
    <w:tmpl w:val="39D62E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E3B27A0"/>
    <w:multiLevelType w:val="hybridMultilevel"/>
    <w:tmpl w:val="AF7464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ED372C6"/>
    <w:multiLevelType w:val="hybridMultilevel"/>
    <w:tmpl w:val="C9123132"/>
    <w:lvl w:ilvl="0" w:tplc="311EAD32">
      <w:start w:val="1"/>
      <w:numFmt w:val="bullet"/>
      <w:lvlText w:val="–"/>
      <w:lvlJc w:val="left"/>
      <w:pPr>
        <w:ind w:left="720" w:hanging="360"/>
      </w:pPr>
      <w:rPr>
        <w:rFonts w:ascii="Times New Roman" w:hAnsi="Times New Roman" w:cs="Times New Roman" w:hint="default"/>
      </w:rPr>
    </w:lvl>
    <w:lvl w:ilvl="1" w:tplc="311EAD32">
      <w:start w:val="1"/>
      <w:numFmt w:val="bullet"/>
      <w:lvlText w:val="–"/>
      <w:lvlJc w:val="left"/>
      <w:pPr>
        <w:ind w:left="1440" w:hanging="360"/>
      </w:pPr>
      <w:rPr>
        <w:rFonts w:ascii="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864BCC"/>
    <w:multiLevelType w:val="hybridMultilevel"/>
    <w:tmpl w:val="40BAA11E"/>
    <w:lvl w:ilvl="0" w:tplc="84E83630">
      <w:start w:val="1"/>
      <w:numFmt w:val="bullet"/>
      <w:pStyle w:val="Bullets"/>
      <w:lvlText w:val=""/>
      <w:lvlJc w:val="left"/>
      <w:pPr>
        <w:tabs>
          <w:tab w:val="num" w:pos="567"/>
        </w:tabs>
        <w:ind w:left="1418" w:hanging="567"/>
      </w:pPr>
      <w:rPr>
        <w:rFonts w:ascii="Symbol" w:hAnsi="Symbol" w:hint="default"/>
        <w:b w:val="0"/>
        <w:i w:val="0"/>
        <w:sz w:val="24"/>
        <w:szCs w:val="24"/>
      </w:rPr>
    </w:lvl>
    <w:lvl w:ilvl="1" w:tplc="058C2656" w:tentative="1">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17747"/>
    <w:multiLevelType w:val="hybridMultilevel"/>
    <w:tmpl w:val="7D8604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EFF551A"/>
    <w:multiLevelType w:val="hybridMultilevel"/>
    <w:tmpl w:val="424006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FF06182"/>
    <w:multiLevelType w:val="hybridMultilevel"/>
    <w:tmpl w:val="08D8A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14F7994"/>
    <w:multiLevelType w:val="hybridMultilevel"/>
    <w:tmpl w:val="8C1A3F62"/>
    <w:lvl w:ilvl="0" w:tplc="08090005">
      <w:start w:val="1"/>
      <w:numFmt w:val="decimal"/>
      <w:pStyle w:val="Chapter1"/>
      <w:lvlText w:val="1.%1"/>
      <w:lvlJc w:val="left"/>
      <w:pPr>
        <w:tabs>
          <w:tab w:val="num" w:pos="851"/>
        </w:tabs>
        <w:ind w:left="851" w:hanging="851"/>
      </w:pPr>
      <w:rPr>
        <w:rFonts w:hint="default"/>
      </w:rPr>
    </w:lvl>
    <w:lvl w:ilvl="1" w:tplc="6FB61F34"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53C037CE"/>
    <w:multiLevelType w:val="hybridMultilevel"/>
    <w:tmpl w:val="383CAF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4260EE2"/>
    <w:multiLevelType w:val="hybridMultilevel"/>
    <w:tmpl w:val="41548F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53A5693"/>
    <w:multiLevelType w:val="hybridMultilevel"/>
    <w:tmpl w:val="28FCB24C"/>
    <w:lvl w:ilvl="0" w:tplc="08090005">
      <w:start w:val="1"/>
      <w:numFmt w:val="decimal"/>
      <w:pStyle w:val="Chapter9"/>
      <w:lvlText w:val="9.%1"/>
      <w:lvlJc w:val="left"/>
      <w:pPr>
        <w:tabs>
          <w:tab w:val="num" w:pos="567"/>
        </w:tabs>
        <w:ind w:left="0" w:firstLine="0"/>
      </w:pPr>
      <w:rPr>
        <w:rFonts w:hint="default"/>
      </w:rPr>
    </w:lvl>
    <w:lvl w:ilvl="1" w:tplc="FE56B4D8"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5DA83527"/>
    <w:multiLevelType w:val="hybridMultilevel"/>
    <w:tmpl w:val="A77241AC"/>
    <w:lvl w:ilvl="0" w:tplc="311EAD32">
      <w:start w:val="1"/>
      <w:numFmt w:val="bullet"/>
      <w:lvlText w:val="–"/>
      <w:lvlJc w:val="left"/>
      <w:pPr>
        <w:ind w:left="720" w:hanging="360"/>
      </w:pPr>
      <w:rPr>
        <w:rFonts w:ascii="Times New Roman" w:hAnsi="Times New Roman" w:cs="Times New Roman" w:hint="default"/>
      </w:rPr>
    </w:lvl>
    <w:lvl w:ilvl="1" w:tplc="311EAD32">
      <w:start w:val="1"/>
      <w:numFmt w:val="bullet"/>
      <w:lvlText w:val="–"/>
      <w:lvlJc w:val="left"/>
      <w:pPr>
        <w:ind w:left="1440" w:hanging="360"/>
      </w:pPr>
      <w:rPr>
        <w:rFonts w:ascii="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E37345C"/>
    <w:multiLevelType w:val="hybridMultilevel"/>
    <w:tmpl w:val="F6F850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02C34EE"/>
    <w:multiLevelType w:val="hybridMultilevel"/>
    <w:tmpl w:val="8AE87DEC"/>
    <w:lvl w:ilvl="0" w:tplc="0809000F">
      <w:start w:val="1"/>
      <w:numFmt w:val="decimal"/>
      <w:pStyle w:val="Chapter7"/>
      <w:lvlText w:val="7.%1"/>
      <w:lvlJc w:val="left"/>
      <w:pPr>
        <w:tabs>
          <w:tab w:val="num" w:pos="567"/>
        </w:tabs>
        <w:ind w:left="0" w:firstLine="0"/>
      </w:pPr>
      <w:rPr>
        <w:rFonts w:hint="default"/>
      </w:rPr>
    </w:lvl>
    <w:lvl w:ilvl="1" w:tplc="08090019">
      <w:start w:val="1"/>
      <w:numFmt w:val="lowerLetter"/>
      <w:lvlText w:val="%2."/>
      <w:lvlJc w:val="left"/>
      <w:pPr>
        <w:tabs>
          <w:tab w:val="num" w:pos="1440"/>
        </w:tabs>
        <w:ind w:left="1440" w:hanging="360"/>
      </w:pPr>
    </w:lvl>
    <w:lvl w:ilvl="2" w:tplc="55A4EE06"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E91288"/>
    <w:multiLevelType w:val="hybridMultilevel"/>
    <w:tmpl w:val="1FFAF9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40C6943"/>
    <w:multiLevelType w:val="singleLevel"/>
    <w:tmpl w:val="C0D403FA"/>
    <w:lvl w:ilvl="0">
      <w:start w:val="1"/>
      <w:numFmt w:val="decimal"/>
      <w:pStyle w:val="Chapter3"/>
      <w:lvlText w:val="3.%1"/>
      <w:lvlJc w:val="left"/>
      <w:pPr>
        <w:tabs>
          <w:tab w:val="num" w:pos="851"/>
        </w:tabs>
        <w:ind w:left="851" w:hanging="851"/>
      </w:pPr>
      <w:rPr>
        <w:rFonts w:hint="default"/>
      </w:rPr>
    </w:lvl>
  </w:abstractNum>
  <w:abstractNum w:abstractNumId="32" w15:restartNumberingAfterBreak="0">
    <w:nsid w:val="64C1796D"/>
    <w:multiLevelType w:val="hybridMultilevel"/>
    <w:tmpl w:val="DB829DCE"/>
    <w:lvl w:ilvl="0" w:tplc="08090005">
      <w:start w:val="1"/>
      <w:numFmt w:val="decimal"/>
      <w:pStyle w:val="Chapter8"/>
      <w:lvlText w:val="8.%1"/>
      <w:lvlJc w:val="left"/>
      <w:pPr>
        <w:tabs>
          <w:tab w:val="num" w:pos="851"/>
        </w:tabs>
        <w:ind w:left="0" w:firstLine="0"/>
      </w:pPr>
      <w:rPr>
        <w:rFonts w:hint="default"/>
      </w:rPr>
    </w:lvl>
    <w:lvl w:ilvl="1" w:tplc="18D61E8E"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65A10F29"/>
    <w:multiLevelType w:val="hybridMultilevel"/>
    <w:tmpl w:val="42F665F6"/>
    <w:lvl w:ilvl="0" w:tplc="A7005A70">
      <w:start w:val="1"/>
      <w:numFmt w:val="decimal"/>
      <w:pStyle w:val="Chapter11"/>
      <w:lvlText w:val="11.%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9FF2CFC"/>
    <w:multiLevelType w:val="hybridMultilevel"/>
    <w:tmpl w:val="191E19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B557726"/>
    <w:multiLevelType w:val="hybridMultilevel"/>
    <w:tmpl w:val="A5460864"/>
    <w:lvl w:ilvl="0" w:tplc="B3F2B942">
      <w:start w:val="1"/>
      <w:numFmt w:val="decimal"/>
      <w:pStyle w:val="Chapter100"/>
      <w:lvlText w:val="10.%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E3D43FF"/>
    <w:multiLevelType w:val="hybridMultilevel"/>
    <w:tmpl w:val="89AC1B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E460571"/>
    <w:multiLevelType w:val="hybridMultilevel"/>
    <w:tmpl w:val="D3F276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23"/>
  </w:num>
  <w:num w:numId="4">
    <w:abstractNumId w:val="26"/>
  </w:num>
  <w:num w:numId="5">
    <w:abstractNumId w:val="35"/>
  </w:num>
  <w:num w:numId="6">
    <w:abstractNumId w:val="5"/>
  </w:num>
  <w:num w:numId="7">
    <w:abstractNumId w:val="31"/>
  </w:num>
  <w:num w:numId="8">
    <w:abstractNumId w:val="14"/>
  </w:num>
  <w:num w:numId="9">
    <w:abstractNumId w:val="1"/>
  </w:num>
  <w:num w:numId="10">
    <w:abstractNumId w:val="3"/>
  </w:num>
  <w:num w:numId="11">
    <w:abstractNumId w:val="29"/>
  </w:num>
  <w:num w:numId="12">
    <w:abstractNumId w:val="32"/>
  </w:num>
  <w:num w:numId="13">
    <w:abstractNumId w:val="33"/>
  </w:num>
  <w:num w:numId="14">
    <w:abstractNumId w:val="15"/>
  </w:num>
  <w:num w:numId="15">
    <w:abstractNumId w:val="13"/>
  </w:num>
  <w:num w:numId="16">
    <w:abstractNumId w:val="36"/>
  </w:num>
  <w:num w:numId="17">
    <w:abstractNumId w:val="34"/>
  </w:num>
  <w:num w:numId="18">
    <w:abstractNumId w:val="17"/>
  </w:num>
  <w:num w:numId="19">
    <w:abstractNumId w:val="12"/>
  </w:num>
  <w:num w:numId="20">
    <w:abstractNumId w:val="2"/>
  </w:num>
  <w:num w:numId="21">
    <w:abstractNumId w:val="11"/>
  </w:num>
  <w:num w:numId="22">
    <w:abstractNumId w:val="25"/>
  </w:num>
  <w:num w:numId="23">
    <w:abstractNumId w:val="37"/>
  </w:num>
  <w:num w:numId="24">
    <w:abstractNumId w:val="22"/>
  </w:num>
  <w:num w:numId="25">
    <w:abstractNumId w:val="10"/>
  </w:num>
  <w:num w:numId="26">
    <w:abstractNumId w:val="28"/>
  </w:num>
  <w:num w:numId="27">
    <w:abstractNumId w:val="21"/>
  </w:num>
  <w:num w:numId="28">
    <w:abstractNumId w:val="18"/>
  </w:num>
  <w:num w:numId="29">
    <w:abstractNumId w:val="30"/>
  </w:num>
  <w:num w:numId="30">
    <w:abstractNumId w:val="0"/>
  </w:num>
  <w:num w:numId="31">
    <w:abstractNumId w:val="27"/>
  </w:num>
  <w:num w:numId="32">
    <w:abstractNumId w:val="16"/>
  </w:num>
  <w:num w:numId="33">
    <w:abstractNumId w:val="8"/>
  </w:num>
  <w:num w:numId="34">
    <w:abstractNumId w:val="7"/>
  </w:num>
  <w:num w:numId="35">
    <w:abstractNumId w:val="9"/>
  </w:num>
  <w:num w:numId="36">
    <w:abstractNumId w:val="20"/>
  </w:num>
  <w:num w:numId="37">
    <w:abstractNumId w:val="4"/>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00"/>
    <w:rsid w:val="000022EC"/>
    <w:rsid w:val="0000377B"/>
    <w:rsid w:val="00003908"/>
    <w:rsid w:val="00006422"/>
    <w:rsid w:val="00007351"/>
    <w:rsid w:val="00012289"/>
    <w:rsid w:val="00014230"/>
    <w:rsid w:val="00015410"/>
    <w:rsid w:val="00015F50"/>
    <w:rsid w:val="0001695D"/>
    <w:rsid w:val="00016E7B"/>
    <w:rsid w:val="000171CE"/>
    <w:rsid w:val="00017767"/>
    <w:rsid w:val="0002323A"/>
    <w:rsid w:val="0002340B"/>
    <w:rsid w:val="00023673"/>
    <w:rsid w:val="00023739"/>
    <w:rsid w:val="000250E7"/>
    <w:rsid w:val="000251CA"/>
    <w:rsid w:val="0002735F"/>
    <w:rsid w:val="00027B73"/>
    <w:rsid w:val="0003027F"/>
    <w:rsid w:val="00031162"/>
    <w:rsid w:val="0003124A"/>
    <w:rsid w:val="0003164B"/>
    <w:rsid w:val="000317D5"/>
    <w:rsid w:val="00033150"/>
    <w:rsid w:val="00033259"/>
    <w:rsid w:val="00033F9A"/>
    <w:rsid w:val="000344D8"/>
    <w:rsid w:val="00034917"/>
    <w:rsid w:val="00035441"/>
    <w:rsid w:val="00035F81"/>
    <w:rsid w:val="00037A83"/>
    <w:rsid w:val="000407DB"/>
    <w:rsid w:val="00041A29"/>
    <w:rsid w:val="00041E24"/>
    <w:rsid w:val="00042DA3"/>
    <w:rsid w:val="00043BEF"/>
    <w:rsid w:val="00047CC7"/>
    <w:rsid w:val="00047FF9"/>
    <w:rsid w:val="00050E51"/>
    <w:rsid w:val="00051E9F"/>
    <w:rsid w:val="000523E0"/>
    <w:rsid w:val="00053A26"/>
    <w:rsid w:val="00053BF5"/>
    <w:rsid w:val="0005471A"/>
    <w:rsid w:val="00055518"/>
    <w:rsid w:val="000570B4"/>
    <w:rsid w:val="0005761B"/>
    <w:rsid w:val="000578D5"/>
    <w:rsid w:val="00064C13"/>
    <w:rsid w:val="00064CDF"/>
    <w:rsid w:val="00067972"/>
    <w:rsid w:val="00070A6E"/>
    <w:rsid w:val="00072271"/>
    <w:rsid w:val="00074205"/>
    <w:rsid w:val="0007577B"/>
    <w:rsid w:val="00081340"/>
    <w:rsid w:val="00083D81"/>
    <w:rsid w:val="00084ED4"/>
    <w:rsid w:val="000852A1"/>
    <w:rsid w:val="0008569A"/>
    <w:rsid w:val="00090841"/>
    <w:rsid w:val="00091439"/>
    <w:rsid w:val="000936CF"/>
    <w:rsid w:val="00096603"/>
    <w:rsid w:val="00096828"/>
    <w:rsid w:val="000972F9"/>
    <w:rsid w:val="00097D6E"/>
    <w:rsid w:val="000A1039"/>
    <w:rsid w:val="000A1204"/>
    <w:rsid w:val="000A1D11"/>
    <w:rsid w:val="000A21B8"/>
    <w:rsid w:val="000A2369"/>
    <w:rsid w:val="000A55B7"/>
    <w:rsid w:val="000A69BB"/>
    <w:rsid w:val="000A7407"/>
    <w:rsid w:val="000B0C18"/>
    <w:rsid w:val="000B1DE7"/>
    <w:rsid w:val="000B38A9"/>
    <w:rsid w:val="000B4164"/>
    <w:rsid w:val="000B5747"/>
    <w:rsid w:val="000C009E"/>
    <w:rsid w:val="000C0168"/>
    <w:rsid w:val="000C0315"/>
    <w:rsid w:val="000C3FFB"/>
    <w:rsid w:val="000C5DF3"/>
    <w:rsid w:val="000C5EB7"/>
    <w:rsid w:val="000C73AB"/>
    <w:rsid w:val="000C78C9"/>
    <w:rsid w:val="000D0B00"/>
    <w:rsid w:val="000D0F7B"/>
    <w:rsid w:val="000D154C"/>
    <w:rsid w:val="000D431B"/>
    <w:rsid w:val="000D477E"/>
    <w:rsid w:val="000D5566"/>
    <w:rsid w:val="000E1182"/>
    <w:rsid w:val="000E1473"/>
    <w:rsid w:val="000E3A50"/>
    <w:rsid w:val="000E3D2B"/>
    <w:rsid w:val="000E5145"/>
    <w:rsid w:val="000E5794"/>
    <w:rsid w:val="000E764D"/>
    <w:rsid w:val="000E7C71"/>
    <w:rsid w:val="000E7EAB"/>
    <w:rsid w:val="000F4BC1"/>
    <w:rsid w:val="000F7153"/>
    <w:rsid w:val="000F7771"/>
    <w:rsid w:val="001005B7"/>
    <w:rsid w:val="00100901"/>
    <w:rsid w:val="001078F8"/>
    <w:rsid w:val="00110264"/>
    <w:rsid w:val="001142E4"/>
    <w:rsid w:val="00115047"/>
    <w:rsid w:val="00117C16"/>
    <w:rsid w:val="001201B6"/>
    <w:rsid w:val="00121752"/>
    <w:rsid w:val="0012550F"/>
    <w:rsid w:val="00126F60"/>
    <w:rsid w:val="00131B6A"/>
    <w:rsid w:val="001324ED"/>
    <w:rsid w:val="001348E3"/>
    <w:rsid w:val="00134C59"/>
    <w:rsid w:val="001353EA"/>
    <w:rsid w:val="00136CB8"/>
    <w:rsid w:val="00140748"/>
    <w:rsid w:val="001425E7"/>
    <w:rsid w:val="00143CAA"/>
    <w:rsid w:val="001455DB"/>
    <w:rsid w:val="0014563C"/>
    <w:rsid w:val="001474B0"/>
    <w:rsid w:val="0015001E"/>
    <w:rsid w:val="00150A63"/>
    <w:rsid w:val="001526C7"/>
    <w:rsid w:val="0015532D"/>
    <w:rsid w:val="00157C9A"/>
    <w:rsid w:val="00160D92"/>
    <w:rsid w:val="00162125"/>
    <w:rsid w:val="001627A2"/>
    <w:rsid w:val="0016327A"/>
    <w:rsid w:val="00166D50"/>
    <w:rsid w:val="00166FD2"/>
    <w:rsid w:val="001702CB"/>
    <w:rsid w:val="00170CFB"/>
    <w:rsid w:val="001713B3"/>
    <w:rsid w:val="001722B8"/>
    <w:rsid w:val="00176CEC"/>
    <w:rsid w:val="00176E74"/>
    <w:rsid w:val="00177C80"/>
    <w:rsid w:val="00180ED9"/>
    <w:rsid w:val="00181056"/>
    <w:rsid w:val="00182551"/>
    <w:rsid w:val="001836E5"/>
    <w:rsid w:val="00183F66"/>
    <w:rsid w:val="00185CF3"/>
    <w:rsid w:val="0019398A"/>
    <w:rsid w:val="00196612"/>
    <w:rsid w:val="00197444"/>
    <w:rsid w:val="001A2A81"/>
    <w:rsid w:val="001A2BCA"/>
    <w:rsid w:val="001A3053"/>
    <w:rsid w:val="001A385F"/>
    <w:rsid w:val="001A6A36"/>
    <w:rsid w:val="001A721B"/>
    <w:rsid w:val="001B57E9"/>
    <w:rsid w:val="001B74DA"/>
    <w:rsid w:val="001C23A1"/>
    <w:rsid w:val="001C27F3"/>
    <w:rsid w:val="001C38AE"/>
    <w:rsid w:val="001C6F6F"/>
    <w:rsid w:val="001C74B8"/>
    <w:rsid w:val="001D02C2"/>
    <w:rsid w:val="001D0512"/>
    <w:rsid w:val="001D47CB"/>
    <w:rsid w:val="001D4B71"/>
    <w:rsid w:val="001D5A37"/>
    <w:rsid w:val="001D6E59"/>
    <w:rsid w:val="001D6E66"/>
    <w:rsid w:val="001D72DE"/>
    <w:rsid w:val="001D768A"/>
    <w:rsid w:val="001D799C"/>
    <w:rsid w:val="001E193C"/>
    <w:rsid w:val="001E1CE3"/>
    <w:rsid w:val="001E3029"/>
    <w:rsid w:val="001E7D14"/>
    <w:rsid w:val="001F0321"/>
    <w:rsid w:val="001F1432"/>
    <w:rsid w:val="001F1B9D"/>
    <w:rsid w:val="001F35C8"/>
    <w:rsid w:val="001F6CB4"/>
    <w:rsid w:val="001F7F76"/>
    <w:rsid w:val="00200688"/>
    <w:rsid w:val="00200C96"/>
    <w:rsid w:val="00200EE6"/>
    <w:rsid w:val="002025E9"/>
    <w:rsid w:val="002033D4"/>
    <w:rsid w:val="0020386B"/>
    <w:rsid w:val="002040FD"/>
    <w:rsid w:val="002048AD"/>
    <w:rsid w:val="00205799"/>
    <w:rsid w:val="0020641A"/>
    <w:rsid w:val="002137D1"/>
    <w:rsid w:val="0021414A"/>
    <w:rsid w:val="002152CE"/>
    <w:rsid w:val="0021548E"/>
    <w:rsid w:val="00216D5E"/>
    <w:rsid w:val="00217C12"/>
    <w:rsid w:val="00217DC0"/>
    <w:rsid w:val="00217E13"/>
    <w:rsid w:val="00231C75"/>
    <w:rsid w:val="002325A4"/>
    <w:rsid w:val="00232C5B"/>
    <w:rsid w:val="0023315E"/>
    <w:rsid w:val="00233203"/>
    <w:rsid w:val="002334CC"/>
    <w:rsid w:val="002343E9"/>
    <w:rsid w:val="002357D6"/>
    <w:rsid w:val="0023589C"/>
    <w:rsid w:val="002361A0"/>
    <w:rsid w:val="0023707A"/>
    <w:rsid w:val="0023748D"/>
    <w:rsid w:val="00237EF2"/>
    <w:rsid w:val="00240DCC"/>
    <w:rsid w:val="0024175F"/>
    <w:rsid w:val="00244391"/>
    <w:rsid w:val="0025084A"/>
    <w:rsid w:val="002516B4"/>
    <w:rsid w:val="00253969"/>
    <w:rsid w:val="00254177"/>
    <w:rsid w:val="0026027E"/>
    <w:rsid w:val="00260B59"/>
    <w:rsid w:val="00260ED8"/>
    <w:rsid w:val="00263E47"/>
    <w:rsid w:val="00267C0F"/>
    <w:rsid w:val="0027067F"/>
    <w:rsid w:val="00271089"/>
    <w:rsid w:val="00271300"/>
    <w:rsid w:val="00273349"/>
    <w:rsid w:val="00277C44"/>
    <w:rsid w:val="00277FFB"/>
    <w:rsid w:val="00283A2A"/>
    <w:rsid w:val="00286748"/>
    <w:rsid w:val="00290180"/>
    <w:rsid w:val="00291A59"/>
    <w:rsid w:val="0029316E"/>
    <w:rsid w:val="002960FD"/>
    <w:rsid w:val="00296FC3"/>
    <w:rsid w:val="002A0814"/>
    <w:rsid w:val="002A1409"/>
    <w:rsid w:val="002A1595"/>
    <w:rsid w:val="002A2045"/>
    <w:rsid w:val="002A2064"/>
    <w:rsid w:val="002A2214"/>
    <w:rsid w:val="002A3B95"/>
    <w:rsid w:val="002A6420"/>
    <w:rsid w:val="002A6B59"/>
    <w:rsid w:val="002A729A"/>
    <w:rsid w:val="002A7B5E"/>
    <w:rsid w:val="002A7F65"/>
    <w:rsid w:val="002B213A"/>
    <w:rsid w:val="002B2263"/>
    <w:rsid w:val="002B3770"/>
    <w:rsid w:val="002B7250"/>
    <w:rsid w:val="002C1491"/>
    <w:rsid w:val="002C3D5F"/>
    <w:rsid w:val="002C3D65"/>
    <w:rsid w:val="002C4868"/>
    <w:rsid w:val="002C5860"/>
    <w:rsid w:val="002C5E5F"/>
    <w:rsid w:val="002C723A"/>
    <w:rsid w:val="002C7AD2"/>
    <w:rsid w:val="002D08DF"/>
    <w:rsid w:val="002D0B41"/>
    <w:rsid w:val="002D78AA"/>
    <w:rsid w:val="002D7CEB"/>
    <w:rsid w:val="002E05EC"/>
    <w:rsid w:val="002E093E"/>
    <w:rsid w:val="002E102D"/>
    <w:rsid w:val="002E227E"/>
    <w:rsid w:val="002E2553"/>
    <w:rsid w:val="002E2FEE"/>
    <w:rsid w:val="002E3A75"/>
    <w:rsid w:val="002F082A"/>
    <w:rsid w:val="002F102C"/>
    <w:rsid w:val="002F2C39"/>
    <w:rsid w:val="002F46B3"/>
    <w:rsid w:val="002F5A43"/>
    <w:rsid w:val="0030295B"/>
    <w:rsid w:val="003048A8"/>
    <w:rsid w:val="0030508B"/>
    <w:rsid w:val="0030535A"/>
    <w:rsid w:val="0030684E"/>
    <w:rsid w:val="00311DBB"/>
    <w:rsid w:val="003120D8"/>
    <w:rsid w:val="00317CA5"/>
    <w:rsid w:val="00320319"/>
    <w:rsid w:val="0032154C"/>
    <w:rsid w:val="00323F7B"/>
    <w:rsid w:val="0032499B"/>
    <w:rsid w:val="00325904"/>
    <w:rsid w:val="003265FB"/>
    <w:rsid w:val="00330EED"/>
    <w:rsid w:val="00331093"/>
    <w:rsid w:val="0033150F"/>
    <w:rsid w:val="0033227F"/>
    <w:rsid w:val="00333F40"/>
    <w:rsid w:val="003356AC"/>
    <w:rsid w:val="003413ED"/>
    <w:rsid w:val="00341557"/>
    <w:rsid w:val="0034165E"/>
    <w:rsid w:val="00343FC6"/>
    <w:rsid w:val="003457C0"/>
    <w:rsid w:val="0034639D"/>
    <w:rsid w:val="003473DB"/>
    <w:rsid w:val="00354453"/>
    <w:rsid w:val="003563D9"/>
    <w:rsid w:val="00357606"/>
    <w:rsid w:val="0036156A"/>
    <w:rsid w:val="00362461"/>
    <w:rsid w:val="00367337"/>
    <w:rsid w:val="00367C7B"/>
    <w:rsid w:val="00370F9D"/>
    <w:rsid w:val="00371125"/>
    <w:rsid w:val="0037173A"/>
    <w:rsid w:val="00373D19"/>
    <w:rsid w:val="00373E7D"/>
    <w:rsid w:val="00373F5D"/>
    <w:rsid w:val="003742E3"/>
    <w:rsid w:val="00374BD9"/>
    <w:rsid w:val="00374E66"/>
    <w:rsid w:val="003754D0"/>
    <w:rsid w:val="00380CAC"/>
    <w:rsid w:val="00381ABC"/>
    <w:rsid w:val="00384C7E"/>
    <w:rsid w:val="0038645D"/>
    <w:rsid w:val="00387D1E"/>
    <w:rsid w:val="00390F8D"/>
    <w:rsid w:val="00391A22"/>
    <w:rsid w:val="00391B92"/>
    <w:rsid w:val="00392924"/>
    <w:rsid w:val="003944D6"/>
    <w:rsid w:val="00394CF8"/>
    <w:rsid w:val="00395475"/>
    <w:rsid w:val="00395B3F"/>
    <w:rsid w:val="003962BF"/>
    <w:rsid w:val="00396824"/>
    <w:rsid w:val="00397856"/>
    <w:rsid w:val="003A31FD"/>
    <w:rsid w:val="003A4D95"/>
    <w:rsid w:val="003A5393"/>
    <w:rsid w:val="003A5488"/>
    <w:rsid w:val="003A5C2F"/>
    <w:rsid w:val="003B397F"/>
    <w:rsid w:val="003B6241"/>
    <w:rsid w:val="003C055A"/>
    <w:rsid w:val="003C1CAA"/>
    <w:rsid w:val="003C3352"/>
    <w:rsid w:val="003C3693"/>
    <w:rsid w:val="003C37C2"/>
    <w:rsid w:val="003C4126"/>
    <w:rsid w:val="003C502F"/>
    <w:rsid w:val="003C5519"/>
    <w:rsid w:val="003C594A"/>
    <w:rsid w:val="003C6105"/>
    <w:rsid w:val="003C6A12"/>
    <w:rsid w:val="003C75F6"/>
    <w:rsid w:val="003D0B49"/>
    <w:rsid w:val="003D1452"/>
    <w:rsid w:val="003D6323"/>
    <w:rsid w:val="003D684E"/>
    <w:rsid w:val="003D6EF5"/>
    <w:rsid w:val="003D73BF"/>
    <w:rsid w:val="003E0056"/>
    <w:rsid w:val="003E02BB"/>
    <w:rsid w:val="003E44F6"/>
    <w:rsid w:val="003E51E2"/>
    <w:rsid w:val="003E7906"/>
    <w:rsid w:val="003E7977"/>
    <w:rsid w:val="003E7C3D"/>
    <w:rsid w:val="003F03E7"/>
    <w:rsid w:val="003F5739"/>
    <w:rsid w:val="003F6AB6"/>
    <w:rsid w:val="003F6E87"/>
    <w:rsid w:val="00400A25"/>
    <w:rsid w:val="00401F0F"/>
    <w:rsid w:val="0040231F"/>
    <w:rsid w:val="00403468"/>
    <w:rsid w:val="00404CDB"/>
    <w:rsid w:val="0040520C"/>
    <w:rsid w:val="00405235"/>
    <w:rsid w:val="0040742C"/>
    <w:rsid w:val="00413004"/>
    <w:rsid w:val="004137E5"/>
    <w:rsid w:val="0041492E"/>
    <w:rsid w:val="00414AC0"/>
    <w:rsid w:val="00414F89"/>
    <w:rsid w:val="0042286D"/>
    <w:rsid w:val="004243F7"/>
    <w:rsid w:val="004258D6"/>
    <w:rsid w:val="004306CC"/>
    <w:rsid w:val="00430BB2"/>
    <w:rsid w:val="00431555"/>
    <w:rsid w:val="00431E1A"/>
    <w:rsid w:val="004326C9"/>
    <w:rsid w:val="00432F19"/>
    <w:rsid w:val="00434294"/>
    <w:rsid w:val="00434570"/>
    <w:rsid w:val="00435C8B"/>
    <w:rsid w:val="00436FCD"/>
    <w:rsid w:val="0044126B"/>
    <w:rsid w:val="0044537A"/>
    <w:rsid w:val="00445690"/>
    <w:rsid w:val="0044726A"/>
    <w:rsid w:val="00447865"/>
    <w:rsid w:val="004478AE"/>
    <w:rsid w:val="00450226"/>
    <w:rsid w:val="00452856"/>
    <w:rsid w:val="00453713"/>
    <w:rsid w:val="00454686"/>
    <w:rsid w:val="00455B3C"/>
    <w:rsid w:val="00456DE8"/>
    <w:rsid w:val="004603E1"/>
    <w:rsid w:val="004649DC"/>
    <w:rsid w:val="004714F2"/>
    <w:rsid w:val="00477B93"/>
    <w:rsid w:val="00482460"/>
    <w:rsid w:val="00482B21"/>
    <w:rsid w:val="00483361"/>
    <w:rsid w:val="00485CD4"/>
    <w:rsid w:val="004865E4"/>
    <w:rsid w:val="00491207"/>
    <w:rsid w:val="00493A9F"/>
    <w:rsid w:val="004955E2"/>
    <w:rsid w:val="00495F1D"/>
    <w:rsid w:val="004A0BAE"/>
    <w:rsid w:val="004A11C8"/>
    <w:rsid w:val="004A1DEC"/>
    <w:rsid w:val="004A4529"/>
    <w:rsid w:val="004A6E86"/>
    <w:rsid w:val="004B0926"/>
    <w:rsid w:val="004B1B92"/>
    <w:rsid w:val="004B2F23"/>
    <w:rsid w:val="004B36B0"/>
    <w:rsid w:val="004B37FB"/>
    <w:rsid w:val="004B659E"/>
    <w:rsid w:val="004B684C"/>
    <w:rsid w:val="004B6F8B"/>
    <w:rsid w:val="004C1701"/>
    <w:rsid w:val="004C2444"/>
    <w:rsid w:val="004C2DB8"/>
    <w:rsid w:val="004C2E97"/>
    <w:rsid w:val="004C5738"/>
    <w:rsid w:val="004D2B7A"/>
    <w:rsid w:val="004D6158"/>
    <w:rsid w:val="004D68B0"/>
    <w:rsid w:val="004D6900"/>
    <w:rsid w:val="004D773C"/>
    <w:rsid w:val="004E10A4"/>
    <w:rsid w:val="004E2A2B"/>
    <w:rsid w:val="004E2CEB"/>
    <w:rsid w:val="004E491E"/>
    <w:rsid w:val="004E59D9"/>
    <w:rsid w:val="004E5B10"/>
    <w:rsid w:val="004E648C"/>
    <w:rsid w:val="004E72FD"/>
    <w:rsid w:val="004F0044"/>
    <w:rsid w:val="004F3671"/>
    <w:rsid w:val="004F4237"/>
    <w:rsid w:val="004F4278"/>
    <w:rsid w:val="004F4C58"/>
    <w:rsid w:val="004F5679"/>
    <w:rsid w:val="00501EBD"/>
    <w:rsid w:val="00502359"/>
    <w:rsid w:val="005025DD"/>
    <w:rsid w:val="00506D4E"/>
    <w:rsid w:val="00506F09"/>
    <w:rsid w:val="0050746B"/>
    <w:rsid w:val="00507805"/>
    <w:rsid w:val="005105C2"/>
    <w:rsid w:val="00512EC7"/>
    <w:rsid w:val="00513EFC"/>
    <w:rsid w:val="00514F79"/>
    <w:rsid w:val="00517261"/>
    <w:rsid w:val="005209B8"/>
    <w:rsid w:val="00521C06"/>
    <w:rsid w:val="005258D4"/>
    <w:rsid w:val="00530A3D"/>
    <w:rsid w:val="0053146F"/>
    <w:rsid w:val="0053156B"/>
    <w:rsid w:val="0054074E"/>
    <w:rsid w:val="00541932"/>
    <w:rsid w:val="005427D1"/>
    <w:rsid w:val="00542C0A"/>
    <w:rsid w:val="00543138"/>
    <w:rsid w:val="005453ED"/>
    <w:rsid w:val="00546695"/>
    <w:rsid w:val="005471D8"/>
    <w:rsid w:val="00547515"/>
    <w:rsid w:val="00550F68"/>
    <w:rsid w:val="00551C9D"/>
    <w:rsid w:val="00551EBF"/>
    <w:rsid w:val="00551FAE"/>
    <w:rsid w:val="0055286A"/>
    <w:rsid w:val="00552DD1"/>
    <w:rsid w:val="0055476A"/>
    <w:rsid w:val="00554E3A"/>
    <w:rsid w:val="00557701"/>
    <w:rsid w:val="00560940"/>
    <w:rsid w:val="005614DF"/>
    <w:rsid w:val="00561AEA"/>
    <w:rsid w:val="00561BA6"/>
    <w:rsid w:val="00562990"/>
    <w:rsid w:val="00565602"/>
    <w:rsid w:val="0056690C"/>
    <w:rsid w:val="00567926"/>
    <w:rsid w:val="00575170"/>
    <w:rsid w:val="00577313"/>
    <w:rsid w:val="00580AF0"/>
    <w:rsid w:val="00580B4E"/>
    <w:rsid w:val="00581E13"/>
    <w:rsid w:val="00582227"/>
    <w:rsid w:val="005827DA"/>
    <w:rsid w:val="00583BFC"/>
    <w:rsid w:val="00583E53"/>
    <w:rsid w:val="00586ED7"/>
    <w:rsid w:val="005871DB"/>
    <w:rsid w:val="0059109E"/>
    <w:rsid w:val="005911E8"/>
    <w:rsid w:val="005920A0"/>
    <w:rsid w:val="00592591"/>
    <w:rsid w:val="00592F96"/>
    <w:rsid w:val="005A148F"/>
    <w:rsid w:val="005A209F"/>
    <w:rsid w:val="005A3D08"/>
    <w:rsid w:val="005A3D33"/>
    <w:rsid w:val="005A5CF8"/>
    <w:rsid w:val="005A5EFE"/>
    <w:rsid w:val="005A629E"/>
    <w:rsid w:val="005A76F3"/>
    <w:rsid w:val="005B06C3"/>
    <w:rsid w:val="005B1EAC"/>
    <w:rsid w:val="005B46A5"/>
    <w:rsid w:val="005C1D28"/>
    <w:rsid w:val="005C3DE8"/>
    <w:rsid w:val="005C6E37"/>
    <w:rsid w:val="005D1902"/>
    <w:rsid w:val="005D1BD6"/>
    <w:rsid w:val="005D1CBA"/>
    <w:rsid w:val="005D2143"/>
    <w:rsid w:val="005D3A47"/>
    <w:rsid w:val="005D51C1"/>
    <w:rsid w:val="005D6E01"/>
    <w:rsid w:val="005E0A51"/>
    <w:rsid w:val="005E0ADA"/>
    <w:rsid w:val="005E1382"/>
    <w:rsid w:val="005E168D"/>
    <w:rsid w:val="005E3C39"/>
    <w:rsid w:val="005E52FB"/>
    <w:rsid w:val="005E559F"/>
    <w:rsid w:val="005E6722"/>
    <w:rsid w:val="005F29F5"/>
    <w:rsid w:val="005F305F"/>
    <w:rsid w:val="005F4770"/>
    <w:rsid w:val="005F6053"/>
    <w:rsid w:val="005F6EBC"/>
    <w:rsid w:val="006002F3"/>
    <w:rsid w:val="0060100F"/>
    <w:rsid w:val="0060141E"/>
    <w:rsid w:val="00603414"/>
    <w:rsid w:val="00603449"/>
    <w:rsid w:val="006041F7"/>
    <w:rsid w:val="006042D1"/>
    <w:rsid w:val="0060457E"/>
    <w:rsid w:val="0060519F"/>
    <w:rsid w:val="00606865"/>
    <w:rsid w:val="00610D98"/>
    <w:rsid w:val="00610EA0"/>
    <w:rsid w:val="006117FD"/>
    <w:rsid w:val="006131E5"/>
    <w:rsid w:val="006169BE"/>
    <w:rsid w:val="00617CE2"/>
    <w:rsid w:val="00617DFC"/>
    <w:rsid w:val="00617FD2"/>
    <w:rsid w:val="00620585"/>
    <w:rsid w:val="00624899"/>
    <w:rsid w:val="00624B24"/>
    <w:rsid w:val="00627E1F"/>
    <w:rsid w:val="00631AD7"/>
    <w:rsid w:val="0063281B"/>
    <w:rsid w:val="00632A6B"/>
    <w:rsid w:val="006350A3"/>
    <w:rsid w:val="00635E6E"/>
    <w:rsid w:val="00635EB8"/>
    <w:rsid w:val="00636058"/>
    <w:rsid w:val="00641785"/>
    <w:rsid w:val="00642559"/>
    <w:rsid w:val="00642BFE"/>
    <w:rsid w:val="00642F45"/>
    <w:rsid w:val="00647202"/>
    <w:rsid w:val="006515C5"/>
    <w:rsid w:val="0065219C"/>
    <w:rsid w:val="00652798"/>
    <w:rsid w:val="00652E32"/>
    <w:rsid w:val="0065392C"/>
    <w:rsid w:val="006549EB"/>
    <w:rsid w:val="00654A37"/>
    <w:rsid w:val="00654BCA"/>
    <w:rsid w:val="00654C0C"/>
    <w:rsid w:val="00655851"/>
    <w:rsid w:val="00656711"/>
    <w:rsid w:val="00662E92"/>
    <w:rsid w:val="00662F7B"/>
    <w:rsid w:val="006644EE"/>
    <w:rsid w:val="0066498C"/>
    <w:rsid w:val="00665DEA"/>
    <w:rsid w:val="00670383"/>
    <w:rsid w:val="0067137C"/>
    <w:rsid w:val="0067215C"/>
    <w:rsid w:val="0067287E"/>
    <w:rsid w:val="006735D1"/>
    <w:rsid w:val="00675264"/>
    <w:rsid w:val="006772F4"/>
    <w:rsid w:val="00681F0D"/>
    <w:rsid w:val="00683EB1"/>
    <w:rsid w:val="00686E61"/>
    <w:rsid w:val="00690DC4"/>
    <w:rsid w:val="006922FB"/>
    <w:rsid w:val="00692772"/>
    <w:rsid w:val="0069734F"/>
    <w:rsid w:val="006A23A6"/>
    <w:rsid w:val="006A2BE5"/>
    <w:rsid w:val="006A397B"/>
    <w:rsid w:val="006A6B54"/>
    <w:rsid w:val="006A6DC4"/>
    <w:rsid w:val="006B0566"/>
    <w:rsid w:val="006B1316"/>
    <w:rsid w:val="006B2A85"/>
    <w:rsid w:val="006B5427"/>
    <w:rsid w:val="006B598A"/>
    <w:rsid w:val="006C0008"/>
    <w:rsid w:val="006D1287"/>
    <w:rsid w:val="006D5B3E"/>
    <w:rsid w:val="006D5E8F"/>
    <w:rsid w:val="006D6102"/>
    <w:rsid w:val="006D69D1"/>
    <w:rsid w:val="006D75D7"/>
    <w:rsid w:val="006E19D8"/>
    <w:rsid w:val="006E1C6B"/>
    <w:rsid w:val="006E2848"/>
    <w:rsid w:val="006E44FA"/>
    <w:rsid w:val="006E50E7"/>
    <w:rsid w:val="006E5B03"/>
    <w:rsid w:val="006E6038"/>
    <w:rsid w:val="006E60FB"/>
    <w:rsid w:val="006F02AD"/>
    <w:rsid w:val="006F1307"/>
    <w:rsid w:val="006F1D5A"/>
    <w:rsid w:val="006F3442"/>
    <w:rsid w:val="006F3E59"/>
    <w:rsid w:val="006F4D00"/>
    <w:rsid w:val="006F50C5"/>
    <w:rsid w:val="006F6822"/>
    <w:rsid w:val="006F7DAA"/>
    <w:rsid w:val="0070017E"/>
    <w:rsid w:val="00701E76"/>
    <w:rsid w:val="007022BF"/>
    <w:rsid w:val="0070247E"/>
    <w:rsid w:val="00704AD1"/>
    <w:rsid w:val="007055A3"/>
    <w:rsid w:val="007056D0"/>
    <w:rsid w:val="00706992"/>
    <w:rsid w:val="00713702"/>
    <w:rsid w:val="00715279"/>
    <w:rsid w:val="00715D61"/>
    <w:rsid w:val="007161D3"/>
    <w:rsid w:val="00717673"/>
    <w:rsid w:val="007250BD"/>
    <w:rsid w:val="00725975"/>
    <w:rsid w:val="00725B0D"/>
    <w:rsid w:val="00726C4D"/>
    <w:rsid w:val="007276C0"/>
    <w:rsid w:val="00727914"/>
    <w:rsid w:val="00727B0E"/>
    <w:rsid w:val="0073368E"/>
    <w:rsid w:val="007343A9"/>
    <w:rsid w:val="007351D5"/>
    <w:rsid w:val="007357CF"/>
    <w:rsid w:val="00736162"/>
    <w:rsid w:val="007369E2"/>
    <w:rsid w:val="007444CE"/>
    <w:rsid w:val="007452FA"/>
    <w:rsid w:val="00746725"/>
    <w:rsid w:val="00746D40"/>
    <w:rsid w:val="0074770F"/>
    <w:rsid w:val="00747BCE"/>
    <w:rsid w:val="00750168"/>
    <w:rsid w:val="007510CF"/>
    <w:rsid w:val="007526F1"/>
    <w:rsid w:val="00753E8F"/>
    <w:rsid w:val="0075609C"/>
    <w:rsid w:val="00757846"/>
    <w:rsid w:val="00757E1F"/>
    <w:rsid w:val="00761B3F"/>
    <w:rsid w:val="007620E8"/>
    <w:rsid w:val="0076265A"/>
    <w:rsid w:val="00764FC2"/>
    <w:rsid w:val="007658B3"/>
    <w:rsid w:val="007664F6"/>
    <w:rsid w:val="00766F65"/>
    <w:rsid w:val="00776D47"/>
    <w:rsid w:val="007809E0"/>
    <w:rsid w:val="00780E1E"/>
    <w:rsid w:val="00782A42"/>
    <w:rsid w:val="0078345B"/>
    <w:rsid w:val="00783C1E"/>
    <w:rsid w:val="00786280"/>
    <w:rsid w:val="00790114"/>
    <w:rsid w:val="007902DC"/>
    <w:rsid w:val="007922D4"/>
    <w:rsid w:val="007935E2"/>
    <w:rsid w:val="007936EE"/>
    <w:rsid w:val="00794535"/>
    <w:rsid w:val="007958B8"/>
    <w:rsid w:val="00795D94"/>
    <w:rsid w:val="007961D3"/>
    <w:rsid w:val="007976E4"/>
    <w:rsid w:val="007A186C"/>
    <w:rsid w:val="007A204E"/>
    <w:rsid w:val="007A3CFC"/>
    <w:rsid w:val="007A4CC6"/>
    <w:rsid w:val="007A59B3"/>
    <w:rsid w:val="007A62AF"/>
    <w:rsid w:val="007A73ED"/>
    <w:rsid w:val="007B0045"/>
    <w:rsid w:val="007B06B7"/>
    <w:rsid w:val="007B3F45"/>
    <w:rsid w:val="007B454F"/>
    <w:rsid w:val="007B5A67"/>
    <w:rsid w:val="007B6B9F"/>
    <w:rsid w:val="007C033B"/>
    <w:rsid w:val="007C0792"/>
    <w:rsid w:val="007C23A7"/>
    <w:rsid w:val="007C2425"/>
    <w:rsid w:val="007C28DB"/>
    <w:rsid w:val="007C2F1B"/>
    <w:rsid w:val="007C5126"/>
    <w:rsid w:val="007D797A"/>
    <w:rsid w:val="007E3625"/>
    <w:rsid w:val="007F0D94"/>
    <w:rsid w:val="007F1E98"/>
    <w:rsid w:val="007F46E0"/>
    <w:rsid w:val="007F5EF1"/>
    <w:rsid w:val="007F68CB"/>
    <w:rsid w:val="0080092E"/>
    <w:rsid w:val="008064B7"/>
    <w:rsid w:val="00807628"/>
    <w:rsid w:val="00811AAE"/>
    <w:rsid w:val="00813605"/>
    <w:rsid w:val="00815526"/>
    <w:rsid w:val="00816367"/>
    <w:rsid w:val="008164DA"/>
    <w:rsid w:val="008177B1"/>
    <w:rsid w:val="008201B3"/>
    <w:rsid w:val="00820687"/>
    <w:rsid w:val="00821169"/>
    <w:rsid w:val="00830AC3"/>
    <w:rsid w:val="00831363"/>
    <w:rsid w:val="00832939"/>
    <w:rsid w:val="00833BEF"/>
    <w:rsid w:val="00834092"/>
    <w:rsid w:val="00834C8A"/>
    <w:rsid w:val="008363A8"/>
    <w:rsid w:val="00837387"/>
    <w:rsid w:val="00837D98"/>
    <w:rsid w:val="008421B3"/>
    <w:rsid w:val="008423EA"/>
    <w:rsid w:val="0084257B"/>
    <w:rsid w:val="008430E9"/>
    <w:rsid w:val="008464AB"/>
    <w:rsid w:val="00847D8B"/>
    <w:rsid w:val="0085013C"/>
    <w:rsid w:val="00850F10"/>
    <w:rsid w:val="00851B2F"/>
    <w:rsid w:val="00852377"/>
    <w:rsid w:val="008525B1"/>
    <w:rsid w:val="008529E2"/>
    <w:rsid w:val="008537EA"/>
    <w:rsid w:val="0085447D"/>
    <w:rsid w:val="00854C43"/>
    <w:rsid w:val="00854D7E"/>
    <w:rsid w:val="00854DFA"/>
    <w:rsid w:val="008569FB"/>
    <w:rsid w:val="00856C3E"/>
    <w:rsid w:val="0086087B"/>
    <w:rsid w:val="00861702"/>
    <w:rsid w:val="00863BEF"/>
    <w:rsid w:val="008654D3"/>
    <w:rsid w:val="00873A37"/>
    <w:rsid w:val="008740E7"/>
    <w:rsid w:val="0087438E"/>
    <w:rsid w:val="00874686"/>
    <w:rsid w:val="00882647"/>
    <w:rsid w:val="008840A1"/>
    <w:rsid w:val="00886A68"/>
    <w:rsid w:val="00890CD7"/>
    <w:rsid w:val="00891892"/>
    <w:rsid w:val="008938CF"/>
    <w:rsid w:val="00893C67"/>
    <w:rsid w:val="0089509C"/>
    <w:rsid w:val="00895302"/>
    <w:rsid w:val="00896B56"/>
    <w:rsid w:val="008A1C4C"/>
    <w:rsid w:val="008A3229"/>
    <w:rsid w:val="008A339E"/>
    <w:rsid w:val="008A36A9"/>
    <w:rsid w:val="008A58F1"/>
    <w:rsid w:val="008B371A"/>
    <w:rsid w:val="008B60D9"/>
    <w:rsid w:val="008C03D1"/>
    <w:rsid w:val="008C1ACF"/>
    <w:rsid w:val="008C1FF5"/>
    <w:rsid w:val="008C3D45"/>
    <w:rsid w:val="008C44B8"/>
    <w:rsid w:val="008C4809"/>
    <w:rsid w:val="008C49ED"/>
    <w:rsid w:val="008C59DF"/>
    <w:rsid w:val="008C639C"/>
    <w:rsid w:val="008C7648"/>
    <w:rsid w:val="008C78BD"/>
    <w:rsid w:val="008D004A"/>
    <w:rsid w:val="008D01F8"/>
    <w:rsid w:val="008D4E6B"/>
    <w:rsid w:val="008E29D4"/>
    <w:rsid w:val="008E520E"/>
    <w:rsid w:val="008E5FD9"/>
    <w:rsid w:val="008E6715"/>
    <w:rsid w:val="008F0649"/>
    <w:rsid w:val="008F12F0"/>
    <w:rsid w:val="008F1B05"/>
    <w:rsid w:val="008F3A34"/>
    <w:rsid w:val="008F51C4"/>
    <w:rsid w:val="008F64CF"/>
    <w:rsid w:val="008F691D"/>
    <w:rsid w:val="00900193"/>
    <w:rsid w:val="009009EC"/>
    <w:rsid w:val="00902A72"/>
    <w:rsid w:val="0091275E"/>
    <w:rsid w:val="00915829"/>
    <w:rsid w:val="009165B1"/>
    <w:rsid w:val="00921EBA"/>
    <w:rsid w:val="009234BB"/>
    <w:rsid w:val="00924AC6"/>
    <w:rsid w:val="00925651"/>
    <w:rsid w:val="00925E43"/>
    <w:rsid w:val="00926D28"/>
    <w:rsid w:val="00930D24"/>
    <w:rsid w:val="00933E77"/>
    <w:rsid w:val="009368ED"/>
    <w:rsid w:val="00937E27"/>
    <w:rsid w:val="009430F5"/>
    <w:rsid w:val="00943723"/>
    <w:rsid w:val="0094413F"/>
    <w:rsid w:val="0094416A"/>
    <w:rsid w:val="00945302"/>
    <w:rsid w:val="00952BCD"/>
    <w:rsid w:val="00952BDA"/>
    <w:rsid w:val="00953AA6"/>
    <w:rsid w:val="00954411"/>
    <w:rsid w:val="00955F81"/>
    <w:rsid w:val="00956AA6"/>
    <w:rsid w:val="00957B8D"/>
    <w:rsid w:val="009620DD"/>
    <w:rsid w:val="0096344E"/>
    <w:rsid w:val="00966365"/>
    <w:rsid w:val="0096690D"/>
    <w:rsid w:val="009766AC"/>
    <w:rsid w:val="0097761A"/>
    <w:rsid w:val="00977B8A"/>
    <w:rsid w:val="00984423"/>
    <w:rsid w:val="00984554"/>
    <w:rsid w:val="00986D97"/>
    <w:rsid w:val="00987B82"/>
    <w:rsid w:val="00991CA2"/>
    <w:rsid w:val="00992959"/>
    <w:rsid w:val="00993AEC"/>
    <w:rsid w:val="00996BB1"/>
    <w:rsid w:val="009974FD"/>
    <w:rsid w:val="00997952"/>
    <w:rsid w:val="009A095D"/>
    <w:rsid w:val="009A0D8A"/>
    <w:rsid w:val="009A1DBB"/>
    <w:rsid w:val="009A239F"/>
    <w:rsid w:val="009A38C4"/>
    <w:rsid w:val="009A4114"/>
    <w:rsid w:val="009A47E6"/>
    <w:rsid w:val="009A5243"/>
    <w:rsid w:val="009A6335"/>
    <w:rsid w:val="009A68D0"/>
    <w:rsid w:val="009A69BB"/>
    <w:rsid w:val="009B08CA"/>
    <w:rsid w:val="009B14AC"/>
    <w:rsid w:val="009B32A4"/>
    <w:rsid w:val="009B408D"/>
    <w:rsid w:val="009B7311"/>
    <w:rsid w:val="009C2842"/>
    <w:rsid w:val="009C5032"/>
    <w:rsid w:val="009C5477"/>
    <w:rsid w:val="009C69CB"/>
    <w:rsid w:val="009C7462"/>
    <w:rsid w:val="009D34C0"/>
    <w:rsid w:val="009D4F0D"/>
    <w:rsid w:val="009E0AD0"/>
    <w:rsid w:val="009E11B3"/>
    <w:rsid w:val="009E1E3B"/>
    <w:rsid w:val="009E2EF7"/>
    <w:rsid w:val="009E3C5E"/>
    <w:rsid w:val="009E4DD2"/>
    <w:rsid w:val="009E59BC"/>
    <w:rsid w:val="009E59D6"/>
    <w:rsid w:val="009E6D86"/>
    <w:rsid w:val="009E79DB"/>
    <w:rsid w:val="009F0E76"/>
    <w:rsid w:val="009F2FD1"/>
    <w:rsid w:val="009F471E"/>
    <w:rsid w:val="009F5253"/>
    <w:rsid w:val="009F54C0"/>
    <w:rsid w:val="009F5816"/>
    <w:rsid w:val="00A01DB8"/>
    <w:rsid w:val="00A0205D"/>
    <w:rsid w:val="00A0658C"/>
    <w:rsid w:val="00A06F5B"/>
    <w:rsid w:val="00A071FB"/>
    <w:rsid w:val="00A11690"/>
    <w:rsid w:val="00A11BB8"/>
    <w:rsid w:val="00A13106"/>
    <w:rsid w:val="00A13880"/>
    <w:rsid w:val="00A15951"/>
    <w:rsid w:val="00A23F7A"/>
    <w:rsid w:val="00A24CA9"/>
    <w:rsid w:val="00A2727C"/>
    <w:rsid w:val="00A27E9E"/>
    <w:rsid w:val="00A32DB0"/>
    <w:rsid w:val="00A331A0"/>
    <w:rsid w:val="00A33724"/>
    <w:rsid w:val="00A35A6F"/>
    <w:rsid w:val="00A35D5A"/>
    <w:rsid w:val="00A36B22"/>
    <w:rsid w:val="00A36C68"/>
    <w:rsid w:val="00A3741A"/>
    <w:rsid w:val="00A37AFC"/>
    <w:rsid w:val="00A4184E"/>
    <w:rsid w:val="00A429E0"/>
    <w:rsid w:val="00A44DA0"/>
    <w:rsid w:val="00A46BEC"/>
    <w:rsid w:val="00A47873"/>
    <w:rsid w:val="00A524BD"/>
    <w:rsid w:val="00A53438"/>
    <w:rsid w:val="00A56B86"/>
    <w:rsid w:val="00A57421"/>
    <w:rsid w:val="00A603D5"/>
    <w:rsid w:val="00A6138F"/>
    <w:rsid w:val="00A61A7A"/>
    <w:rsid w:val="00A64298"/>
    <w:rsid w:val="00A64CED"/>
    <w:rsid w:val="00A65285"/>
    <w:rsid w:val="00A654A2"/>
    <w:rsid w:val="00A7007F"/>
    <w:rsid w:val="00A70278"/>
    <w:rsid w:val="00A70A9E"/>
    <w:rsid w:val="00A70F07"/>
    <w:rsid w:val="00A72490"/>
    <w:rsid w:val="00A735E6"/>
    <w:rsid w:val="00A73DA9"/>
    <w:rsid w:val="00A75D76"/>
    <w:rsid w:val="00A75F21"/>
    <w:rsid w:val="00A8012B"/>
    <w:rsid w:val="00A8194D"/>
    <w:rsid w:val="00A845C7"/>
    <w:rsid w:val="00A854C1"/>
    <w:rsid w:val="00A870CA"/>
    <w:rsid w:val="00A87217"/>
    <w:rsid w:val="00A90A4C"/>
    <w:rsid w:val="00A92D9B"/>
    <w:rsid w:val="00A94E6A"/>
    <w:rsid w:val="00A97A29"/>
    <w:rsid w:val="00A97A68"/>
    <w:rsid w:val="00AA0311"/>
    <w:rsid w:val="00AA0C0C"/>
    <w:rsid w:val="00AA0E96"/>
    <w:rsid w:val="00AA5C50"/>
    <w:rsid w:val="00AA79D8"/>
    <w:rsid w:val="00AB4BE6"/>
    <w:rsid w:val="00AB531F"/>
    <w:rsid w:val="00AB6656"/>
    <w:rsid w:val="00AC22BF"/>
    <w:rsid w:val="00AC2600"/>
    <w:rsid w:val="00AC4AFF"/>
    <w:rsid w:val="00AC65A1"/>
    <w:rsid w:val="00AC7AF4"/>
    <w:rsid w:val="00AD0D3E"/>
    <w:rsid w:val="00AE0153"/>
    <w:rsid w:val="00AE1349"/>
    <w:rsid w:val="00AE3239"/>
    <w:rsid w:val="00AE4560"/>
    <w:rsid w:val="00AE5041"/>
    <w:rsid w:val="00AE7C32"/>
    <w:rsid w:val="00AF27A9"/>
    <w:rsid w:val="00AF2CF1"/>
    <w:rsid w:val="00AF2D32"/>
    <w:rsid w:val="00AF360B"/>
    <w:rsid w:val="00AF48FB"/>
    <w:rsid w:val="00AF641C"/>
    <w:rsid w:val="00AF66E6"/>
    <w:rsid w:val="00AF7D2E"/>
    <w:rsid w:val="00B00624"/>
    <w:rsid w:val="00B015E3"/>
    <w:rsid w:val="00B1002E"/>
    <w:rsid w:val="00B13479"/>
    <w:rsid w:val="00B22A79"/>
    <w:rsid w:val="00B22D45"/>
    <w:rsid w:val="00B260AF"/>
    <w:rsid w:val="00B31398"/>
    <w:rsid w:val="00B32385"/>
    <w:rsid w:val="00B37D85"/>
    <w:rsid w:val="00B41A2D"/>
    <w:rsid w:val="00B41FA8"/>
    <w:rsid w:val="00B43E3E"/>
    <w:rsid w:val="00B44ABC"/>
    <w:rsid w:val="00B45404"/>
    <w:rsid w:val="00B45C43"/>
    <w:rsid w:val="00B46566"/>
    <w:rsid w:val="00B465D6"/>
    <w:rsid w:val="00B4770F"/>
    <w:rsid w:val="00B505E2"/>
    <w:rsid w:val="00B51BDC"/>
    <w:rsid w:val="00B51BEA"/>
    <w:rsid w:val="00B539DE"/>
    <w:rsid w:val="00B53D41"/>
    <w:rsid w:val="00B55968"/>
    <w:rsid w:val="00B566D9"/>
    <w:rsid w:val="00B60E0C"/>
    <w:rsid w:val="00B61516"/>
    <w:rsid w:val="00B6161E"/>
    <w:rsid w:val="00B62657"/>
    <w:rsid w:val="00B65BA0"/>
    <w:rsid w:val="00B6659E"/>
    <w:rsid w:val="00B7406C"/>
    <w:rsid w:val="00B75517"/>
    <w:rsid w:val="00B763EA"/>
    <w:rsid w:val="00B80202"/>
    <w:rsid w:val="00B82CE2"/>
    <w:rsid w:val="00B82D7E"/>
    <w:rsid w:val="00B83BAD"/>
    <w:rsid w:val="00B84587"/>
    <w:rsid w:val="00B84903"/>
    <w:rsid w:val="00B854CC"/>
    <w:rsid w:val="00B93AD9"/>
    <w:rsid w:val="00B9700A"/>
    <w:rsid w:val="00B97CF9"/>
    <w:rsid w:val="00B97E0D"/>
    <w:rsid w:val="00BA0664"/>
    <w:rsid w:val="00BA282A"/>
    <w:rsid w:val="00BA2E49"/>
    <w:rsid w:val="00BA2F5B"/>
    <w:rsid w:val="00BA4082"/>
    <w:rsid w:val="00BA4B09"/>
    <w:rsid w:val="00BA591D"/>
    <w:rsid w:val="00BB0122"/>
    <w:rsid w:val="00BB07FC"/>
    <w:rsid w:val="00BB099F"/>
    <w:rsid w:val="00BB307D"/>
    <w:rsid w:val="00BB5895"/>
    <w:rsid w:val="00BB74A5"/>
    <w:rsid w:val="00BB75AF"/>
    <w:rsid w:val="00BC0C2C"/>
    <w:rsid w:val="00BC195E"/>
    <w:rsid w:val="00BC261C"/>
    <w:rsid w:val="00BC34B3"/>
    <w:rsid w:val="00BC40EC"/>
    <w:rsid w:val="00BC496E"/>
    <w:rsid w:val="00BC4FA2"/>
    <w:rsid w:val="00BC5DD5"/>
    <w:rsid w:val="00BD31D0"/>
    <w:rsid w:val="00BD3764"/>
    <w:rsid w:val="00BD5387"/>
    <w:rsid w:val="00BD7ECC"/>
    <w:rsid w:val="00BE2385"/>
    <w:rsid w:val="00BE32DE"/>
    <w:rsid w:val="00BE4424"/>
    <w:rsid w:val="00BE4680"/>
    <w:rsid w:val="00BE5341"/>
    <w:rsid w:val="00BE5D13"/>
    <w:rsid w:val="00BE7C01"/>
    <w:rsid w:val="00BE7E9F"/>
    <w:rsid w:val="00BF1ADD"/>
    <w:rsid w:val="00BF2EF2"/>
    <w:rsid w:val="00BF2FC2"/>
    <w:rsid w:val="00BF381D"/>
    <w:rsid w:val="00BF3E8E"/>
    <w:rsid w:val="00BF542A"/>
    <w:rsid w:val="00BF5C75"/>
    <w:rsid w:val="00BF68EE"/>
    <w:rsid w:val="00BF69D8"/>
    <w:rsid w:val="00BF77DF"/>
    <w:rsid w:val="00BF79FE"/>
    <w:rsid w:val="00C001D3"/>
    <w:rsid w:val="00C007BA"/>
    <w:rsid w:val="00C00A9C"/>
    <w:rsid w:val="00C01BB5"/>
    <w:rsid w:val="00C048EF"/>
    <w:rsid w:val="00C063A1"/>
    <w:rsid w:val="00C07899"/>
    <w:rsid w:val="00C113F3"/>
    <w:rsid w:val="00C15011"/>
    <w:rsid w:val="00C15065"/>
    <w:rsid w:val="00C15285"/>
    <w:rsid w:val="00C213D1"/>
    <w:rsid w:val="00C2295C"/>
    <w:rsid w:val="00C2477F"/>
    <w:rsid w:val="00C30A17"/>
    <w:rsid w:val="00C31F9D"/>
    <w:rsid w:val="00C33442"/>
    <w:rsid w:val="00C3373F"/>
    <w:rsid w:val="00C33F6F"/>
    <w:rsid w:val="00C35A93"/>
    <w:rsid w:val="00C40711"/>
    <w:rsid w:val="00C40C63"/>
    <w:rsid w:val="00C41427"/>
    <w:rsid w:val="00C41571"/>
    <w:rsid w:val="00C43493"/>
    <w:rsid w:val="00C44DCF"/>
    <w:rsid w:val="00C468BD"/>
    <w:rsid w:val="00C50DBF"/>
    <w:rsid w:val="00C540CC"/>
    <w:rsid w:val="00C55759"/>
    <w:rsid w:val="00C55E01"/>
    <w:rsid w:val="00C56D16"/>
    <w:rsid w:val="00C62970"/>
    <w:rsid w:val="00C727C3"/>
    <w:rsid w:val="00C748C2"/>
    <w:rsid w:val="00C74BA9"/>
    <w:rsid w:val="00C7580C"/>
    <w:rsid w:val="00C76B4F"/>
    <w:rsid w:val="00C77CF4"/>
    <w:rsid w:val="00C81DDE"/>
    <w:rsid w:val="00C83FA4"/>
    <w:rsid w:val="00C86B11"/>
    <w:rsid w:val="00C86C43"/>
    <w:rsid w:val="00C86EA7"/>
    <w:rsid w:val="00C86FB2"/>
    <w:rsid w:val="00C873D9"/>
    <w:rsid w:val="00C912FB"/>
    <w:rsid w:val="00C92BAA"/>
    <w:rsid w:val="00C93EEC"/>
    <w:rsid w:val="00C9417E"/>
    <w:rsid w:val="00C94D20"/>
    <w:rsid w:val="00C967CA"/>
    <w:rsid w:val="00C97186"/>
    <w:rsid w:val="00CA040E"/>
    <w:rsid w:val="00CA2FDE"/>
    <w:rsid w:val="00CA33EC"/>
    <w:rsid w:val="00CA429C"/>
    <w:rsid w:val="00CA62FA"/>
    <w:rsid w:val="00CA6A71"/>
    <w:rsid w:val="00CA6D27"/>
    <w:rsid w:val="00CB0403"/>
    <w:rsid w:val="00CB1003"/>
    <w:rsid w:val="00CB4711"/>
    <w:rsid w:val="00CB49F1"/>
    <w:rsid w:val="00CB659D"/>
    <w:rsid w:val="00CB66E1"/>
    <w:rsid w:val="00CB7A06"/>
    <w:rsid w:val="00CB7AFB"/>
    <w:rsid w:val="00CC08C3"/>
    <w:rsid w:val="00CC0F7B"/>
    <w:rsid w:val="00CC1226"/>
    <w:rsid w:val="00CC160E"/>
    <w:rsid w:val="00CC3062"/>
    <w:rsid w:val="00CC42CC"/>
    <w:rsid w:val="00CD0F2D"/>
    <w:rsid w:val="00CD1568"/>
    <w:rsid w:val="00CD53FC"/>
    <w:rsid w:val="00CD54FB"/>
    <w:rsid w:val="00CD6895"/>
    <w:rsid w:val="00CD7BE9"/>
    <w:rsid w:val="00CD7C3C"/>
    <w:rsid w:val="00CE0083"/>
    <w:rsid w:val="00CE0435"/>
    <w:rsid w:val="00CE272B"/>
    <w:rsid w:val="00CE3301"/>
    <w:rsid w:val="00CE52B3"/>
    <w:rsid w:val="00CE56DF"/>
    <w:rsid w:val="00CE5C4D"/>
    <w:rsid w:val="00CE62AE"/>
    <w:rsid w:val="00CF0525"/>
    <w:rsid w:val="00CF2E35"/>
    <w:rsid w:val="00CF3181"/>
    <w:rsid w:val="00CF3C1B"/>
    <w:rsid w:val="00CF767D"/>
    <w:rsid w:val="00D01708"/>
    <w:rsid w:val="00D01D38"/>
    <w:rsid w:val="00D03B5C"/>
    <w:rsid w:val="00D05FF5"/>
    <w:rsid w:val="00D06CB1"/>
    <w:rsid w:val="00D10025"/>
    <w:rsid w:val="00D142DF"/>
    <w:rsid w:val="00D159C4"/>
    <w:rsid w:val="00D15E55"/>
    <w:rsid w:val="00D178A8"/>
    <w:rsid w:val="00D21CEF"/>
    <w:rsid w:val="00D227C1"/>
    <w:rsid w:val="00D2582C"/>
    <w:rsid w:val="00D25ADF"/>
    <w:rsid w:val="00D25D7B"/>
    <w:rsid w:val="00D27C1F"/>
    <w:rsid w:val="00D343C2"/>
    <w:rsid w:val="00D34A62"/>
    <w:rsid w:val="00D34BF2"/>
    <w:rsid w:val="00D34FD8"/>
    <w:rsid w:val="00D36967"/>
    <w:rsid w:val="00D40395"/>
    <w:rsid w:val="00D40489"/>
    <w:rsid w:val="00D40CED"/>
    <w:rsid w:val="00D40D21"/>
    <w:rsid w:val="00D40DEA"/>
    <w:rsid w:val="00D44877"/>
    <w:rsid w:val="00D44AA1"/>
    <w:rsid w:val="00D4685C"/>
    <w:rsid w:val="00D46FD6"/>
    <w:rsid w:val="00D47103"/>
    <w:rsid w:val="00D4713C"/>
    <w:rsid w:val="00D50BD1"/>
    <w:rsid w:val="00D52FA8"/>
    <w:rsid w:val="00D53B11"/>
    <w:rsid w:val="00D54540"/>
    <w:rsid w:val="00D54F33"/>
    <w:rsid w:val="00D5555D"/>
    <w:rsid w:val="00D5583E"/>
    <w:rsid w:val="00D559C5"/>
    <w:rsid w:val="00D56991"/>
    <w:rsid w:val="00D5737C"/>
    <w:rsid w:val="00D57852"/>
    <w:rsid w:val="00D57A20"/>
    <w:rsid w:val="00D6175C"/>
    <w:rsid w:val="00D629F2"/>
    <w:rsid w:val="00D64536"/>
    <w:rsid w:val="00D649BC"/>
    <w:rsid w:val="00D662A0"/>
    <w:rsid w:val="00D669AA"/>
    <w:rsid w:val="00D739A9"/>
    <w:rsid w:val="00D73AEC"/>
    <w:rsid w:val="00D7474C"/>
    <w:rsid w:val="00D75FED"/>
    <w:rsid w:val="00D83875"/>
    <w:rsid w:val="00D863D2"/>
    <w:rsid w:val="00D86C38"/>
    <w:rsid w:val="00D872DE"/>
    <w:rsid w:val="00D92359"/>
    <w:rsid w:val="00D9235C"/>
    <w:rsid w:val="00D923F3"/>
    <w:rsid w:val="00D92DBB"/>
    <w:rsid w:val="00D931AC"/>
    <w:rsid w:val="00D9428D"/>
    <w:rsid w:val="00D95D4A"/>
    <w:rsid w:val="00D96E48"/>
    <w:rsid w:val="00D972B1"/>
    <w:rsid w:val="00D97734"/>
    <w:rsid w:val="00D97F80"/>
    <w:rsid w:val="00DA01A3"/>
    <w:rsid w:val="00DA05CA"/>
    <w:rsid w:val="00DA093F"/>
    <w:rsid w:val="00DA0AC5"/>
    <w:rsid w:val="00DA5729"/>
    <w:rsid w:val="00DA5E4F"/>
    <w:rsid w:val="00DA67EF"/>
    <w:rsid w:val="00DA6FC7"/>
    <w:rsid w:val="00DA701D"/>
    <w:rsid w:val="00DA7AFB"/>
    <w:rsid w:val="00DA7C69"/>
    <w:rsid w:val="00DB2E6B"/>
    <w:rsid w:val="00DB3494"/>
    <w:rsid w:val="00DB4A96"/>
    <w:rsid w:val="00DB4B7D"/>
    <w:rsid w:val="00DC0193"/>
    <w:rsid w:val="00DC0AE9"/>
    <w:rsid w:val="00DC257B"/>
    <w:rsid w:val="00DC2AA9"/>
    <w:rsid w:val="00DC4C41"/>
    <w:rsid w:val="00DC5A64"/>
    <w:rsid w:val="00DC645C"/>
    <w:rsid w:val="00DD0318"/>
    <w:rsid w:val="00DD0B87"/>
    <w:rsid w:val="00DD2224"/>
    <w:rsid w:val="00DD3074"/>
    <w:rsid w:val="00DD30AA"/>
    <w:rsid w:val="00DD36E6"/>
    <w:rsid w:val="00DD37AC"/>
    <w:rsid w:val="00DD4609"/>
    <w:rsid w:val="00DD7B6D"/>
    <w:rsid w:val="00DE18C3"/>
    <w:rsid w:val="00DE24B8"/>
    <w:rsid w:val="00DE27E9"/>
    <w:rsid w:val="00DE7BB3"/>
    <w:rsid w:val="00DF1E8F"/>
    <w:rsid w:val="00DF3470"/>
    <w:rsid w:val="00DF3FBD"/>
    <w:rsid w:val="00DF7FEB"/>
    <w:rsid w:val="00E013D5"/>
    <w:rsid w:val="00E016B7"/>
    <w:rsid w:val="00E0570F"/>
    <w:rsid w:val="00E07D47"/>
    <w:rsid w:val="00E109A5"/>
    <w:rsid w:val="00E10CE3"/>
    <w:rsid w:val="00E1246F"/>
    <w:rsid w:val="00E13118"/>
    <w:rsid w:val="00E13DA4"/>
    <w:rsid w:val="00E13EBD"/>
    <w:rsid w:val="00E17C9F"/>
    <w:rsid w:val="00E202F4"/>
    <w:rsid w:val="00E20398"/>
    <w:rsid w:val="00E205BA"/>
    <w:rsid w:val="00E210FE"/>
    <w:rsid w:val="00E253EA"/>
    <w:rsid w:val="00E301A5"/>
    <w:rsid w:val="00E3614C"/>
    <w:rsid w:val="00E371C8"/>
    <w:rsid w:val="00E40A6C"/>
    <w:rsid w:val="00E40BF5"/>
    <w:rsid w:val="00E432F5"/>
    <w:rsid w:val="00E44E50"/>
    <w:rsid w:val="00E45366"/>
    <w:rsid w:val="00E511A0"/>
    <w:rsid w:val="00E53DD6"/>
    <w:rsid w:val="00E54DD0"/>
    <w:rsid w:val="00E55DF2"/>
    <w:rsid w:val="00E5618A"/>
    <w:rsid w:val="00E56819"/>
    <w:rsid w:val="00E570E8"/>
    <w:rsid w:val="00E5753C"/>
    <w:rsid w:val="00E6063A"/>
    <w:rsid w:val="00E65978"/>
    <w:rsid w:val="00E65B69"/>
    <w:rsid w:val="00E67A2D"/>
    <w:rsid w:val="00E749F0"/>
    <w:rsid w:val="00E75715"/>
    <w:rsid w:val="00E76BE8"/>
    <w:rsid w:val="00E82596"/>
    <w:rsid w:val="00E833E7"/>
    <w:rsid w:val="00E939A9"/>
    <w:rsid w:val="00E93E6B"/>
    <w:rsid w:val="00E9539B"/>
    <w:rsid w:val="00EA014C"/>
    <w:rsid w:val="00EA0226"/>
    <w:rsid w:val="00EA287A"/>
    <w:rsid w:val="00EA2C69"/>
    <w:rsid w:val="00EA2C7B"/>
    <w:rsid w:val="00EA330F"/>
    <w:rsid w:val="00EA3913"/>
    <w:rsid w:val="00EA492C"/>
    <w:rsid w:val="00EA546F"/>
    <w:rsid w:val="00EB2A2E"/>
    <w:rsid w:val="00EB2A90"/>
    <w:rsid w:val="00EB2CEA"/>
    <w:rsid w:val="00EB39C6"/>
    <w:rsid w:val="00EB4577"/>
    <w:rsid w:val="00EB4672"/>
    <w:rsid w:val="00EB7C38"/>
    <w:rsid w:val="00EC192C"/>
    <w:rsid w:val="00EC1D0C"/>
    <w:rsid w:val="00EC3CE3"/>
    <w:rsid w:val="00EC3F04"/>
    <w:rsid w:val="00EC4084"/>
    <w:rsid w:val="00EC6C95"/>
    <w:rsid w:val="00ED0B7F"/>
    <w:rsid w:val="00ED2ECA"/>
    <w:rsid w:val="00ED3065"/>
    <w:rsid w:val="00ED34D4"/>
    <w:rsid w:val="00ED45F2"/>
    <w:rsid w:val="00ED6BCA"/>
    <w:rsid w:val="00EE0020"/>
    <w:rsid w:val="00EE0128"/>
    <w:rsid w:val="00EE0CF4"/>
    <w:rsid w:val="00EE0FEF"/>
    <w:rsid w:val="00EE1B7B"/>
    <w:rsid w:val="00EE1C9E"/>
    <w:rsid w:val="00EE75AF"/>
    <w:rsid w:val="00EE7A56"/>
    <w:rsid w:val="00EE7EFB"/>
    <w:rsid w:val="00EF2E52"/>
    <w:rsid w:val="00EF3B15"/>
    <w:rsid w:val="00EF45E5"/>
    <w:rsid w:val="00EF4832"/>
    <w:rsid w:val="00EF4BC6"/>
    <w:rsid w:val="00EF6574"/>
    <w:rsid w:val="00EF69A0"/>
    <w:rsid w:val="00EF78D5"/>
    <w:rsid w:val="00EF7CD8"/>
    <w:rsid w:val="00EF7FF3"/>
    <w:rsid w:val="00F03A3A"/>
    <w:rsid w:val="00F044D3"/>
    <w:rsid w:val="00F066BF"/>
    <w:rsid w:val="00F10C04"/>
    <w:rsid w:val="00F10FEA"/>
    <w:rsid w:val="00F11255"/>
    <w:rsid w:val="00F11498"/>
    <w:rsid w:val="00F11C72"/>
    <w:rsid w:val="00F156B4"/>
    <w:rsid w:val="00F15772"/>
    <w:rsid w:val="00F2131E"/>
    <w:rsid w:val="00F22381"/>
    <w:rsid w:val="00F24F51"/>
    <w:rsid w:val="00F276D3"/>
    <w:rsid w:val="00F30D12"/>
    <w:rsid w:val="00F33841"/>
    <w:rsid w:val="00F3468F"/>
    <w:rsid w:val="00F348C4"/>
    <w:rsid w:val="00F41228"/>
    <w:rsid w:val="00F413EE"/>
    <w:rsid w:val="00F42493"/>
    <w:rsid w:val="00F44E85"/>
    <w:rsid w:val="00F4543B"/>
    <w:rsid w:val="00F46053"/>
    <w:rsid w:val="00F46CDD"/>
    <w:rsid w:val="00F470B1"/>
    <w:rsid w:val="00F470C9"/>
    <w:rsid w:val="00F506B7"/>
    <w:rsid w:val="00F50C80"/>
    <w:rsid w:val="00F5748F"/>
    <w:rsid w:val="00F6047D"/>
    <w:rsid w:val="00F6425E"/>
    <w:rsid w:val="00F651C3"/>
    <w:rsid w:val="00F66195"/>
    <w:rsid w:val="00F70596"/>
    <w:rsid w:val="00F7068F"/>
    <w:rsid w:val="00F752FE"/>
    <w:rsid w:val="00F7663E"/>
    <w:rsid w:val="00F800F8"/>
    <w:rsid w:val="00F82570"/>
    <w:rsid w:val="00F84DCA"/>
    <w:rsid w:val="00F862CB"/>
    <w:rsid w:val="00F86D96"/>
    <w:rsid w:val="00F90F96"/>
    <w:rsid w:val="00F913A7"/>
    <w:rsid w:val="00F92BED"/>
    <w:rsid w:val="00F95BE2"/>
    <w:rsid w:val="00F967D5"/>
    <w:rsid w:val="00F9724E"/>
    <w:rsid w:val="00FA145B"/>
    <w:rsid w:val="00FA1612"/>
    <w:rsid w:val="00FB12F1"/>
    <w:rsid w:val="00FB1F12"/>
    <w:rsid w:val="00FB475F"/>
    <w:rsid w:val="00FB54FA"/>
    <w:rsid w:val="00FB65E5"/>
    <w:rsid w:val="00FB7A2A"/>
    <w:rsid w:val="00FC0646"/>
    <w:rsid w:val="00FC2A5D"/>
    <w:rsid w:val="00FC30C6"/>
    <w:rsid w:val="00FC39F7"/>
    <w:rsid w:val="00FC3A2C"/>
    <w:rsid w:val="00FC63C7"/>
    <w:rsid w:val="00FC7146"/>
    <w:rsid w:val="00FC76A2"/>
    <w:rsid w:val="00FD11ED"/>
    <w:rsid w:val="00FD1414"/>
    <w:rsid w:val="00FD40B4"/>
    <w:rsid w:val="00FD5F9B"/>
    <w:rsid w:val="00FE1B44"/>
    <w:rsid w:val="00FE4758"/>
    <w:rsid w:val="00FE5296"/>
    <w:rsid w:val="00FF21A6"/>
    <w:rsid w:val="00FF4901"/>
    <w:rsid w:val="00FF4D46"/>
    <w:rsid w:val="00FF6B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C2E2"/>
  <w15:docId w15:val="{ADBB7A54-DCD5-4A6D-9763-E60F52F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14"/>
    <w:pPr>
      <w:jc w:val="both"/>
    </w:pPr>
    <w:rPr>
      <w:sz w:val="24"/>
      <w:lang w:val="en-GB" w:eastAsia="en-AU"/>
    </w:rPr>
  </w:style>
  <w:style w:type="paragraph" w:styleId="Heading1">
    <w:name w:val="heading 1"/>
    <w:basedOn w:val="Normal"/>
    <w:next w:val="Normal"/>
    <w:link w:val="Heading1Char"/>
    <w:qFormat/>
    <w:rsid w:val="00815526"/>
    <w:pPr>
      <w:keepNext/>
      <w:pBdr>
        <w:bottom w:val="single" w:sz="4" w:space="1" w:color="auto"/>
      </w:pBdr>
      <w:jc w:val="left"/>
      <w:outlineLvl w:val="0"/>
    </w:pPr>
    <w:rPr>
      <w:rFonts w:ascii="Times New Roman Bold" w:hAnsi="Times New Roman Bold"/>
      <w:b/>
      <w:sz w:val="28"/>
      <w:szCs w:val="28"/>
      <w:lang w:val="en-NZ"/>
    </w:rPr>
  </w:style>
  <w:style w:type="paragraph" w:styleId="Heading2">
    <w:name w:val="heading 2"/>
    <w:basedOn w:val="Normal"/>
    <w:next w:val="Normal"/>
    <w:link w:val="Heading2Char"/>
    <w:qFormat/>
    <w:rsid w:val="002C3D5F"/>
    <w:pPr>
      <w:outlineLvl w:val="1"/>
    </w:pPr>
    <w:rPr>
      <w:b/>
      <w:sz w:val="26"/>
    </w:rPr>
  </w:style>
  <w:style w:type="paragraph" w:styleId="Heading3">
    <w:name w:val="heading 3"/>
    <w:basedOn w:val="Normal"/>
    <w:next w:val="Normal"/>
    <w:link w:val="Heading3Char"/>
    <w:qFormat/>
    <w:rsid w:val="00B45C43"/>
    <w:pPr>
      <w:outlineLvl w:val="2"/>
    </w:pPr>
    <w:rPr>
      <w:b/>
      <w:i/>
    </w:rPr>
  </w:style>
  <w:style w:type="paragraph" w:styleId="Heading4">
    <w:name w:val="heading 4"/>
    <w:basedOn w:val="Heading3"/>
    <w:next w:val="Normal"/>
    <w:qFormat/>
    <w:rsid w:val="003E7C3D"/>
    <w:pPr>
      <w:outlineLvl w:val="3"/>
    </w:pPr>
    <w:rPr>
      <w:b w:val="0"/>
    </w:rPr>
  </w:style>
  <w:style w:type="paragraph" w:styleId="Heading5">
    <w:name w:val="heading 5"/>
    <w:basedOn w:val="Normal"/>
    <w:next w:val="Normal"/>
    <w:rsid w:val="00725975"/>
    <w:pPr>
      <w:spacing w:before="240" w:after="60"/>
      <w:outlineLvl w:val="4"/>
    </w:pPr>
    <w:rPr>
      <w:b/>
      <w:bCs/>
      <w:i/>
      <w:iCs/>
      <w:sz w:val="26"/>
      <w:szCs w:val="26"/>
    </w:rPr>
  </w:style>
  <w:style w:type="paragraph" w:styleId="Heading6">
    <w:name w:val="heading 6"/>
    <w:basedOn w:val="Normal"/>
    <w:next w:val="Normal"/>
    <w:rsid w:val="00725975"/>
    <w:pPr>
      <w:spacing w:before="240" w:after="60"/>
      <w:outlineLvl w:val="5"/>
    </w:pPr>
    <w:rPr>
      <w:b/>
      <w:bCs/>
      <w:sz w:val="22"/>
      <w:szCs w:val="22"/>
    </w:rPr>
  </w:style>
  <w:style w:type="paragraph" w:styleId="Heading7">
    <w:name w:val="heading 7"/>
    <w:basedOn w:val="Normal"/>
    <w:next w:val="Normal"/>
    <w:rsid w:val="00725975"/>
    <w:pPr>
      <w:spacing w:before="240" w:after="60"/>
      <w:outlineLvl w:val="6"/>
    </w:pPr>
    <w:rPr>
      <w:szCs w:val="24"/>
    </w:rPr>
  </w:style>
  <w:style w:type="paragraph" w:styleId="Heading8">
    <w:name w:val="heading 8"/>
    <w:basedOn w:val="Normal"/>
    <w:next w:val="Normal"/>
    <w:rsid w:val="00725975"/>
    <w:pPr>
      <w:spacing w:before="240" w:after="60"/>
      <w:outlineLvl w:val="7"/>
    </w:pPr>
    <w:rPr>
      <w:i/>
      <w:iCs/>
      <w:szCs w:val="24"/>
    </w:rPr>
  </w:style>
  <w:style w:type="paragraph" w:styleId="Heading9">
    <w:name w:val="heading 9"/>
    <w:basedOn w:val="Normal"/>
    <w:next w:val="Normal"/>
    <w:rsid w:val="007259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975"/>
    <w:pPr>
      <w:spacing w:before="100" w:beforeAutospacing="1" w:after="100" w:afterAutospacing="1"/>
    </w:pPr>
    <w:rPr>
      <w:rFonts w:ascii="Verdana" w:hAnsi="Verdana"/>
      <w:sz w:val="27"/>
      <w:szCs w:val="27"/>
      <w:lang w:val="en-AU"/>
    </w:rPr>
  </w:style>
  <w:style w:type="character" w:styleId="Hyperlink">
    <w:name w:val="Hyperlink"/>
    <w:basedOn w:val="DefaultParagraphFont"/>
    <w:uiPriority w:val="99"/>
    <w:rsid w:val="00725975"/>
    <w:rPr>
      <w:color w:val="auto"/>
    </w:rPr>
  </w:style>
  <w:style w:type="paragraph" w:styleId="FootnoteText">
    <w:name w:val="footnote text"/>
    <w:basedOn w:val="Normal"/>
    <w:semiHidden/>
    <w:rsid w:val="00725975"/>
    <w:pPr>
      <w:jc w:val="left"/>
    </w:pPr>
    <w:rPr>
      <w:rFonts w:eastAsia="MS Mincho"/>
      <w:sz w:val="18"/>
      <w:szCs w:val="18"/>
      <w:lang w:val="en-NZ" w:eastAsia="ja-JP"/>
    </w:rPr>
  </w:style>
  <w:style w:type="character" w:styleId="FootnoteReference">
    <w:name w:val="footnote reference"/>
    <w:basedOn w:val="DefaultParagraphFont"/>
    <w:semiHidden/>
    <w:rsid w:val="00725975"/>
    <w:rPr>
      <w:rFonts w:ascii="Times New Roman" w:hAnsi="Times New Roman"/>
      <w:sz w:val="18"/>
      <w:szCs w:val="18"/>
      <w:vertAlign w:val="superscript"/>
    </w:rPr>
  </w:style>
  <w:style w:type="table" w:styleId="TableGrid">
    <w:name w:val="Table Grid"/>
    <w:basedOn w:val="TableNormal"/>
    <w:rsid w:val="0072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qFormat/>
    <w:rsid w:val="008F12F0"/>
    <w:pPr>
      <w:numPr>
        <w:numId w:val="15"/>
      </w:numPr>
      <w:tabs>
        <w:tab w:val="left" w:pos="1985"/>
      </w:tabs>
      <w:ind w:left="1985" w:hanging="567"/>
    </w:pPr>
    <w:rPr>
      <w:sz w:val="24"/>
      <w:lang w:eastAsia="en-AU"/>
    </w:rPr>
  </w:style>
  <w:style w:type="paragraph" w:styleId="Header">
    <w:name w:val="header"/>
    <w:basedOn w:val="Normal"/>
    <w:rsid w:val="00725975"/>
    <w:pPr>
      <w:tabs>
        <w:tab w:val="center" w:pos="4153"/>
        <w:tab w:val="right" w:pos="8306"/>
      </w:tabs>
    </w:pPr>
  </w:style>
  <w:style w:type="paragraph" w:styleId="Footer">
    <w:name w:val="footer"/>
    <w:basedOn w:val="Normal"/>
    <w:link w:val="FooterChar"/>
    <w:uiPriority w:val="99"/>
    <w:rsid w:val="00725975"/>
    <w:pPr>
      <w:tabs>
        <w:tab w:val="center" w:pos="4153"/>
        <w:tab w:val="right" w:pos="8306"/>
      </w:tabs>
    </w:pPr>
  </w:style>
  <w:style w:type="character" w:styleId="PageNumber">
    <w:name w:val="page number"/>
    <w:basedOn w:val="DefaultParagraphFont"/>
    <w:rsid w:val="0003164B"/>
    <w:rPr>
      <w:sz w:val="22"/>
      <w:szCs w:val="22"/>
    </w:rPr>
  </w:style>
  <w:style w:type="paragraph" w:styleId="BalloonText">
    <w:name w:val="Balloon Text"/>
    <w:basedOn w:val="Normal"/>
    <w:semiHidden/>
    <w:rsid w:val="00725975"/>
    <w:rPr>
      <w:rFonts w:ascii="Tahoma" w:hAnsi="Tahoma" w:cs="Tahoma"/>
      <w:sz w:val="16"/>
      <w:szCs w:val="16"/>
    </w:rPr>
  </w:style>
  <w:style w:type="character" w:styleId="CommentReference">
    <w:name w:val="annotation reference"/>
    <w:basedOn w:val="DefaultParagraphFont"/>
    <w:semiHidden/>
    <w:rsid w:val="00725975"/>
    <w:rPr>
      <w:sz w:val="16"/>
      <w:szCs w:val="16"/>
    </w:rPr>
  </w:style>
  <w:style w:type="paragraph" w:styleId="CommentText">
    <w:name w:val="annotation text"/>
    <w:basedOn w:val="Normal"/>
    <w:semiHidden/>
    <w:rsid w:val="00725975"/>
  </w:style>
  <w:style w:type="paragraph" w:styleId="CommentSubject">
    <w:name w:val="annotation subject"/>
    <w:basedOn w:val="CommentText"/>
    <w:next w:val="CommentText"/>
    <w:semiHidden/>
    <w:rsid w:val="000E3A50"/>
    <w:rPr>
      <w:b/>
      <w:bCs/>
    </w:rPr>
  </w:style>
  <w:style w:type="paragraph" w:customStyle="1" w:styleId="Chapter7">
    <w:name w:val="Chapter 7"/>
    <w:link w:val="Chapter7Char"/>
    <w:rsid w:val="00ED0B7F"/>
    <w:pPr>
      <w:numPr>
        <w:numId w:val="11"/>
      </w:numPr>
      <w:tabs>
        <w:tab w:val="clear" w:pos="567"/>
        <w:tab w:val="num" w:pos="851"/>
      </w:tabs>
      <w:ind w:left="851" w:hanging="851"/>
      <w:jc w:val="both"/>
    </w:pPr>
    <w:rPr>
      <w:sz w:val="24"/>
      <w:szCs w:val="24"/>
      <w:lang w:eastAsia="en-AU"/>
    </w:rPr>
  </w:style>
  <w:style w:type="character" w:customStyle="1" w:styleId="Chapter7Char">
    <w:name w:val="Chapter 7 Char"/>
    <w:link w:val="Chapter7"/>
    <w:rsid w:val="00ED0B7F"/>
    <w:rPr>
      <w:sz w:val="24"/>
      <w:szCs w:val="24"/>
      <w:lang w:eastAsia="en-AU"/>
    </w:rPr>
  </w:style>
  <w:style w:type="paragraph" w:customStyle="1" w:styleId="Chapter8">
    <w:name w:val="Chapter 8"/>
    <w:link w:val="Chapter8Char"/>
    <w:rsid w:val="00ED0B7F"/>
    <w:pPr>
      <w:numPr>
        <w:numId w:val="12"/>
      </w:numPr>
      <w:ind w:left="851" w:hanging="851"/>
      <w:jc w:val="both"/>
    </w:pPr>
    <w:rPr>
      <w:sz w:val="24"/>
      <w:szCs w:val="24"/>
      <w:lang w:eastAsia="en-AU"/>
    </w:rPr>
  </w:style>
  <w:style w:type="character" w:customStyle="1" w:styleId="Chapter8Char">
    <w:name w:val="Chapter 8 Char"/>
    <w:basedOn w:val="DefaultParagraphFont"/>
    <w:link w:val="Chapter8"/>
    <w:rsid w:val="00ED0B7F"/>
    <w:rPr>
      <w:sz w:val="24"/>
      <w:szCs w:val="24"/>
      <w:lang w:eastAsia="en-AU"/>
    </w:rPr>
  </w:style>
  <w:style w:type="paragraph" w:customStyle="1" w:styleId="Chapter9">
    <w:name w:val="Chapter 9"/>
    <w:link w:val="Chapter9Char"/>
    <w:rsid w:val="00ED0B7F"/>
    <w:pPr>
      <w:numPr>
        <w:numId w:val="4"/>
      </w:numPr>
      <w:tabs>
        <w:tab w:val="clear" w:pos="567"/>
        <w:tab w:val="num" w:pos="851"/>
      </w:tabs>
      <w:ind w:left="851" w:hanging="851"/>
      <w:jc w:val="both"/>
    </w:pPr>
    <w:rPr>
      <w:sz w:val="24"/>
      <w:szCs w:val="24"/>
      <w:lang w:eastAsia="en-AU"/>
    </w:rPr>
  </w:style>
  <w:style w:type="character" w:customStyle="1" w:styleId="Chapter9Char">
    <w:name w:val="Chapter 9 Char"/>
    <w:basedOn w:val="DefaultParagraphFont"/>
    <w:link w:val="Chapter9"/>
    <w:rsid w:val="00ED0B7F"/>
    <w:rPr>
      <w:sz w:val="24"/>
      <w:szCs w:val="24"/>
      <w:lang w:eastAsia="en-AU"/>
    </w:rPr>
  </w:style>
  <w:style w:type="paragraph" w:customStyle="1" w:styleId="Chapter10">
    <w:name w:val="Chapter10"/>
    <w:basedOn w:val="Normal"/>
    <w:rsid w:val="00311DBB"/>
    <w:pPr>
      <w:numPr>
        <w:numId w:val="1"/>
      </w:numPr>
      <w:ind w:left="851" w:hanging="851"/>
    </w:pPr>
  </w:style>
  <w:style w:type="paragraph" w:customStyle="1" w:styleId="Chapter11">
    <w:name w:val="Chapter11"/>
    <w:basedOn w:val="Normal"/>
    <w:rsid w:val="00C97186"/>
    <w:pPr>
      <w:numPr>
        <w:numId w:val="13"/>
      </w:numPr>
      <w:ind w:left="851" w:hanging="851"/>
    </w:pPr>
    <w:rPr>
      <w:szCs w:val="24"/>
      <w:lang w:val="en-AU"/>
    </w:rPr>
  </w:style>
  <w:style w:type="paragraph" w:styleId="DocumentMap">
    <w:name w:val="Document Map"/>
    <w:basedOn w:val="Normal"/>
    <w:semiHidden/>
    <w:rsid w:val="00CB7A06"/>
    <w:pPr>
      <w:shd w:val="clear" w:color="auto" w:fill="000080"/>
    </w:pPr>
    <w:rPr>
      <w:rFonts w:ascii="Tahoma" w:hAnsi="Tahoma" w:cs="Tahoma"/>
      <w:sz w:val="20"/>
    </w:rPr>
  </w:style>
  <w:style w:type="paragraph" w:customStyle="1" w:styleId="Chapter1">
    <w:name w:val="Chapter 1"/>
    <w:link w:val="Chapter1Char1"/>
    <w:qFormat/>
    <w:rsid w:val="006F02AD"/>
    <w:pPr>
      <w:numPr>
        <w:numId w:val="3"/>
      </w:numPr>
      <w:jc w:val="both"/>
    </w:pPr>
    <w:rPr>
      <w:sz w:val="24"/>
      <w:lang w:eastAsia="en-AU"/>
    </w:rPr>
  </w:style>
  <w:style w:type="paragraph" w:customStyle="1" w:styleId="Chapter100">
    <w:name w:val="Chapter 10"/>
    <w:basedOn w:val="Chapter9"/>
    <w:rsid w:val="00725975"/>
    <w:pPr>
      <w:numPr>
        <w:numId w:val="5"/>
      </w:numPr>
      <w:tabs>
        <w:tab w:val="clear" w:pos="567"/>
        <w:tab w:val="num" w:pos="851"/>
      </w:tabs>
      <w:ind w:left="851" w:hanging="851"/>
    </w:pPr>
  </w:style>
  <w:style w:type="paragraph" w:customStyle="1" w:styleId="Chapter2">
    <w:name w:val="Chapter 2"/>
    <w:link w:val="Chapter2Char"/>
    <w:qFormat/>
    <w:rsid w:val="000852A1"/>
    <w:pPr>
      <w:numPr>
        <w:numId w:val="6"/>
      </w:numPr>
      <w:jc w:val="both"/>
    </w:pPr>
    <w:rPr>
      <w:snapToGrid w:val="0"/>
      <w:sz w:val="24"/>
      <w:lang w:eastAsia="en-US"/>
    </w:rPr>
  </w:style>
  <w:style w:type="paragraph" w:customStyle="1" w:styleId="Chapter3">
    <w:name w:val="Chapter 3"/>
    <w:link w:val="Chapter3Char1"/>
    <w:qFormat/>
    <w:rsid w:val="000852A1"/>
    <w:pPr>
      <w:numPr>
        <w:numId w:val="7"/>
      </w:numPr>
      <w:jc w:val="both"/>
    </w:pPr>
    <w:rPr>
      <w:snapToGrid w:val="0"/>
      <w:sz w:val="24"/>
      <w:lang w:eastAsia="en-US"/>
    </w:rPr>
  </w:style>
  <w:style w:type="paragraph" w:customStyle="1" w:styleId="Chapter4">
    <w:name w:val="Chapter 4"/>
    <w:qFormat/>
    <w:rsid w:val="000852A1"/>
    <w:pPr>
      <w:numPr>
        <w:numId w:val="8"/>
      </w:numPr>
      <w:jc w:val="both"/>
    </w:pPr>
    <w:rPr>
      <w:sz w:val="24"/>
      <w:lang w:eastAsia="en-AU"/>
    </w:rPr>
  </w:style>
  <w:style w:type="paragraph" w:customStyle="1" w:styleId="Chapter5">
    <w:name w:val="Chapter 5"/>
    <w:link w:val="Chapter5Char"/>
    <w:rsid w:val="000852A1"/>
    <w:pPr>
      <w:numPr>
        <w:numId w:val="9"/>
      </w:numPr>
      <w:jc w:val="both"/>
    </w:pPr>
    <w:rPr>
      <w:sz w:val="24"/>
      <w:lang w:eastAsia="en-AU"/>
    </w:rPr>
  </w:style>
  <w:style w:type="paragraph" w:customStyle="1" w:styleId="Chapter6">
    <w:name w:val="Chapter 6"/>
    <w:link w:val="Chapter6Char"/>
    <w:rsid w:val="00ED0B7F"/>
    <w:pPr>
      <w:numPr>
        <w:numId w:val="10"/>
      </w:numPr>
      <w:jc w:val="both"/>
    </w:pPr>
    <w:rPr>
      <w:sz w:val="24"/>
      <w:lang w:eastAsia="en-AU"/>
    </w:rPr>
  </w:style>
  <w:style w:type="paragraph" w:customStyle="1" w:styleId="PartHeading">
    <w:name w:val="Part Heading"/>
    <w:basedOn w:val="Normal"/>
    <w:rsid w:val="00725975"/>
    <w:pPr>
      <w:pBdr>
        <w:top w:val="single" w:sz="4" w:space="10" w:color="auto"/>
        <w:bottom w:val="single" w:sz="4" w:space="10" w:color="auto"/>
      </w:pBdr>
      <w:jc w:val="center"/>
    </w:pPr>
    <w:rPr>
      <w:sz w:val="52"/>
      <w:szCs w:val="52"/>
    </w:rPr>
  </w:style>
  <w:style w:type="paragraph" w:styleId="Quote">
    <w:name w:val="Quote"/>
    <w:qFormat/>
    <w:rsid w:val="008F12F0"/>
    <w:pPr>
      <w:ind w:left="1418" w:right="567"/>
      <w:jc w:val="both"/>
    </w:pPr>
    <w:rPr>
      <w:sz w:val="22"/>
      <w:szCs w:val="22"/>
      <w:lang w:eastAsia="en-AU"/>
    </w:rPr>
  </w:style>
  <w:style w:type="paragraph" w:styleId="TOC1">
    <w:name w:val="toc 1"/>
    <w:basedOn w:val="Normal"/>
    <w:next w:val="Normal"/>
    <w:autoRedefine/>
    <w:uiPriority w:val="39"/>
    <w:rsid w:val="006F1307"/>
    <w:pPr>
      <w:tabs>
        <w:tab w:val="left" w:pos="0"/>
        <w:tab w:val="right" w:pos="9638"/>
      </w:tabs>
      <w:spacing w:before="240" w:after="240"/>
      <w:jc w:val="left"/>
    </w:pPr>
    <w:rPr>
      <w:rFonts w:ascii="Times New Roman Bold" w:hAnsi="Times New Roman Bold"/>
      <w:b/>
      <w:noProof/>
      <w:szCs w:val="24"/>
      <w:lang w:val="en-NZ"/>
    </w:rPr>
  </w:style>
  <w:style w:type="paragraph" w:styleId="TOC2">
    <w:name w:val="toc 2"/>
    <w:basedOn w:val="Normal"/>
    <w:next w:val="Normal"/>
    <w:autoRedefine/>
    <w:uiPriority w:val="39"/>
    <w:rsid w:val="002048AD"/>
    <w:pPr>
      <w:tabs>
        <w:tab w:val="left" w:pos="567"/>
        <w:tab w:val="right" w:pos="8301"/>
      </w:tabs>
      <w:spacing w:before="40" w:after="40"/>
      <w:ind w:left="567"/>
      <w:jc w:val="left"/>
    </w:pPr>
    <w:rPr>
      <w:sz w:val="22"/>
      <w:szCs w:val="24"/>
      <w:lang w:val="en-NZ"/>
    </w:rPr>
  </w:style>
  <w:style w:type="paragraph" w:styleId="TOC3">
    <w:name w:val="toc 3"/>
    <w:basedOn w:val="Normal"/>
    <w:next w:val="Normal"/>
    <w:autoRedefine/>
    <w:uiPriority w:val="39"/>
    <w:rsid w:val="002048AD"/>
    <w:pPr>
      <w:tabs>
        <w:tab w:val="right" w:pos="8302"/>
      </w:tabs>
      <w:spacing w:before="20" w:after="20"/>
      <w:ind w:left="1134"/>
    </w:pPr>
    <w:rPr>
      <w:sz w:val="20"/>
      <w:szCs w:val="22"/>
      <w:lang w:val="en-NZ"/>
    </w:rPr>
  </w:style>
  <w:style w:type="numbering" w:customStyle="1" w:styleId="StyleBulletedWingdingssymbol">
    <w:name w:val="Style Bulleted Wingdings (symbol)"/>
    <w:basedOn w:val="NoList"/>
    <w:rsid w:val="00311DBB"/>
    <w:pPr>
      <w:numPr>
        <w:numId w:val="14"/>
      </w:numPr>
    </w:pPr>
  </w:style>
  <w:style w:type="paragraph" w:customStyle="1" w:styleId="Bullets">
    <w:name w:val="Bullets"/>
    <w:basedOn w:val="Normal"/>
    <w:link w:val="BulletsChar"/>
    <w:qFormat/>
    <w:rsid w:val="001627A2"/>
    <w:pPr>
      <w:numPr>
        <w:numId w:val="2"/>
      </w:numPr>
      <w:spacing w:after="140"/>
      <w:ind w:left="567"/>
    </w:pPr>
    <w:rPr>
      <w:lang w:val="en-NZ"/>
    </w:rPr>
  </w:style>
  <w:style w:type="paragraph" w:styleId="TOC4">
    <w:name w:val="toc 4"/>
    <w:basedOn w:val="Normal"/>
    <w:next w:val="Normal"/>
    <w:autoRedefine/>
    <w:semiHidden/>
    <w:rsid w:val="00642F45"/>
    <w:pPr>
      <w:ind w:left="720"/>
      <w:jc w:val="left"/>
    </w:pPr>
    <w:rPr>
      <w:szCs w:val="24"/>
      <w:lang w:val="en-AU"/>
    </w:rPr>
  </w:style>
  <w:style w:type="paragraph" w:styleId="TOC5">
    <w:name w:val="toc 5"/>
    <w:basedOn w:val="Normal"/>
    <w:next w:val="Normal"/>
    <w:autoRedefine/>
    <w:semiHidden/>
    <w:rsid w:val="00642F45"/>
    <w:pPr>
      <w:ind w:left="960"/>
      <w:jc w:val="left"/>
    </w:pPr>
    <w:rPr>
      <w:szCs w:val="24"/>
      <w:lang w:val="en-AU"/>
    </w:rPr>
  </w:style>
  <w:style w:type="paragraph" w:styleId="TOC6">
    <w:name w:val="toc 6"/>
    <w:basedOn w:val="Normal"/>
    <w:next w:val="Normal"/>
    <w:autoRedefine/>
    <w:semiHidden/>
    <w:rsid w:val="00642F45"/>
    <w:pPr>
      <w:ind w:left="1200"/>
      <w:jc w:val="left"/>
    </w:pPr>
    <w:rPr>
      <w:szCs w:val="24"/>
      <w:lang w:val="en-AU"/>
    </w:rPr>
  </w:style>
  <w:style w:type="paragraph" w:styleId="TOC7">
    <w:name w:val="toc 7"/>
    <w:basedOn w:val="Normal"/>
    <w:next w:val="Normal"/>
    <w:autoRedefine/>
    <w:semiHidden/>
    <w:rsid w:val="00642F45"/>
    <w:pPr>
      <w:ind w:left="1440"/>
      <w:jc w:val="left"/>
    </w:pPr>
    <w:rPr>
      <w:szCs w:val="24"/>
      <w:lang w:val="en-AU"/>
    </w:rPr>
  </w:style>
  <w:style w:type="paragraph" w:styleId="TOC8">
    <w:name w:val="toc 8"/>
    <w:basedOn w:val="Normal"/>
    <w:next w:val="Normal"/>
    <w:autoRedefine/>
    <w:semiHidden/>
    <w:rsid w:val="00642F45"/>
    <w:pPr>
      <w:ind w:left="1680"/>
      <w:jc w:val="left"/>
    </w:pPr>
    <w:rPr>
      <w:szCs w:val="24"/>
      <w:lang w:val="en-AU"/>
    </w:rPr>
  </w:style>
  <w:style w:type="paragraph" w:styleId="TOC9">
    <w:name w:val="toc 9"/>
    <w:basedOn w:val="Normal"/>
    <w:next w:val="Normal"/>
    <w:autoRedefine/>
    <w:semiHidden/>
    <w:rsid w:val="00642F45"/>
    <w:pPr>
      <w:ind w:left="1920"/>
      <w:jc w:val="left"/>
    </w:pPr>
    <w:rPr>
      <w:szCs w:val="24"/>
      <w:lang w:val="en-AU"/>
    </w:rPr>
  </w:style>
  <w:style w:type="character" w:customStyle="1" w:styleId="Chapter1Char1">
    <w:name w:val="Chapter 1 Char1"/>
    <w:basedOn w:val="DefaultParagraphFont"/>
    <w:link w:val="Chapter1"/>
    <w:rsid w:val="006F02AD"/>
    <w:rPr>
      <w:sz w:val="24"/>
      <w:lang w:eastAsia="en-AU"/>
    </w:rPr>
  </w:style>
  <w:style w:type="character" w:customStyle="1" w:styleId="Chapter2Char">
    <w:name w:val="Chapter 2 Char"/>
    <w:basedOn w:val="Chapter1Char1"/>
    <w:link w:val="Chapter2"/>
    <w:rsid w:val="000852A1"/>
    <w:rPr>
      <w:snapToGrid w:val="0"/>
      <w:sz w:val="24"/>
      <w:lang w:eastAsia="en-US"/>
    </w:rPr>
  </w:style>
  <w:style w:type="character" w:customStyle="1" w:styleId="Chapter3Char1">
    <w:name w:val="Chapter 3 Char1"/>
    <w:basedOn w:val="Chapter2Char"/>
    <w:link w:val="Chapter3"/>
    <w:rsid w:val="000852A1"/>
    <w:rPr>
      <w:snapToGrid w:val="0"/>
      <w:sz w:val="24"/>
      <w:lang w:eastAsia="en-US"/>
    </w:rPr>
  </w:style>
  <w:style w:type="character" w:customStyle="1" w:styleId="Chapter5Char">
    <w:name w:val="Chapter 5 Char"/>
    <w:basedOn w:val="Chapter1Char1"/>
    <w:link w:val="Chapter5"/>
    <w:rsid w:val="000852A1"/>
    <w:rPr>
      <w:sz w:val="24"/>
      <w:lang w:eastAsia="en-AU"/>
    </w:rPr>
  </w:style>
  <w:style w:type="character" w:customStyle="1" w:styleId="Chapter6Char">
    <w:name w:val="Chapter 6 Char"/>
    <w:basedOn w:val="DefaultParagraphFont"/>
    <w:link w:val="Chapter6"/>
    <w:rsid w:val="00ED0B7F"/>
    <w:rPr>
      <w:sz w:val="24"/>
      <w:lang w:eastAsia="en-AU"/>
    </w:rPr>
  </w:style>
  <w:style w:type="character" w:customStyle="1" w:styleId="Heading1Char">
    <w:name w:val="Heading 1 Char"/>
    <w:basedOn w:val="DefaultParagraphFont"/>
    <w:link w:val="Heading1"/>
    <w:rsid w:val="00815526"/>
    <w:rPr>
      <w:rFonts w:ascii="Times New Roman Bold" w:hAnsi="Times New Roman Bold"/>
      <w:b/>
      <w:sz w:val="28"/>
      <w:szCs w:val="28"/>
      <w:lang w:eastAsia="en-AU"/>
    </w:rPr>
  </w:style>
  <w:style w:type="character" w:customStyle="1" w:styleId="Heading2Char">
    <w:name w:val="Heading 2 Char"/>
    <w:basedOn w:val="DefaultParagraphFont"/>
    <w:link w:val="Heading2"/>
    <w:rsid w:val="002C3D5F"/>
    <w:rPr>
      <w:b/>
      <w:sz w:val="26"/>
      <w:lang w:val="en-GB" w:eastAsia="en-AU"/>
    </w:rPr>
  </w:style>
  <w:style w:type="paragraph" w:customStyle="1" w:styleId="Chapterheading">
    <w:name w:val="Chapter heading"/>
    <w:basedOn w:val="Normal"/>
    <w:link w:val="ChapterheadingChar1"/>
    <w:qFormat/>
    <w:rsid w:val="00ED0B7F"/>
    <w:pPr>
      <w:jc w:val="center"/>
    </w:pPr>
    <w:rPr>
      <w:rFonts w:ascii="Times New Roman Bold" w:hAnsi="Times New Roman Bold"/>
      <w:b/>
      <w:bCs/>
      <w:caps/>
      <w:sz w:val="28"/>
      <w:szCs w:val="28"/>
      <w:lang w:val="en-NZ"/>
    </w:rPr>
  </w:style>
  <w:style w:type="character" w:customStyle="1" w:styleId="BulletsChar">
    <w:name w:val="Bullets Char"/>
    <w:basedOn w:val="DefaultParagraphFont"/>
    <w:link w:val="Bullets"/>
    <w:rsid w:val="001627A2"/>
    <w:rPr>
      <w:sz w:val="24"/>
      <w:lang w:eastAsia="en-AU"/>
    </w:rPr>
  </w:style>
  <w:style w:type="character" w:customStyle="1" w:styleId="Heading3Char">
    <w:name w:val="Heading 3 Char"/>
    <w:basedOn w:val="DefaultParagraphFont"/>
    <w:link w:val="Heading3"/>
    <w:rsid w:val="00B45C43"/>
    <w:rPr>
      <w:b/>
      <w:i/>
      <w:sz w:val="24"/>
      <w:lang w:val="en-GB" w:eastAsia="en-AU"/>
    </w:rPr>
  </w:style>
  <w:style w:type="character" w:customStyle="1" w:styleId="ChapterheadingChar1">
    <w:name w:val="Chapter heading Char1"/>
    <w:basedOn w:val="DefaultParagraphFont"/>
    <w:link w:val="Chapterheading"/>
    <w:rsid w:val="00ED0B7F"/>
    <w:rPr>
      <w:rFonts w:ascii="Times New Roman Bold" w:hAnsi="Times New Roman Bold"/>
      <w:b/>
      <w:bCs/>
      <w:caps/>
      <w:sz w:val="28"/>
      <w:szCs w:val="28"/>
      <w:lang w:eastAsia="en-AU"/>
    </w:rPr>
  </w:style>
  <w:style w:type="paragraph" w:styleId="ListParagraph">
    <w:name w:val="List Paragraph"/>
    <w:basedOn w:val="Normal"/>
    <w:uiPriority w:val="34"/>
    <w:rsid w:val="00C3373F"/>
    <w:pPr>
      <w:ind w:left="720"/>
      <w:contextualSpacing/>
    </w:pPr>
  </w:style>
  <w:style w:type="character" w:customStyle="1" w:styleId="FooterChar">
    <w:name w:val="Footer Char"/>
    <w:basedOn w:val="DefaultParagraphFont"/>
    <w:link w:val="Footer"/>
    <w:uiPriority w:val="99"/>
    <w:rsid w:val="006F1307"/>
    <w:rPr>
      <w:sz w:val="24"/>
      <w:lang w:val="en-GB" w:eastAsia="en-AU"/>
    </w:rPr>
  </w:style>
  <w:style w:type="table" w:styleId="ListTable1Light-Accent2">
    <w:name w:val="List Table 1 Light Accent 2"/>
    <w:basedOn w:val="TableNormal"/>
    <w:uiPriority w:val="46"/>
    <w:rsid w:val="0049120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5887">
      <w:bodyDiv w:val="1"/>
      <w:marLeft w:val="0"/>
      <w:marRight w:val="0"/>
      <w:marTop w:val="0"/>
      <w:marBottom w:val="0"/>
      <w:divBdr>
        <w:top w:val="none" w:sz="0" w:space="0" w:color="auto"/>
        <w:left w:val="none" w:sz="0" w:space="0" w:color="auto"/>
        <w:bottom w:val="none" w:sz="0" w:space="0" w:color="auto"/>
        <w:right w:val="none" w:sz="0" w:space="0" w:color="auto"/>
      </w:divBdr>
    </w:div>
    <w:div w:id="492138164">
      <w:bodyDiv w:val="1"/>
      <w:marLeft w:val="0"/>
      <w:marRight w:val="0"/>
      <w:marTop w:val="0"/>
      <w:marBottom w:val="0"/>
      <w:divBdr>
        <w:top w:val="none" w:sz="0" w:space="0" w:color="auto"/>
        <w:left w:val="none" w:sz="0" w:space="0" w:color="auto"/>
        <w:bottom w:val="none" w:sz="0" w:space="0" w:color="auto"/>
        <w:right w:val="none" w:sz="0" w:space="0" w:color="auto"/>
      </w:divBdr>
    </w:div>
    <w:div w:id="684941955">
      <w:bodyDiv w:val="1"/>
      <w:marLeft w:val="0"/>
      <w:marRight w:val="0"/>
      <w:marTop w:val="0"/>
      <w:marBottom w:val="0"/>
      <w:divBdr>
        <w:top w:val="none" w:sz="0" w:space="0" w:color="auto"/>
        <w:left w:val="none" w:sz="0" w:space="0" w:color="auto"/>
        <w:bottom w:val="none" w:sz="0" w:space="0" w:color="auto"/>
        <w:right w:val="none" w:sz="0" w:space="0" w:color="auto"/>
      </w:divBdr>
    </w:div>
    <w:div w:id="887372961">
      <w:bodyDiv w:val="1"/>
      <w:marLeft w:val="0"/>
      <w:marRight w:val="0"/>
      <w:marTop w:val="0"/>
      <w:marBottom w:val="0"/>
      <w:divBdr>
        <w:top w:val="none" w:sz="0" w:space="0" w:color="auto"/>
        <w:left w:val="none" w:sz="0" w:space="0" w:color="auto"/>
        <w:bottom w:val="none" w:sz="0" w:space="0" w:color="auto"/>
        <w:right w:val="none" w:sz="0" w:space="0" w:color="auto"/>
      </w:divBdr>
    </w:div>
    <w:div w:id="1093553952">
      <w:bodyDiv w:val="1"/>
      <w:marLeft w:val="0"/>
      <w:marRight w:val="0"/>
      <w:marTop w:val="0"/>
      <w:marBottom w:val="0"/>
      <w:divBdr>
        <w:top w:val="none" w:sz="0" w:space="0" w:color="auto"/>
        <w:left w:val="none" w:sz="0" w:space="0" w:color="auto"/>
        <w:bottom w:val="none" w:sz="0" w:space="0" w:color="auto"/>
        <w:right w:val="none" w:sz="0" w:space="0" w:color="auto"/>
      </w:divBdr>
    </w:div>
    <w:div w:id="1610888824">
      <w:bodyDiv w:val="1"/>
      <w:marLeft w:val="0"/>
      <w:marRight w:val="0"/>
      <w:marTop w:val="0"/>
      <w:marBottom w:val="0"/>
      <w:divBdr>
        <w:top w:val="none" w:sz="0" w:space="0" w:color="auto"/>
        <w:left w:val="none" w:sz="0" w:space="0" w:color="auto"/>
        <w:bottom w:val="none" w:sz="0" w:space="0" w:color="auto"/>
        <w:right w:val="none" w:sz="0" w:space="0" w:color="auto"/>
      </w:divBdr>
    </w:div>
    <w:div w:id="1642267703">
      <w:bodyDiv w:val="1"/>
      <w:marLeft w:val="0"/>
      <w:marRight w:val="0"/>
      <w:marTop w:val="0"/>
      <w:marBottom w:val="0"/>
      <w:divBdr>
        <w:top w:val="none" w:sz="0" w:space="0" w:color="auto"/>
        <w:left w:val="none" w:sz="0" w:space="0" w:color="auto"/>
        <w:bottom w:val="none" w:sz="0" w:space="0" w:color="auto"/>
        <w:right w:val="none" w:sz="0" w:space="0" w:color="auto"/>
      </w:divBdr>
    </w:div>
    <w:div w:id="1717200048">
      <w:bodyDiv w:val="1"/>
      <w:marLeft w:val="0"/>
      <w:marRight w:val="0"/>
      <w:marTop w:val="0"/>
      <w:marBottom w:val="0"/>
      <w:divBdr>
        <w:top w:val="none" w:sz="0" w:space="0" w:color="auto"/>
        <w:left w:val="none" w:sz="0" w:space="0" w:color="auto"/>
        <w:bottom w:val="none" w:sz="0" w:space="0" w:color="auto"/>
        <w:right w:val="none" w:sz="0" w:space="0" w:color="auto"/>
      </w:divBdr>
    </w:div>
    <w:div w:id="1844394679">
      <w:bodyDiv w:val="1"/>
      <w:marLeft w:val="0"/>
      <w:marRight w:val="0"/>
      <w:marTop w:val="0"/>
      <w:marBottom w:val="0"/>
      <w:divBdr>
        <w:top w:val="none" w:sz="0" w:space="0" w:color="auto"/>
        <w:left w:val="none" w:sz="0" w:space="0" w:color="auto"/>
        <w:bottom w:val="none" w:sz="0" w:space="0" w:color="auto"/>
        <w:right w:val="none" w:sz="0" w:space="0" w:color="auto"/>
      </w:divBdr>
    </w:div>
    <w:div w:id="1916549204">
      <w:bodyDiv w:val="1"/>
      <w:marLeft w:val="0"/>
      <w:marRight w:val="0"/>
      <w:marTop w:val="0"/>
      <w:marBottom w:val="0"/>
      <w:divBdr>
        <w:top w:val="none" w:sz="0" w:space="0" w:color="auto"/>
        <w:left w:val="none" w:sz="0" w:space="0" w:color="auto"/>
        <w:bottom w:val="none" w:sz="0" w:space="0" w:color="auto"/>
        <w:right w:val="none" w:sz="0" w:space="0" w:color="auto"/>
      </w:divBdr>
    </w:div>
    <w:div w:id="1922181047">
      <w:bodyDiv w:val="1"/>
      <w:marLeft w:val="0"/>
      <w:marRight w:val="0"/>
      <w:marTop w:val="0"/>
      <w:marBottom w:val="0"/>
      <w:divBdr>
        <w:top w:val="none" w:sz="0" w:space="0" w:color="auto"/>
        <w:left w:val="none" w:sz="0" w:space="0" w:color="auto"/>
        <w:bottom w:val="none" w:sz="0" w:space="0" w:color="auto"/>
        <w:right w:val="none" w:sz="0" w:space="0" w:color="auto"/>
      </w:divBdr>
    </w:div>
    <w:div w:id="1969779276">
      <w:bodyDiv w:val="1"/>
      <w:marLeft w:val="0"/>
      <w:marRight w:val="0"/>
      <w:marTop w:val="0"/>
      <w:marBottom w:val="0"/>
      <w:divBdr>
        <w:top w:val="none" w:sz="0" w:space="0" w:color="auto"/>
        <w:left w:val="none" w:sz="0" w:space="0" w:color="auto"/>
        <w:bottom w:val="none" w:sz="0" w:space="0" w:color="auto"/>
        <w:right w:val="none" w:sz="0" w:space="0" w:color="auto"/>
      </w:divBdr>
    </w:div>
    <w:div w:id="20380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954F72"/>
      </a:accent4>
      <a:accent5>
        <a:srgbClr val="FFC000"/>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B24D-C3AF-4EE8-82A7-4165E341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Government’s tax policy work programme: 2019–20 (August 2019)</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Government’s tax policy work programme: 2019–20 (August 2019)</dc:title>
  <dc:creator/>
  <dc:description/>
  <dcterms:created xsi:type="dcterms:W3CDTF">2019-08-06T06:15:00Z</dcterms:created>
  <dcterms:modified xsi:type="dcterms:W3CDTF">2019-08-07T03:21:00Z</dcterms:modified>
</cp:coreProperties>
</file>