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590F" w14:textId="77777777" w:rsidR="00011F57" w:rsidRPr="00F2250C" w:rsidRDefault="00011F57" w:rsidP="009C34EC">
      <w:pPr>
        <w:spacing w:before="0" w:line="259" w:lineRule="auto"/>
        <w:rPr>
          <w:rFonts w:ascii="Segoe UI Light" w:hAnsi="Segoe UI Light"/>
          <w:b/>
          <w:sz w:val="28"/>
          <w:lang w:val="en-US"/>
        </w:rPr>
      </w:pPr>
    </w:p>
    <w:p w14:paraId="2C397123"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32B619A4" w14:textId="77777777" w:rsidR="00282ECC" w:rsidRDefault="00282ECC" w:rsidP="009C34EC">
          <w:pPr>
            <w:spacing w:before="0" w:line="259" w:lineRule="auto"/>
            <w:rPr>
              <w:rStyle w:val="TitleChar"/>
              <w:sz w:val="24"/>
              <w:szCs w:val="24"/>
            </w:rPr>
          </w:pPr>
        </w:p>
        <w:p w14:paraId="0F027ED3" w14:textId="60D54932"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E30EDA">
            <w:t>ACT</w:t>
          </w:r>
          <w:r w:rsidR="00594B20">
            <w:t xml:space="preserve"> &gt; </w:t>
          </w:r>
          <w:r w:rsidR="004B1242" w:rsidRPr="004B1242">
            <w:rPr>
              <w:b w:val="0"/>
              <w:bCs/>
            </w:rPr>
            <w:t>SPECIAL REPORT</w:t>
          </w:r>
        </w:p>
        <w:p w14:paraId="6DC81AC0" w14:textId="146ADEC1" w:rsidR="00A4149F" w:rsidRPr="00A4149F" w:rsidRDefault="00F17ED4" w:rsidP="692107A3">
          <w:pPr>
            <w:spacing w:before="0" w:after="0" w:line="240" w:lineRule="auto"/>
            <w:contextualSpacing/>
            <w:rPr>
              <w:rFonts w:ascii="Segoe UI Black" w:eastAsiaTheme="majorEastAsia" w:hAnsi="Segoe UI Black" w:cstheme="majorBidi"/>
              <w:color w:val="auto"/>
              <w:spacing w:val="-10"/>
              <w:kern w:val="28"/>
              <w:sz w:val="44"/>
              <w:szCs w:val="44"/>
            </w:rPr>
          </w:pPr>
          <w:r>
            <w:rPr>
              <w:rFonts w:ascii="Segoe UI Black" w:eastAsiaTheme="majorEastAsia" w:hAnsi="Segoe UI Black" w:cstheme="majorBidi"/>
              <w:color w:val="auto"/>
              <w:spacing w:val="-10"/>
              <w:kern w:val="28"/>
              <w:sz w:val="44"/>
              <w:szCs w:val="44"/>
            </w:rPr>
            <w:t>Special report on b</w:t>
          </w:r>
          <w:r w:rsidR="00AA1810">
            <w:rPr>
              <w:rFonts w:ascii="Segoe UI Black" w:eastAsiaTheme="majorEastAsia" w:hAnsi="Segoe UI Black" w:cstheme="majorBidi"/>
              <w:color w:val="auto"/>
              <w:spacing w:val="-10"/>
              <w:kern w:val="28"/>
              <w:sz w:val="44"/>
              <w:szCs w:val="44"/>
            </w:rPr>
            <w:t xml:space="preserve">uild-to-rent </w:t>
          </w:r>
          <w:r>
            <w:rPr>
              <w:rFonts w:ascii="Segoe UI Black" w:eastAsiaTheme="majorEastAsia" w:hAnsi="Segoe UI Black" w:cstheme="majorBidi"/>
              <w:color w:val="auto"/>
              <w:spacing w:val="-10"/>
              <w:kern w:val="28"/>
              <w:sz w:val="44"/>
              <w:szCs w:val="44"/>
            </w:rPr>
            <w:t>e</w:t>
          </w:r>
          <w:r w:rsidR="00AA1810">
            <w:rPr>
              <w:rFonts w:ascii="Segoe UI Black" w:eastAsiaTheme="majorEastAsia" w:hAnsi="Segoe UI Black" w:cstheme="majorBidi"/>
              <w:color w:val="auto"/>
              <w:spacing w:val="-10"/>
              <w:kern w:val="28"/>
              <w:sz w:val="44"/>
              <w:szCs w:val="44"/>
            </w:rPr>
            <w:t xml:space="preserve">xclusion </w:t>
          </w:r>
          <w:r w:rsidR="0029511C">
            <w:rPr>
              <w:rFonts w:ascii="Segoe UI Black" w:eastAsiaTheme="majorEastAsia" w:hAnsi="Segoe UI Black" w:cstheme="majorBidi"/>
              <w:color w:val="auto"/>
              <w:spacing w:val="-10"/>
              <w:kern w:val="28"/>
              <w:sz w:val="44"/>
              <w:szCs w:val="44"/>
            </w:rPr>
            <w:t xml:space="preserve">from </w:t>
          </w:r>
          <w:r>
            <w:rPr>
              <w:rFonts w:ascii="Segoe UI Black" w:eastAsiaTheme="majorEastAsia" w:hAnsi="Segoe UI Black" w:cstheme="majorBidi"/>
              <w:color w:val="auto"/>
              <w:spacing w:val="-10"/>
              <w:kern w:val="28"/>
              <w:sz w:val="44"/>
              <w:szCs w:val="44"/>
            </w:rPr>
            <w:t>i</w:t>
          </w:r>
          <w:r w:rsidR="0029511C">
            <w:rPr>
              <w:rFonts w:ascii="Segoe UI Black" w:eastAsiaTheme="majorEastAsia" w:hAnsi="Segoe UI Black" w:cstheme="majorBidi"/>
              <w:color w:val="auto"/>
              <w:spacing w:val="-10"/>
              <w:kern w:val="28"/>
              <w:sz w:val="44"/>
              <w:szCs w:val="44"/>
            </w:rPr>
            <w:t xml:space="preserve">nterest </w:t>
          </w:r>
          <w:r>
            <w:rPr>
              <w:rFonts w:ascii="Segoe UI Black" w:eastAsiaTheme="majorEastAsia" w:hAnsi="Segoe UI Black" w:cstheme="majorBidi"/>
              <w:color w:val="auto"/>
              <w:spacing w:val="-10"/>
              <w:kern w:val="28"/>
              <w:sz w:val="44"/>
              <w:szCs w:val="44"/>
            </w:rPr>
            <w:t>l</w:t>
          </w:r>
          <w:r w:rsidR="0029511C">
            <w:rPr>
              <w:rFonts w:ascii="Segoe UI Black" w:eastAsiaTheme="majorEastAsia" w:hAnsi="Segoe UI Black" w:cstheme="majorBidi"/>
              <w:color w:val="auto"/>
              <w:spacing w:val="-10"/>
              <w:kern w:val="28"/>
              <w:sz w:val="44"/>
              <w:szCs w:val="44"/>
            </w:rPr>
            <w:t>imitation</w:t>
          </w:r>
          <w:r w:rsidR="005D7C22">
            <w:rPr>
              <w:rFonts w:ascii="Segoe UI Black" w:eastAsiaTheme="majorEastAsia" w:hAnsi="Segoe UI Black" w:cstheme="majorBidi"/>
              <w:color w:val="auto"/>
              <w:spacing w:val="-10"/>
              <w:kern w:val="28"/>
              <w:sz w:val="44"/>
              <w:szCs w:val="44"/>
            </w:rPr>
            <w:t xml:space="preserve"> rules</w:t>
          </w:r>
        </w:p>
        <w:p w14:paraId="18621FFE" w14:textId="77777777" w:rsidR="00E24B3C" w:rsidRDefault="00E24B3C" w:rsidP="00902E79">
          <w:pPr>
            <w:pStyle w:val="DocumentDate"/>
          </w:pPr>
        </w:p>
        <w:p w14:paraId="30B71723" w14:textId="49ECB17F" w:rsidR="00902E79" w:rsidRPr="00A4149F" w:rsidRDefault="29CC920D" w:rsidP="00902E79">
          <w:pPr>
            <w:pStyle w:val="DocumentDate"/>
          </w:pPr>
          <w:r>
            <w:t xml:space="preserve">Issued: </w:t>
          </w:r>
          <w:r w:rsidR="00DA5E95">
            <w:t>3 April 2023</w:t>
          </w:r>
        </w:p>
        <w:tbl>
          <w:tblPr>
            <w:tblStyle w:val="IR-ShoulderNumberTable"/>
            <w:tblW w:w="0" w:type="auto"/>
            <w:tblLook w:val="04A0" w:firstRow="1" w:lastRow="0" w:firstColumn="1" w:lastColumn="0" w:noHBand="0" w:noVBand="1"/>
          </w:tblPr>
          <w:tblGrid>
            <w:gridCol w:w="3119"/>
          </w:tblGrid>
          <w:tr w:rsidR="00902E79" w:rsidRPr="00A4149F" w14:paraId="30945337" w14:textId="77777777" w:rsidTr="00E24B3C">
            <w:tc>
              <w:tcPr>
                <w:tcW w:w="3119" w:type="dxa"/>
              </w:tcPr>
              <w:p w14:paraId="7AFF5607" w14:textId="2376A5D5" w:rsidR="00902E79" w:rsidRPr="00DE7CEF" w:rsidRDefault="00FC350F" w:rsidP="00AD4B8B">
                <w:pPr>
                  <w:pStyle w:val="PublicationNumber"/>
                </w:pPr>
                <w:bookmarkStart w:id="1" w:name="_Hlk14700370"/>
                <w:r>
                  <w:t>Public Act 2023</w:t>
                </w:r>
                <w:r w:rsidR="00BD430E">
                  <w:t xml:space="preserve"> </w:t>
                </w:r>
                <w:r w:rsidR="00DA5E95">
                  <w:t>No</w:t>
                </w:r>
                <w:r w:rsidR="00E24B3C">
                  <w:t xml:space="preserve"> </w:t>
                </w:r>
                <w:r w:rsidR="00F46F9B">
                  <w:t>5</w:t>
                </w:r>
              </w:p>
            </w:tc>
          </w:tr>
          <w:bookmarkEnd w:id="0"/>
          <w:bookmarkEnd w:id="1"/>
        </w:tbl>
        <w:p w14:paraId="45492472" w14:textId="77777777" w:rsidR="00282ECC" w:rsidRDefault="00282ECC" w:rsidP="002546C5">
          <w:pPr>
            <w:pStyle w:val="DocumentDate"/>
          </w:pPr>
        </w:p>
        <w:p w14:paraId="2207FD7C" w14:textId="76E923CB" w:rsidR="00C96A21" w:rsidRDefault="00DA3A71" w:rsidP="00313168">
          <w:pPr>
            <w:pStyle w:val="CoverPageSummary"/>
          </w:pPr>
          <w:r>
            <w:t xml:space="preserve">This special report provides early information </w:t>
          </w:r>
          <w:r w:rsidR="00B0601C">
            <w:t>on the build-to-rent exclusion from the interest limitation rules</w:t>
          </w:r>
          <w:r w:rsidR="00607AC1">
            <w:t xml:space="preserve"> </w:t>
          </w:r>
          <w:r w:rsidR="00C577F7">
            <w:t>included in the Taxation (Annual Rates for 2022</w:t>
          </w:r>
          <w:r w:rsidR="002F1C38">
            <w:t>–23, Platform Economy</w:t>
          </w:r>
          <w:r w:rsidR="00F6578F">
            <w:t>, and Remedial Matters</w:t>
          </w:r>
          <w:r w:rsidR="00A33350">
            <w:t>)</w:t>
          </w:r>
          <w:r w:rsidR="003C472B">
            <w:t xml:space="preserve"> Act 2023</w:t>
          </w:r>
          <w:r w:rsidR="009B74B8">
            <w:t xml:space="preserve"> </w:t>
          </w:r>
          <w:r>
            <w:t xml:space="preserve">ahead of an upcoming edition of the </w:t>
          </w:r>
          <w:r w:rsidRPr="00B13DC7">
            <w:rPr>
              <w:i/>
              <w:iCs/>
            </w:rPr>
            <w:t>Tax Information Bulletin</w:t>
          </w:r>
          <w:r>
            <w:t>.</w:t>
          </w:r>
        </w:p>
        <w:p w14:paraId="2794503F"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7FD73E53" w14:textId="77777777" w:rsidR="00B303D9" w:rsidRDefault="00B303D9" w:rsidP="00B303D9">
          <w:pPr>
            <w:pStyle w:val="TOCHeader"/>
          </w:pPr>
          <w:r>
            <w:t>Table of Contents</w:t>
          </w:r>
        </w:p>
        <w:p w14:paraId="579C3B92" w14:textId="6D10BC1E" w:rsidR="00DA5E95"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31171642" w:history="1">
            <w:r w:rsidR="00DA5E95" w:rsidRPr="00990512">
              <w:rPr>
                <w:rStyle w:val="Hyperlink"/>
                <w:noProof/>
              </w:rPr>
              <w:t>Build-to-rent exclusion from interest limitation rules</w:t>
            </w:r>
            <w:r w:rsidR="00DA5E95">
              <w:rPr>
                <w:noProof/>
                <w:webHidden/>
              </w:rPr>
              <w:tab/>
            </w:r>
            <w:r w:rsidR="00DA5E95">
              <w:rPr>
                <w:noProof/>
                <w:webHidden/>
              </w:rPr>
              <w:fldChar w:fldCharType="begin"/>
            </w:r>
            <w:r w:rsidR="00DA5E95">
              <w:rPr>
                <w:noProof/>
                <w:webHidden/>
              </w:rPr>
              <w:instrText xml:space="preserve"> PAGEREF _Toc131171642 \h </w:instrText>
            </w:r>
            <w:r w:rsidR="00DA5E95">
              <w:rPr>
                <w:noProof/>
                <w:webHidden/>
              </w:rPr>
            </w:r>
            <w:r w:rsidR="00DA5E95">
              <w:rPr>
                <w:noProof/>
                <w:webHidden/>
              </w:rPr>
              <w:fldChar w:fldCharType="separate"/>
            </w:r>
            <w:r w:rsidR="00DA5E95">
              <w:rPr>
                <w:noProof/>
                <w:webHidden/>
              </w:rPr>
              <w:t>3</w:t>
            </w:r>
            <w:r w:rsidR="00DA5E95">
              <w:rPr>
                <w:noProof/>
                <w:webHidden/>
              </w:rPr>
              <w:fldChar w:fldCharType="end"/>
            </w:r>
          </w:hyperlink>
        </w:p>
        <w:p w14:paraId="1FA63BCA" w14:textId="705DFC3F" w:rsidR="00DA5E95" w:rsidRDefault="00000000">
          <w:pPr>
            <w:pStyle w:val="TOC2"/>
            <w:tabs>
              <w:tab w:val="right" w:leader="dot" w:pos="9016"/>
            </w:tabs>
            <w:rPr>
              <w:rFonts w:asciiTheme="minorHAnsi" w:eastAsiaTheme="minorEastAsia" w:hAnsiTheme="minorHAnsi"/>
              <w:noProof/>
              <w:color w:val="auto"/>
              <w:lang w:eastAsia="en-NZ"/>
            </w:rPr>
          </w:pPr>
          <w:hyperlink w:anchor="_Toc131171643" w:history="1">
            <w:r w:rsidR="00DA5E95" w:rsidRPr="00990512">
              <w:rPr>
                <w:rStyle w:val="Hyperlink"/>
                <w:noProof/>
              </w:rPr>
              <w:t>Background</w:t>
            </w:r>
            <w:r w:rsidR="00DA5E95">
              <w:rPr>
                <w:noProof/>
                <w:webHidden/>
              </w:rPr>
              <w:tab/>
            </w:r>
            <w:r w:rsidR="00DA5E95">
              <w:rPr>
                <w:noProof/>
                <w:webHidden/>
              </w:rPr>
              <w:fldChar w:fldCharType="begin"/>
            </w:r>
            <w:r w:rsidR="00DA5E95">
              <w:rPr>
                <w:noProof/>
                <w:webHidden/>
              </w:rPr>
              <w:instrText xml:space="preserve"> PAGEREF _Toc131171643 \h </w:instrText>
            </w:r>
            <w:r w:rsidR="00DA5E95">
              <w:rPr>
                <w:noProof/>
                <w:webHidden/>
              </w:rPr>
            </w:r>
            <w:r w:rsidR="00DA5E95">
              <w:rPr>
                <w:noProof/>
                <w:webHidden/>
              </w:rPr>
              <w:fldChar w:fldCharType="separate"/>
            </w:r>
            <w:r w:rsidR="00DA5E95">
              <w:rPr>
                <w:noProof/>
                <w:webHidden/>
              </w:rPr>
              <w:t>3</w:t>
            </w:r>
            <w:r w:rsidR="00DA5E95">
              <w:rPr>
                <w:noProof/>
                <w:webHidden/>
              </w:rPr>
              <w:fldChar w:fldCharType="end"/>
            </w:r>
          </w:hyperlink>
        </w:p>
        <w:p w14:paraId="47506F80" w14:textId="7203E8DF" w:rsidR="00DA5E95" w:rsidRDefault="00000000">
          <w:pPr>
            <w:pStyle w:val="TOC2"/>
            <w:tabs>
              <w:tab w:val="right" w:leader="dot" w:pos="9016"/>
            </w:tabs>
            <w:rPr>
              <w:rFonts w:asciiTheme="minorHAnsi" w:eastAsiaTheme="minorEastAsia" w:hAnsiTheme="minorHAnsi"/>
              <w:noProof/>
              <w:color w:val="auto"/>
              <w:lang w:eastAsia="en-NZ"/>
            </w:rPr>
          </w:pPr>
          <w:hyperlink w:anchor="_Toc131171644" w:history="1">
            <w:r w:rsidR="00DA5E95" w:rsidRPr="00990512">
              <w:rPr>
                <w:rStyle w:val="Hyperlink"/>
                <w:noProof/>
              </w:rPr>
              <w:t>Key features</w:t>
            </w:r>
            <w:r w:rsidR="00DA5E95">
              <w:rPr>
                <w:noProof/>
                <w:webHidden/>
              </w:rPr>
              <w:tab/>
            </w:r>
            <w:r w:rsidR="00DA5E95">
              <w:rPr>
                <w:noProof/>
                <w:webHidden/>
              </w:rPr>
              <w:fldChar w:fldCharType="begin"/>
            </w:r>
            <w:r w:rsidR="00DA5E95">
              <w:rPr>
                <w:noProof/>
                <w:webHidden/>
              </w:rPr>
              <w:instrText xml:space="preserve"> PAGEREF _Toc131171644 \h </w:instrText>
            </w:r>
            <w:r w:rsidR="00DA5E95">
              <w:rPr>
                <w:noProof/>
                <w:webHidden/>
              </w:rPr>
            </w:r>
            <w:r w:rsidR="00DA5E95">
              <w:rPr>
                <w:noProof/>
                <w:webHidden/>
              </w:rPr>
              <w:fldChar w:fldCharType="separate"/>
            </w:r>
            <w:r w:rsidR="00DA5E95">
              <w:rPr>
                <w:noProof/>
                <w:webHidden/>
              </w:rPr>
              <w:t>3</w:t>
            </w:r>
            <w:r w:rsidR="00DA5E95">
              <w:rPr>
                <w:noProof/>
                <w:webHidden/>
              </w:rPr>
              <w:fldChar w:fldCharType="end"/>
            </w:r>
          </w:hyperlink>
        </w:p>
        <w:p w14:paraId="73D26766" w14:textId="50471FC2" w:rsidR="00DA5E95" w:rsidRDefault="00000000">
          <w:pPr>
            <w:pStyle w:val="TOC3"/>
            <w:tabs>
              <w:tab w:val="right" w:leader="dot" w:pos="9016"/>
            </w:tabs>
            <w:rPr>
              <w:rFonts w:asciiTheme="minorHAnsi" w:eastAsiaTheme="minorEastAsia" w:hAnsiTheme="minorHAnsi"/>
              <w:noProof/>
              <w:color w:val="auto"/>
              <w:lang w:eastAsia="en-NZ"/>
            </w:rPr>
          </w:pPr>
          <w:hyperlink w:anchor="_Toc131171645" w:history="1">
            <w:r w:rsidR="00DA5E95" w:rsidRPr="00990512">
              <w:rPr>
                <w:rStyle w:val="Hyperlink"/>
                <w:noProof/>
              </w:rPr>
              <w:t>“Build-to-rent land” definition</w:t>
            </w:r>
            <w:r w:rsidR="00DA5E95">
              <w:rPr>
                <w:noProof/>
                <w:webHidden/>
              </w:rPr>
              <w:tab/>
            </w:r>
            <w:r w:rsidR="00DA5E95">
              <w:rPr>
                <w:noProof/>
                <w:webHidden/>
              </w:rPr>
              <w:fldChar w:fldCharType="begin"/>
            </w:r>
            <w:r w:rsidR="00DA5E95">
              <w:rPr>
                <w:noProof/>
                <w:webHidden/>
              </w:rPr>
              <w:instrText xml:space="preserve"> PAGEREF _Toc131171645 \h </w:instrText>
            </w:r>
            <w:r w:rsidR="00DA5E95">
              <w:rPr>
                <w:noProof/>
                <w:webHidden/>
              </w:rPr>
            </w:r>
            <w:r w:rsidR="00DA5E95">
              <w:rPr>
                <w:noProof/>
                <w:webHidden/>
              </w:rPr>
              <w:fldChar w:fldCharType="separate"/>
            </w:r>
            <w:r w:rsidR="00DA5E95">
              <w:rPr>
                <w:noProof/>
                <w:webHidden/>
              </w:rPr>
              <w:t>3</w:t>
            </w:r>
            <w:r w:rsidR="00DA5E95">
              <w:rPr>
                <w:noProof/>
                <w:webHidden/>
              </w:rPr>
              <w:fldChar w:fldCharType="end"/>
            </w:r>
          </w:hyperlink>
        </w:p>
        <w:p w14:paraId="69D5B574" w14:textId="72FCB032" w:rsidR="00DA5E95" w:rsidRDefault="00000000">
          <w:pPr>
            <w:pStyle w:val="TOC3"/>
            <w:tabs>
              <w:tab w:val="right" w:leader="dot" w:pos="9016"/>
            </w:tabs>
            <w:rPr>
              <w:rFonts w:asciiTheme="minorHAnsi" w:eastAsiaTheme="minorEastAsia" w:hAnsiTheme="minorHAnsi"/>
              <w:noProof/>
              <w:color w:val="auto"/>
              <w:lang w:eastAsia="en-NZ"/>
            </w:rPr>
          </w:pPr>
          <w:hyperlink w:anchor="_Toc131171646" w:history="1">
            <w:r w:rsidR="00DA5E95" w:rsidRPr="00990512">
              <w:rPr>
                <w:rStyle w:val="Hyperlink"/>
                <w:noProof/>
              </w:rPr>
              <w:t>Existing dwellings must meet definition by 1 July 2023</w:t>
            </w:r>
            <w:r w:rsidR="00DA5E95">
              <w:rPr>
                <w:noProof/>
                <w:webHidden/>
              </w:rPr>
              <w:tab/>
            </w:r>
            <w:r w:rsidR="00DA5E95">
              <w:rPr>
                <w:noProof/>
                <w:webHidden/>
              </w:rPr>
              <w:fldChar w:fldCharType="begin"/>
            </w:r>
            <w:r w:rsidR="00DA5E95">
              <w:rPr>
                <w:noProof/>
                <w:webHidden/>
              </w:rPr>
              <w:instrText xml:space="preserve"> PAGEREF _Toc131171646 \h </w:instrText>
            </w:r>
            <w:r w:rsidR="00DA5E95">
              <w:rPr>
                <w:noProof/>
                <w:webHidden/>
              </w:rPr>
            </w:r>
            <w:r w:rsidR="00DA5E95">
              <w:rPr>
                <w:noProof/>
                <w:webHidden/>
              </w:rPr>
              <w:fldChar w:fldCharType="separate"/>
            </w:r>
            <w:r w:rsidR="00DA5E95">
              <w:rPr>
                <w:noProof/>
                <w:webHidden/>
              </w:rPr>
              <w:t>4</w:t>
            </w:r>
            <w:r w:rsidR="00DA5E95">
              <w:rPr>
                <w:noProof/>
                <w:webHidden/>
              </w:rPr>
              <w:fldChar w:fldCharType="end"/>
            </w:r>
          </w:hyperlink>
        </w:p>
        <w:p w14:paraId="469F17A7" w14:textId="76BD5102" w:rsidR="00DA5E95" w:rsidRDefault="00000000">
          <w:pPr>
            <w:pStyle w:val="TOC2"/>
            <w:tabs>
              <w:tab w:val="right" w:leader="dot" w:pos="9016"/>
            </w:tabs>
            <w:rPr>
              <w:rFonts w:asciiTheme="minorHAnsi" w:eastAsiaTheme="minorEastAsia" w:hAnsiTheme="minorHAnsi"/>
              <w:noProof/>
              <w:color w:val="auto"/>
              <w:lang w:eastAsia="en-NZ"/>
            </w:rPr>
          </w:pPr>
          <w:hyperlink w:anchor="_Toc131171647" w:history="1">
            <w:r w:rsidR="00DA5E95" w:rsidRPr="00990512">
              <w:rPr>
                <w:rStyle w:val="Hyperlink"/>
                <w:noProof/>
              </w:rPr>
              <w:t>Effective date</w:t>
            </w:r>
            <w:r w:rsidR="00DA5E95">
              <w:rPr>
                <w:noProof/>
                <w:webHidden/>
              </w:rPr>
              <w:tab/>
            </w:r>
            <w:r w:rsidR="00DA5E95">
              <w:rPr>
                <w:noProof/>
                <w:webHidden/>
              </w:rPr>
              <w:fldChar w:fldCharType="begin"/>
            </w:r>
            <w:r w:rsidR="00DA5E95">
              <w:rPr>
                <w:noProof/>
                <w:webHidden/>
              </w:rPr>
              <w:instrText xml:space="preserve"> PAGEREF _Toc131171647 \h </w:instrText>
            </w:r>
            <w:r w:rsidR="00DA5E95">
              <w:rPr>
                <w:noProof/>
                <w:webHidden/>
              </w:rPr>
            </w:r>
            <w:r w:rsidR="00DA5E95">
              <w:rPr>
                <w:noProof/>
                <w:webHidden/>
              </w:rPr>
              <w:fldChar w:fldCharType="separate"/>
            </w:r>
            <w:r w:rsidR="00DA5E95">
              <w:rPr>
                <w:noProof/>
                <w:webHidden/>
              </w:rPr>
              <w:t>4</w:t>
            </w:r>
            <w:r w:rsidR="00DA5E95">
              <w:rPr>
                <w:noProof/>
                <w:webHidden/>
              </w:rPr>
              <w:fldChar w:fldCharType="end"/>
            </w:r>
          </w:hyperlink>
        </w:p>
        <w:p w14:paraId="605B4CD0" w14:textId="31E2F621" w:rsidR="00DA5E95" w:rsidRDefault="00000000">
          <w:pPr>
            <w:pStyle w:val="TOC2"/>
            <w:tabs>
              <w:tab w:val="right" w:leader="dot" w:pos="9016"/>
            </w:tabs>
            <w:rPr>
              <w:rFonts w:asciiTheme="minorHAnsi" w:eastAsiaTheme="minorEastAsia" w:hAnsiTheme="minorHAnsi"/>
              <w:noProof/>
              <w:color w:val="auto"/>
              <w:lang w:eastAsia="en-NZ"/>
            </w:rPr>
          </w:pPr>
          <w:hyperlink w:anchor="_Toc131171648" w:history="1">
            <w:r w:rsidR="00DA5E95" w:rsidRPr="00990512">
              <w:rPr>
                <w:rStyle w:val="Hyperlink"/>
                <w:noProof/>
              </w:rPr>
              <w:t>Detailed Analysis</w:t>
            </w:r>
            <w:r w:rsidR="00DA5E95">
              <w:rPr>
                <w:noProof/>
                <w:webHidden/>
              </w:rPr>
              <w:tab/>
            </w:r>
            <w:r w:rsidR="00DA5E95">
              <w:rPr>
                <w:noProof/>
                <w:webHidden/>
              </w:rPr>
              <w:fldChar w:fldCharType="begin"/>
            </w:r>
            <w:r w:rsidR="00DA5E95">
              <w:rPr>
                <w:noProof/>
                <w:webHidden/>
              </w:rPr>
              <w:instrText xml:space="preserve"> PAGEREF _Toc131171648 \h </w:instrText>
            </w:r>
            <w:r w:rsidR="00DA5E95">
              <w:rPr>
                <w:noProof/>
                <w:webHidden/>
              </w:rPr>
            </w:r>
            <w:r w:rsidR="00DA5E95">
              <w:rPr>
                <w:noProof/>
                <w:webHidden/>
              </w:rPr>
              <w:fldChar w:fldCharType="separate"/>
            </w:r>
            <w:r w:rsidR="00DA5E95">
              <w:rPr>
                <w:noProof/>
                <w:webHidden/>
              </w:rPr>
              <w:t>4</w:t>
            </w:r>
            <w:r w:rsidR="00DA5E95">
              <w:rPr>
                <w:noProof/>
                <w:webHidden/>
              </w:rPr>
              <w:fldChar w:fldCharType="end"/>
            </w:r>
          </w:hyperlink>
        </w:p>
        <w:p w14:paraId="299EBE07" w14:textId="69B78F7B" w:rsidR="00DA5E95" w:rsidRDefault="00000000">
          <w:pPr>
            <w:pStyle w:val="TOC3"/>
            <w:tabs>
              <w:tab w:val="right" w:leader="dot" w:pos="9016"/>
            </w:tabs>
            <w:rPr>
              <w:rFonts w:asciiTheme="minorHAnsi" w:eastAsiaTheme="minorEastAsia" w:hAnsiTheme="minorHAnsi"/>
              <w:noProof/>
              <w:color w:val="auto"/>
              <w:lang w:eastAsia="en-NZ"/>
            </w:rPr>
          </w:pPr>
          <w:hyperlink w:anchor="_Toc131171649" w:history="1">
            <w:r w:rsidR="00DA5E95" w:rsidRPr="00990512">
              <w:rPr>
                <w:rStyle w:val="Hyperlink"/>
                <w:noProof/>
              </w:rPr>
              <w:t>Land described in sections CB 12(1)(a) to (e) or CB 13(1)(a) and (b)</w:t>
            </w:r>
            <w:r w:rsidR="00DA5E95">
              <w:rPr>
                <w:noProof/>
                <w:webHidden/>
              </w:rPr>
              <w:tab/>
            </w:r>
            <w:r w:rsidR="00DA5E95">
              <w:rPr>
                <w:noProof/>
                <w:webHidden/>
              </w:rPr>
              <w:fldChar w:fldCharType="begin"/>
            </w:r>
            <w:r w:rsidR="00DA5E95">
              <w:rPr>
                <w:noProof/>
                <w:webHidden/>
              </w:rPr>
              <w:instrText xml:space="preserve"> PAGEREF _Toc131171649 \h </w:instrText>
            </w:r>
            <w:r w:rsidR="00DA5E95">
              <w:rPr>
                <w:noProof/>
                <w:webHidden/>
              </w:rPr>
            </w:r>
            <w:r w:rsidR="00DA5E95">
              <w:rPr>
                <w:noProof/>
                <w:webHidden/>
              </w:rPr>
              <w:fldChar w:fldCharType="separate"/>
            </w:r>
            <w:r w:rsidR="00DA5E95">
              <w:rPr>
                <w:noProof/>
                <w:webHidden/>
              </w:rPr>
              <w:t>4</w:t>
            </w:r>
            <w:r w:rsidR="00DA5E95">
              <w:rPr>
                <w:noProof/>
                <w:webHidden/>
              </w:rPr>
              <w:fldChar w:fldCharType="end"/>
            </w:r>
          </w:hyperlink>
        </w:p>
        <w:p w14:paraId="49ECCCB0" w14:textId="72511420" w:rsidR="00DA5E95" w:rsidRDefault="00000000">
          <w:pPr>
            <w:pStyle w:val="TOC3"/>
            <w:tabs>
              <w:tab w:val="right" w:leader="dot" w:pos="9016"/>
            </w:tabs>
            <w:rPr>
              <w:rFonts w:asciiTheme="minorHAnsi" w:eastAsiaTheme="minorEastAsia" w:hAnsiTheme="minorHAnsi"/>
              <w:noProof/>
              <w:color w:val="auto"/>
              <w:lang w:eastAsia="en-NZ"/>
            </w:rPr>
          </w:pPr>
          <w:hyperlink w:anchor="_Toc131171650" w:history="1">
            <w:r w:rsidR="00DA5E95" w:rsidRPr="00990512">
              <w:rPr>
                <w:rStyle w:val="Hyperlink"/>
                <w:noProof/>
              </w:rPr>
              <w:t>Configuration of development</w:t>
            </w:r>
            <w:r w:rsidR="00DA5E95">
              <w:rPr>
                <w:noProof/>
                <w:webHidden/>
              </w:rPr>
              <w:tab/>
            </w:r>
            <w:r w:rsidR="00DA5E95">
              <w:rPr>
                <w:noProof/>
                <w:webHidden/>
              </w:rPr>
              <w:fldChar w:fldCharType="begin"/>
            </w:r>
            <w:r w:rsidR="00DA5E95">
              <w:rPr>
                <w:noProof/>
                <w:webHidden/>
              </w:rPr>
              <w:instrText xml:space="preserve"> PAGEREF _Toc131171650 \h </w:instrText>
            </w:r>
            <w:r w:rsidR="00DA5E95">
              <w:rPr>
                <w:noProof/>
                <w:webHidden/>
              </w:rPr>
            </w:r>
            <w:r w:rsidR="00DA5E95">
              <w:rPr>
                <w:noProof/>
                <w:webHidden/>
              </w:rPr>
              <w:fldChar w:fldCharType="separate"/>
            </w:r>
            <w:r w:rsidR="00DA5E95">
              <w:rPr>
                <w:noProof/>
                <w:webHidden/>
              </w:rPr>
              <w:t>5</w:t>
            </w:r>
            <w:r w:rsidR="00DA5E95">
              <w:rPr>
                <w:noProof/>
                <w:webHidden/>
              </w:rPr>
              <w:fldChar w:fldCharType="end"/>
            </w:r>
          </w:hyperlink>
        </w:p>
        <w:p w14:paraId="1C7553FB" w14:textId="7F359E24" w:rsidR="00DA5E95" w:rsidRDefault="00000000">
          <w:pPr>
            <w:pStyle w:val="TOC3"/>
            <w:tabs>
              <w:tab w:val="right" w:leader="dot" w:pos="9016"/>
            </w:tabs>
            <w:rPr>
              <w:rFonts w:asciiTheme="minorHAnsi" w:eastAsiaTheme="minorEastAsia" w:hAnsiTheme="minorHAnsi"/>
              <w:noProof/>
              <w:color w:val="auto"/>
              <w:lang w:eastAsia="en-NZ"/>
            </w:rPr>
          </w:pPr>
          <w:hyperlink w:anchor="_Toc131171651" w:history="1">
            <w:r w:rsidR="00DA5E95" w:rsidRPr="00990512">
              <w:rPr>
                <w:rStyle w:val="Hyperlink"/>
                <w:noProof/>
              </w:rPr>
              <w:t>Continuous use requirement</w:t>
            </w:r>
            <w:r w:rsidR="00DA5E95">
              <w:rPr>
                <w:noProof/>
                <w:webHidden/>
              </w:rPr>
              <w:tab/>
            </w:r>
            <w:r w:rsidR="00DA5E95">
              <w:rPr>
                <w:noProof/>
                <w:webHidden/>
              </w:rPr>
              <w:fldChar w:fldCharType="begin"/>
            </w:r>
            <w:r w:rsidR="00DA5E95">
              <w:rPr>
                <w:noProof/>
                <w:webHidden/>
              </w:rPr>
              <w:instrText xml:space="preserve"> PAGEREF _Toc131171651 \h </w:instrText>
            </w:r>
            <w:r w:rsidR="00DA5E95">
              <w:rPr>
                <w:noProof/>
                <w:webHidden/>
              </w:rPr>
            </w:r>
            <w:r w:rsidR="00DA5E95">
              <w:rPr>
                <w:noProof/>
                <w:webHidden/>
              </w:rPr>
              <w:fldChar w:fldCharType="separate"/>
            </w:r>
            <w:r w:rsidR="00DA5E95">
              <w:rPr>
                <w:noProof/>
                <w:webHidden/>
              </w:rPr>
              <w:t>6</w:t>
            </w:r>
            <w:r w:rsidR="00DA5E95">
              <w:rPr>
                <w:noProof/>
                <w:webHidden/>
              </w:rPr>
              <w:fldChar w:fldCharType="end"/>
            </w:r>
          </w:hyperlink>
        </w:p>
        <w:p w14:paraId="5C238811" w14:textId="16DC53DA" w:rsidR="00DA5E95" w:rsidRDefault="00000000">
          <w:pPr>
            <w:pStyle w:val="TOC3"/>
            <w:tabs>
              <w:tab w:val="right" w:leader="dot" w:pos="9016"/>
            </w:tabs>
            <w:rPr>
              <w:rFonts w:asciiTheme="minorHAnsi" w:eastAsiaTheme="minorEastAsia" w:hAnsiTheme="minorHAnsi"/>
              <w:noProof/>
              <w:color w:val="auto"/>
              <w:lang w:eastAsia="en-NZ"/>
            </w:rPr>
          </w:pPr>
          <w:hyperlink w:anchor="_Toc131171652" w:history="1">
            <w:r w:rsidR="00DA5E95" w:rsidRPr="00990512">
              <w:rPr>
                <w:rStyle w:val="Hyperlink"/>
                <w:noProof/>
              </w:rPr>
              <w:t>Tenure length requirement</w:t>
            </w:r>
            <w:r w:rsidR="00DA5E95">
              <w:rPr>
                <w:noProof/>
                <w:webHidden/>
              </w:rPr>
              <w:tab/>
            </w:r>
            <w:r w:rsidR="00DA5E95">
              <w:rPr>
                <w:noProof/>
                <w:webHidden/>
              </w:rPr>
              <w:fldChar w:fldCharType="begin"/>
            </w:r>
            <w:r w:rsidR="00DA5E95">
              <w:rPr>
                <w:noProof/>
                <w:webHidden/>
              </w:rPr>
              <w:instrText xml:space="preserve"> PAGEREF _Toc131171652 \h </w:instrText>
            </w:r>
            <w:r w:rsidR="00DA5E95">
              <w:rPr>
                <w:noProof/>
                <w:webHidden/>
              </w:rPr>
            </w:r>
            <w:r w:rsidR="00DA5E95">
              <w:rPr>
                <w:noProof/>
                <w:webHidden/>
              </w:rPr>
              <w:fldChar w:fldCharType="separate"/>
            </w:r>
            <w:r w:rsidR="00DA5E95">
              <w:rPr>
                <w:noProof/>
                <w:webHidden/>
              </w:rPr>
              <w:t>7</w:t>
            </w:r>
            <w:r w:rsidR="00DA5E95">
              <w:rPr>
                <w:noProof/>
                <w:webHidden/>
              </w:rPr>
              <w:fldChar w:fldCharType="end"/>
            </w:r>
          </w:hyperlink>
        </w:p>
        <w:p w14:paraId="5A27E3BE" w14:textId="1AAE6B4A" w:rsidR="00DA5E95" w:rsidRDefault="00000000">
          <w:pPr>
            <w:pStyle w:val="TOC3"/>
            <w:tabs>
              <w:tab w:val="right" w:leader="dot" w:pos="9016"/>
            </w:tabs>
            <w:rPr>
              <w:rFonts w:asciiTheme="minorHAnsi" w:eastAsiaTheme="minorEastAsia" w:hAnsiTheme="minorHAnsi"/>
              <w:noProof/>
              <w:color w:val="auto"/>
              <w:lang w:eastAsia="en-NZ"/>
            </w:rPr>
          </w:pPr>
          <w:hyperlink w:anchor="_Toc131171653" w:history="1">
            <w:r w:rsidR="00DA5E95" w:rsidRPr="00990512">
              <w:rPr>
                <w:rStyle w:val="Hyperlink"/>
                <w:noProof/>
              </w:rPr>
              <w:t>Personalisation policies</w:t>
            </w:r>
            <w:r w:rsidR="00DA5E95">
              <w:rPr>
                <w:noProof/>
                <w:webHidden/>
              </w:rPr>
              <w:tab/>
            </w:r>
            <w:r w:rsidR="00DA5E95">
              <w:rPr>
                <w:noProof/>
                <w:webHidden/>
              </w:rPr>
              <w:fldChar w:fldCharType="begin"/>
            </w:r>
            <w:r w:rsidR="00DA5E95">
              <w:rPr>
                <w:noProof/>
                <w:webHidden/>
              </w:rPr>
              <w:instrText xml:space="preserve"> PAGEREF _Toc131171653 \h </w:instrText>
            </w:r>
            <w:r w:rsidR="00DA5E95">
              <w:rPr>
                <w:noProof/>
                <w:webHidden/>
              </w:rPr>
            </w:r>
            <w:r w:rsidR="00DA5E95">
              <w:rPr>
                <w:noProof/>
                <w:webHidden/>
              </w:rPr>
              <w:fldChar w:fldCharType="separate"/>
            </w:r>
            <w:r w:rsidR="00DA5E95">
              <w:rPr>
                <w:noProof/>
                <w:webHidden/>
              </w:rPr>
              <w:t>7</w:t>
            </w:r>
            <w:r w:rsidR="00DA5E95">
              <w:rPr>
                <w:noProof/>
                <w:webHidden/>
              </w:rPr>
              <w:fldChar w:fldCharType="end"/>
            </w:r>
          </w:hyperlink>
        </w:p>
        <w:p w14:paraId="4758DB9F" w14:textId="030BE852" w:rsidR="00DA5E95" w:rsidRDefault="00000000">
          <w:pPr>
            <w:pStyle w:val="TOC3"/>
            <w:tabs>
              <w:tab w:val="right" w:leader="dot" w:pos="9016"/>
            </w:tabs>
            <w:rPr>
              <w:rFonts w:asciiTheme="minorHAnsi" w:eastAsiaTheme="minorEastAsia" w:hAnsiTheme="minorHAnsi"/>
              <w:noProof/>
              <w:color w:val="auto"/>
              <w:lang w:eastAsia="en-NZ"/>
            </w:rPr>
          </w:pPr>
          <w:hyperlink w:anchor="_Toc131171654" w:history="1">
            <w:r w:rsidR="00DA5E95" w:rsidRPr="00990512">
              <w:rPr>
                <w:rStyle w:val="Hyperlink"/>
                <w:noProof/>
              </w:rPr>
              <w:t>When the exclusion applies</w:t>
            </w:r>
            <w:r w:rsidR="00DA5E95">
              <w:rPr>
                <w:noProof/>
                <w:webHidden/>
              </w:rPr>
              <w:tab/>
            </w:r>
            <w:r w:rsidR="00DA5E95">
              <w:rPr>
                <w:noProof/>
                <w:webHidden/>
              </w:rPr>
              <w:fldChar w:fldCharType="begin"/>
            </w:r>
            <w:r w:rsidR="00DA5E95">
              <w:rPr>
                <w:noProof/>
                <w:webHidden/>
              </w:rPr>
              <w:instrText xml:space="preserve"> PAGEREF _Toc131171654 \h </w:instrText>
            </w:r>
            <w:r w:rsidR="00DA5E95">
              <w:rPr>
                <w:noProof/>
                <w:webHidden/>
              </w:rPr>
            </w:r>
            <w:r w:rsidR="00DA5E95">
              <w:rPr>
                <w:noProof/>
                <w:webHidden/>
              </w:rPr>
              <w:fldChar w:fldCharType="separate"/>
            </w:r>
            <w:r w:rsidR="00DA5E95">
              <w:rPr>
                <w:noProof/>
                <w:webHidden/>
              </w:rPr>
              <w:t>8</w:t>
            </w:r>
            <w:r w:rsidR="00DA5E95">
              <w:rPr>
                <w:noProof/>
                <w:webHidden/>
              </w:rPr>
              <w:fldChar w:fldCharType="end"/>
            </w:r>
          </w:hyperlink>
        </w:p>
        <w:p w14:paraId="36EE364F" w14:textId="3D0BA5CB" w:rsidR="00DA5E95" w:rsidRDefault="00000000">
          <w:pPr>
            <w:pStyle w:val="TOC3"/>
            <w:tabs>
              <w:tab w:val="right" w:leader="dot" w:pos="9016"/>
            </w:tabs>
            <w:rPr>
              <w:rFonts w:asciiTheme="minorHAnsi" w:eastAsiaTheme="minorEastAsia" w:hAnsiTheme="minorHAnsi"/>
              <w:noProof/>
              <w:color w:val="auto"/>
              <w:lang w:eastAsia="en-NZ"/>
            </w:rPr>
          </w:pPr>
          <w:hyperlink w:anchor="_Toc131171655" w:history="1">
            <w:r w:rsidR="00DA5E95" w:rsidRPr="00990512">
              <w:rPr>
                <w:rStyle w:val="Hyperlink"/>
                <w:noProof/>
              </w:rPr>
              <w:t>Effect of exclusion</w:t>
            </w:r>
            <w:r w:rsidR="00DA5E95">
              <w:rPr>
                <w:noProof/>
                <w:webHidden/>
              </w:rPr>
              <w:tab/>
            </w:r>
            <w:r w:rsidR="00DA5E95">
              <w:rPr>
                <w:noProof/>
                <w:webHidden/>
              </w:rPr>
              <w:fldChar w:fldCharType="begin"/>
            </w:r>
            <w:r w:rsidR="00DA5E95">
              <w:rPr>
                <w:noProof/>
                <w:webHidden/>
              </w:rPr>
              <w:instrText xml:space="preserve"> PAGEREF _Toc131171655 \h </w:instrText>
            </w:r>
            <w:r w:rsidR="00DA5E95">
              <w:rPr>
                <w:noProof/>
                <w:webHidden/>
              </w:rPr>
            </w:r>
            <w:r w:rsidR="00DA5E95">
              <w:rPr>
                <w:noProof/>
                <w:webHidden/>
              </w:rPr>
              <w:fldChar w:fldCharType="separate"/>
            </w:r>
            <w:r w:rsidR="00DA5E95">
              <w:rPr>
                <w:noProof/>
                <w:webHidden/>
              </w:rPr>
              <w:t>8</w:t>
            </w:r>
            <w:r w:rsidR="00DA5E95">
              <w:rPr>
                <w:noProof/>
                <w:webHidden/>
              </w:rPr>
              <w:fldChar w:fldCharType="end"/>
            </w:r>
          </w:hyperlink>
        </w:p>
        <w:p w14:paraId="6BA63C7A" w14:textId="5C285135" w:rsidR="00DA5E95" w:rsidRDefault="00000000">
          <w:pPr>
            <w:pStyle w:val="TOC3"/>
            <w:tabs>
              <w:tab w:val="right" w:leader="dot" w:pos="9016"/>
            </w:tabs>
            <w:rPr>
              <w:rFonts w:asciiTheme="minorHAnsi" w:eastAsiaTheme="minorEastAsia" w:hAnsiTheme="minorHAnsi"/>
              <w:noProof/>
              <w:color w:val="auto"/>
              <w:lang w:eastAsia="en-NZ"/>
            </w:rPr>
          </w:pPr>
          <w:hyperlink w:anchor="_Toc131171656" w:history="1">
            <w:r w:rsidR="00DA5E95" w:rsidRPr="00990512">
              <w:rPr>
                <w:rStyle w:val="Hyperlink"/>
                <w:noProof/>
              </w:rPr>
              <w:t>When the exclusion ceases</w:t>
            </w:r>
            <w:r w:rsidR="00DA5E95">
              <w:rPr>
                <w:noProof/>
                <w:webHidden/>
              </w:rPr>
              <w:tab/>
            </w:r>
            <w:r w:rsidR="00DA5E95">
              <w:rPr>
                <w:noProof/>
                <w:webHidden/>
              </w:rPr>
              <w:fldChar w:fldCharType="begin"/>
            </w:r>
            <w:r w:rsidR="00DA5E95">
              <w:rPr>
                <w:noProof/>
                <w:webHidden/>
              </w:rPr>
              <w:instrText xml:space="preserve"> PAGEREF _Toc131171656 \h </w:instrText>
            </w:r>
            <w:r w:rsidR="00DA5E95">
              <w:rPr>
                <w:noProof/>
                <w:webHidden/>
              </w:rPr>
            </w:r>
            <w:r w:rsidR="00DA5E95">
              <w:rPr>
                <w:noProof/>
                <w:webHidden/>
              </w:rPr>
              <w:fldChar w:fldCharType="separate"/>
            </w:r>
            <w:r w:rsidR="00DA5E95">
              <w:rPr>
                <w:noProof/>
                <w:webHidden/>
              </w:rPr>
              <w:t>9</w:t>
            </w:r>
            <w:r w:rsidR="00DA5E95">
              <w:rPr>
                <w:noProof/>
                <w:webHidden/>
              </w:rPr>
              <w:fldChar w:fldCharType="end"/>
            </w:r>
          </w:hyperlink>
        </w:p>
        <w:p w14:paraId="636B14F8" w14:textId="6C7A654F" w:rsidR="00DA5E95" w:rsidRDefault="00000000">
          <w:pPr>
            <w:pStyle w:val="TOC3"/>
            <w:tabs>
              <w:tab w:val="right" w:leader="dot" w:pos="9016"/>
            </w:tabs>
            <w:rPr>
              <w:rFonts w:asciiTheme="minorHAnsi" w:eastAsiaTheme="minorEastAsia" w:hAnsiTheme="minorHAnsi"/>
              <w:noProof/>
              <w:color w:val="auto"/>
              <w:lang w:eastAsia="en-NZ"/>
            </w:rPr>
          </w:pPr>
          <w:hyperlink w:anchor="_Toc131171657" w:history="1">
            <w:r w:rsidR="00DA5E95" w:rsidRPr="00990512">
              <w:rPr>
                <w:rStyle w:val="Hyperlink"/>
                <w:noProof/>
              </w:rPr>
              <w:t>Interaction with the new build exemption</w:t>
            </w:r>
            <w:r w:rsidR="00DA5E95">
              <w:rPr>
                <w:noProof/>
                <w:webHidden/>
              </w:rPr>
              <w:tab/>
            </w:r>
            <w:r w:rsidR="00DA5E95">
              <w:rPr>
                <w:noProof/>
                <w:webHidden/>
              </w:rPr>
              <w:fldChar w:fldCharType="begin"/>
            </w:r>
            <w:r w:rsidR="00DA5E95">
              <w:rPr>
                <w:noProof/>
                <w:webHidden/>
              </w:rPr>
              <w:instrText xml:space="preserve"> PAGEREF _Toc131171657 \h </w:instrText>
            </w:r>
            <w:r w:rsidR="00DA5E95">
              <w:rPr>
                <w:noProof/>
                <w:webHidden/>
              </w:rPr>
            </w:r>
            <w:r w:rsidR="00DA5E95">
              <w:rPr>
                <w:noProof/>
                <w:webHidden/>
              </w:rPr>
              <w:fldChar w:fldCharType="separate"/>
            </w:r>
            <w:r w:rsidR="00DA5E95">
              <w:rPr>
                <w:noProof/>
                <w:webHidden/>
              </w:rPr>
              <w:t>10</w:t>
            </w:r>
            <w:r w:rsidR="00DA5E95">
              <w:rPr>
                <w:noProof/>
                <w:webHidden/>
              </w:rPr>
              <w:fldChar w:fldCharType="end"/>
            </w:r>
          </w:hyperlink>
        </w:p>
        <w:p w14:paraId="1E1069A7" w14:textId="640F75DB" w:rsidR="00DA5E95" w:rsidRDefault="00000000">
          <w:pPr>
            <w:pStyle w:val="TOC1"/>
            <w:tabs>
              <w:tab w:val="right" w:leader="dot" w:pos="9016"/>
            </w:tabs>
            <w:rPr>
              <w:rFonts w:asciiTheme="minorHAnsi" w:eastAsiaTheme="minorEastAsia" w:hAnsiTheme="minorHAnsi"/>
              <w:noProof/>
              <w:color w:val="auto"/>
              <w:lang w:eastAsia="en-NZ"/>
            </w:rPr>
          </w:pPr>
          <w:hyperlink w:anchor="_Toc131171658" w:history="1">
            <w:r w:rsidR="00DA5E95" w:rsidRPr="00990512">
              <w:rPr>
                <w:rStyle w:val="Hyperlink"/>
                <w:noProof/>
              </w:rPr>
              <w:t>Further information</w:t>
            </w:r>
            <w:r w:rsidR="00DA5E95">
              <w:rPr>
                <w:noProof/>
                <w:webHidden/>
              </w:rPr>
              <w:tab/>
            </w:r>
            <w:r w:rsidR="00DA5E95">
              <w:rPr>
                <w:noProof/>
                <w:webHidden/>
              </w:rPr>
              <w:fldChar w:fldCharType="begin"/>
            </w:r>
            <w:r w:rsidR="00DA5E95">
              <w:rPr>
                <w:noProof/>
                <w:webHidden/>
              </w:rPr>
              <w:instrText xml:space="preserve"> PAGEREF _Toc131171658 \h </w:instrText>
            </w:r>
            <w:r w:rsidR="00DA5E95">
              <w:rPr>
                <w:noProof/>
                <w:webHidden/>
              </w:rPr>
            </w:r>
            <w:r w:rsidR="00DA5E95">
              <w:rPr>
                <w:noProof/>
                <w:webHidden/>
              </w:rPr>
              <w:fldChar w:fldCharType="separate"/>
            </w:r>
            <w:r w:rsidR="00DA5E95">
              <w:rPr>
                <w:noProof/>
                <w:webHidden/>
              </w:rPr>
              <w:t>10</w:t>
            </w:r>
            <w:r w:rsidR="00DA5E95">
              <w:rPr>
                <w:noProof/>
                <w:webHidden/>
              </w:rPr>
              <w:fldChar w:fldCharType="end"/>
            </w:r>
          </w:hyperlink>
        </w:p>
        <w:p w14:paraId="76B1F34C" w14:textId="2E8D68D8" w:rsidR="00DA5E95" w:rsidRDefault="00000000">
          <w:pPr>
            <w:pStyle w:val="TOC1"/>
            <w:tabs>
              <w:tab w:val="right" w:leader="dot" w:pos="9016"/>
            </w:tabs>
            <w:rPr>
              <w:rFonts w:asciiTheme="minorHAnsi" w:eastAsiaTheme="minorEastAsia" w:hAnsiTheme="minorHAnsi"/>
              <w:noProof/>
              <w:color w:val="auto"/>
              <w:lang w:eastAsia="en-NZ"/>
            </w:rPr>
          </w:pPr>
          <w:hyperlink w:anchor="_Toc131171659" w:history="1">
            <w:r w:rsidR="00DA5E95" w:rsidRPr="00990512">
              <w:rPr>
                <w:rStyle w:val="Hyperlink"/>
                <w:noProof/>
              </w:rPr>
              <w:t>About this document</w:t>
            </w:r>
            <w:r w:rsidR="00DA5E95">
              <w:rPr>
                <w:noProof/>
                <w:webHidden/>
              </w:rPr>
              <w:tab/>
            </w:r>
            <w:r w:rsidR="00DA5E95">
              <w:rPr>
                <w:noProof/>
                <w:webHidden/>
              </w:rPr>
              <w:fldChar w:fldCharType="begin"/>
            </w:r>
            <w:r w:rsidR="00DA5E95">
              <w:rPr>
                <w:noProof/>
                <w:webHidden/>
              </w:rPr>
              <w:instrText xml:space="preserve"> PAGEREF _Toc131171659 \h </w:instrText>
            </w:r>
            <w:r w:rsidR="00DA5E95">
              <w:rPr>
                <w:noProof/>
                <w:webHidden/>
              </w:rPr>
            </w:r>
            <w:r w:rsidR="00DA5E95">
              <w:rPr>
                <w:noProof/>
                <w:webHidden/>
              </w:rPr>
              <w:fldChar w:fldCharType="separate"/>
            </w:r>
            <w:r w:rsidR="00DA5E95">
              <w:rPr>
                <w:noProof/>
                <w:webHidden/>
              </w:rPr>
              <w:t>10</w:t>
            </w:r>
            <w:r w:rsidR="00DA5E95">
              <w:rPr>
                <w:noProof/>
                <w:webHidden/>
              </w:rPr>
              <w:fldChar w:fldCharType="end"/>
            </w:r>
          </w:hyperlink>
        </w:p>
        <w:p w14:paraId="4BA49116" w14:textId="23CF9D54" w:rsidR="00B303D9" w:rsidRDefault="00B303D9">
          <w:r>
            <w:rPr>
              <w:b/>
              <w:bCs/>
              <w:noProof/>
            </w:rPr>
            <w:fldChar w:fldCharType="end"/>
          </w:r>
        </w:p>
      </w:sdtContent>
    </w:sdt>
    <w:p w14:paraId="035EC666" w14:textId="77777777" w:rsidR="00B65C4B" w:rsidRDefault="00B65C4B" w:rsidP="000E1426">
      <w:r>
        <w:br w:type="page"/>
      </w:r>
    </w:p>
    <w:p w14:paraId="2115C9D0" w14:textId="54B42D97" w:rsidR="00740B50" w:rsidRDefault="00700591" w:rsidP="008F1591">
      <w:pPr>
        <w:pStyle w:val="NoNumberHeading1"/>
        <w:rPr>
          <w:i/>
          <w:iCs/>
        </w:rPr>
      </w:pPr>
      <w:bookmarkStart w:id="2" w:name="_Toc97894759"/>
      <w:bookmarkStart w:id="3" w:name="_Toc131171642"/>
      <w:r>
        <w:lastRenderedPageBreak/>
        <w:t>Build-to-rent exclusion</w:t>
      </w:r>
      <w:r w:rsidR="00781982">
        <w:t xml:space="preserve"> from interest limitation rules</w:t>
      </w:r>
      <w:bookmarkEnd w:id="2"/>
      <w:bookmarkEnd w:id="3"/>
    </w:p>
    <w:p w14:paraId="1861EAE6" w14:textId="19311CCF" w:rsidR="008F1591" w:rsidRPr="00587C45" w:rsidRDefault="008F1591" w:rsidP="008F1591">
      <w:r>
        <w:rPr>
          <w:i/>
          <w:iCs/>
        </w:rPr>
        <w:t>Section YA 1</w:t>
      </w:r>
      <w:r w:rsidR="00587C45">
        <w:rPr>
          <w:i/>
          <w:iCs/>
        </w:rPr>
        <w:t xml:space="preserve"> and sch</w:t>
      </w:r>
      <w:r w:rsidR="00DA5E95">
        <w:rPr>
          <w:i/>
          <w:iCs/>
        </w:rPr>
        <w:t>edule</w:t>
      </w:r>
      <w:r w:rsidR="00587C45">
        <w:rPr>
          <w:i/>
          <w:iCs/>
        </w:rPr>
        <w:t xml:space="preserve"> 15 of the Income Tax Act 2007</w:t>
      </w:r>
    </w:p>
    <w:p w14:paraId="7131AD42" w14:textId="76E139FB" w:rsidR="009B74B8" w:rsidRDefault="008269EA" w:rsidP="004873F0">
      <w:r>
        <w:t>A</w:t>
      </w:r>
      <w:r w:rsidR="009923EA">
        <w:t>mendment</w:t>
      </w:r>
      <w:r>
        <w:t>s</w:t>
      </w:r>
      <w:r w:rsidR="009923EA">
        <w:t xml:space="preserve"> </w:t>
      </w:r>
      <w:r>
        <w:t xml:space="preserve">enacted in the Taxation (Annual Rates for 2022–23, Platform Economy, and Remedial Matters) Act 2023 </w:t>
      </w:r>
      <w:r w:rsidR="009923EA">
        <w:t xml:space="preserve">provide </w:t>
      </w:r>
      <w:r>
        <w:t xml:space="preserve">for </w:t>
      </w:r>
      <w:r w:rsidR="009923EA">
        <w:t>an in-perpetuity exclusion from the interest limitation rules for</w:t>
      </w:r>
      <w:r w:rsidR="00FB2307">
        <w:t xml:space="preserve"> </w:t>
      </w:r>
      <w:r w:rsidR="009923EA">
        <w:t>build</w:t>
      </w:r>
      <w:r w:rsidR="00FB2307">
        <w:t>-to-rent land that meets the asset class definition</w:t>
      </w:r>
      <w:r w:rsidR="0036378E">
        <w:t>.</w:t>
      </w:r>
    </w:p>
    <w:p w14:paraId="58A37F0A" w14:textId="77777777" w:rsidR="00740B50" w:rsidRDefault="00BF700A" w:rsidP="00BF700A">
      <w:pPr>
        <w:pStyle w:val="NoNumberHeading2"/>
      </w:pPr>
      <w:bookmarkStart w:id="4" w:name="_Toc64637535"/>
      <w:bookmarkStart w:id="5" w:name="_Toc64976845"/>
      <w:bookmarkStart w:id="6" w:name="_Toc131171643"/>
      <w:r>
        <w:t>Background</w:t>
      </w:r>
      <w:bookmarkEnd w:id="4"/>
      <w:bookmarkEnd w:id="5"/>
      <w:bookmarkEnd w:id="6"/>
    </w:p>
    <w:p w14:paraId="1C338562" w14:textId="2E153E7E" w:rsidR="00C35AF6" w:rsidRDefault="00A1530D" w:rsidP="004873F0">
      <w:bookmarkStart w:id="7" w:name="_Toc97818904"/>
      <w:bookmarkStart w:id="8" w:name="_Toc64637536"/>
      <w:bookmarkStart w:id="9" w:name="_Toc64976846"/>
      <w:r w:rsidRPr="002169D2">
        <w:t xml:space="preserve">The interest limitation rules </w:t>
      </w:r>
      <w:r w:rsidR="00390367">
        <w:t xml:space="preserve">in subpart DH of the Income Tax Act 2007 (ITA) </w:t>
      </w:r>
      <w:r w:rsidR="00821215">
        <w:t>took effect on</w:t>
      </w:r>
      <w:r w:rsidRPr="002169D2">
        <w:t xml:space="preserve"> 1</w:t>
      </w:r>
      <w:r w:rsidR="000849CA">
        <w:t> </w:t>
      </w:r>
      <w:r w:rsidRPr="002169D2">
        <w:t xml:space="preserve">October 2021 and are aimed at tilting the playing field for existing residential property away from investors and towards first home buyers and owner-occupiers. </w:t>
      </w:r>
      <w:r w:rsidR="009E61E5">
        <w:t xml:space="preserve">The rules deny an interest deduction for interest incurred </w:t>
      </w:r>
      <w:r w:rsidR="005C440B">
        <w:t>for disallowed residential property on or after 1</w:t>
      </w:r>
      <w:r w:rsidR="000849CA">
        <w:t> </w:t>
      </w:r>
      <w:r w:rsidR="005C440B">
        <w:t xml:space="preserve">October 2021. </w:t>
      </w:r>
      <w:r w:rsidR="0039158D">
        <w:t>However, the rules do not apply to interest incurred for “excepted residential land” as listed in sch</w:t>
      </w:r>
      <w:r w:rsidR="00DA5E95">
        <w:t>edule</w:t>
      </w:r>
      <w:r w:rsidR="0039158D">
        <w:t xml:space="preserve"> 15 of the ITA.</w:t>
      </w:r>
    </w:p>
    <w:p w14:paraId="1FED5B50" w14:textId="68D06ED3" w:rsidR="00740B50" w:rsidRDefault="00A1530D" w:rsidP="004873F0">
      <w:r w:rsidRPr="002169D2">
        <w:t xml:space="preserve">Exemptions, such as the new build exemption, were included to ensure the interest limitation rules do not have a negative impact on new housing supply. </w:t>
      </w:r>
      <w:r w:rsidR="00696D53">
        <w:t>B</w:t>
      </w:r>
      <w:r w:rsidRPr="002169D2">
        <w:t>uild-to-rent assets ha</w:t>
      </w:r>
      <w:r w:rsidR="00696D53">
        <w:t>ve</w:t>
      </w:r>
      <w:r w:rsidRPr="002169D2">
        <w:t xml:space="preserve"> </w:t>
      </w:r>
      <w:r w:rsidR="00DF4909">
        <w:t xml:space="preserve">now </w:t>
      </w:r>
      <w:r w:rsidRPr="002169D2">
        <w:t xml:space="preserve">been </w:t>
      </w:r>
      <w:r w:rsidR="00696D53">
        <w:t>added to the list of excepted residential land</w:t>
      </w:r>
      <w:r w:rsidRPr="002169D2">
        <w:t xml:space="preserve"> to ensure the rules do not negatively impact the supply of</w:t>
      </w:r>
      <w:r w:rsidR="00590499">
        <w:t xml:space="preserve"> this type of</w:t>
      </w:r>
      <w:r w:rsidRPr="002169D2">
        <w:t xml:space="preserve"> </w:t>
      </w:r>
      <w:r w:rsidR="00FD29E0">
        <w:t xml:space="preserve">large-scale </w:t>
      </w:r>
      <w:r w:rsidRPr="002169D2">
        <w:t>rental pro</w:t>
      </w:r>
      <w:r w:rsidR="00557223" w:rsidRPr="002169D2">
        <w:t>perty specifically.</w:t>
      </w:r>
    </w:p>
    <w:p w14:paraId="1CDF0998" w14:textId="77777777" w:rsidR="00740B50" w:rsidRDefault="003A7C66" w:rsidP="00FC0178">
      <w:pPr>
        <w:pStyle w:val="NoNumberHeading2"/>
      </w:pPr>
      <w:bookmarkStart w:id="10" w:name="_Toc131171644"/>
      <w:r>
        <w:t>Key</w:t>
      </w:r>
      <w:r w:rsidR="00FC0178">
        <w:t xml:space="preserve"> features</w:t>
      </w:r>
      <w:bookmarkEnd w:id="7"/>
      <w:bookmarkEnd w:id="10"/>
    </w:p>
    <w:p w14:paraId="642481A4" w14:textId="5CD6FD73" w:rsidR="0004264E" w:rsidRDefault="00E71C6E" w:rsidP="002F56C6">
      <w:r>
        <w:t>“Build-to-rent land” has been added to the list of excepted residential land in sch</w:t>
      </w:r>
      <w:r w:rsidR="00DA5E95">
        <w:t>edule </w:t>
      </w:r>
      <w:r>
        <w:t xml:space="preserve">15. This means </w:t>
      </w:r>
      <w:r w:rsidR="00CB361C">
        <w:t>t</w:t>
      </w:r>
      <w:r w:rsidR="009F3046">
        <w:t xml:space="preserve">he interest limitation rules </w:t>
      </w:r>
      <w:r w:rsidR="00465790">
        <w:t>do</w:t>
      </w:r>
      <w:r w:rsidR="009F3046">
        <w:t xml:space="preserve"> not apply to </w:t>
      </w:r>
      <w:r w:rsidR="00B90206">
        <w:t xml:space="preserve">deny deductions for </w:t>
      </w:r>
      <w:r w:rsidR="005602FC">
        <w:t xml:space="preserve">interest incurred </w:t>
      </w:r>
      <w:r w:rsidR="00E566A5">
        <w:t xml:space="preserve">for </w:t>
      </w:r>
      <w:r w:rsidR="00B358C7">
        <w:t xml:space="preserve">property that </w:t>
      </w:r>
      <w:r w:rsidR="002703D4">
        <w:t xml:space="preserve">the Commissioner of Inland Revenue has received notice </w:t>
      </w:r>
      <w:r w:rsidR="00113794">
        <w:t xml:space="preserve">has </w:t>
      </w:r>
      <w:r w:rsidR="00E140E2">
        <w:t xml:space="preserve">met the asset class definition and </w:t>
      </w:r>
      <w:r w:rsidR="00113794">
        <w:t>been approved as build-to-rent land by Te T</w:t>
      </w:r>
      <w:r w:rsidR="003F6724">
        <w:t>ūā</w:t>
      </w:r>
      <w:r w:rsidR="00113794">
        <w:t>papa Kura K</w:t>
      </w:r>
      <w:r w:rsidR="00224479">
        <w:t>ā</w:t>
      </w:r>
      <w:r w:rsidR="00113794">
        <w:t xml:space="preserve">inga – Ministry of Housing and Urban Development. </w:t>
      </w:r>
      <w:r w:rsidR="00DE44E4">
        <w:t>However, i</w:t>
      </w:r>
      <w:r w:rsidR="00E140E2">
        <w:t xml:space="preserve">f the land at any </w:t>
      </w:r>
      <w:r w:rsidR="0076691C">
        <w:t xml:space="preserve">later </w:t>
      </w:r>
      <w:r w:rsidR="00E140E2">
        <w:t>point fails to meet</w:t>
      </w:r>
      <w:r w:rsidR="006A4C14">
        <w:t xml:space="preserve"> the asset class definition, t</w:t>
      </w:r>
      <w:r w:rsidR="00224479">
        <w:t>axpayers</w:t>
      </w:r>
      <w:r w:rsidR="006A4C14">
        <w:t xml:space="preserve"> will no longer be able to </w:t>
      </w:r>
      <w:r w:rsidR="00B94840">
        <w:t xml:space="preserve">rely on </w:t>
      </w:r>
      <w:r w:rsidR="00A417BE">
        <w:t xml:space="preserve">the build-to-rent exclusion </w:t>
      </w:r>
      <w:r w:rsidR="00E76252">
        <w:t xml:space="preserve">to </w:t>
      </w:r>
      <w:r w:rsidR="0025770D">
        <w:t>prevent the interest limitation rules from applying</w:t>
      </w:r>
      <w:r w:rsidR="00395B47">
        <w:t xml:space="preserve"> to deny</w:t>
      </w:r>
      <w:r w:rsidR="006A4C14">
        <w:t xml:space="preserve"> interest </w:t>
      </w:r>
      <w:r w:rsidR="00395B47">
        <w:t>deductions for</w:t>
      </w:r>
      <w:r w:rsidR="006A4C14">
        <w:t xml:space="preserve"> that residential rental property.</w:t>
      </w:r>
    </w:p>
    <w:p w14:paraId="47A96667" w14:textId="5951BEA7" w:rsidR="00333D58" w:rsidRPr="00333D58" w:rsidRDefault="000E2966" w:rsidP="005D7C22">
      <w:pPr>
        <w:pStyle w:val="NoNumberHeading3"/>
      </w:pPr>
      <w:bookmarkStart w:id="11" w:name="_Toc131171645"/>
      <w:r>
        <w:t>“</w:t>
      </w:r>
      <w:r w:rsidR="00333D58" w:rsidRPr="00333D58">
        <w:t>Build-to-rent land</w:t>
      </w:r>
      <w:r>
        <w:t>”</w:t>
      </w:r>
      <w:r w:rsidR="0097756E">
        <w:t xml:space="preserve"> definition</w:t>
      </w:r>
      <w:bookmarkEnd w:id="11"/>
    </w:p>
    <w:p w14:paraId="48CA4965" w14:textId="4FD7BF59" w:rsidR="00333D58" w:rsidRPr="00333D58" w:rsidRDefault="00CF226F" w:rsidP="00333D58">
      <w:r>
        <w:t>The n</w:t>
      </w:r>
      <w:r w:rsidR="00333D58" w:rsidRPr="00333D58">
        <w:t xml:space="preserve">ew </w:t>
      </w:r>
      <w:r>
        <w:t>defin</w:t>
      </w:r>
      <w:r w:rsidR="00740B50">
        <w:t>ition</w:t>
      </w:r>
      <w:r>
        <w:t xml:space="preserve"> </w:t>
      </w:r>
      <w:r w:rsidR="00740B50">
        <w:t>of “build-to-rent land”</w:t>
      </w:r>
      <w:r>
        <w:t xml:space="preserve"> in section YA 1</w:t>
      </w:r>
      <w:r w:rsidR="00333D58" w:rsidRPr="00333D58">
        <w:t xml:space="preserve"> </w:t>
      </w:r>
      <w:r>
        <w:t xml:space="preserve">of the </w:t>
      </w:r>
      <w:r w:rsidR="00740B50">
        <w:t>ITA</w:t>
      </w:r>
      <w:r w:rsidR="00333D58" w:rsidRPr="00333D58">
        <w:t xml:space="preserve"> </w:t>
      </w:r>
      <w:r w:rsidR="00740B50">
        <w:t xml:space="preserve">provides that </w:t>
      </w:r>
      <w:r w:rsidR="00333D58" w:rsidRPr="00333D58">
        <w:t xml:space="preserve">build-to-rent land </w:t>
      </w:r>
      <w:r w:rsidR="00AB0B71">
        <w:t>is</w:t>
      </w:r>
      <w:r w:rsidR="00DD16BF">
        <w:t>, for a person,</w:t>
      </w:r>
      <w:r w:rsidR="00333D58" w:rsidRPr="00333D58">
        <w:t xml:space="preserve"> land </w:t>
      </w:r>
      <w:r w:rsidR="00B35730">
        <w:t>that they own and that</w:t>
      </w:r>
      <w:r w:rsidR="003B2807" w:rsidRPr="003B2807">
        <w:t xml:space="preserve"> </w:t>
      </w:r>
      <w:r w:rsidR="003B2807" w:rsidRPr="00AB0B71">
        <w:t xml:space="preserve">is described in section CB 12(1)(a) to (e) or </w:t>
      </w:r>
      <w:r w:rsidR="003B2807">
        <w:t xml:space="preserve">section </w:t>
      </w:r>
      <w:r w:rsidR="003B2807" w:rsidRPr="00AB0B71">
        <w:t>CB 13 (1)(a) and (b)</w:t>
      </w:r>
      <w:r w:rsidR="00730878">
        <w:t xml:space="preserve"> </w:t>
      </w:r>
      <w:r w:rsidR="00333D58" w:rsidRPr="00333D58">
        <w:t>to the extent to which:</w:t>
      </w:r>
    </w:p>
    <w:p w14:paraId="136E8894" w14:textId="171F4DD8" w:rsidR="00333D58" w:rsidRPr="00DA5E95" w:rsidRDefault="00D10E7B" w:rsidP="00DA5E95">
      <w:pPr>
        <w:pStyle w:val="Bullets"/>
      </w:pPr>
      <w:r w:rsidRPr="00DA5E95">
        <w:lastRenderedPageBreak/>
        <w:t>i</w:t>
      </w:r>
      <w:r w:rsidR="00333D58" w:rsidRPr="00DA5E95">
        <w:t xml:space="preserve">t </w:t>
      </w:r>
      <w:r w:rsidR="00020C38" w:rsidRPr="00DA5E95">
        <w:t xml:space="preserve">is or was part of </w:t>
      </w:r>
      <w:r w:rsidR="002E5F80" w:rsidRPr="00DA5E95">
        <w:t>one</w:t>
      </w:r>
      <w:r w:rsidR="007964AE" w:rsidRPr="00DA5E95">
        <w:t xml:space="preserve"> project of</w:t>
      </w:r>
      <w:r w:rsidR="00333D58" w:rsidRPr="00DA5E95">
        <w:t xml:space="preserve"> 20 or more dwellings,</w:t>
      </w:r>
      <w:r w:rsidR="00E06A16" w:rsidRPr="00DA5E95">
        <w:t xml:space="preserve"> and</w:t>
      </w:r>
    </w:p>
    <w:p w14:paraId="127A43ED" w14:textId="64965426" w:rsidR="00333D58" w:rsidRPr="00DA5E95" w:rsidRDefault="00D17851" w:rsidP="00DA5E95">
      <w:pPr>
        <w:pStyle w:val="Bullets"/>
      </w:pPr>
      <w:r w:rsidRPr="00DA5E95">
        <w:t xml:space="preserve">it </w:t>
      </w:r>
      <w:r w:rsidR="00C3138C" w:rsidRPr="00DA5E95">
        <w:t>is currently one</w:t>
      </w:r>
      <w:r w:rsidR="00E06A16" w:rsidRPr="00DA5E95">
        <w:t xml:space="preserve"> of 20 or more</w:t>
      </w:r>
      <w:r w:rsidR="00333D58" w:rsidRPr="00DA5E95">
        <w:t xml:space="preserve"> dwelling</w:t>
      </w:r>
      <w:r w:rsidR="00460B4A" w:rsidRPr="00DA5E95">
        <w:t>s</w:t>
      </w:r>
      <w:r w:rsidR="00333D58" w:rsidRPr="00DA5E95">
        <w:t xml:space="preserve"> used, available for use, or being prepare</w:t>
      </w:r>
      <w:r w:rsidR="00143233" w:rsidRPr="00DA5E95">
        <w:t>d</w:t>
      </w:r>
      <w:r w:rsidR="00333D58" w:rsidRPr="00DA5E95">
        <w:t xml:space="preserve"> or restored for use, as a rental property to which the Residential Tenancies Act 1986 </w:t>
      </w:r>
      <w:r w:rsidR="00686DE9" w:rsidRPr="00DA5E95">
        <w:t xml:space="preserve">(RTA) </w:t>
      </w:r>
      <w:r w:rsidR="00333D58" w:rsidRPr="00DA5E95">
        <w:t>applies,</w:t>
      </w:r>
    </w:p>
    <w:p w14:paraId="22C816A8" w14:textId="1111C314" w:rsidR="003D0663" w:rsidRPr="00333D58" w:rsidRDefault="003D0663" w:rsidP="003D0663">
      <w:r>
        <w:t>if</w:t>
      </w:r>
      <w:r w:rsidR="00D97A69">
        <w:t>—</w:t>
      </w:r>
    </w:p>
    <w:p w14:paraId="778C8A60" w14:textId="72D72B26" w:rsidR="00333D58" w:rsidRPr="00DA5E95" w:rsidRDefault="00397D3D" w:rsidP="00DA5E95">
      <w:pPr>
        <w:pStyle w:val="Bullets"/>
      </w:pPr>
      <w:r w:rsidRPr="00DA5E95">
        <w:t>e</w:t>
      </w:r>
      <w:r w:rsidR="00333D58" w:rsidRPr="00DA5E95">
        <w:t xml:space="preserve">very residential tenancy has the option of a </w:t>
      </w:r>
      <w:r w:rsidR="00D65841" w:rsidRPr="00DA5E95">
        <w:t xml:space="preserve">fixed term of at least </w:t>
      </w:r>
      <w:r w:rsidR="00333D58" w:rsidRPr="00DA5E95">
        <w:t>10</w:t>
      </w:r>
      <w:r w:rsidR="00D65841" w:rsidRPr="00DA5E95">
        <w:t xml:space="preserve"> </w:t>
      </w:r>
      <w:r w:rsidR="00333D58" w:rsidRPr="00DA5E95">
        <w:t>year</w:t>
      </w:r>
      <w:r w:rsidR="00D65841" w:rsidRPr="00DA5E95">
        <w:t>s</w:t>
      </w:r>
      <w:r w:rsidR="00333D58" w:rsidRPr="00DA5E95">
        <w:t xml:space="preserve">, with the ability </w:t>
      </w:r>
      <w:r w:rsidR="00F236E5" w:rsidRPr="00DA5E95">
        <w:t xml:space="preserve">for the tenant </w:t>
      </w:r>
      <w:r w:rsidR="00333D58" w:rsidRPr="00DA5E95">
        <w:t>to give 56</w:t>
      </w:r>
      <w:r w:rsidR="00B37602" w:rsidRPr="00DA5E95">
        <w:t xml:space="preserve"> </w:t>
      </w:r>
      <w:r w:rsidR="00333D58" w:rsidRPr="00DA5E95">
        <w:t>days’ notice of termination,</w:t>
      </w:r>
      <w:r w:rsidR="00E27945" w:rsidRPr="00DA5E95">
        <w:t xml:space="preserve"> and</w:t>
      </w:r>
    </w:p>
    <w:p w14:paraId="65A57651" w14:textId="0430E861" w:rsidR="00333D58" w:rsidRPr="00333D58" w:rsidRDefault="00864767" w:rsidP="00DA5E95">
      <w:pPr>
        <w:pStyle w:val="Bullets"/>
      </w:pPr>
      <w:r w:rsidRPr="00DA5E95">
        <w:t>e</w:t>
      </w:r>
      <w:r w:rsidR="00333D58" w:rsidRPr="00DA5E95">
        <w:t>very tenancy agreem</w:t>
      </w:r>
      <w:r w:rsidR="00333D58" w:rsidRPr="00333D58">
        <w:t>ent includes a personalisation policy</w:t>
      </w:r>
      <w:r w:rsidR="00E54810">
        <w:t xml:space="preserve"> in line</w:t>
      </w:r>
      <w:r w:rsidR="00E54810" w:rsidRPr="00F65444">
        <w:t xml:space="preserve"> </w:t>
      </w:r>
      <w:r w:rsidR="00E54810" w:rsidRPr="00AF5415">
        <w:t>with sections 42, 42A and 42B of the R</w:t>
      </w:r>
      <w:r w:rsidR="00E54810">
        <w:t>TA</w:t>
      </w:r>
      <w:r w:rsidR="00E27945">
        <w:t>.</w:t>
      </w:r>
    </w:p>
    <w:p w14:paraId="5763E778" w14:textId="1DB0924B" w:rsidR="00740B50" w:rsidRDefault="001B66A6" w:rsidP="00FB0CFB">
      <w:r>
        <w:t>It does not include land that</w:t>
      </w:r>
      <w:r w:rsidR="00BA109C">
        <w:t>,</w:t>
      </w:r>
      <w:r>
        <w:t xml:space="preserve"> </w:t>
      </w:r>
      <w:r w:rsidR="008B4895">
        <w:t>a</w:t>
      </w:r>
      <w:r w:rsidR="00502D51" w:rsidRPr="00502D51">
        <w:t xml:space="preserve">t </w:t>
      </w:r>
      <w:r>
        <w:t>a</w:t>
      </w:r>
      <w:r w:rsidR="00502D51" w:rsidRPr="00502D51">
        <w:t>n</w:t>
      </w:r>
      <w:r>
        <w:t>y</w:t>
      </w:r>
      <w:r w:rsidR="00502D51" w:rsidRPr="00502D51">
        <w:t xml:space="preserve"> time after it </w:t>
      </w:r>
      <w:r>
        <w:t xml:space="preserve">first </w:t>
      </w:r>
      <w:r w:rsidR="00502D51" w:rsidRPr="00502D51">
        <w:t>meets the above requirements</w:t>
      </w:r>
      <w:r w:rsidR="00BA109C">
        <w:t>,</w:t>
      </w:r>
      <w:r w:rsidR="00502D51" w:rsidRPr="00502D51">
        <w:t xml:space="preserve"> fail</w:t>
      </w:r>
      <w:r w:rsidR="00BA109C">
        <w:t>s</w:t>
      </w:r>
      <w:r w:rsidR="00502D51" w:rsidRPr="00502D51">
        <w:t xml:space="preserve"> to meet those requirements</w:t>
      </w:r>
      <w:r w:rsidR="002F5913">
        <w:t>.</w:t>
      </w:r>
    </w:p>
    <w:p w14:paraId="29CC10DC" w14:textId="1E2CCDD8" w:rsidR="00333D58" w:rsidRPr="00333D58" w:rsidRDefault="00333D58" w:rsidP="005D7C22">
      <w:pPr>
        <w:pStyle w:val="NoNumberHeading3"/>
      </w:pPr>
      <w:bookmarkStart w:id="12" w:name="_Toc131171646"/>
      <w:r w:rsidRPr="00333D58">
        <w:t xml:space="preserve">Existing dwellings </w:t>
      </w:r>
      <w:r w:rsidR="005D7C22">
        <w:t>must</w:t>
      </w:r>
      <w:r w:rsidRPr="00333D58">
        <w:t xml:space="preserve"> meet definition by 1</w:t>
      </w:r>
      <w:r w:rsidR="00133A52">
        <w:t> </w:t>
      </w:r>
      <w:r w:rsidRPr="00333D58">
        <w:t>July 2023</w:t>
      </w:r>
      <w:bookmarkEnd w:id="12"/>
    </w:p>
    <w:p w14:paraId="55C4BAAC" w14:textId="1E6E6029" w:rsidR="00740B50" w:rsidDel="003074DE" w:rsidRDefault="00333D58" w:rsidP="00CB597B">
      <w:r w:rsidRPr="00333D58" w:rsidDel="003074DE">
        <w:t xml:space="preserve">Existing build-to-rent assets have until 1 July 2023 to comply with the tenure and personalisation policy requirements included in the definition of </w:t>
      </w:r>
      <w:r w:rsidR="005D7C22">
        <w:t>“</w:t>
      </w:r>
      <w:r w:rsidRPr="00333D58" w:rsidDel="003074DE">
        <w:t>build-to-rent land</w:t>
      </w:r>
      <w:r w:rsidR="005D7C22">
        <w:t>”</w:t>
      </w:r>
      <w:r w:rsidRPr="00333D58" w:rsidDel="003074DE">
        <w:t xml:space="preserve">. The policy is intended to apply to new and existing build-to-rent </w:t>
      </w:r>
      <w:proofErr w:type="gramStart"/>
      <w:r w:rsidRPr="00333D58" w:rsidDel="003074DE">
        <w:t>developments,</w:t>
      </w:r>
      <w:proofErr w:type="gramEnd"/>
      <w:r w:rsidRPr="00333D58" w:rsidDel="003074DE">
        <w:t xml:space="preserve"> however, it is highly unlikely any existing developments will have offered 10-year tenancies to all tenants.</w:t>
      </w:r>
    </w:p>
    <w:p w14:paraId="02B62785" w14:textId="7EA4901D" w:rsidR="00740B50" w:rsidDel="00FA1415" w:rsidRDefault="002F56C6" w:rsidP="003A7C66">
      <w:pPr>
        <w:pStyle w:val="NoNumberHeading2"/>
      </w:pPr>
      <w:bookmarkStart w:id="13" w:name="_Toc131171647"/>
      <w:bookmarkStart w:id="14" w:name="_Toc97818905"/>
      <w:r>
        <w:t>Effective</w:t>
      </w:r>
      <w:r w:rsidR="003A7C66" w:rsidDel="00FA1415">
        <w:t xml:space="preserve"> date</w:t>
      </w:r>
      <w:bookmarkEnd w:id="13"/>
    </w:p>
    <w:p w14:paraId="6ADCB86E" w14:textId="0E6C5B0F" w:rsidR="00740B50" w:rsidDel="00FA1415" w:rsidRDefault="0096472F" w:rsidP="003A7C66">
      <w:pPr>
        <w:jc w:val="both"/>
      </w:pPr>
      <w:r w:rsidDel="00FA1415">
        <w:t>The amendment</w:t>
      </w:r>
      <w:r w:rsidR="002F56C6">
        <w:t>s</w:t>
      </w:r>
      <w:r w:rsidDel="00FA1415">
        <w:t xml:space="preserve"> </w:t>
      </w:r>
      <w:r w:rsidR="002F56C6">
        <w:t>take effect on</w:t>
      </w:r>
      <w:r w:rsidDel="00FA1415">
        <w:t xml:space="preserve"> 1 October 2021 to align with the introduction of the interest limitation rules.</w:t>
      </w:r>
    </w:p>
    <w:p w14:paraId="31C8BD70" w14:textId="41C9B070" w:rsidR="00365CE9" w:rsidRDefault="00A23C25" w:rsidP="005D7C22">
      <w:pPr>
        <w:pStyle w:val="NoNumberHeading2"/>
      </w:pPr>
      <w:bookmarkStart w:id="15" w:name="_Toc131171648"/>
      <w:r>
        <w:t>Detailed Analysis</w:t>
      </w:r>
      <w:bookmarkEnd w:id="15"/>
    </w:p>
    <w:p w14:paraId="5D150715" w14:textId="2F5DC90E" w:rsidR="00036AEE" w:rsidDel="00773A82" w:rsidRDefault="00036AEE" w:rsidP="0018654A">
      <w:r w:rsidDel="00773A82">
        <w:t>Land is excluded from the interest limitation rules in</w:t>
      </w:r>
      <w:r w:rsidR="006A6E99" w:rsidDel="00773A82">
        <w:t xml:space="preserve"> </w:t>
      </w:r>
      <w:r w:rsidDel="00773A82">
        <w:t xml:space="preserve">perpetuity for as long as it meets the definition of </w:t>
      </w:r>
      <w:r w:rsidR="002B0FC8">
        <w:t>”</w:t>
      </w:r>
      <w:r w:rsidDel="00773A82">
        <w:t>build-to-rent land</w:t>
      </w:r>
      <w:r w:rsidR="002B0FC8">
        <w:t>”</w:t>
      </w:r>
      <w:r w:rsidDel="00773A82">
        <w:t>.</w:t>
      </w:r>
      <w:r w:rsidR="002B0FC8">
        <w:t xml:space="preserve"> The definition contains </w:t>
      </w:r>
      <w:r w:rsidR="000314D2">
        <w:t>several</w:t>
      </w:r>
      <w:r w:rsidR="002B0FC8">
        <w:t xml:space="preserve"> elements</w:t>
      </w:r>
      <w:r w:rsidR="000B0B11">
        <w:t>, which are</w:t>
      </w:r>
      <w:r w:rsidR="002B0FC8">
        <w:t xml:space="preserve"> discussed below.</w:t>
      </w:r>
    </w:p>
    <w:p w14:paraId="76FE9B0E" w14:textId="36684D47" w:rsidR="00CF7690" w:rsidRDefault="0024725F" w:rsidP="005D7C22">
      <w:pPr>
        <w:pStyle w:val="NoNumberHeading3"/>
      </w:pPr>
      <w:bookmarkStart w:id="16" w:name="_Toc131171649"/>
      <w:r>
        <w:t>L</w:t>
      </w:r>
      <w:r w:rsidR="00CF7690" w:rsidRPr="00CF7690">
        <w:t>and described in section</w:t>
      </w:r>
      <w:r w:rsidR="004E5C9E">
        <w:t>s</w:t>
      </w:r>
      <w:r w:rsidR="00CF7690" w:rsidRPr="00CF7690">
        <w:t xml:space="preserve"> CB 12(1)(a) to (e) or CB 13(1)(a) and (b)</w:t>
      </w:r>
      <w:bookmarkEnd w:id="16"/>
    </w:p>
    <w:p w14:paraId="10A875F9" w14:textId="1642E5B7" w:rsidR="00BB46F6" w:rsidRPr="00B57293" w:rsidRDefault="00BB46F6" w:rsidP="00EE0F4F">
      <w:pPr>
        <w:rPr>
          <w:bCs/>
          <w:iCs/>
        </w:rPr>
      </w:pPr>
      <w:r>
        <w:rPr>
          <w:bCs/>
          <w:iCs/>
        </w:rPr>
        <w:t>Land described in section</w:t>
      </w:r>
      <w:r w:rsidR="004E5C9E">
        <w:rPr>
          <w:bCs/>
          <w:iCs/>
        </w:rPr>
        <w:t>s</w:t>
      </w:r>
      <w:r>
        <w:rPr>
          <w:bCs/>
          <w:iCs/>
        </w:rPr>
        <w:t xml:space="preserve"> CB 12 and CB 13 </w:t>
      </w:r>
      <w:r w:rsidR="00315938">
        <w:rPr>
          <w:bCs/>
          <w:iCs/>
        </w:rPr>
        <w:t>is</w:t>
      </w:r>
      <w:r>
        <w:rPr>
          <w:bCs/>
          <w:iCs/>
        </w:rPr>
        <w:t xml:space="preserve"> land where a</w:t>
      </w:r>
      <w:r>
        <w:t xml:space="preserve">n undertaking or scheme involves the development or division of </w:t>
      </w:r>
      <w:r w:rsidR="00CD40CB">
        <w:t xml:space="preserve">the </w:t>
      </w:r>
      <w:r>
        <w:t>land.</w:t>
      </w:r>
      <w:r w:rsidR="00B57293">
        <w:t xml:space="preserve"> </w:t>
      </w:r>
      <w:r w:rsidR="00141473">
        <w:rPr>
          <w:bCs/>
          <w:iCs/>
        </w:rPr>
        <w:t xml:space="preserve">Indications </w:t>
      </w:r>
      <w:r w:rsidR="00CD40CB">
        <w:rPr>
          <w:bCs/>
          <w:iCs/>
        </w:rPr>
        <w:t>that</w:t>
      </w:r>
      <w:r w:rsidR="006F1ACB">
        <w:rPr>
          <w:bCs/>
          <w:iCs/>
        </w:rPr>
        <w:t xml:space="preserve"> land is part of </w:t>
      </w:r>
      <w:r w:rsidR="003302B5">
        <w:rPr>
          <w:bCs/>
          <w:iCs/>
        </w:rPr>
        <w:t xml:space="preserve">a particular development could include </w:t>
      </w:r>
      <w:r w:rsidR="000575DF">
        <w:rPr>
          <w:bCs/>
          <w:iCs/>
        </w:rPr>
        <w:t xml:space="preserve">records of title, </w:t>
      </w:r>
      <w:r w:rsidR="003302B5">
        <w:rPr>
          <w:bCs/>
          <w:iCs/>
        </w:rPr>
        <w:t xml:space="preserve">consent applications, development/subdivision plans or </w:t>
      </w:r>
      <w:r w:rsidR="00CD40CB">
        <w:rPr>
          <w:bCs/>
          <w:iCs/>
        </w:rPr>
        <w:t xml:space="preserve">other </w:t>
      </w:r>
      <w:r w:rsidR="003302B5">
        <w:rPr>
          <w:bCs/>
          <w:iCs/>
        </w:rPr>
        <w:t>material</w:t>
      </w:r>
      <w:r w:rsidR="00CD40CB">
        <w:rPr>
          <w:bCs/>
          <w:iCs/>
        </w:rPr>
        <w:t>s,</w:t>
      </w:r>
      <w:r w:rsidR="003302B5">
        <w:rPr>
          <w:bCs/>
          <w:iCs/>
        </w:rPr>
        <w:t xml:space="preserve"> such as </w:t>
      </w:r>
      <w:r w:rsidR="009936F9">
        <w:rPr>
          <w:bCs/>
          <w:iCs/>
        </w:rPr>
        <w:t>a prospectus for investors.</w:t>
      </w:r>
    </w:p>
    <w:p w14:paraId="3FD68428" w14:textId="38A708E3" w:rsidR="00B17ACB" w:rsidRDefault="00972276" w:rsidP="00B17ACB">
      <w:pPr>
        <w:rPr>
          <w:lang w:val="en-US"/>
        </w:rPr>
      </w:pPr>
      <w:r>
        <w:rPr>
          <w:lang w:val="en-US"/>
        </w:rPr>
        <w:lastRenderedPageBreak/>
        <w:t xml:space="preserve">Land described in </w:t>
      </w:r>
      <w:r w:rsidR="00BC2E3C">
        <w:rPr>
          <w:lang w:val="en-US"/>
        </w:rPr>
        <w:t xml:space="preserve">sections </w:t>
      </w:r>
      <w:r>
        <w:rPr>
          <w:lang w:val="en-US"/>
        </w:rPr>
        <w:t>CB 12 and CB 13</w:t>
      </w:r>
      <w:r w:rsidR="00B17ACB">
        <w:rPr>
          <w:lang w:val="en-US"/>
        </w:rPr>
        <w:t xml:space="preserve"> can include land that is in separate adjacent blocks or held on different </w:t>
      </w:r>
      <w:r w:rsidR="000575DF">
        <w:rPr>
          <w:lang w:val="en-US"/>
        </w:rPr>
        <w:t>records</w:t>
      </w:r>
      <w:r w:rsidR="00B17ACB">
        <w:rPr>
          <w:lang w:val="en-US"/>
        </w:rPr>
        <w:t xml:space="preserve"> of title. This allows for flexibility in the configuration of build-to-rent </w:t>
      </w:r>
      <w:r w:rsidR="00D43FF5">
        <w:rPr>
          <w:lang w:val="en-US"/>
        </w:rPr>
        <w:t>land</w:t>
      </w:r>
      <w:r w:rsidR="00B17ACB">
        <w:rPr>
          <w:lang w:val="en-US"/>
        </w:rPr>
        <w:t xml:space="preserve"> if it includes commercial premises</w:t>
      </w:r>
      <w:r w:rsidR="001D3007">
        <w:rPr>
          <w:lang w:val="en-US"/>
        </w:rPr>
        <w:t xml:space="preserve"> or</w:t>
      </w:r>
      <w:r w:rsidR="002A20FC">
        <w:rPr>
          <w:lang w:val="en-US"/>
        </w:rPr>
        <w:t xml:space="preserve"> </w:t>
      </w:r>
      <w:r w:rsidR="00B17ACB">
        <w:rPr>
          <w:lang w:val="en-US"/>
        </w:rPr>
        <w:t>dwellings that do not meet the build</w:t>
      </w:r>
      <w:r w:rsidR="00A12B16">
        <w:rPr>
          <w:lang w:val="en-US"/>
        </w:rPr>
        <w:t>-</w:t>
      </w:r>
      <w:r w:rsidR="00B17ACB">
        <w:rPr>
          <w:lang w:val="en-US"/>
        </w:rPr>
        <w:t>to</w:t>
      </w:r>
      <w:r w:rsidR="00A12B16">
        <w:rPr>
          <w:lang w:val="en-US"/>
        </w:rPr>
        <w:t>-</w:t>
      </w:r>
      <w:r w:rsidR="00B17ACB">
        <w:rPr>
          <w:lang w:val="en-US"/>
        </w:rPr>
        <w:t>rent requirements</w:t>
      </w:r>
      <w:r w:rsidR="001D3007">
        <w:rPr>
          <w:lang w:val="en-US"/>
        </w:rPr>
        <w:t>.</w:t>
      </w:r>
      <w:r w:rsidR="002A20FC">
        <w:rPr>
          <w:lang w:val="en-US"/>
        </w:rPr>
        <w:t xml:space="preserve"> </w:t>
      </w:r>
      <w:r w:rsidR="00B17ACB">
        <w:rPr>
          <w:lang w:val="en-US"/>
        </w:rPr>
        <w:t xml:space="preserve">In </w:t>
      </w:r>
      <w:r w:rsidR="007919F1">
        <w:rPr>
          <w:lang w:val="en-US"/>
        </w:rPr>
        <w:t>these instances</w:t>
      </w:r>
      <w:r w:rsidR="00B17ACB">
        <w:rPr>
          <w:lang w:val="en-US"/>
        </w:rPr>
        <w:t xml:space="preserve">, apportionment will be required (see </w:t>
      </w:r>
      <w:r w:rsidR="004A67DC">
        <w:rPr>
          <w:lang w:val="en-US"/>
        </w:rPr>
        <w:t>discussion under the “</w:t>
      </w:r>
      <w:r w:rsidR="00B17ACB">
        <w:rPr>
          <w:lang w:val="en-US"/>
        </w:rPr>
        <w:t>‘</w:t>
      </w:r>
      <w:r w:rsidR="004A67DC">
        <w:rPr>
          <w:lang w:val="en-US"/>
        </w:rPr>
        <w:t>T</w:t>
      </w:r>
      <w:r w:rsidR="00B17ACB">
        <w:rPr>
          <w:lang w:val="en-US"/>
        </w:rPr>
        <w:t>o the extent’ test</w:t>
      </w:r>
      <w:r w:rsidR="004A67DC">
        <w:rPr>
          <w:lang w:val="en-US"/>
        </w:rPr>
        <w:t>” heading</w:t>
      </w:r>
      <w:r w:rsidR="00B17ACB">
        <w:rPr>
          <w:lang w:val="en-US"/>
        </w:rPr>
        <w:t xml:space="preserve"> below). </w:t>
      </w:r>
      <w:r w:rsidR="001D3007">
        <w:rPr>
          <w:lang w:val="en-US"/>
        </w:rPr>
        <w:t xml:space="preserve">It also does not </w:t>
      </w:r>
      <w:r w:rsidR="00686641">
        <w:rPr>
          <w:lang w:val="en-US"/>
        </w:rPr>
        <w:t>preclude</w:t>
      </w:r>
      <w:r w:rsidR="001D3007">
        <w:rPr>
          <w:lang w:val="en-US"/>
        </w:rPr>
        <w:t xml:space="preserve"> land that is not contiguous</w:t>
      </w:r>
      <w:r w:rsidR="004A67DC">
        <w:rPr>
          <w:lang w:val="en-US"/>
        </w:rPr>
        <w:t>,</w:t>
      </w:r>
      <w:r w:rsidR="001D3007">
        <w:rPr>
          <w:lang w:val="en-US"/>
        </w:rPr>
        <w:t xml:space="preserve"> </w:t>
      </w:r>
      <w:r w:rsidR="004A67DC">
        <w:rPr>
          <w:lang w:val="en-US"/>
        </w:rPr>
        <w:t>for example,</w:t>
      </w:r>
      <w:r w:rsidR="001D3007">
        <w:rPr>
          <w:lang w:val="en-US"/>
        </w:rPr>
        <w:t xml:space="preserve"> if there is a road between</w:t>
      </w:r>
      <w:r w:rsidR="006A6461">
        <w:rPr>
          <w:lang w:val="en-US"/>
        </w:rPr>
        <w:t xml:space="preserve"> </w:t>
      </w:r>
      <w:r w:rsidR="00C147F7">
        <w:rPr>
          <w:lang w:val="en-US"/>
        </w:rPr>
        <w:t>pieces of land</w:t>
      </w:r>
      <w:r w:rsidR="001D3007">
        <w:rPr>
          <w:lang w:val="en-US"/>
        </w:rPr>
        <w:t>.</w:t>
      </w:r>
    </w:p>
    <w:p w14:paraId="270678D4" w14:textId="43176B20" w:rsidR="00740B50" w:rsidRDefault="00BC2E3C" w:rsidP="00B17ACB">
      <w:pPr>
        <w:rPr>
          <w:bCs/>
          <w:iCs/>
        </w:rPr>
      </w:pPr>
      <w:r>
        <w:rPr>
          <w:bCs/>
          <w:iCs/>
        </w:rPr>
        <w:t>This requirement ensures</w:t>
      </w:r>
      <w:r w:rsidR="003A1180">
        <w:rPr>
          <w:bCs/>
          <w:iCs/>
        </w:rPr>
        <w:t xml:space="preserve"> (</w:t>
      </w:r>
      <w:r>
        <w:rPr>
          <w:bCs/>
          <w:iCs/>
        </w:rPr>
        <w:t>in conjunction with the single owner requirement</w:t>
      </w:r>
      <w:r w:rsidR="006F62B0">
        <w:rPr>
          <w:bCs/>
          <w:iCs/>
        </w:rPr>
        <w:t>)</w:t>
      </w:r>
      <w:r>
        <w:rPr>
          <w:bCs/>
          <w:iCs/>
        </w:rPr>
        <w:t xml:space="preserve"> that the </w:t>
      </w:r>
      <w:r w:rsidR="00C13FFF">
        <w:rPr>
          <w:bCs/>
          <w:iCs/>
        </w:rPr>
        <w:t>build-to-rent land is part of</w:t>
      </w:r>
      <w:r>
        <w:rPr>
          <w:bCs/>
          <w:iCs/>
        </w:rPr>
        <w:t xml:space="preserve"> one cohesive project, even </w:t>
      </w:r>
      <w:r w:rsidR="003A1180">
        <w:rPr>
          <w:bCs/>
          <w:iCs/>
        </w:rPr>
        <w:t>where</w:t>
      </w:r>
      <w:r>
        <w:rPr>
          <w:bCs/>
          <w:iCs/>
        </w:rPr>
        <w:t xml:space="preserve"> it </w:t>
      </w:r>
      <w:r w:rsidR="002B4BF5">
        <w:rPr>
          <w:bCs/>
          <w:iCs/>
        </w:rPr>
        <w:t>spans multiple blocks of land</w:t>
      </w:r>
      <w:r>
        <w:rPr>
          <w:bCs/>
          <w:iCs/>
        </w:rPr>
        <w:t xml:space="preserve">. </w:t>
      </w:r>
      <w:r w:rsidR="00D20A63">
        <w:rPr>
          <w:bCs/>
          <w:iCs/>
        </w:rPr>
        <w:t>While flexibility is allowed for in the configuration</w:t>
      </w:r>
      <w:r w:rsidR="00C13FFF">
        <w:rPr>
          <w:bCs/>
          <w:iCs/>
        </w:rPr>
        <w:t xml:space="preserve">, it must still be part of the same project. </w:t>
      </w:r>
      <w:r>
        <w:rPr>
          <w:bCs/>
          <w:iCs/>
        </w:rPr>
        <w:t xml:space="preserve">For example, it would not be </w:t>
      </w:r>
      <w:r w:rsidR="00E55058">
        <w:rPr>
          <w:bCs/>
          <w:iCs/>
        </w:rPr>
        <w:t>possible</w:t>
      </w:r>
      <w:r>
        <w:rPr>
          <w:bCs/>
          <w:iCs/>
        </w:rPr>
        <w:t xml:space="preserve"> to claim that ten dwellings on a block of land in </w:t>
      </w:r>
      <w:r w:rsidR="0023329E">
        <w:rPr>
          <w:bCs/>
          <w:iCs/>
        </w:rPr>
        <w:t xml:space="preserve">Thorndon, </w:t>
      </w:r>
      <w:r>
        <w:rPr>
          <w:bCs/>
          <w:iCs/>
        </w:rPr>
        <w:t xml:space="preserve">Wellington and ten dwellings on a block of land in </w:t>
      </w:r>
      <w:r w:rsidR="0023329E">
        <w:rPr>
          <w:bCs/>
          <w:iCs/>
        </w:rPr>
        <w:t xml:space="preserve">Newtown, </w:t>
      </w:r>
      <w:r w:rsidR="005744C8">
        <w:rPr>
          <w:bCs/>
          <w:iCs/>
        </w:rPr>
        <w:t>Wellington could</w:t>
      </w:r>
      <w:r w:rsidR="009F62F9">
        <w:rPr>
          <w:bCs/>
          <w:iCs/>
        </w:rPr>
        <w:t xml:space="preserve"> </w:t>
      </w:r>
      <w:r>
        <w:rPr>
          <w:bCs/>
          <w:iCs/>
        </w:rPr>
        <w:t>comprise a single build-to-rent development.</w:t>
      </w:r>
    </w:p>
    <w:p w14:paraId="0A059D2E" w14:textId="77777777" w:rsidR="00740B50" w:rsidRDefault="0088758C" w:rsidP="005D7C22">
      <w:pPr>
        <w:pStyle w:val="NoNumberHeading3"/>
      </w:pPr>
      <w:bookmarkStart w:id="17" w:name="_Toc131171650"/>
      <w:r>
        <w:t>Configuration of development</w:t>
      </w:r>
      <w:bookmarkEnd w:id="17"/>
    </w:p>
    <w:p w14:paraId="2A032CEA" w14:textId="3B6A5AF5" w:rsidR="00740B50" w:rsidRDefault="0088681B" w:rsidP="0088681B">
      <w:r w:rsidRPr="0088681B">
        <w:t xml:space="preserve">A build-to-rent development must </w:t>
      </w:r>
      <w:r w:rsidR="006A6E99" w:rsidRPr="0088681B">
        <w:t>always have no less than 20 dwellings</w:t>
      </w:r>
      <w:r w:rsidRPr="0088681B">
        <w:t xml:space="preserve"> that satisfy the requirements to qualify as </w:t>
      </w:r>
      <w:r w:rsidR="00316EEA">
        <w:t>“</w:t>
      </w:r>
      <w:r w:rsidRPr="0088681B">
        <w:t>build-to-rent land</w:t>
      </w:r>
      <w:r w:rsidR="00316EEA">
        <w:t>”</w:t>
      </w:r>
      <w:r w:rsidRPr="0088681B">
        <w:t>.</w:t>
      </w:r>
    </w:p>
    <w:p w14:paraId="5509EE05" w14:textId="77777777" w:rsidR="00740B50" w:rsidRDefault="0088681B" w:rsidP="0088681B">
      <w:r w:rsidRPr="0088681B">
        <w:t xml:space="preserve">The dwellings can be held in one or more titles and can be on adjoining parcels of land. The development can include commercial premises or other dwellings (that do not meet build-to-rent requirements) that do not form part of the build-to-rent development. </w:t>
      </w:r>
      <w:r w:rsidR="00FA0167">
        <w:t xml:space="preserve">For example, there may be owner-occupied dwellings or rental dwellings that do not offer 10-year tenancies or personalisation policies. </w:t>
      </w:r>
      <w:r w:rsidRPr="0088681B">
        <w:t>In these instances, apportionment will be required.</w:t>
      </w:r>
    </w:p>
    <w:p w14:paraId="48408224" w14:textId="58D3EE55" w:rsidR="00740B50" w:rsidRDefault="0088681B" w:rsidP="0088681B">
      <w:r w:rsidRPr="0088681B">
        <w:t xml:space="preserve">Including commercial premises within build-to-rent developments enables community amenities to be provided and </w:t>
      </w:r>
      <w:r w:rsidR="00582200">
        <w:t xml:space="preserve">allows for </w:t>
      </w:r>
      <w:r w:rsidRPr="0088681B">
        <w:t xml:space="preserve">alternative revenue streams for the development. Including other dwellings supports developments that want to mix tenure types, which </w:t>
      </w:r>
      <w:r w:rsidR="007F597A">
        <w:t>may be</w:t>
      </w:r>
      <w:r w:rsidRPr="0088681B">
        <w:t xml:space="preserve"> needed to make development</w:t>
      </w:r>
      <w:r w:rsidR="003A06E6">
        <w:t>s</w:t>
      </w:r>
      <w:r w:rsidRPr="0088681B">
        <w:t xml:space="preserve"> viable</w:t>
      </w:r>
      <w:r w:rsidR="00EE3A71">
        <w:t xml:space="preserve">, </w:t>
      </w:r>
      <w:r w:rsidR="003A06E6">
        <w:t>particularly</w:t>
      </w:r>
      <w:r w:rsidRPr="0088681B">
        <w:t xml:space="preserve"> in regional centres.</w:t>
      </w:r>
    </w:p>
    <w:p w14:paraId="20409C1B" w14:textId="679E8AD2" w:rsidR="0088681B" w:rsidRPr="0088681B" w:rsidRDefault="0088681B" w:rsidP="005D7C22">
      <w:pPr>
        <w:pStyle w:val="NoNumberHeading4"/>
      </w:pPr>
      <w:r w:rsidRPr="0088681B">
        <w:t>‘To the extent’ test</w:t>
      </w:r>
    </w:p>
    <w:p w14:paraId="340F5BFB" w14:textId="5096B33F" w:rsidR="00D72C40" w:rsidRDefault="0088681B" w:rsidP="007F6CA7">
      <w:r w:rsidRPr="0088681B">
        <w:t>A dwelling will qualify for the ex</w:t>
      </w:r>
      <w:r w:rsidR="00A12B16">
        <w:t xml:space="preserve">clusion </w:t>
      </w:r>
      <w:r w:rsidR="003A06E6">
        <w:t>“</w:t>
      </w:r>
      <w:r w:rsidRPr="0088681B">
        <w:t>to the extent</w:t>
      </w:r>
      <w:r w:rsidR="003A06E6">
        <w:t>”</w:t>
      </w:r>
      <w:r w:rsidRPr="0088681B">
        <w:t xml:space="preserve"> to which it meets the definition requirements. This means each individual dwelling must meet the definition, as well as the overall development, for </w:t>
      </w:r>
      <w:r w:rsidR="005F1DB2" w:rsidRPr="0088681B">
        <w:t>interest</w:t>
      </w:r>
      <w:r w:rsidR="005F1DB2">
        <w:t xml:space="preserve"> not to be subject to the interest limitation rules.</w:t>
      </w:r>
      <w:r w:rsidRPr="0088681B">
        <w:t xml:space="preserve"> Only interest relating to the portion of the development that meets the definition of </w:t>
      </w:r>
      <w:r w:rsidR="006660D9">
        <w:t>“</w:t>
      </w:r>
      <w:r w:rsidRPr="0088681B">
        <w:t>build-to-rent land</w:t>
      </w:r>
      <w:r w:rsidR="006660D9">
        <w:t>”</w:t>
      </w:r>
      <w:r w:rsidRPr="0088681B">
        <w:t xml:space="preserve"> </w:t>
      </w:r>
      <w:r w:rsidR="005F1DB2">
        <w:t>will not be denied the deductions under the rules</w:t>
      </w:r>
      <w:r w:rsidRPr="0088681B">
        <w:t xml:space="preserve">. </w:t>
      </w:r>
      <w:r w:rsidR="00C23017">
        <w:t>This includes the portion of shared amenities made available to build-to-rent tenants.</w:t>
      </w:r>
    </w:p>
    <w:p w14:paraId="40674AD5" w14:textId="77777777" w:rsidR="00D72C40" w:rsidRDefault="00D72C40">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7F6CA7" w14:paraId="625152B1" w14:textId="77777777" w:rsidTr="00E42C2A">
        <w:tc>
          <w:tcPr>
            <w:tcW w:w="9016" w:type="dxa"/>
          </w:tcPr>
          <w:p w14:paraId="0FC9B6B8" w14:textId="10EB45B3" w:rsidR="00740B50" w:rsidRDefault="007F6CA7" w:rsidP="00DA5E95">
            <w:pPr>
              <w:pStyle w:val="IRCaption"/>
            </w:pPr>
            <w:r w:rsidRPr="0072562E">
              <w:lastRenderedPageBreak/>
              <w:t xml:space="preserve">Example </w:t>
            </w:r>
            <w:r w:rsidR="00D335A6">
              <w:t>1</w:t>
            </w:r>
            <w:r w:rsidRPr="0072562E">
              <w:t xml:space="preserve">: </w:t>
            </w:r>
            <w:r w:rsidR="00616951">
              <w:t>‘</w:t>
            </w:r>
            <w:r w:rsidR="00C10AC3">
              <w:t>T</w:t>
            </w:r>
            <w:r w:rsidR="00616951">
              <w:t>o the extent’ to which it meets the definition</w:t>
            </w:r>
          </w:p>
          <w:p w14:paraId="718558BD" w14:textId="73CD5D0D" w:rsidR="00740B50" w:rsidRDefault="007C1DC6" w:rsidP="007C1DC6">
            <w:r w:rsidRPr="007C1DC6">
              <w:t xml:space="preserve">Te </w:t>
            </w:r>
            <w:proofErr w:type="spellStart"/>
            <w:r w:rsidRPr="007C1DC6">
              <w:t>Awhi</w:t>
            </w:r>
            <w:proofErr w:type="spellEnd"/>
            <w:r w:rsidRPr="007C1DC6">
              <w:t xml:space="preserve"> Co. completed a </w:t>
            </w:r>
            <w:r w:rsidR="00B57502">
              <w:t>35-apartment</w:t>
            </w:r>
            <w:r w:rsidR="00C64CCD">
              <w:t xml:space="preserve"> </w:t>
            </w:r>
            <w:r w:rsidRPr="007C1DC6">
              <w:t>development in 202</w:t>
            </w:r>
            <w:r w:rsidR="00EB6DE6">
              <w:t>4</w:t>
            </w:r>
            <w:r w:rsidRPr="007C1DC6">
              <w:t xml:space="preserve"> that </w:t>
            </w:r>
            <w:r w:rsidR="00DA595A">
              <w:t>also has</w:t>
            </w:r>
            <w:r w:rsidRPr="007C1DC6">
              <w:t xml:space="preserve"> a block of commercial shops on the ground floor. Of the 35</w:t>
            </w:r>
            <w:r w:rsidR="00DA595A">
              <w:t> </w:t>
            </w:r>
            <w:r w:rsidRPr="007C1DC6">
              <w:t xml:space="preserve">apartments, 10 are sold to owner-occupiers and 25 are retained by Te </w:t>
            </w:r>
            <w:proofErr w:type="spellStart"/>
            <w:r w:rsidRPr="007C1DC6">
              <w:t>Awhi</w:t>
            </w:r>
            <w:proofErr w:type="spellEnd"/>
            <w:r w:rsidRPr="007C1DC6">
              <w:t xml:space="preserve"> Co. to rent out under the build-to-rent model.</w:t>
            </w:r>
          </w:p>
          <w:p w14:paraId="3BDA41EB" w14:textId="7EF9F34B" w:rsidR="00740B50" w:rsidRDefault="007C1DC6" w:rsidP="007C1DC6">
            <w:r w:rsidRPr="007C1DC6">
              <w:t>Assuming the 25 apartments meet the other requirements of build-to-rent land (</w:t>
            </w:r>
            <w:r w:rsidR="00890C55">
              <w:t>that is,</w:t>
            </w:r>
            <w:r w:rsidRPr="007C1DC6">
              <w:t xml:space="preserve"> </w:t>
            </w:r>
            <w:r w:rsidR="00686DE9">
              <w:t xml:space="preserve">they </w:t>
            </w:r>
            <w:r w:rsidRPr="007C1DC6">
              <w:t xml:space="preserve">are rented out under the RTA, tenants have been offered a 10-year tenancy agreement and personalisation policies have been </w:t>
            </w:r>
            <w:r w:rsidR="001E6B2E">
              <w:t>included</w:t>
            </w:r>
            <w:r w:rsidRPr="007C1DC6">
              <w:t xml:space="preserve">), these 25 </w:t>
            </w:r>
            <w:r w:rsidR="004E36C2">
              <w:t>apartments</w:t>
            </w:r>
            <w:r w:rsidRPr="007C1DC6">
              <w:t xml:space="preserve"> will qualify as build-to-rent land. Any interest relating to these 25</w:t>
            </w:r>
            <w:r w:rsidR="004E36C2">
              <w:t> </w:t>
            </w:r>
            <w:r w:rsidRPr="007C1DC6">
              <w:t xml:space="preserve">apartments </w:t>
            </w:r>
            <w:r w:rsidR="006F0DA3">
              <w:t>will</w:t>
            </w:r>
            <w:r w:rsidRPr="007C1DC6">
              <w:t xml:space="preserve"> therefore </w:t>
            </w:r>
            <w:r w:rsidR="006F0DA3">
              <w:t xml:space="preserve">not be denied a </w:t>
            </w:r>
            <w:r w:rsidRPr="007C1DC6">
              <w:t>deducti</w:t>
            </w:r>
            <w:r w:rsidR="006F0DA3">
              <w:t>on under the interest limitation rules</w:t>
            </w:r>
            <w:r w:rsidRPr="007C1DC6">
              <w:t>.</w:t>
            </w:r>
            <w:r w:rsidR="005C0A09">
              <w:t xml:space="preserve"> Assuming existing tax rules are satisfied, </w:t>
            </w:r>
            <w:r w:rsidR="00471D26">
              <w:t>interest incurred for these 25 apartments will be deductible.</w:t>
            </w:r>
          </w:p>
          <w:p w14:paraId="468C2F3B" w14:textId="3FD1A0D3" w:rsidR="001A3FBE" w:rsidRDefault="007C1DC6" w:rsidP="00E42C2A">
            <w:r w:rsidRPr="007C1DC6">
              <w:t xml:space="preserve">Having commercial premises and dwellings that do not meet the </w:t>
            </w:r>
            <w:r w:rsidR="00B04780">
              <w:t>“</w:t>
            </w:r>
            <w:r w:rsidR="00A0648F">
              <w:t>build-to-rent land</w:t>
            </w:r>
            <w:r w:rsidR="00B04780">
              <w:t>”</w:t>
            </w:r>
            <w:r w:rsidRPr="007C1DC6">
              <w:t xml:space="preserve"> definition in the same development does not stop th</w:t>
            </w:r>
            <w:r w:rsidR="0076059A">
              <w:t>os</w:t>
            </w:r>
            <w:r w:rsidRPr="007C1DC6">
              <w:t xml:space="preserve">e units </w:t>
            </w:r>
            <w:r w:rsidR="0004518D">
              <w:t xml:space="preserve">that do meet the definition </w:t>
            </w:r>
            <w:r w:rsidRPr="007C1DC6">
              <w:t xml:space="preserve">from qualifying for the </w:t>
            </w:r>
            <w:r w:rsidR="00504A53">
              <w:t>exclusion</w:t>
            </w:r>
            <w:r w:rsidRPr="007C1DC6">
              <w:t xml:space="preserve">. </w:t>
            </w:r>
          </w:p>
          <w:p w14:paraId="148F8E43" w14:textId="1B509D8D" w:rsidR="007F6CA7" w:rsidRDefault="00496437" w:rsidP="00E42C2A">
            <w:r>
              <w:t>If</w:t>
            </w:r>
            <w:r w:rsidR="004B5A41">
              <w:t>,</w:t>
            </w:r>
            <w:r>
              <w:t xml:space="preserve"> instead of </w:t>
            </w:r>
            <w:r w:rsidR="00B84C82">
              <w:t>b</w:t>
            </w:r>
            <w:r>
              <w:t xml:space="preserve">eing owner-occupied, the remaining </w:t>
            </w:r>
            <w:r w:rsidR="00B84C82">
              <w:t>10 apartments were rented out (</w:t>
            </w:r>
            <w:r w:rsidR="00D31B47">
              <w:t>as a residential rental property that did not qualify as</w:t>
            </w:r>
            <w:r w:rsidR="00B84C82">
              <w:t xml:space="preserve"> build-to-rent land)</w:t>
            </w:r>
            <w:r w:rsidR="00AA6EFD">
              <w:t>, they may still be eligible for the new build exemption for a period of 20 years from the date the code compliance certificate was issued.</w:t>
            </w:r>
          </w:p>
        </w:tc>
      </w:tr>
    </w:tbl>
    <w:p w14:paraId="72487A60" w14:textId="66925007" w:rsidR="00740B50" w:rsidRDefault="007F6CA7" w:rsidP="005D7C22">
      <w:pPr>
        <w:pStyle w:val="NoNumberHeading4"/>
      </w:pPr>
      <w:r w:rsidRPr="00C769DE">
        <w:t>Same person</w:t>
      </w:r>
    </w:p>
    <w:p w14:paraId="5D7629D6" w14:textId="6AC5A4E6" w:rsidR="00740B50" w:rsidRDefault="00FA0167" w:rsidP="00C769DE">
      <w:r>
        <w:t>Build-to-rent land</w:t>
      </w:r>
      <w:r w:rsidR="007F6CA7" w:rsidRPr="00C769DE">
        <w:t xml:space="preserve"> must be owned by the same person to qualify for the e</w:t>
      </w:r>
      <w:r w:rsidR="00504A53">
        <w:t>xclusion</w:t>
      </w:r>
      <w:r w:rsidR="007F6CA7" w:rsidRPr="00C769DE">
        <w:t xml:space="preserve">. </w:t>
      </w:r>
      <w:r w:rsidR="0087520A">
        <w:t>”</w:t>
      </w:r>
      <w:r w:rsidR="007F6CA7" w:rsidRPr="00C769DE">
        <w:t>Same person</w:t>
      </w:r>
      <w:r w:rsidR="0087520A">
        <w:t>”</w:t>
      </w:r>
      <w:r w:rsidR="007F6CA7" w:rsidRPr="00C769DE">
        <w:t xml:space="preserve"> can include any natural person or legal entity (</w:t>
      </w:r>
      <w:r w:rsidR="0087520A">
        <w:t>for example,</w:t>
      </w:r>
      <w:r w:rsidR="007F6CA7" w:rsidRPr="00C769DE">
        <w:t xml:space="preserve"> a company</w:t>
      </w:r>
      <w:r w:rsidR="00293E72">
        <w:t>, limited partnership or joint venture</w:t>
      </w:r>
      <w:r w:rsidR="007F6CA7" w:rsidRPr="00C769DE">
        <w:t>).</w:t>
      </w:r>
    </w:p>
    <w:p w14:paraId="14E90D47" w14:textId="77777777" w:rsidR="00740B50" w:rsidRDefault="00D74197" w:rsidP="005D7C22">
      <w:pPr>
        <w:pStyle w:val="NoNumberHeading3"/>
      </w:pPr>
      <w:bookmarkStart w:id="18" w:name="_Toc131171651"/>
      <w:r w:rsidRPr="00D74197">
        <w:t>Continuous use requirement</w:t>
      </w:r>
      <w:bookmarkEnd w:id="18"/>
    </w:p>
    <w:p w14:paraId="281902CB" w14:textId="3B53EACA" w:rsidR="00740B50" w:rsidRDefault="00D74197" w:rsidP="00D74197">
      <w:r w:rsidRPr="00D74197">
        <w:t xml:space="preserve">A unit must continually meet the requirements of the </w:t>
      </w:r>
      <w:r w:rsidR="004747DD">
        <w:t>“</w:t>
      </w:r>
      <w:r w:rsidRPr="00D74197">
        <w:t>build-to-rent land</w:t>
      </w:r>
      <w:r w:rsidR="004747DD">
        <w:t>”</w:t>
      </w:r>
      <w:r w:rsidRPr="00D74197">
        <w:t xml:space="preserve"> definition to qualify for the e</w:t>
      </w:r>
      <w:r w:rsidR="00504A53">
        <w:t>xclusion</w:t>
      </w:r>
      <w:r w:rsidRPr="00D74197">
        <w:t>.</w:t>
      </w:r>
    </w:p>
    <w:p w14:paraId="6423A114" w14:textId="4D1EB415" w:rsidR="00D74197" w:rsidRPr="00D74197" w:rsidRDefault="00442725" w:rsidP="00D74197">
      <w:r>
        <w:t>If, after first meeting the requirements</w:t>
      </w:r>
      <w:r w:rsidR="00B00D96">
        <w:t>, a unit fails at any point to meet the definition, e</w:t>
      </w:r>
      <w:r w:rsidR="00D74197" w:rsidRPr="00D74197">
        <w:t xml:space="preserve">ven if </w:t>
      </w:r>
      <w:r w:rsidR="00B00D96">
        <w:t>the</w:t>
      </w:r>
      <w:r w:rsidR="00D74197" w:rsidRPr="00D74197">
        <w:t xml:space="preserve"> unit </w:t>
      </w:r>
      <w:r w:rsidR="00D126E6">
        <w:t xml:space="preserve">again </w:t>
      </w:r>
      <w:r w:rsidR="00D74197" w:rsidRPr="00D74197">
        <w:t xml:space="preserve">meets the requirements in the future, it can never again qualify as </w:t>
      </w:r>
      <w:r w:rsidR="003567A8">
        <w:t>“</w:t>
      </w:r>
      <w:r w:rsidR="00D74197" w:rsidRPr="00D74197">
        <w:t>build-to-rent land</w:t>
      </w:r>
      <w:r w:rsidR="003567A8">
        <w:t>”</w:t>
      </w:r>
      <w:r w:rsidR="00D74197" w:rsidRPr="00D74197">
        <w:t>.</w:t>
      </w:r>
    </w:p>
    <w:p w14:paraId="327ED39D" w14:textId="69880839" w:rsidR="00740B50" w:rsidRDefault="00D74197" w:rsidP="00D74197">
      <w:r w:rsidRPr="00D74197">
        <w:t xml:space="preserve">Existing build-to-rent developments must meet all requirements by 1 July 2023 and continue to </w:t>
      </w:r>
      <w:r w:rsidR="00C97925">
        <w:t>do so</w:t>
      </w:r>
      <w:r w:rsidRPr="00D74197">
        <w:t xml:space="preserve"> at all times after th</w:t>
      </w:r>
      <w:r w:rsidR="00363D00">
        <w:t>at</w:t>
      </w:r>
      <w:r w:rsidRPr="00D74197">
        <w:t xml:space="preserve"> date. All new developments</w:t>
      </w:r>
      <w:r w:rsidR="00652FBF">
        <w:t xml:space="preserve"> completed after 1 July 2023</w:t>
      </w:r>
      <w:r w:rsidRPr="00D74197">
        <w:t xml:space="preserve"> must </w:t>
      </w:r>
      <w:r w:rsidR="00FC7D26">
        <w:t xml:space="preserve">always </w:t>
      </w:r>
      <w:r w:rsidRPr="00D74197">
        <w:t>comply.</w:t>
      </w:r>
    </w:p>
    <w:p w14:paraId="5B4308EA" w14:textId="60B59E17" w:rsidR="00D74197" w:rsidRPr="00D74197" w:rsidRDefault="00D74197" w:rsidP="005D7C22">
      <w:pPr>
        <w:pStyle w:val="NoNumberHeading4"/>
      </w:pPr>
      <w:r w:rsidRPr="00D74197">
        <w:lastRenderedPageBreak/>
        <w:t>Used, available for use, or being prepared or restored for use</w:t>
      </w:r>
    </w:p>
    <w:p w14:paraId="6EED1E16" w14:textId="22B06546" w:rsidR="00740B50" w:rsidRDefault="00D74197" w:rsidP="00D74197">
      <w:r w:rsidRPr="00D74197">
        <w:t xml:space="preserve">A dwelling must be used, available for use or being prepared or restored for use as a build-to-rent dwelling to qualify for the </w:t>
      </w:r>
      <w:r w:rsidR="00504A53">
        <w:t>exclusion</w:t>
      </w:r>
      <w:r w:rsidRPr="00D74197">
        <w:t xml:space="preserve">. The wording </w:t>
      </w:r>
      <w:r w:rsidR="001B0E71">
        <w:t>”</w:t>
      </w:r>
      <w:r w:rsidRPr="00D74197">
        <w:t>available for use</w:t>
      </w:r>
      <w:r w:rsidR="001B0E71">
        <w:t>”</w:t>
      </w:r>
      <w:r w:rsidRPr="00D74197">
        <w:t xml:space="preserve"> is intended to cover situations where dwellings are not currently occupied but are being advertised on the market as available for rent. </w:t>
      </w:r>
      <w:r w:rsidR="00671520">
        <w:t>“</w:t>
      </w:r>
      <w:r w:rsidRPr="00D74197">
        <w:t>Being prepared or restored for use</w:t>
      </w:r>
      <w:r w:rsidR="00671520">
        <w:t>”</w:t>
      </w:r>
      <w:r w:rsidRPr="00D74197">
        <w:t xml:space="preserve"> covers scenarios where a dwelling is not currently available for use but is undergoing work to be suitable for use as a rental property. For example, between tenancies a unit may be renovated to replace an outdated kitchen. The dwelling would still qualify during this period even though it is not occupied.</w:t>
      </w:r>
    </w:p>
    <w:p w14:paraId="34C68169" w14:textId="44078103" w:rsidR="00D74197" w:rsidRPr="00D74197" w:rsidRDefault="00D74197" w:rsidP="005D7C22">
      <w:pPr>
        <w:pStyle w:val="NoNumberHeading3"/>
      </w:pPr>
      <w:bookmarkStart w:id="19" w:name="_Toc131171652"/>
      <w:r w:rsidRPr="00D74197">
        <w:t>Tenure length requirement</w:t>
      </w:r>
      <w:bookmarkEnd w:id="19"/>
    </w:p>
    <w:p w14:paraId="0146226C" w14:textId="0C82E5F5" w:rsidR="005915CC" w:rsidRDefault="005915CC" w:rsidP="006C085B">
      <w:pPr>
        <w:rPr>
          <w:rFonts w:ascii="Times New Roman" w:hAnsi="Times New Roman" w:cs="Times New Roman"/>
          <w:color w:val="auto"/>
          <w:sz w:val="24"/>
          <w:szCs w:val="24"/>
          <w:lang w:eastAsia="en-NZ"/>
        </w:rPr>
      </w:pPr>
      <w:r>
        <w:t xml:space="preserve">Tenants of a build-to-rent dwelling must be offered a fixed term tenancy of at least 10 years, </w:t>
      </w:r>
      <w:r w:rsidR="00785567">
        <w:t>which</w:t>
      </w:r>
      <w:r>
        <w:t xml:space="preserve"> is terminable by 56 days’ notice under section 58A of the RTA, including at times of tenancy renewal and renegotiation.</w:t>
      </w:r>
    </w:p>
    <w:p w14:paraId="094D5FB4" w14:textId="2A54D4B6" w:rsidR="00740B50" w:rsidRDefault="00D74197" w:rsidP="00D74197">
      <w:r w:rsidRPr="00D74197">
        <w:t>This does not mean the tenant has to accept this offer. They may agree to, or request, a different tenancy offer.</w:t>
      </w:r>
    </w:p>
    <w:p w14:paraId="6C8D3818" w14:textId="6BFA423B" w:rsidR="008D0741" w:rsidRDefault="00D74197" w:rsidP="00D74197">
      <w:r w:rsidRPr="00D74197">
        <w:t>Existing build-to-rent developments will have until 1 July 2023 to offer all existing tenants a 10-year contract and must offer all new tenants a 10-year contract from th</w:t>
      </w:r>
      <w:r w:rsidR="00327CFE">
        <w:t>at</w:t>
      </w:r>
      <w:r w:rsidRPr="00D74197">
        <w:t xml:space="preserve"> date. Any build-to-rent development completed after 1 July 2023 will have to meet this requirement immediately.</w:t>
      </w:r>
    </w:p>
    <w:p w14:paraId="3218DD47" w14:textId="52EEBFF8" w:rsidR="00D74197" w:rsidRPr="00D74197" w:rsidRDefault="00D74197" w:rsidP="005D7C22">
      <w:pPr>
        <w:pStyle w:val="NoNumberHeading3"/>
      </w:pPr>
      <w:bookmarkStart w:id="20" w:name="_Toc131171653"/>
      <w:r w:rsidRPr="00D74197">
        <w:t>Personalisation policies</w:t>
      </w:r>
      <w:bookmarkEnd w:id="20"/>
    </w:p>
    <w:p w14:paraId="332CF14C" w14:textId="5536F4A0" w:rsidR="00AF5415" w:rsidRPr="00F65444" w:rsidRDefault="00AF5415" w:rsidP="00F65444">
      <w:r w:rsidRPr="00AF5415">
        <w:t xml:space="preserve">The definition of </w:t>
      </w:r>
      <w:r w:rsidR="004F6EB9">
        <w:t>“</w:t>
      </w:r>
      <w:r w:rsidRPr="00AF5415">
        <w:t>build-to-rent land</w:t>
      </w:r>
      <w:r w:rsidR="004F6EB9">
        <w:t>”</w:t>
      </w:r>
      <w:r w:rsidRPr="00AF5415">
        <w:t xml:space="preserve"> requires that</w:t>
      </w:r>
      <w:r w:rsidR="00DC03A0">
        <w:t xml:space="preserve"> explicit personalisation policies are offered by build-to-rent providers to their tenants that are in line</w:t>
      </w:r>
      <w:r w:rsidR="00DC03A0" w:rsidRPr="00F65444">
        <w:t xml:space="preserve"> </w:t>
      </w:r>
      <w:r w:rsidRPr="00AF5415">
        <w:t>with sections 42, 42A and 42B of the R</w:t>
      </w:r>
      <w:r w:rsidR="004F6EB9">
        <w:t>TA</w:t>
      </w:r>
      <w:r w:rsidRPr="00AF5415">
        <w:t>.</w:t>
      </w:r>
      <w:r w:rsidR="00046DFD">
        <w:t xml:space="preserve"> Under the </w:t>
      </w:r>
      <w:r w:rsidR="00CA1665">
        <w:t>RTA</w:t>
      </w:r>
      <w:r w:rsidR="00046DFD">
        <w:t>, a tenant can ask a landlord if they can make a change (</w:t>
      </w:r>
      <w:r w:rsidR="00FE1213">
        <w:t>for example</w:t>
      </w:r>
      <w:r w:rsidR="00046DFD">
        <w:t>, attach a fixture or make an alteration) to the property. The landlord must not unreasonably withhold consent to the change and may impose reasonable conditions.</w:t>
      </w:r>
      <w:r w:rsidRPr="00AF5415">
        <w:t xml:space="preserve"> At the end of the tenancy, tenants will be required to ‘make good’ on any </w:t>
      </w:r>
      <w:proofErr w:type="spellStart"/>
      <w:r w:rsidRPr="00AF5415">
        <w:t>personalisations</w:t>
      </w:r>
      <w:proofErr w:type="spellEnd"/>
      <w:r w:rsidRPr="00AF5415">
        <w:t xml:space="preserve"> made during the tenancy, as set out by the </w:t>
      </w:r>
      <w:r w:rsidR="00CA1665">
        <w:t>RTA</w:t>
      </w:r>
      <w:r w:rsidRPr="00AF5415">
        <w:t>.</w:t>
      </w:r>
    </w:p>
    <w:p w14:paraId="35D49F19" w14:textId="07DD93DD" w:rsidR="00AF5415" w:rsidRPr="00AF5415" w:rsidRDefault="00AF5415" w:rsidP="00AF5415">
      <w:r w:rsidRPr="00AF5415">
        <w:t xml:space="preserve">Personalisation policies are not intended to pre-authorise the </w:t>
      </w:r>
      <w:proofErr w:type="spellStart"/>
      <w:r w:rsidRPr="00AF5415">
        <w:t>personalisations</w:t>
      </w:r>
      <w:proofErr w:type="spellEnd"/>
      <w:r w:rsidRPr="00AF5415">
        <w:t xml:space="preserve"> featured in the policies, rather they are intended to make clear to tenants upfront what </w:t>
      </w:r>
      <w:proofErr w:type="spellStart"/>
      <w:r w:rsidRPr="00AF5415">
        <w:t>personalisations</w:t>
      </w:r>
      <w:proofErr w:type="spellEnd"/>
      <w:r w:rsidRPr="00AF5415">
        <w:t xml:space="preserve"> the build-to-rent provider is happy for the tenant to make.</w:t>
      </w:r>
    </w:p>
    <w:p w14:paraId="45071F50" w14:textId="069FEDCF" w:rsidR="00AF5415" w:rsidRPr="00AF5415" w:rsidRDefault="00AF5415" w:rsidP="00AF5415">
      <w:r w:rsidRPr="00AF5415">
        <w:t>This requirement may take the form of a build-to-rent provider including a clause in associated tenancy agreements or producing a document</w:t>
      </w:r>
      <w:r>
        <w:t>,</w:t>
      </w:r>
      <w:r w:rsidRPr="00AF5415">
        <w:t xml:space="preserve"> offered to all tenants within the </w:t>
      </w:r>
      <w:r w:rsidRPr="00AF5415">
        <w:lastRenderedPageBreak/>
        <w:t xml:space="preserve">build-to-rent </w:t>
      </w:r>
      <w:r>
        <w:t>development,</w:t>
      </w:r>
      <w:r w:rsidRPr="00AF5415">
        <w:t xml:space="preserve"> that explicitly outlines how tenants can personalise their dwellings. Providers must include their position on the keeping of pets.</w:t>
      </w:r>
    </w:p>
    <w:p w14:paraId="1E26E2C8" w14:textId="77777777" w:rsidR="00740B50" w:rsidRDefault="00AF5415" w:rsidP="00AF5415">
      <w:r w:rsidRPr="00AF5415">
        <w:t>The intention of this requirement is to make lifestyle issues, like pets and home-making, more transparent to prospective tenants</w:t>
      </w:r>
      <w:r w:rsidR="00EA50C7">
        <w:t>.</w:t>
      </w:r>
    </w:p>
    <w:p w14:paraId="56C36CB2" w14:textId="77777777" w:rsidR="00740B50" w:rsidRDefault="00D74197" w:rsidP="00CF7690">
      <w:r w:rsidRPr="00D74197">
        <w:t xml:space="preserve">Existing build-to-rent developments have until 1 July 2023 to </w:t>
      </w:r>
      <w:r w:rsidR="00DD638B">
        <w:t>provide</w:t>
      </w:r>
      <w:r w:rsidRPr="00D74197">
        <w:t xml:space="preserve"> personalisation policies </w:t>
      </w:r>
      <w:r w:rsidR="00DD638B">
        <w:t>to</w:t>
      </w:r>
      <w:r w:rsidRPr="00D74197">
        <w:t xml:space="preserve"> all current tenants. Any build-to-rent developments completed after 1 July 2023 will have to comply with this requirement immediately.</w:t>
      </w:r>
    </w:p>
    <w:p w14:paraId="12C27C35" w14:textId="2B682E42" w:rsidR="0088681B" w:rsidRDefault="00FE2A8E" w:rsidP="0088681B">
      <w:pPr>
        <w:pStyle w:val="NoNumberHeading3"/>
      </w:pPr>
      <w:bookmarkStart w:id="21" w:name="_Toc131171654"/>
      <w:r>
        <w:t>When the ex</w:t>
      </w:r>
      <w:r w:rsidR="0047626F">
        <w:t>clusion</w:t>
      </w:r>
      <w:r>
        <w:t xml:space="preserve"> applies</w:t>
      </w:r>
      <w:bookmarkEnd w:id="21"/>
    </w:p>
    <w:p w14:paraId="1E6F0746" w14:textId="117A9D27" w:rsidR="00740B50" w:rsidRDefault="00D4169C" w:rsidP="002851CB">
      <w:r w:rsidRPr="002851CB">
        <w:t xml:space="preserve">To qualify for the </w:t>
      </w:r>
      <w:r>
        <w:t>exclusion</w:t>
      </w:r>
      <w:r w:rsidRPr="002851CB">
        <w:t xml:space="preserve">, the Chief Executive </w:t>
      </w:r>
      <w:r>
        <w:t>of the department responsible for the administration of the Residential Tenancies Act 1986</w:t>
      </w:r>
      <w:r w:rsidRPr="002851CB">
        <w:t xml:space="preserve"> must be satisfied that the development meets the definition of build-to-rent land. </w:t>
      </w:r>
      <w:r>
        <w:t xml:space="preserve">Currently, this approval would be granted by the Chief Executive of </w:t>
      </w:r>
      <w:r w:rsidR="000207EB">
        <w:t xml:space="preserve">Te Tūāpapa Kura Kāinga </w:t>
      </w:r>
      <w:r>
        <w:t xml:space="preserve">– Ministry of Housing and Urban Development (HUD). </w:t>
      </w:r>
      <w:r w:rsidRPr="002851CB">
        <w:t xml:space="preserve">The asset will then be recorded on a register of assets </w:t>
      </w:r>
      <w:r w:rsidR="00F513E5">
        <w:t>that</w:t>
      </w:r>
      <w:r w:rsidRPr="002851CB">
        <w:t xml:space="preserve"> </w:t>
      </w:r>
      <w:r>
        <w:t>is then</w:t>
      </w:r>
      <w:r w:rsidRPr="002851CB">
        <w:t xml:space="preserve"> shared with Inland </w:t>
      </w:r>
      <w:r w:rsidR="00687384">
        <w:t>R</w:t>
      </w:r>
      <w:r w:rsidRPr="002851CB">
        <w:t xml:space="preserve">evenue. The </w:t>
      </w:r>
      <w:r>
        <w:t>exclusion</w:t>
      </w:r>
      <w:r w:rsidRPr="002851CB">
        <w:t xml:space="preserve"> will continue for as long as the development meets the definition requirements.</w:t>
      </w:r>
    </w:p>
    <w:p w14:paraId="70DEAC25" w14:textId="69B4F4F6" w:rsidR="00740B50" w:rsidRDefault="002851CB" w:rsidP="002851CB">
      <w:r w:rsidRPr="00B710A3">
        <w:t xml:space="preserve">Taxpayers </w:t>
      </w:r>
      <w:r w:rsidR="00B92086" w:rsidRPr="00B710A3">
        <w:t xml:space="preserve">with existing build-to-rent developments </w:t>
      </w:r>
      <w:r w:rsidRPr="00B710A3">
        <w:t>will be eligible for the ex</w:t>
      </w:r>
      <w:r w:rsidR="0047626F" w:rsidRPr="00B710A3">
        <w:t>clusion</w:t>
      </w:r>
      <w:r w:rsidR="005738FC" w:rsidRPr="00B710A3">
        <w:t xml:space="preserve"> from 1</w:t>
      </w:r>
      <w:r w:rsidR="00687384">
        <w:t> </w:t>
      </w:r>
      <w:r w:rsidR="005738FC" w:rsidRPr="00B710A3">
        <w:t xml:space="preserve">October 2021 if they </w:t>
      </w:r>
      <w:r w:rsidR="00F82370" w:rsidRPr="00B710A3">
        <w:t>meet the definition requirements before</w:t>
      </w:r>
      <w:r w:rsidR="00B21428" w:rsidRPr="00B710A3">
        <w:t xml:space="preserve"> 1 July 2023 and </w:t>
      </w:r>
      <w:r w:rsidR="005738FC" w:rsidRPr="00B710A3">
        <w:t>are approved by HUD</w:t>
      </w:r>
      <w:r w:rsidR="00B21428" w:rsidRPr="00B710A3">
        <w:t xml:space="preserve">. </w:t>
      </w:r>
      <w:r w:rsidR="00D4255E" w:rsidRPr="00B710A3">
        <w:t xml:space="preserve">The exclusion for existing developments applies from 1 October 2021 to align with the introduction of the interest limitation rules. </w:t>
      </w:r>
      <w:r w:rsidR="00B21428" w:rsidRPr="00B710A3">
        <w:t>New build-to-rent developments can apply the exclusion</w:t>
      </w:r>
      <w:r w:rsidRPr="00B710A3">
        <w:t xml:space="preserve"> from the date </w:t>
      </w:r>
      <w:r w:rsidR="00D4255E" w:rsidRPr="00B710A3">
        <w:t>of application if they meet the definition requirements and are approved by HUD</w:t>
      </w:r>
      <w:r w:rsidRPr="00B710A3">
        <w:t>.</w:t>
      </w:r>
    </w:p>
    <w:p w14:paraId="4F1CB0A9" w14:textId="5960C604" w:rsidR="00740B50" w:rsidRDefault="002851CB" w:rsidP="002851CB">
      <w:r w:rsidRPr="002851CB">
        <w:t>Existing build-to-rent developments completed before 1 July 2023 will have until th</w:t>
      </w:r>
      <w:r w:rsidR="00575F77">
        <w:t>at</w:t>
      </w:r>
      <w:r w:rsidRPr="002851CB">
        <w:t xml:space="preserve"> date to meet the definition requirements</w:t>
      </w:r>
      <w:r w:rsidR="001F51AF">
        <w:t xml:space="preserve"> and apply for registration</w:t>
      </w:r>
      <w:r w:rsidRPr="002851CB">
        <w:t xml:space="preserve">. If </w:t>
      </w:r>
      <w:r w:rsidR="00BD1DE8">
        <w:t>a</w:t>
      </w:r>
      <w:r w:rsidRPr="002851CB">
        <w:t xml:space="preserve"> development does not do so by 1 July 2023, </w:t>
      </w:r>
      <w:r w:rsidR="00BD1DE8">
        <w:t>it</w:t>
      </w:r>
      <w:r w:rsidRPr="002851CB">
        <w:t xml:space="preserve"> will never be able to qualify for the </w:t>
      </w:r>
      <w:r w:rsidR="005F73C9">
        <w:t>exclusion</w:t>
      </w:r>
      <w:r w:rsidRPr="002851CB">
        <w:t xml:space="preserve">. New build-to-rent developments will need to comply with the requirements immediately and will be eligible for the </w:t>
      </w:r>
      <w:r w:rsidR="005F73C9">
        <w:t>exclusion</w:t>
      </w:r>
      <w:r w:rsidRPr="002851CB">
        <w:t xml:space="preserve"> from the date they </w:t>
      </w:r>
      <w:r w:rsidR="00B710A3">
        <w:t xml:space="preserve">apply for the exclusion, </w:t>
      </w:r>
      <w:r w:rsidR="0081323B">
        <w:t>provided</w:t>
      </w:r>
      <w:r w:rsidR="00B710A3">
        <w:t xml:space="preserve"> they </w:t>
      </w:r>
      <w:r w:rsidRPr="002851CB">
        <w:t>meet the requirements</w:t>
      </w:r>
      <w:r w:rsidR="00B710A3">
        <w:t xml:space="preserve"> and are </w:t>
      </w:r>
      <w:r w:rsidR="008646F2">
        <w:t>approved by HUD</w:t>
      </w:r>
      <w:r w:rsidRPr="002851CB">
        <w:t>.</w:t>
      </w:r>
    </w:p>
    <w:p w14:paraId="538F1BC7" w14:textId="540035D4" w:rsidR="003C30F1" w:rsidRPr="00E37C83" w:rsidRDefault="009E7370" w:rsidP="005D7C22">
      <w:pPr>
        <w:pStyle w:val="NoNumberHeading3"/>
      </w:pPr>
      <w:bookmarkStart w:id="22" w:name="_Toc131171655"/>
      <w:r>
        <w:t>Effect of e</w:t>
      </w:r>
      <w:r w:rsidR="005F73C9">
        <w:t>xclusion</w:t>
      </w:r>
      <w:bookmarkEnd w:id="22"/>
    </w:p>
    <w:p w14:paraId="2EC9998D" w14:textId="77777777" w:rsidR="00740B50" w:rsidRDefault="003C30F1" w:rsidP="003C30F1">
      <w:r w:rsidRPr="00E37C83">
        <w:t xml:space="preserve">The effect of the build-to-rent </w:t>
      </w:r>
      <w:r w:rsidR="005F73C9">
        <w:t>exclusion</w:t>
      </w:r>
      <w:r w:rsidRPr="00E37C83">
        <w:t xml:space="preserve"> </w:t>
      </w:r>
      <w:r w:rsidR="00D4169C">
        <w:t>is</w:t>
      </w:r>
      <w:r w:rsidRPr="00E37C83">
        <w:t xml:space="preserve"> that the interest limitation rules in subpart DH </w:t>
      </w:r>
      <w:r w:rsidR="00CA1665">
        <w:t xml:space="preserve">of the ITA </w:t>
      </w:r>
      <w:r w:rsidRPr="00E37C83">
        <w:t>would not apply to deny interest deductions. However, interest would still have to be deductible under existing tax rules.</w:t>
      </w:r>
    </w:p>
    <w:p w14:paraId="34D60B00" w14:textId="0D24F548" w:rsidR="003C30F1" w:rsidRPr="00E37C83" w:rsidRDefault="009B0F91" w:rsidP="003C30F1">
      <w:r>
        <w:lastRenderedPageBreak/>
        <w:t>P</w:t>
      </w:r>
      <w:r w:rsidRPr="00E37C83">
        <w:t>rovided a deduction is allowed under existing tax rules</w:t>
      </w:r>
      <w:r>
        <w:t>,</w:t>
      </w:r>
      <w:r w:rsidRPr="00E37C83">
        <w:t xml:space="preserve"> </w:t>
      </w:r>
      <w:r>
        <w:t>t</w:t>
      </w:r>
      <w:r w:rsidR="003C30F1" w:rsidRPr="00E37C83">
        <w:t xml:space="preserve">he interest that may be deducted if the </w:t>
      </w:r>
      <w:r w:rsidR="005F73C9">
        <w:t>exclusion</w:t>
      </w:r>
      <w:r w:rsidR="003C30F1" w:rsidRPr="00E37C83">
        <w:t xml:space="preserve"> applies would include interest on loans to:</w:t>
      </w:r>
    </w:p>
    <w:p w14:paraId="1270D5C5" w14:textId="7749708A" w:rsidR="003C30F1" w:rsidRPr="00DA5E95" w:rsidRDefault="003C30F1" w:rsidP="00DA5E95">
      <w:pPr>
        <w:pStyle w:val="Bullets"/>
      </w:pPr>
      <w:r w:rsidRPr="00DA5E95">
        <w:t>acquire the land a build-to-rent development is on,</w:t>
      </w:r>
    </w:p>
    <w:p w14:paraId="0DC5A715" w14:textId="576F508C" w:rsidR="003C30F1" w:rsidRPr="00DA5E95" w:rsidRDefault="003C30F1" w:rsidP="00DA5E95">
      <w:pPr>
        <w:pStyle w:val="Bullets"/>
      </w:pPr>
      <w:r w:rsidRPr="00DA5E95">
        <w:t>construct or install a build-to-rent development on the land,</w:t>
      </w:r>
    </w:p>
    <w:p w14:paraId="72A7932A" w14:textId="6471F2C8" w:rsidR="003C30F1" w:rsidRPr="00DA5E95" w:rsidRDefault="003C30F1" w:rsidP="00DA5E95">
      <w:pPr>
        <w:pStyle w:val="Bullets"/>
      </w:pPr>
      <w:r w:rsidRPr="00DA5E95">
        <w:t>pay for things like insurance and rates, and</w:t>
      </w:r>
    </w:p>
    <w:p w14:paraId="2C9B0EAF" w14:textId="027BE064" w:rsidR="003C30F1" w:rsidRPr="002851CB" w:rsidRDefault="003C30F1" w:rsidP="00DA5E95">
      <w:pPr>
        <w:pStyle w:val="Bullets"/>
      </w:pPr>
      <w:r w:rsidRPr="00DA5E95">
        <w:t xml:space="preserve">renovate, maintain, or repair </w:t>
      </w:r>
      <w:r w:rsidRPr="00E37C83">
        <w:t>a build-to-rent dwelling.</w:t>
      </w:r>
    </w:p>
    <w:p w14:paraId="02AC571A" w14:textId="6577BD40" w:rsidR="00FE2A8E" w:rsidRDefault="00FE2A8E" w:rsidP="00C66575">
      <w:pPr>
        <w:pStyle w:val="NoNumberHeading3"/>
      </w:pPr>
      <w:bookmarkStart w:id="23" w:name="_Toc131171656"/>
      <w:r>
        <w:t xml:space="preserve">When the </w:t>
      </w:r>
      <w:r w:rsidR="005F73C9">
        <w:t>exclusion</w:t>
      </w:r>
      <w:r>
        <w:t xml:space="preserve"> ceases</w:t>
      </w:r>
      <w:bookmarkEnd w:id="23"/>
    </w:p>
    <w:p w14:paraId="2F35E7A1" w14:textId="33816DF0" w:rsidR="002C00FC" w:rsidRPr="002C00FC" w:rsidRDefault="002C00FC" w:rsidP="002C00FC">
      <w:r w:rsidRPr="002C00FC">
        <w:t xml:space="preserve">A dwelling will cease to qualify immediately if it fails to meet the definition of </w:t>
      </w:r>
      <w:r w:rsidR="0092155A">
        <w:t>“</w:t>
      </w:r>
      <w:r w:rsidRPr="002C00FC">
        <w:t>build-to-rent land</w:t>
      </w:r>
      <w:r w:rsidR="0092155A">
        <w:t>”</w:t>
      </w:r>
      <w:r w:rsidRPr="002C00FC">
        <w:t>. If a dwelling in a development no longer meets the requirements, for example</w:t>
      </w:r>
      <w:r w:rsidR="0092155A">
        <w:t>,</w:t>
      </w:r>
      <w:r w:rsidRPr="002C00FC">
        <w:t xml:space="preserve"> if it is not rented out under the RTA, interest relating to that dwelling will no longer be </w:t>
      </w:r>
      <w:r w:rsidR="0001456A">
        <w:t>excluded from the interest limitation rules</w:t>
      </w:r>
      <w:r w:rsidRPr="002C00FC">
        <w:t>. If</w:t>
      </w:r>
      <w:r w:rsidR="000D5D50">
        <w:t>, when</w:t>
      </w:r>
      <w:r w:rsidRPr="002C00FC">
        <w:t xml:space="preserve"> that dwelling ceases to qualify, this results in the </w:t>
      </w:r>
      <w:r w:rsidR="00542A82">
        <w:t>development having</w:t>
      </w:r>
      <w:r w:rsidRPr="002C00FC">
        <w:t xml:space="preserve"> less than 20 qualifying dwelling</w:t>
      </w:r>
      <w:r w:rsidR="00CA1665">
        <w:t>s</w:t>
      </w:r>
      <w:r w:rsidRPr="002C00FC">
        <w:t xml:space="preserve">, the </w:t>
      </w:r>
      <w:r w:rsidR="005F73C9">
        <w:t>exclusion</w:t>
      </w:r>
      <w:r w:rsidRPr="002C00FC">
        <w:t xml:space="preserve"> will cease to apply to the entire development.</w:t>
      </w:r>
    </w:p>
    <w:tbl>
      <w:tblPr>
        <w:tblStyle w:val="IR-Table-ParagraphHighlightStyle2"/>
        <w:tblW w:w="0" w:type="auto"/>
        <w:tblLook w:val="04A0" w:firstRow="1" w:lastRow="0" w:firstColumn="1" w:lastColumn="0" w:noHBand="0" w:noVBand="1"/>
      </w:tblPr>
      <w:tblGrid>
        <w:gridCol w:w="9016"/>
      </w:tblGrid>
      <w:tr w:rsidR="002C00FC" w14:paraId="05F38494" w14:textId="77777777" w:rsidTr="008D4E20">
        <w:tc>
          <w:tcPr>
            <w:tcW w:w="9016" w:type="dxa"/>
          </w:tcPr>
          <w:p w14:paraId="4E7F9F1F" w14:textId="16A67139" w:rsidR="002C00FC" w:rsidRPr="0072562E" w:rsidRDefault="002C00FC" w:rsidP="00DA5E95">
            <w:pPr>
              <w:pStyle w:val="IRCaption"/>
            </w:pPr>
            <w:r w:rsidRPr="0072562E">
              <w:t xml:space="preserve">Example </w:t>
            </w:r>
            <w:r w:rsidR="00F93C96">
              <w:t>2</w:t>
            </w:r>
            <w:r w:rsidRPr="0072562E">
              <w:t xml:space="preserve">: </w:t>
            </w:r>
            <w:r w:rsidR="00F93C96">
              <w:t>W</w:t>
            </w:r>
            <w:r>
              <w:t>hen a unit ceases to qualify</w:t>
            </w:r>
          </w:p>
          <w:p w14:paraId="66F5A1CA" w14:textId="5225DF5C" w:rsidR="00740B50" w:rsidRDefault="00407DBC" w:rsidP="008F2265">
            <w:r>
              <w:t xml:space="preserve">Assuming the same facts as in example 1, </w:t>
            </w:r>
            <w:r w:rsidR="008F2265" w:rsidRPr="008F2265">
              <w:t xml:space="preserve">Te </w:t>
            </w:r>
            <w:proofErr w:type="spellStart"/>
            <w:r w:rsidR="008F2265" w:rsidRPr="008F2265">
              <w:t>Awhi</w:t>
            </w:r>
            <w:proofErr w:type="spellEnd"/>
            <w:r w:rsidR="008F2265" w:rsidRPr="008F2265">
              <w:t xml:space="preserve"> Co. </w:t>
            </w:r>
            <w:r w:rsidR="00281D43">
              <w:t xml:space="preserve">is </w:t>
            </w:r>
            <w:r w:rsidR="008F2265" w:rsidRPr="008F2265">
              <w:t>currently deduct</w:t>
            </w:r>
            <w:r w:rsidR="00281D43">
              <w:t>ing</w:t>
            </w:r>
            <w:r w:rsidR="008F2265" w:rsidRPr="008F2265">
              <w:t xml:space="preserve"> interest relating to the 25 qualifying units in their development. </w:t>
            </w:r>
            <w:r w:rsidR="00402A08">
              <w:t>In February 202</w:t>
            </w:r>
            <w:r w:rsidR="00281D43">
              <w:t>5</w:t>
            </w:r>
            <w:r w:rsidR="00402A08">
              <w:t>, f</w:t>
            </w:r>
            <w:r w:rsidR="008F2265" w:rsidRPr="008F2265">
              <w:t>our of these units are sold, so interest is only deductible for the remaining 21 units.</w:t>
            </w:r>
          </w:p>
          <w:p w14:paraId="1108495F" w14:textId="3B534A28" w:rsidR="002C00FC" w:rsidRDefault="008F2265" w:rsidP="008D4E20">
            <w:r w:rsidRPr="008F2265">
              <w:t>In May 202</w:t>
            </w:r>
            <w:r w:rsidR="00823C4B">
              <w:t>5</w:t>
            </w:r>
            <w:r w:rsidRPr="008F2265">
              <w:t>, two units are rented out to new tenants who are only offered three-year contracts. This does not meet the requirement of offering a fixed</w:t>
            </w:r>
            <w:r w:rsidR="004E624F">
              <w:t>-</w:t>
            </w:r>
            <w:r w:rsidRPr="008F2265">
              <w:t xml:space="preserve">term tenancy of at least 10 years. As such, the two units no longer qualify for the </w:t>
            </w:r>
            <w:r w:rsidR="004E624F">
              <w:t xml:space="preserve">build-to-rent </w:t>
            </w:r>
            <w:r w:rsidR="005F73C9">
              <w:t>exclusion</w:t>
            </w:r>
            <w:r w:rsidRPr="008F2265">
              <w:t xml:space="preserve">. </w:t>
            </w:r>
            <w:r w:rsidR="000663C1">
              <w:t>As</w:t>
            </w:r>
            <w:r w:rsidRPr="008F2265">
              <w:t xml:space="preserve"> only 19 units </w:t>
            </w:r>
            <w:r w:rsidR="000663C1">
              <w:t>now</w:t>
            </w:r>
            <w:r w:rsidRPr="008F2265">
              <w:t xml:space="preserve"> meet the requirements</w:t>
            </w:r>
            <w:r w:rsidR="0074637F">
              <w:t xml:space="preserve"> in the build-to-rent land definition</w:t>
            </w:r>
            <w:r w:rsidRPr="008F2265">
              <w:t xml:space="preserve">, the </w:t>
            </w:r>
            <w:r w:rsidR="00F77150">
              <w:t xml:space="preserve">build-to-rent </w:t>
            </w:r>
            <w:r w:rsidR="005F73C9">
              <w:t>exclusion</w:t>
            </w:r>
            <w:r w:rsidRPr="008F2265">
              <w:t xml:space="preserve"> </w:t>
            </w:r>
            <w:r w:rsidR="0074637F">
              <w:t xml:space="preserve">from the interest limitation rules </w:t>
            </w:r>
            <w:r w:rsidRPr="008F2265">
              <w:t>will cease to apply for the entire development.</w:t>
            </w:r>
            <w:r w:rsidR="008366C6">
              <w:t xml:space="preserve"> The new build exemption may apply to the property for a period of 20</w:t>
            </w:r>
            <w:r w:rsidR="00354E45">
              <w:t xml:space="preserve"> </w:t>
            </w:r>
            <w:r w:rsidR="008366C6">
              <w:t xml:space="preserve">years </w:t>
            </w:r>
            <w:r w:rsidR="00A9129E">
              <w:t>from the date the property received its code compliance certificate.</w:t>
            </w:r>
          </w:p>
        </w:tc>
      </w:tr>
    </w:tbl>
    <w:p w14:paraId="60322D64" w14:textId="0DEC8558" w:rsidR="009E5F0F" w:rsidRPr="009E5F0F" w:rsidRDefault="009E5F0F" w:rsidP="009E5F0F">
      <w:r w:rsidRPr="009E5F0F">
        <w:t xml:space="preserve">In situations where an inadvertent breach of the </w:t>
      </w:r>
      <w:r w:rsidR="00CB72B3">
        <w:t>“</w:t>
      </w:r>
      <w:r>
        <w:t>build-to-rent land</w:t>
      </w:r>
      <w:r w:rsidR="00CB72B3">
        <w:t>”</w:t>
      </w:r>
      <w:r>
        <w:t xml:space="preserve"> </w:t>
      </w:r>
      <w:r w:rsidRPr="009E5F0F">
        <w:t>definition occurs, for example, a genuine administrative error sees a tenant in one of 20 dwellings not provided an explicit personalisation policy, Te Tūāpapa Kura Kāinga - Ministry of Housing and Urban Development will work with taxpayers to assist them in meeting compliance</w:t>
      </w:r>
      <w:r>
        <w:t>.</w:t>
      </w:r>
    </w:p>
    <w:p w14:paraId="3848FDF3" w14:textId="25B7A197" w:rsidR="00740B50" w:rsidRDefault="00FE2A8E" w:rsidP="00C66575">
      <w:pPr>
        <w:pStyle w:val="NoNumberHeading3"/>
      </w:pPr>
      <w:bookmarkStart w:id="24" w:name="_Toc131171657"/>
      <w:r>
        <w:lastRenderedPageBreak/>
        <w:t>Interaction with the new build exemption</w:t>
      </w:r>
      <w:bookmarkEnd w:id="24"/>
    </w:p>
    <w:p w14:paraId="00C98653" w14:textId="1F5E4D48" w:rsidR="00DD6C34" w:rsidRPr="00DD6C34" w:rsidRDefault="00DD6C34" w:rsidP="00DD6C34">
      <w:r w:rsidRPr="00DD6C34">
        <w:t xml:space="preserve">The new build exemption currently applies to exempt new builds from the interest limitation rules for a period of 20 years. A new build is a self-contained dwelling that has received its </w:t>
      </w:r>
      <w:r w:rsidR="00294382">
        <w:t>code compliance certificate</w:t>
      </w:r>
      <w:r w:rsidRPr="00DD6C34">
        <w:t xml:space="preserve"> on or after 27 March 2020.</w:t>
      </w:r>
    </w:p>
    <w:p w14:paraId="034168AC" w14:textId="452BF845" w:rsidR="00740B50" w:rsidRDefault="00DD6C34" w:rsidP="00A07F56">
      <w:r w:rsidRPr="00DD6C34">
        <w:t xml:space="preserve">A build-to-rent development is not barred from accessing the new build exemption. However, a development would still have to meet the build-to-rent </w:t>
      </w:r>
      <w:r w:rsidR="005F73C9">
        <w:t>land</w:t>
      </w:r>
      <w:r w:rsidRPr="00DD6C34">
        <w:t xml:space="preserve"> requirements</w:t>
      </w:r>
      <w:r w:rsidR="00371BCA">
        <w:t>—</w:t>
      </w:r>
      <w:r w:rsidR="00395307">
        <w:t xml:space="preserve">either </w:t>
      </w:r>
      <w:r w:rsidRPr="00DD6C34">
        <w:t>from 1</w:t>
      </w:r>
      <w:r w:rsidR="00B40536">
        <w:t> </w:t>
      </w:r>
      <w:r w:rsidRPr="00DD6C34">
        <w:t>July 2023</w:t>
      </w:r>
      <w:r w:rsidR="00684894">
        <w:t xml:space="preserve"> if it is an existing build</w:t>
      </w:r>
      <w:r w:rsidR="00012F98">
        <w:t>, or immediately for new build-to-rent developments</w:t>
      </w:r>
      <w:r w:rsidR="001D1E6C">
        <w:t>—</w:t>
      </w:r>
      <w:r w:rsidRPr="00DD6C34">
        <w:t xml:space="preserve">to </w:t>
      </w:r>
      <w:r w:rsidR="004636B1">
        <w:t xml:space="preserve">be able to </w:t>
      </w:r>
      <w:r w:rsidRPr="00DD6C34">
        <w:t xml:space="preserve">access the </w:t>
      </w:r>
      <w:r w:rsidR="005F73C9">
        <w:t>exclusion</w:t>
      </w:r>
      <w:r w:rsidRPr="00DD6C34">
        <w:t xml:space="preserve"> at any time in the future (</w:t>
      </w:r>
      <w:r w:rsidR="004636B1">
        <w:t>for example</w:t>
      </w:r>
      <w:r w:rsidRPr="00DD6C34">
        <w:t>, once the 20-year new build exemption ceases).</w:t>
      </w:r>
    </w:p>
    <w:p w14:paraId="0B1D9830" w14:textId="0C06FDC0" w:rsidR="00FC0178" w:rsidRPr="002F6E16" w:rsidRDefault="00FC0178" w:rsidP="006A79DB">
      <w:pPr>
        <w:pStyle w:val="NoNumberHeading1"/>
      </w:pPr>
      <w:bookmarkStart w:id="25" w:name="_Toc97818911"/>
      <w:bookmarkStart w:id="26" w:name="_Toc131171658"/>
      <w:bookmarkEnd w:id="14"/>
      <w:r>
        <w:t>Further information</w:t>
      </w:r>
      <w:bookmarkEnd w:id="25"/>
      <w:bookmarkEnd w:id="26"/>
    </w:p>
    <w:p w14:paraId="67A1AF14" w14:textId="33C35E04" w:rsidR="00740B50" w:rsidRDefault="00FC0178" w:rsidP="0007000D">
      <w:r w:rsidRPr="007E6C0F">
        <w:t xml:space="preserve">More information about </w:t>
      </w:r>
      <w:r w:rsidR="00434DF6">
        <w:t xml:space="preserve">the build-to-rent exclusion is available at </w:t>
      </w:r>
      <w:r w:rsidR="00152690">
        <w:t>Te T</w:t>
      </w:r>
      <w:r w:rsidR="00627BDB" w:rsidRPr="009E5F0F">
        <w:t>ūā</w:t>
      </w:r>
      <w:r w:rsidR="00152690">
        <w:t>papa Kura K</w:t>
      </w:r>
      <w:r w:rsidR="00F84E98" w:rsidRPr="009E5F0F">
        <w:t>ā</w:t>
      </w:r>
      <w:r w:rsidR="00152690">
        <w:t>inga – Ministry of Housing and Urban Development’s we</w:t>
      </w:r>
      <w:r w:rsidR="00360873">
        <w:t>bs</w:t>
      </w:r>
      <w:r w:rsidR="00152690">
        <w:t>ite</w:t>
      </w:r>
      <w:r w:rsidR="00F46F9B">
        <w:t xml:space="preserve">: </w:t>
      </w:r>
      <w:hyperlink r:id="rId8" w:history="1">
        <w:r w:rsidR="00B7275C">
          <w:rPr>
            <w:rStyle w:val="Hyperlink"/>
          </w:rPr>
          <w:t>www.hud.govt.nz/our-work/build-to-rent</w:t>
        </w:r>
      </w:hyperlink>
      <w:r w:rsidR="000F4D25">
        <w:t>.</w:t>
      </w:r>
    </w:p>
    <w:p w14:paraId="5AEB6202" w14:textId="5311A988" w:rsidR="00804A54" w:rsidRDefault="00CA7E72" w:rsidP="00AC5F18">
      <w:pPr>
        <w:pStyle w:val="NoNumberHeading1"/>
      </w:pPr>
      <w:bookmarkStart w:id="27" w:name="_Toc97894761"/>
      <w:bookmarkStart w:id="28" w:name="_Toc131171659"/>
      <w:bookmarkEnd w:id="8"/>
      <w:bookmarkEnd w:id="9"/>
      <w:r w:rsidRPr="00E2715F">
        <w:t>About this d</w:t>
      </w:r>
      <w:r>
        <w:t>ocument</w:t>
      </w:r>
      <w:bookmarkEnd w:id="27"/>
      <w:bookmarkEnd w:id="28"/>
    </w:p>
    <w:p w14:paraId="131BC4B1" w14:textId="77777777" w:rsidR="00BE6392" w:rsidRDefault="002239AF" w:rsidP="00F84E98">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16577A">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3604" w14:textId="77777777" w:rsidR="000B480F" w:rsidRDefault="000B480F" w:rsidP="00FE3402">
      <w:pPr>
        <w:spacing w:before="0" w:after="0" w:line="240" w:lineRule="auto"/>
      </w:pPr>
      <w:r>
        <w:separator/>
      </w:r>
    </w:p>
    <w:p w14:paraId="260C03E2" w14:textId="77777777" w:rsidR="000B480F" w:rsidRDefault="000B480F"/>
    <w:p w14:paraId="35FDB311" w14:textId="77777777" w:rsidR="000B480F" w:rsidRDefault="000B480F"/>
  </w:endnote>
  <w:endnote w:type="continuationSeparator" w:id="0">
    <w:p w14:paraId="786115C4" w14:textId="77777777" w:rsidR="000B480F" w:rsidRDefault="000B480F" w:rsidP="00FE3402">
      <w:pPr>
        <w:spacing w:before="0" w:after="0" w:line="240" w:lineRule="auto"/>
      </w:pPr>
      <w:r>
        <w:continuationSeparator/>
      </w:r>
    </w:p>
    <w:p w14:paraId="3F8D02E1" w14:textId="77777777" w:rsidR="000B480F" w:rsidRDefault="000B480F"/>
    <w:p w14:paraId="1FB44330" w14:textId="77777777" w:rsidR="000B480F" w:rsidRDefault="000B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DF13" w14:textId="77777777" w:rsidR="008708F5" w:rsidRDefault="008708F5">
    <w:pPr>
      <w:pStyle w:val="Footer"/>
    </w:pPr>
  </w:p>
  <w:p w14:paraId="56139333" w14:textId="77777777" w:rsidR="008708F5" w:rsidRDefault="008708F5"/>
  <w:p w14:paraId="4802E750"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20" w:type="dxa"/>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2127"/>
    </w:tblGrid>
    <w:tr w:rsidR="00E24B3C" w14:paraId="46C22098" w14:textId="77777777" w:rsidTr="00E24B3C">
      <w:tc>
        <w:tcPr>
          <w:tcW w:w="7093" w:type="dxa"/>
        </w:tcPr>
        <w:p w14:paraId="4BA74BB5" w14:textId="59EE72A8" w:rsidR="00E24B3C" w:rsidRDefault="00E24B3C" w:rsidP="00E24B3C">
          <w:pPr>
            <w:pStyle w:val="Footer"/>
          </w:pPr>
          <w:r>
            <w:t>Taxation (Annual Rates for 2022–23, Platform Economy, and Remedial Matters) Act 2023</w:t>
          </w:r>
        </w:p>
      </w:tc>
      <w:tc>
        <w:tcPr>
          <w:tcW w:w="2127" w:type="dxa"/>
        </w:tcPr>
        <w:p w14:paraId="6C104208" w14:textId="6A82F153" w:rsidR="00E24B3C" w:rsidRPr="00B0626E" w:rsidRDefault="00E24B3C" w:rsidP="00E24B3C">
          <w:pPr>
            <w:pStyle w:val="Footer"/>
            <w:ind w:left="690"/>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fldSimple w:instr="NUMPAGES  \* Arabic  \* MERGEFORMAT">
            <w:r w:rsidRPr="00B0626E">
              <w:t>2</w:t>
            </w:r>
          </w:fldSimple>
        </w:p>
      </w:tc>
    </w:tr>
  </w:tbl>
  <w:p w14:paraId="20695272"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658ACE67" w14:textId="77777777" w:rsidTr="00234CCE">
      <w:tc>
        <w:tcPr>
          <w:tcW w:w="3005" w:type="dxa"/>
        </w:tcPr>
        <w:p w14:paraId="725AF1CC" w14:textId="77777777" w:rsidR="008708F5" w:rsidRDefault="008708F5" w:rsidP="004A27B6">
          <w:pPr>
            <w:pStyle w:val="Footer"/>
          </w:pPr>
        </w:p>
      </w:tc>
      <w:tc>
        <w:tcPr>
          <w:tcW w:w="3005" w:type="dxa"/>
        </w:tcPr>
        <w:p w14:paraId="25FB1041" w14:textId="77777777" w:rsidR="008708F5" w:rsidRDefault="008708F5" w:rsidP="004A27B6">
          <w:pPr>
            <w:pStyle w:val="Footer"/>
            <w:jc w:val="center"/>
          </w:pPr>
        </w:p>
      </w:tc>
      <w:tc>
        <w:tcPr>
          <w:tcW w:w="3006" w:type="dxa"/>
        </w:tcPr>
        <w:p w14:paraId="2BAB4BE1" w14:textId="53B1D4E1" w:rsidR="008708F5" w:rsidRDefault="008E22F1" w:rsidP="004A27B6">
          <w:pPr>
            <w:pStyle w:val="Footer"/>
            <w:jc w:val="right"/>
          </w:pPr>
          <w:r>
            <w:rPr>
              <w:color w:val="auto"/>
            </w:rPr>
            <w:t xml:space="preserve"> </w:t>
          </w:r>
        </w:p>
      </w:tc>
    </w:tr>
  </w:tbl>
  <w:p w14:paraId="191D3331"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F95F" w14:textId="77777777" w:rsidR="000B480F" w:rsidRDefault="000B480F" w:rsidP="00FE3402">
      <w:pPr>
        <w:spacing w:before="0" w:after="0" w:line="240" w:lineRule="auto"/>
      </w:pPr>
      <w:r>
        <w:separator/>
      </w:r>
    </w:p>
    <w:p w14:paraId="4CE28103" w14:textId="77777777" w:rsidR="000B480F" w:rsidRDefault="000B480F"/>
    <w:p w14:paraId="287C1F37" w14:textId="77777777" w:rsidR="000B480F" w:rsidRDefault="000B480F"/>
  </w:footnote>
  <w:footnote w:type="continuationSeparator" w:id="0">
    <w:p w14:paraId="1F830861" w14:textId="77777777" w:rsidR="000B480F" w:rsidRDefault="000B480F" w:rsidP="00FE3402">
      <w:pPr>
        <w:spacing w:before="0" w:after="0" w:line="240" w:lineRule="auto"/>
      </w:pPr>
      <w:r>
        <w:continuationSeparator/>
      </w:r>
    </w:p>
    <w:p w14:paraId="00E53042" w14:textId="77777777" w:rsidR="000B480F" w:rsidRDefault="000B480F"/>
    <w:p w14:paraId="7378FE3C" w14:textId="77777777" w:rsidR="000B480F" w:rsidRDefault="000B4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DF52" w14:textId="77777777" w:rsidR="008708F5" w:rsidRDefault="00155B83">
    <w:r>
      <w:rPr>
        <w:noProof/>
      </w:rPr>
      <mc:AlternateContent>
        <mc:Choice Requires="wps">
          <w:drawing>
            <wp:anchor distT="0" distB="0" distL="0" distR="0" simplePos="0" relativeHeight="251662336" behindDoc="0" locked="0" layoutInCell="1" allowOverlap="1" wp14:anchorId="5CDBBDD3" wp14:editId="750E29BB">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85BDF"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DBBDD3"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3B85BDF"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2F763DA2" w14:textId="77777777" w:rsidR="008708F5" w:rsidRDefault="008708F5"/>
  <w:p w14:paraId="6627389B"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C6C6" w14:textId="77777777" w:rsidR="008708F5" w:rsidRDefault="00AF2DAD">
    <w:r>
      <w:rPr>
        <w:noProof/>
      </w:rPr>
      <mc:AlternateContent>
        <mc:Choice Requires="wps">
          <w:drawing>
            <wp:anchor distT="0" distB="0" distL="114300" distR="114300" simplePos="0" relativeHeight="251658240" behindDoc="0" locked="0" layoutInCell="1" allowOverlap="1" wp14:anchorId="3B63E238" wp14:editId="01EA5EC8">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62A41F27" w14:textId="1348800F"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DA5E95">
                            <w:rPr>
                              <w:rFonts w:cs="Segoe UI"/>
                              <w:b/>
                              <w:bCs/>
                              <w:color w:val="FFFFFF" w:themeColor="background1"/>
                              <w:sz w:val="20"/>
                              <w:szCs w:val="20"/>
                            </w:rPr>
                            <w:t>–</w:t>
                          </w:r>
                          <w:r w:rsidR="00513773">
                            <w:rPr>
                              <w:rFonts w:cs="Segoe UI"/>
                              <w:b/>
                              <w:bCs/>
                              <w:color w:val="FFFFFF" w:themeColor="background1"/>
                              <w:sz w:val="20"/>
                              <w:szCs w:val="20"/>
                            </w:rPr>
                            <w:t xml:space="preserve"> </w:t>
                          </w:r>
                          <w:r w:rsidR="00DA5E95">
                            <w:rPr>
                              <w:rFonts w:cs="Segoe UI"/>
                              <w:b/>
                              <w:bCs/>
                              <w:color w:val="FFFFFF" w:themeColor="background1"/>
                              <w:sz w:val="20"/>
                              <w:szCs w:val="20"/>
                            </w:rPr>
                            <w:t xml:space="preserve">Public </w:t>
                          </w:r>
                          <w:r w:rsidR="00513773">
                            <w:rPr>
                              <w:rFonts w:cs="Segoe UI"/>
                              <w:b/>
                              <w:bCs/>
                              <w:color w:val="FFFFFF" w:themeColor="background1"/>
                              <w:sz w:val="20"/>
                              <w:szCs w:val="20"/>
                            </w:rPr>
                            <w:t xml:space="preserve">Act </w:t>
                          </w:r>
                          <w:r w:rsidR="00DA5E95">
                            <w:rPr>
                              <w:rFonts w:cs="Segoe UI"/>
                              <w:b/>
                              <w:bCs/>
                              <w:color w:val="FFFFFF" w:themeColor="background1"/>
                              <w:sz w:val="20"/>
                              <w:szCs w:val="20"/>
                            </w:rPr>
                            <w:t xml:space="preserve">2023 No </w:t>
                          </w:r>
                          <w:r w:rsidR="00F46F9B">
                            <w:rPr>
                              <w:rFonts w:cs="Segoe UI"/>
                              <w:b/>
                              <w:bCs/>
                              <w:color w:val="FFFFFF" w:themeColor="background1"/>
                              <w:sz w:val="20"/>
                              <w:szCs w:val="20"/>
                            </w:rPr>
                            <w:t>5</w:t>
                          </w:r>
                          <w:r w:rsidR="008E22F1">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8E22F1">
                            <w:rPr>
                              <w:rFonts w:cs="Segoe UI"/>
                              <w:b/>
                              <w:bCs/>
                              <w:color w:val="FFFFFF" w:themeColor="background1"/>
                              <w:sz w:val="20"/>
                              <w:szCs w:val="20"/>
                            </w:rPr>
                            <w:t xml:space="preserve"> </w:t>
                          </w:r>
                          <w:r w:rsidR="00F46F9B">
                            <w:rPr>
                              <w:rFonts w:cs="Segoe UI"/>
                              <w:b/>
                              <w:bCs/>
                              <w:color w:val="FFFFFF" w:themeColor="background1"/>
                              <w:sz w:val="20"/>
                              <w:szCs w:val="20"/>
                            </w:rPr>
                            <w:t>3</w:t>
                          </w:r>
                          <w:r w:rsidR="00DA5E95">
                            <w:rPr>
                              <w:rFonts w:cs="Segoe UI"/>
                              <w:b/>
                              <w:bCs/>
                              <w:color w:val="FFFFFF" w:themeColor="background1"/>
                              <w:sz w:val="20"/>
                              <w:szCs w:val="20"/>
                            </w:rPr>
                            <w:t xml:space="preserve"> April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3E238"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62A41F27" w14:textId="1348800F"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DA5E95">
                      <w:rPr>
                        <w:rFonts w:cs="Segoe UI"/>
                        <w:b/>
                        <w:bCs/>
                        <w:color w:val="FFFFFF" w:themeColor="background1"/>
                        <w:sz w:val="20"/>
                        <w:szCs w:val="20"/>
                      </w:rPr>
                      <w:t>–</w:t>
                    </w:r>
                    <w:r w:rsidR="00513773">
                      <w:rPr>
                        <w:rFonts w:cs="Segoe UI"/>
                        <w:b/>
                        <w:bCs/>
                        <w:color w:val="FFFFFF" w:themeColor="background1"/>
                        <w:sz w:val="20"/>
                        <w:szCs w:val="20"/>
                      </w:rPr>
                      <w:t xml:space="preserve"> </w:t>
                    </w:r>
                    <w:r w:rsidR="00DA5E95">
                      <w:rPr>
                        <w:rFonts w:cs="Segoe UI"/>
                        <w:b/>
                        <w:bCs/>
                        <w:color w:val="FFFFFF" w:themeColor="background1"/>
                        <w:sz w:val="20"/>
                        <w:szCs w:val="20"/>
                      </w:rPr>
                      <w:t xml:space="preserve">Public </w:t>
                    </w:r>
                    <w:r w:rsidR="00513773">
                      <w:rPr>
                        <w:rFonts w:cs="Segoe UI"/>
                        <w:b/>
                        <w:bCs/>
                        <w:color w:val="FFFFFF" w:themeColor="background1"/>
                        <w:sz w:val="20"/>
                        <w:szCs w:val="20"/>
                      </w:rPr>
                      <w:t xml:space="preserve">Act </w:t>
                    </w:r>
                    <w:r w:rsidR="00DA5E95">
                      <w:rPr>
                        <w:rFonts w:cs="Segoe UI"/>
                        <w:b/>
                        <w:bCs/>
                        <w:color w:val="FFFFFF" w:themeColor="background1"/>
                        <w:sz w:val="20"/>
                        <w:szCs w:val="20"/>
                      </w:rPr>
                      <w:t xml:space="preserve">2023 No </w:t>
                    </w:r>
                    <w:r w:rsidR="00F46F9B">
                      <w:rPr>
                        <w:rFonts w:cs="Segoe UI"/>
                        <w:b/>
                        <w:bCs/>
                        <w:color w:val="FFFFFF" w:themeColor="background1"/>
                        <w:sz w:val="20"/>
                        <w:szCs w:val="20"/>
                      </w:rPr>
                      <w:t>5</w:t>
                    </w:r>
                    <w:r w:rsidR="008E22F1">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8E22F1">
                      <w:rPr>
                        <w:rFonts w:cs="Segoe UI"/>
                        <w:b/>
                        <w:bCs/>
                        <w:color w:val="FFFFFF" w:themeColor="background1"/>
                        <w:sz w:val="20"/>
                        <w:szCs w:val="20"/>
                      </w:rPr>
                      <w:t xml:space="preserve"> </w:t>
                    </w:r>
                    <w:r w:rsidR="00F46F9B">
                      <w:rPr>
                        <w:rFonts w:cs="Segoe UI"/>
                        <w:b/>
                        <w:bCs/>
                        <w:color w:val="FFFFFF" w:themeColor="background1"/>
                        <w:sz w:val="20"/>
                        <w:szCs w:val="20"/>
                      </w:rPr>
                      <w:t>3</w:t>
                    </w:r>
                    <w:r w:rsidR="00DA5E95">
                      <w:rPr>
                        <w:rFonts w:cs="Segoe UI"/>
                        <w:b/>
                        <w:bCs/>
                        <w:color w:val="FFFFFF" w:themeColor="background1"/>
                        <w:sz w:val="20"/>
                        <w:szCs w:val="20"/>
                      </w:rPr>
                      <w:t xml:space="preserve"> April 2023</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1742C95E" wp14:editId="7833E327">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799E555D" wp14:editId="4A3DB6EA">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FEA5"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0292A28E" w14:textId="77777777" w:rsidTr="00EA3AD2">
      <w:tc>
        <w:tcPr>
          <w:tcW w:w="4508" w:type="dxa"/>
        </w:tcPr>
        <w:p w14:paraId="4281AB49"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3C9EF8AA" wp14:editId="39B65A70">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0394E7F0" w14:textId="77777777" w:rsidR="008708F5" w:rsidRPr="009679B1" w:rsidRDefault="008708F5" w:rsidP="009679B1">
          <w:pPr>
            <w:tabs>
              <w:tab w:val="center" w:pos="4513"/>
              <w:tab w:val="right" w:pos="9026"/>
            </w:tabs>
            <w:spacing w:before="0" w:line="240" w:lineRule="auto"/>
          </w:pPr>
        </w:p>
      </w:tc>
    </w:tr>
  </w:tbl>
  <w:p w14:paraId="4E72D62F"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2C0B64"/>
    <w:multiLevelType w:val="hybridMultilevel"/>
    <w:tmpl w:val="7B505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6"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8" w15:restartNumberingAfterBreak="0">
    <w:nsid w:val="4AB65F1A"/>
    <w:multiLevelType w:val="multilevel"/>
    <w:tmpl w:val="82D49762"/>
    <w:lvl w:ilvl="0">
      <w:start w:val="1"/>
      <w:numFmt w:val="bullet"/>
      <w:lvlText w:val=""/>
      <w:lvlJc w:val="left"/>
      <w:pPr>
        <w:ind w:left="360" w:hanging="360"/>
      </w:pPr>
      <w:rPr>
        <w:rFonts w:ascii="Wingdings" w:hAnsi="Wingdings" w:hint="default"/>
        <w:color w:val="BC5727"/>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9"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3"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2016835543">
    <w:abstractNumId w:val="15"/>
  </w:num>
  <w:num w:numId="2" w16cid:durableId="1285312851">
    <w:abstractNumId w:val="0"/>
  </w:num>
  <w:num w:numId="3" w16cid:durableId="1207763305">
    <w:abstractNumId w:val="5"/>
  </w:num>
  <w:num w:numId="4" w16cid:durableId="231358011">
    <w:abstractNumId w:val="9"/>
  </w:num>
  <w:num w:numId="5" w16cid:durableId="16084703">
    <w:abstractNumId w:val="6"/>
  </w:num>
  <w:num w:numId="6" w16cid:durableId="119839816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128535">
    <w:abstractNumId w:val="16"/>
  </w:num>
  <w:num w:numId="8" w16cid:durableId="1100224663">
    <w:abstractNumId w:val="12"/>
  </w:num>
  <w:num w:numId="9" w16cid:durableId="495734097">
    <w:abstractNumId w:val="7"/>
  </w:num>
  <w:num w:numId="10" w16cid:durableId="337004932">
    <w:abstractNumId w:val="3"/>
  </w:num>
  <w:num w:numId="11" w16cid:durableId="1770078358">
    <w:abstractNumId w:val="4"/>
  </w:num>
  <w:num w:numId="12" w16cid:durableId="938097174">
    <w:abstractNumId w:val="13"/>
  </w:num>
  <w:num w:numId="13" w16cid:durableId="1367757262">
    <w:abstractNumId w:val="14"/>
  </w:num>
  <w:num w:numId="14" w16cid:durableId="1638993239">
    <w:abstractNumId w:val="11"/>
  </w:num>
  <w:num w:numId="15" w16cid:durableId="1655987235">
    <w:abstractNumId w:val="1"/>
  </w:num>
  <w:num w:numId="16" w16cid:durableId="1411002907">
    <w:abstractNumId w:val="10"/>
  </w:num>
  <w:num w:numId="17" w16cid:durableId="520362278">
    <w:abstractNumId w:val="2"/>
  </w:num>
  <w:num w:numId="18" w16cid:durableId="4437696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02"/>
    <w:rsid w:val="00000D37"/>
    <w:rsid w:val="0000157D"/>
    <w:rsid w:val="00001C78"/>
    <w:rsid w:val="00002D28"/>
    <w:rsid w:val="000040B7"/>
    <w:rsid w:val="0000414D"/>
    <w:rsid w:val="00005ABA"/>
    <w:rsid w:val="00011F57"/>
    <w:rsid w:val="00012F98"/>
    <w:rsid w:val="0001456A"/>
    <w:rsid w:val="00015A76"/>
    <w:rsid w:val="000207EB"/>
    <w:rsid w:val="00020C38"/>
    <w:rsid w:val="00023388"/>
    <w:rsid w:val="00024EC2"/>
    <w:rsid w:val="00025DBE"/>
    <w:rsid w:val="00026D97"/>
    <w:rsid w:val="00030978"/>
    <w:rsid w:val="000314D2"/>
    <w:rsid w:val="000316DD"/>
    <w:rsid w:val="00034795"/>
    <w:rsid w:val="00036AEE"/>
    <w:rsid w:val="00041AF2"/>
    <w:rsid w:val="0004264E"/>
    <w:rsid w:val="0004314A"/>
    <w:rsid w:val="0004474E"/>
    <w:rsid w:val="0004518D"/>
    <w:rsid w:val="00046253"/>
    <w:rsid w:val="00046DFD"/>
    <w:rsid w:val="0004779F"/>
    <w:rsid w:val="0004790D"/>
    <w:rsid w:val="00051332"/>
    <w:rsid w:val="000545A9"/>
    <w:rsid w:val="000575DF"/>
    <w:rsid w:val="00060779"/>
    <w:rsid w:val="0006302E"/>
    <w:rsid w:val="000654C4"/>
    <w:rsid w:val="000663C1"/>
    <w:rsid w:val="00066DAC"/>
    <w:rsid w:val="0007000D"/>
    <w:rsid w:val="00071A16"/>
    <w:rsid w:val="00075767"/>
    <w:rsid w:val="000770B9"/>
    <w:rsid w:val="0007739D"/>
    <w:rsid w:val="00081E2A"/>
    <w:rsid w:val="0008201D"/>
    <w:rsid w:val="00083261"/>
    <w:rsid w:val="000834F6"/>
    <w:rsid w:val="000849CA"/>
    <w:rsid w:val="00084D9E"/>
    <w:rsid w:val="0008506A"/>
    <w:rsid w:val="0008665F"/>
    <w:rsid w:val="00086DC7"/>
    <w:rsid w:val="00090BA1"/>
    <w:rsid w:val="00092548"/>
    <w:rsid w:val="00092E9A"/>
    <w:rsid w:val="0009433B"/>
    <w:rsid w:val="00096577"/>
    <w:rsid w:val="0009679E"/>
    <w:rsid w:val="000A0880"/>
    <w:rsid w:val="000A2764"/>
    <w:rsid w:val="000A3E69"/>
    <w:rsid w:val="000A5C64"/>
    <w:rsid w:val="000B0147"/>
    <w:rsid w:val="000B0B11"/>
    <w:rsid w:val="000B1C2F"/>
    <w:rsid w:val="000B480F"/>
    <w:rsid w:val="000B4FCE"/>
    <w:rsid w:val="000C1ED6"/>
    <w:rsid w:val="000C3A61"/>
    <w:rsid w:val="000C5042"/>
    <w:rsid w:val="000C71F5"/>
    <w:rsid w:val="000D208C"/>
    <w:rsid w:val="000D2C8F"/>
    <w:rsid w:val="000D4990"/>
    <w:rsid w:val="000D561A"/>
    <w:rsid w:val="000D568C"/>
    <w:rsid w:val="000D5D50"/>
    <w:rsid w:val="000D6018"/>
    <w:rsid w:val="000D64E4"/>
    <w:rsid w:val="000D68CC"/>
    <w:rsid w:val="000D7A49"/>
    <w:rsid w:val="000E1426"/>
    <w:rsid w:val="000E1473"/>
    <w:rsid w:val="000E2966"/>
    <w:rsid w:val="000E37BC"/>
    <w:rsid w:val="000E470E"/>
    <w:rsid w:val="000E68F5"/>
    <w:rsid w:val="000F329D"/>
    <w:rsid w:val="000F3562"/>
    <w:rsid w:val="000F4D25"/>
    <w:rsid w:val="001035C3"/>
    <w:rsid w:val="00111307"/>
    <w:rsid w:val="00111B54"/>
    <w:rsid w:val="00113467"/>
    <w:rsid w:val="00113794"/>
    <w:rsid w:val="00113C91"/>
    <w:rsid w:val="00113DAA"/>
    <w:rsid w:val="001145FE"/>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33A52"/>
    <w:rsid w:val="00136927"/>
    <w:rsid w:val="00140ADC"/>
    <w:rsid w:val="00140AF9"/>
    <w:rsid w:val="00141473"/>
    <w:rsid w:val="00142B10"/>
    <w:rsid w:val="00143233"/>
    <w:rsid w:val="00143C53"/>
    <w:rsid w:val="001502E1"/>
    <w:rsid w:val="0015083B"/>
    <w:rsid w:val="00150CEB"/>
    <w:rsid w:val="00152000"/>
    <w:rsid w:val="00152690"/>
    <w:rsid w:val="00153267"/>
    <w:rsid w:val="00155708"/>
    <w:rsid w:val="00155B83"/>
    <w:rsid w:val="001617E9"/>
    <w:rsid w:val="001623C3"/>
    <w:rsid w:val="00162DAF"/>
    <w:rsid w:val="0016577A"/>
    <w:rsid w:val="00171E77"/>
    <w:rsid w:val="00172C77"/>
    <w:rsid w:val="001751D0"/>
    <w:rsid w:val="00175D7F"/>
    <w:rsid w:val="0017794B"/>
    <w:rsid w:val="00182BE9"/>
    <w:rsid w:val="001835BA"/>
    <w:rsid w:val="00184C0A"/>
    <w:rsid w:val="0018654A"/>
    <w:rsid w:val="00190282"/>
    <w:rsid w:val="0019157E"/>
    <w:rsid w:val="001924C1"/>
    <w:rsid w:val="00192918"/>
    <w:rsid w:val="00196B91"/>
    <w:rsid w:val="00197F2D"/>
    <w:rsid w:val="001A1FE0"/>
    <w:rsid w:val="001A201E"/>
    <w:rsid w:val="001A3FBE"/>
    <w:rsid w:val="001A7C8A"/>
    <w:rsid w:val="001B0E71"/>
    <w:rsid w:val="001B1271"/>
    <w:rsid w:val="001B1747"/>
    <w:rsid w:val="001B1FF0"/>
    <w:rsid w:val="001B4AF9"/>
    <w:rsid w:val="001B66A6"/>
    <w:rsid w:val="001B71D2"/>
    <w:rsid w:val="001B75BC"/>
    <w:rsid w:val="001B76B1"/>
    <w:rsid w:val="001C1031"/>
    <w:rsid w:val="001C17E7"/>
    <w:rsid w:val="001C1E2F"/>
    <w:rsid w:val="001C255F"/>
    <w:rsid w:val="001C4B0B"/>
    <w:rsid w:val="001C5B02"/>
    <w:rsid w:val="001D10FC"/>
    <w:rsid w:val="001D1E6C"/>
    <w:rsid w:val="001D3007"/>
    <w:rsid w:val="001D3DC1"/>
    <w:rsid w:val="001D60DF"/>
    <w:rsid w:val="001D7765"/>
    <w:rsid w:val="001E11FF"/>
    <w:rsid w:val="001E2507"/>
    <w:rsid w:val="001E36D6"/>
    <w:rsid w:val="001E4E00"/>
    <w:rsid w:val="001E5942"/>
    <w:rsid w:val="001E6666"/>
    <w:rsid w:val="001E6768"/>
    <w:rsid w:val="001E6B2E"/>
    <w:rsid w:val="001E6B4F"/>
    <w:rsid w:val="001E7216"/>
    <w:rsid w:val="001E7237"/>
    <w:rsid w:val="001E7ACC"/>
    <w:rsid w:val="001F51AF"/>
    <w:rsid w:val="001F7AB0"/>
    <w:rsid w:val="0020027D"/>
    <w:rsid w:val="00201895"/>
    <w:rsid w:val="00210B78"/>
    <w:rsid w:val="00211401"/>
    <w:rsid w:val="00211DB8"/>
    <w:rsid w:val="00213828"/>
    <w:rsid w:val="002169D2"/>
    <w:rsid w:val="002235CA"/>
    <w:rsid w:val="002239AF"/>
    <w:rsid w:val="00224479"/>
    <w:rsid w:val="00225EA0"/>
    <w:rsid w:val="002276CA"/>
    <w:rsid w:val="00227987"/>
    <w:rsid w:val="0023108E"/>
    <w:rsid w:val="00231528"/>
    <w:rsid w:val="00232E1F"/>
    <w:rsid w:val="0023329E"/>
    <w:rsid w:val="00234CCE"/>
    <w:rsid w:val="0023610C"/>
    <w:rsid w:val="002368DE"/>
    <w:rsid w:val="00237079"/>
    <w:rsid w:val="00240073"/>
    <w:rsid w:val="00240A2B"/>
    <w:rsid w:val="00240DEA"/>
    <w:rsid w:val="00243A10"/>
    <w:rsid w:val="00244539"/>
    <w:rsid w:val="002447D1"/>
    <w:rsid w:val="002448FE"/>
    <w:rsid w:val="00244DE0"/>
    <w:rsid w:val="0024725F"/>
    <w:rsid w:val="00251746"/>
    <w:rsid w:val="00251EB6"/>
    <w:rsid w:val="002546C5"/>
    <w:rsid w:val="0025483B"/>
    <w:rsid w:val="0025770D"/>
    <w:rsid w:val="00257FD4"/>
    <w:rsid w:val="002643BD"/>
    <w:rsid w:val="00266C85"/>
    <w:rsid w:val="002703D4"/>
    <w:rsid w:val="0027157F"/>
    <w:rsid w:val="00271C36"/>
    <w:rsid w:val="002726B2"/>
    <w:rsid w:val="0027493B"/>
    <w:rsid w:val="00275CF0"/>
    <w:rsid w:val="00275ECA"/>
    <w:rsid w:val="00276774"/>
    <w:rsid w:val="00280312"/>
    <w:rsid w:val="00281D43"/>
    <w:rsid w:val="00282ECC"/>
    <w:rsid w:val="0028301D"/>
    <w:rsid w:val="002851CB"/>
    <w:rsid w:val="00285C72"/>
    <w:rsid w:val="002906B3"/>
    <w:rsid w:val="002907CA"/>
    <w:rsid w:val="00293E72"/>
    <w:rsid w:val="00294382"/>
    <w:rsid w:val="00294D22"/>
    <w:rsid w:val="0029511C"/>
    <w:rsid w:val="0029696F"/>
    <w:rsid w:val="002A03CE"/>
    <w:rsid w:val="002A20FC"/>
    <w:rsid w:val="002A2E62"/>
    <w:rsid w:val="002A38E7"/>
    <w:rsid w:val="002A6C4F"/>
    <w:rsid w:val="002B04FF"/>
    <w:rsid w:val="002B0FC8"/>
    <w:rsid w:val="002B2BBD"/>
    <w:rsid w:val="002B4BF5"/>
    <w:rsid w:val="002B5363"/>
    <w:rsid w:val="002B6737"/>
    <w:rsid w:val="002C00FC"/>
    <w:rsid w:val="002C26A8"/>
    <w:rsid w:val="002C32DA"/>
    <w:rsid w:val="002C3307"/>
    <w:rsid w:val="002C41C0"/>
    <w:rsid w:val="002C5FC7"/>
    <w:rsid w:val="002C6695"/>
    <w:rsid w:val="002C676A"/>
    <w:rsid w:val="002C7752"/>
    <w:rsid w:val="002D7553"/>
    <w:rsid w:val="002E0EF7"/>
    <w:rsid w:val="002E23D0"/>
    <w:rsid w:val="002E2A63"/>
    <w:rsid w:val="002E2C9A"/>
    <w:rsid w:val="002E4C59"/>
    <w:rsid w:val="002E5DA1"/>
    <w:rsid w:val="002E5F80"/>
    <w:rsid w:val="002E78EA"/>
    <w:rsid w:val="002F1C38"/>
    <w:rsid w:val="002F3967"/>
    <w:rsid w:val="002F451C"/>
    <w:rsid w:val="002F4BB6"/>
    <w:rsid w:val="002F5345"/>
    <w:rsid w:val="002F5613"/>
    <w:rsid w:val="002F56C6"/>
    <w:rsid w:val="002F5913"/>
    <w:rsid w:val="002F643A"/>
    <w:rsid w:val="00301369"/>
    <w:rsid w:val="003046DE"/>
    <w:rsid w:val="00304B27"/>
    <w:rsid w:val="003074DE"/>
    <w:rsid w:val="00307939"/>
    <w:rsid w:val="00312E07"/>
    <w:rsid w:val="00313168"/>
    <w:rsid w:val="0031354F"/>
    <w:rsid w:val="00315938"/>
    <w:rsid w:val="00316EEA"/>
    <w:rsid w:val="0032113E"/>
    <w:rsid w:val="00321643"/>
    <w:rsid w:val="00322600"/>
    <w:rsid w:val="003267D8"/>
    <w:rsid w:val="00326F7B"/>
    <w:rsid w:val="00327CFE"/>
    <w:rsid w:val="003302B5"/>
    <w:rsid w:val="00330F78"/>
    <w:rsid w:val="003321AF"/>
    <w:rsid w:val="00333351"/>
    <w:rsid w:val="00333D58"/>
    <w:rsid w:val="003344C2"/>
    <w:rsid w:val="00335993"/>
    <w:rsid w:val="00340FFA"/>
    <w:rsid w:val="00341BAC"/>
    <w:rsid w:val="00343F98"/>
    <w:rsid w:val="00345936"/>
    <w:rsid w:val="00345C7E"/>
    <w:rsid w:val="0035081C"/>
    <w:rsid w:val="003534F3"/>
    <w:rsid w:val="00354E45"/>
    <w:rsid w:val="0035570A"/>
    <w:rsid w:val="00356624"/>
    <w:rsid w:val="003567A8"/>
    <w:rsid w:val="00357C2B"/>
    <w:rsid w:val="00360873"/>
    <w:rsid w:val="00361102"/>
    <w:rsid w:val="0036345B"/>
    <w:rsid w:val="0036352B"/>
    <w:rsid w:val="0036378E"/>
    <w:rsid w:val="00363D00"/>
    <w:rsid w:val="003647E6"/>
    <w:rsid w:val="00364B97"/>
    <w:rsid w:val="00365CE9"/>
    <w:rsid w:val="00365D58"/>
    <w:rsid w:val="003662FA"/>
    <w:rsid w:val="00367800"/>
    <w:rsid w:val="00371267"/>
    <w:rsid w:val="003717B7"/>
    <w:rsid w:val="003718CE"/>
    <w:rsid w:val="00371936"/>
    <w:rsid w:val="00371BCA"/>
    <w:rsid w:val="00371E89"/>
    <w:rsid w:val="00374AFC"/>
    <w:rsid w:val="00380345"/>
    <w:rsid w:val="003832D7"/>
    <w:rsid w:val="0038450F"/>
    <w:rsid w:val="00390367"/>
    <w:rsid w:val="00390D4A"/>
    <w:rsid w:val="0039158D"/>
    <w:rsid w:val="003926A6"/>
    <w:rsid w:val="00395307"/>
    <w:rsid w:val="00395B47"/>
    <w:rsid w:val="00397D3D"/>
    <w:rsid w:val="003A010C"/>
    <w:rsid w:val="003A06E6"/>
    <w:rsid w:val="003A1180"/>
    <w:rsid w:val="003A3CB7"/>
    <w:rsid w:val="003A7C66"/>
    <w:rsid w:val="003B26DA"/>
    <w:rsid w:val="003B2807"/>
    <w:rsid w:val="003B30F4"/>
    <w:rsid w:val="003B5C0C"/>
    <w:rsid w:val="003C30F1"/>
    <w:rsid w:val="003C38EB"/>
    <w:rsid w:val="003C472B"/>
    <w:rsid w:val="003C5044"/>
    <w:rsid w:val="003D0663"/>
    <w:rsid w:val="003D13BA"/>
    <w:rsid w:val="003D5EFA"/>
    <w:rsid w:val="003D7549"/>
    <w:rsid w:val="003E08E5"/>
    <w:rsid w:val="003E230D"/>
    <w:rsid w:val="003E2A3A"/>
    <w:rsid w:val="003E45BA"/>
    <w:rsid w:val="003E45C6"/>
    <w:rsid w:val="003F2662"/>
    <w:rsid w:val="003F5588"/>
    <w:rsid w:val="003F6724"/>
    <w:rsid w:val="003F71B7"/>
    <w:rsid w:val="00402896"/>
    <w:rsid w:val="00402A08"/>
    <w:rsid w:val="004061F1"/>
    <w:rsid w:val="00406596"/>
    <w:rsid w:val="0040763C"/>
    <w:rsid w:val="00407DBC"/>
    <w:rsid w:val="00410A62"/>
    <w:rsid w:val="00415268"/>
    <w:rsid w:val="00415636"/>
    <w:rsid w:val="0041570A"/>
    <w:rsid w:val="0041575B"/>
    <w:rsid w:val="00420E81"/>
    <w:rsid w:val="00421B97"/>
    <w:rsid w:val="0042221E"/>
    <w:rsid w:val="004223D5"/>
    <w:rsid w:val="00422661"/>
    <w:rsid w:val="004230CD"/>
    <w:rsid w:val="004271A5"/>
    <w:rsid w:val="0042790E"/>
    <w:rsid w:val="00427F51"/>
    <w:rsid w:val="0043072B"/>
    <w:rsid w:val="00432106"/>
    <w:rsid w:val="00434DF6"/>
    <w:rsid w:val="004379F4"/>
    <w:rsid w:val="004406F7"/>
    <w:rsid w:val="00442725"/>
    <w:rsid w:val="00450B5F"/>
    <w:rsid w:val="0045281F"/>
    <w:rsid w:val="00453EDF"/>
    <w:rsid w:val="00456238"/>
    <w:rsid w:val="004567A4"/>
    <w:rsid w:val="00456F1F"/>
    <w:rsid w:val="00460B4A"/>
    <w:rsid w:val="0046163F"/>
    <w:rsid w:val="00462F63"/>
    <w:rsid w:val="004636B1"/>
    <w:rsid w:val="00465790"/>
    <w:rsid w:val="004674E1"/>
    <w:rsid w:val="00471D26"/>
    <w:rsid w:val="0047472A"/>
    <w:rsid w:val="004747DD"/>
    <w:rsid w:val="004753B5"/>
    <w:rsid w:val="004761EF"/>
    <w:rsid w:val="0047626F"/>
    <w:rsid w:val="00483C20"/>
    <w:rsid w:val="004841F6"/>
    <w:rsid w:val="00485575"/>
    <w:rsid w:val="00485A67"/>
    <w:rsid w:val="004873F0"/>
    <w:rsid w:val="004905B2"/>
    <w:rsid w:val="0049296F"/>
    <w:rsid w:val="00492D1D"/>
    <w:rsid w:val="00492FF6"/>
    <w:rsid w:val="00496437"/>
    <w:rsid w:val="00497C1D"/>
    <w:rsid w:val="004A06B9"/>
    <w:rsid w:val="004A1A2E"/>
    <w:rsid w:val="004A27B6"/>
    <w:rsid w:val="004A447C"/>
    <w:rsid w:val="004A67DC"/>
    <w:rsid w:val="004A7563"/>
    <w:rsid w:val="004A7AE1"/>
    <w:rsid w:val="004B07F7"/>
    <w:rsid w:val="004B1242"/>
    <w:rsid w:val="004B1923"/>
    <w:rsid w:val="004B1FC8"/>
    <w:rsid w:val="004B212C"/>
    <w:rsid w:val="004B2B75"/>
    <w:rsid w:val="004B57BE"/>
    <w:rsid w:val="004B5A41"/>
    <w:rsid w:val="004B74D7"/>
    <w:rsid w:val="004C007A"/>
    <w:rsid w:val="004C0CCD"/>
    <w:rsid w:val="004C0DE6"/>
    <w:rsid w:val="004C1A7C"/>
    <w:rsid w:val="004C4475"/>
    <w:rsid w:val="004C5CFE"/>
    <w:rsid w:val="004C686F"/>
    <w:rsid w:val="004C6DBF"/>
    <w:rsid w:val="004D096A"/>
    <w:rsid w:val="004D0BC7"/>
    <w:rsid w:val="004D1548"/>
    <w:rsid w:val="004D47B7"/>
    <w:rsid w:val="004D4E9D"/>
    <w:rsid w:val="004D6B50"/>
    <w:rsid w:val="004D6C5B"/>
    <w:rsid w:val="004D7DB2"/>
    <w:rsid w:val="004E1D4E"/>
    <w:rsid w:val="004E1F25"/>
    <w:rsid w:val="004E253E"/>
    <w:rsid w:val="004E2D01"/>
    <w:rsid w:val="004E36C2"/>
    <w:rsid w:val="004E5B2C"/>
    <w:rsid w:val="004E5C9E"/>
    <w:rsid w:val="004E624F"/>
    <w:rsid w:val="004F119C"/>
    <w:rsid w:val="004F26C5"/>
    <w:rsid w:val="004F2C8C"/>
    <w:rsid w:val="004F3B21"/>
    <w:rsid w:val="004F4E9D"/>
    <w:rsid w:val="004F6EB9"/>
    <w:rsid w:val="00502D51"/>
    <w:rsid w:val="00504A1B"/>
    <w:rsid w:val="00504A53"/>
    <w:rsid w:val="00504E09"/>
    <w:rsid w:val="0050752A"/>
    <w:rsid w:val="00507574"/>
    <w:rsid w:val="00512E4F"/>
    <w:rsid w:val="005136FB"/>
    <w:rsid w:val="00513773"/>
    <w:rsid w:val="00515339"/>
    <w:rsid w:val="00515B1B"/>
    <w:rsid w:val="00515E84"/>
    <w:rsid w:val="00515E8B"/>
    <w:rsid w:val="00516E57"/>
    <w:rsid w:val="00520452"/>
    <w:rsid w:val="00521CD6"/>
    <w:rsid w:val="00523F3D"/>
    <w:rsid w:val="0052620C"/>
    <w:rsid w:val="0053084C"/>
    <w:rsid w:val="00530FE2"/>
    <w:rsid w:val="00531142"/>
    <w:rsid w:val="005321FD"/>
    <w:rsid w:val="00533854"/>
    <w:rsid w:val="00540150"/>
    <w:rsid w:val="00541AA1"/>
    <w:rsid w:val="00542085"/>
    <w:rsid w:val="00542327"/>
    <w:rsid w:val="00542A82"/>
    <w:rsid w:val="005533B7"/>
    <w:rsid w:val="00553797"/>
    <w:rsid w:val="005538CF"/>
    <w:rsid w:val="005568BA"/>
    <w:rsid w:val="00556B71"/>
    <w:rsid w:val="00557223"/>
    <w:rsid w:val="00557387"/>
    <w:rsid w:val="005602FC"/>
    <w:rsid w:val="0056289A"/>
    <w:rsid w:val="00563188"/>
    <w:rsid w:val="00566CB8"/>
    <w:rsid w:val="0057160C"/>
    <w:rsid w:val="00572C3B"/>
    <w:rsid w:val="005738FC"/>
    <w:rsid w:val="005744C8"/>
    <w:rsid w:val="00575F77"/>
    <w:rsid w:val="005766E4"/>
    <w:rsid w:val="005807D3"/>
    <w:rsid w:val="0058204D"/>
    <w:rsid w:val="00582200"/>
    <w:rsid w:val="00583AF6"/>
    <w:rsid w:val="00585B1C"/>
    <w:rsid w:val="00587C45"/>
    <w:rsid w:val="00590499"/>
    <w:rsid w:val="0059117C"/>
    <w:rsid w:val="005915CC"/>
    <w:rsid w:val="005937E4"/>
    <w:rsid w:val="00594B20"/>
    <w:rsid w:val="0059530D"/>
    <w:rsid w:val="00595813"/>
    <w:rsid w:val="00595F77"/>
    <w:rsid w:val="005A0978"/>
    <w:rsid w:val="005A16D0"/>
    <w:rsid w:val="005A17A6"/>
    <w:rsid w:val="005A569D"/>
    <w:rsid w:val="005B16C3"/>
    <w:rsid w:val="005B2933"/>
    <w:rsid w:val="005B2CD8"/>
    <w:rsid w:val="005B633B"/>
    <w:rsid w:val="005C0A09"/>
    <w:rsid w:val="005C18B0"/>
    <w:rsid w:val="005C2595"/>
    <w:rsid w:val="005C4150"/>
    <w:rsid w:val="005C440B"/>
    <w:rsid w:val="005C46FB"/>
    <w:rsid w:val="005C54CF"/>
    <w:rsid w:val="005C6333"/>
    <w:rsid w:val="005C6409"/>
    <w:rsid w:val="005D7C22"/>
    <w:rsid w:val="005E059A"/>
    <w:rsid w:val="005E10E5"/>
    <w:rsid w:val="005E1151"/>
    <w:rsid w:val="005E1D01"/>
    <w:rsid w:val="005E4818"/>
    <w:rsid w:val="005E6156"/>
    <w:rsid w:val="005E6AF2"/>
    <w:rsid w:val="005F0474"/>
    <w:rsid w:val="005F19AD"/>
    <w:rsid w:val="005F1DB2"/>
    <w:rsid w:val="005F38DD"/>
    <w:rsid w:val="005F54AF"/>
    <w:rsid w:val="005F6612"/>
    <w:rsid w:val="005F73C9"/>
    <w:rsid w:val="00604277"/>
    <w:rsid w:val="006051A4"/>
    <w:rsid w:val="00607AC1"/>
    <w:rsid w:val="006150ED"/>
    <w:rsid w:val="00616042"/>
    <w:rsid w:val="00616951"/>
    <w:rsid w:val="00617070"/>
    <w:rsid w:val="00623070"/>
    <w:rsid w:val="006235A9"/>
    <w:rsid w:val="00627BDB"/>
    <w:rsid w:val="0063273C"/>
    <w:rsid w:val="00637746"/>
    <w:rsid w:val="00640A5C"/>
    <w:rsid w:val="00645C42"/>
    <w:rsid w:val="006463C1"/>
    <w:rsid w:val="00652FBF"/>
    <w:rsid w:val="0065335A"/>
    <w:rsid w:val="00653998"/>
    <w:rsid w:val="00654F5B"/>
    <w:rsid w:val="00660476"/>
    <w:rsid w:val="00661060"/>
    <w:rsid w:val="006611E0"/>
    <w:rsid w:val="006612E9"/>
    <w:rsid w:val="0066458D"/>
    <w:rsid w:val="00665250"/>
    <w:rsid w:val="006660D9"/>
    <w:rsid w:val="00671029"/>
    <w:rsid w:val="00671520"/>
    <w:rsid w:val="006749F5"/>
    <w:rsid w:val="00674EA5"/>
    <w:rsid w:val="006763B7"/>
    <w:rsid w:val="00677880"/>
    <w:rsid w:val="00683CFF"/>
    <w:rsid w:val="00683D7F"/>
    <w:rsid w:val="00683EE6"/>
    <w:rsid w:val="00684894"/>
    <w:rsid w:val="00685CEC"/>
    <w:rsid w:val="00686641"/>
    <w:rsid w:val="00686DE9"/>
    <w:rsid w:val="006871CC"/>
    <w:rsid w:val="00687384"/>
    <w:rsid w:val="00691FE7"/>
    <w:rsid w:val="006952E4"/>
    <w:rsid w:val="00696481"/>
    <w:rsid w:val="00696D53"/>
    <w:rsid w:val="006973B8"/>
    <w:rsid w:val="006A0F07"/>
    <w:rsid w:val="006A4C14"/>
    <w:rsid w:val="006A5FD5"/>
    <w:rsid w:val="006A6461"/>
    <w:rsid w:val="006A6E99"/>
    <w:rsid w:val="006A79DB"/>
    <w:rsid w:val="006B115E"/>
    <w:rsid w:val="006B3EE5"/>
    <w:rsid w:val="006B4F20"/>
    <w:rsid w:val="006B4FC5"/>
    <w:rsid w:val="006C085B"/>
    <w:rsid w:val="006C2308"/>
    <w:rsid w:val="006C263E"/>
    <w:rsid w:val="006C27FF"/>
    <w:rsid w:val="006C357F"/>
    <w:rsid w:val="006C5D86"/>
    <w:rsid w:val="006C7EB0"/>
    <w:rsid w:val="006D10D6"/>
    <w:rsid w:val="006D782F"/>
    <w:rsid w:val="006E0DF5"/>
    <w:rsid w:val="006E2EF5"/>
    <w:rsid w:val="006E6FF2"/>
    <w:rsid w:val="006F0DA3"/>
    <w:rsid w:val="006F1ACB"/>
    <w:rsid w:val="006F2E52"/>
    <w:rsid w:val="006F62B0"/>
    <w:rsid w:val="00700591"/>
    <w:rsid w:val="0070098C"/>
    <w:rsid w:val="00700E2F"/>
    <w:rsid w:val="0070714A"/>
    <w:rsid w:val="00710166"/>
    <w:rsid w:val="007125B0"/>
    <w:rsid w:val="00720C4D"/>
    <w:rsid w:val="0072136E"/>
    <w:rsid w:val="00721B72"/>
    <w:rsid w:val="0072279A"/>
    <w:rsid w:val="0072562E"/>
    <w:rsid w:val="00727A7E"/>
    <w:rsid w:val="007304BD"/>
    <w:rsid w:val="00730878"/>
    <w:rsid w:val="0073114D"/>
    <w:rsid w:val="00731EE2"/>
    <w:rsid w:val="00733EB5"/>
    <w:rsid w:val="00740B50"/>
    <w:rsid w:val="00742E07"/>
    <w:rsid w:val="0074637F"/>
    <w:rsid w:val="00750E53"/>
    <w:rsid w:val="00753AED"/>
    <w:rsid w:val="00753D45"/>
    <w:rsid w:val="007550F8"/>
    <w:rsid w:val="007551F2"/>
    <w:rsid w:val="00755E62"/>
    <w:rsid w:val="00755FFA"/>
    <w:rsid w:val="007565C5"/>
    <w:rsid w:val="00756629"/>
    <w:rsid w:val="0076059A"/>
    <w:rsid w:val="007606BF"/>
    <w:rsid w:val="00760741"/>
    <w:rsid w:val="0076075B"/>
    <w:rsid w:val="00761704"/>
    <w:rsid w:val="0076691C"/>
    <w:rsid w:val="00773A82"/>
    <w:rsid w:val="00774AF4"/>
    <w:rsid w:val="00777DFE"/>
    <w:rsid w:val="0078049E"/>
    <w:rsid w:val="00780705"/>
    <w:rsid w:val="007809AB"/>
    <w:rsid w:val="00781982"/>
    <w:rsid w:val="00781B5F"/>
    <w:rsid w:val="00782694"/>
    <w:rsid w:val="007854C1"/>
    <w:rsid w:val="00785567"/>
    <w:rsid w:val="00791381"/>
    <w:rsid w:val="007919F1"/>
    <w:rsid w:val="0079288E"/>
    <w:rsid w:val="00793B59"/>
    <w:rsid w:val="00794CB5"/>
    <w:rsid w:val="007956B9"/>
    <w:rsid w:val="007964AE"/>
    <w:rsid w:val="007A071C"/>
    <w:rsid w:val="007A1B1F"/>
    <w:rsid w:val="007A67B0"/>
    <w:rsid w:val="007B014B"/>
    <w:rsid w:val="007B0C47"/>
    <w:rsid w:val="007B27B6"/>
    <w:rsid w:val="007B42A1"/>
    <w:rsid w:val="007B5D4A"/>
    <w:rsid w:val="007B6986"/>
    <w:rsid w:val="007C08E6"/>
    <w:rsid w:val="007C0A2F"/>
    <w:rsid w:val="007C1DC6"/>
    <w:rsid w:val="007C5849"/>
    <w:rsid w:val="007C5EF8"/>
    <w:rsid w:val="007C7A8A"/>
    <w:rsid w:val="007D08DC"/>
    <w:rsid w:val="007D14A2"/>
    <w:rsid w:val="007D1F25"/>
    <w:rsid w:val="007D5E4A"/>
    <w:rsid w:val="007D7444"/>
    <w:rsid w:val="007E191E"/>
    <w:rsid w:val="007E45B0"/>
    <w:rsid w:val="007E5F40"/>
    <w:rsid w:val="007E662F"/>
    <w:rsid w:val="007F0259"/>
    <w:rsid w:val="007F34E4"/>
    <w:rsid w:val="007F57A2"/>
    <w:rsid w:val="007F597A"/>
    <w:rsid w:val="007F6CA7"/>
    <w:rsid w:val="007F75B1"/>
    <w:rsid w:val="007F7D49"/>
    <w:rsid w:val="008000F6"/>
    <w:rsid w:val="008003B4"/>
    <w:rsid w:val="00801E42"/>
    <w:rsid w:val="00804A54"/>
    <w:rsid w:val="00804F19"/>
    <w:rsid w:val="008072BC"/>
    <w:rsid w:val="008074C0"/>
    <w:rsid w:val="00811D11"/>
    <w:rsid w:val="00811EAD"/>
    <w:rsid w:val="0081323B"/>
    <w:rsid w:val="00813620"/>
    <w:rsid w:val="00813677"/>
    <w:rsid w:val="0081386B"/>
    <w:rsid w:val="00813E8C"/>
    <w:rsid w:val="00814FB4"/>
    <w:rsid w:val="00817CC0"/>
    <w:rsid w:val="00817FEB"/>
    <w:rsid w:val="00820F28"/>
    <w:rsid w:val="00821215"/>
    <w:rsid w:val="00823C4B"/>
    <w:rsid w:val="008269EA"/>
    <w:rsid w:val="008300CD"/>
    <w:rsid w:val="008335FD"/>
    <w:rsid w:val="008345C8"/>
    <w:rsid w:val="008351E7"/>
    <w:rsid w:val="008366C6"/>
    <w:rsid w:val="008379CA"/>
    <w:rsid w:val="00842432"/>
    <w:rsid w:val="008428D8"/>
    <w:rsid w:val="0084290E"/>
    <w:rsid w:val="00843C5F"/>
    <w:rsid w:val="00854941"/>
    <w:rsid w:val="0086134C"/>
    <w:rsid w:val="00863454"/>
    <w:rsid w:val="008646F2"/>
    <w:rsid w:val="00864767"/>
    <w:rsid w:val="008667E3"/>
    <w:rsid w:val="00867AE5"/>
    <w:rsid w:val="00867C78"/>
    <w:rsid w:val="008708F5"/>
    <w:rsid w:val="00870D60"/>
    <w:rsid w:val="00871E8B"/>
    <w:rsid w:val="00873ED2"/>
    <w:rsid w:val="0087520A"/>
    <w:rsid w:val="008752AC"/>
    <w:rsid w:val="00875F85"/>
    <w:rsid w:val="00877A70"/>
    <w:rsid w:val="008811E2"/>
    <w:rsid w:val="0088681B"/>
    <w:rsid w:val="00887204"/>
    <w:rsid w:val="0088758C"/>
    <w:rsid w:val="00890C55"/>
    <w:rsid w:val="008915E3"/>
    <w:rsid w:val="00891778"/>
    <w:rsid w:val="00895F4C"/>
    <w:rsid w:val="008A243D"/>
    <w:rsid w:val="008A3877"/>
    <w:rsid w:val="008A5914"/>
    <w:rsid w:val="008B3DD8"/>
    <w:rsid w:val="008B4895"/>
    <w:rsid w:val="008B53BA"/>
    <w:rsid w:val="008B5630"/>
    <w:rsid w:val="008C0980"/>
    <w:rsid w:val="008C27A6"/>
    <w:rsid w:val="008C4217"/>
    <w:rsid w:val="008C483C"/>
    <w:rsid w:val="008D0741"/>
    <w:rsid w:val="008D0B82"/>
    <w:rsid w:val="008D0D75"/>
    <w:rsid w:val="008D1E5F"/>
    <w:rsid w:val="008D7A07"/>
    <w:rsid w:val="008E1F86"/>
    <w:rsid w:val="008E22F1"/>
    <w:rsid w:val="008E297B"/>
    <w:rsid w:val="008F0CD8"/>
    <w:rsid w:val="008F1591"/>
    <w:rsid w:val="008F2265"/>
    <w:rsid w:val="008F226D"/>
    <w:rsid w:val="008F28C1"/>
    <w:rsid w:val="008F2D4F"/>
    <w:rsid w:val="008F52BA"/>
    <w:rsid w:val="008F6EBF"/>
    <w:rsid w:val="008F78FE"/>
    <w:rsid w:val="00901D3B"/>
    <w:rsid w:val="00902E79"/>
    <w:rsid w:val="00904137"/>
    <w:rsid w:val="00907FC9"/>
    <w:rsid w:val="00907FF5"/>
    <w:rsid w:val="009137DB"/>
    <w:rsid w:val="0092155A"/>
    <w:rsid w:val="00921CD6"/>
    <w:rsid w:val="0093022B"/>
    <w:rsid w:val="009306D0"/>
    <w:rsid w:val="00930B70"/>
    <w:rsid w:val="00932A83"/>
    <w:rsid w:val="009331FF"/>
    <w:rsid w:val="0093337E"/>
    <w:rsid w:val="0093366F"/>
    <w:rsid w:val="00937114"/>
    <w:rsid w:val="00937AC3"/>
    <w:rsid w:val="00937F98"/>
    <w:rsid w:val="00941BF3"/>
    <w:rsid w:val="00943FBD"/>
    <w:rsid w:val="0095059E"/>
    <w:rsid w:val="0095262E"/>
    <w:rsid w:val="0095350B"/>
    <w:rsid w:val="00954C95"/>
    <w:rsid w:val="009562AA"/>
    <w:rsid w:val="00960B7B"/>
    <w:rsid w:val="0096228D"/>
    <w:rsid w:val="0096339C"/>
    <w:rsid w:val="00963498"/>
    <w:rsid w:val="009644EA"/>
    <w:rsid w:val="0096472F"/>
    <w:rsid w:val="00964DD7"/>
    <w:rsid w:val="009658C0"/>
    <w:rsid w:val="0096680F"/>
    <w:rsid w:val="00966FBE"/>
    <w:rsid w:val="00967140"/>
    <w:rsid w:val="009679B1"/>
    <w:rsid w:val="0097010D"/>
    <w:rsid w:val="00972276"/>
    <w:rsid w:val="00972C62"/>
    <w:rsid w:val="00973FE7"/>
    <w:rsid w:val="00974081"/>
    <w:rsid w:val="00975F95"/>
    <w:rsid w:val="00975FE3"/>
    <w:rsid w:val="0097756E"/>
    <w:rsid w:val="0098008F"/>
    <w:rsid w:val="009817CD"/>
    <w:rsid w:val="00984222"/>
    <w:rsid w:val="009845CE"/>
    <w:rsid w:val="00985751"/>
    <w:rsid w:val="00985950"/>
    <w:rsid w:val="009865E4"/>
    <w:rsid w:val="00991F78"/>
    <w:rsid w:val="009923EA"/>
    <w:rsid w:val="009936F9"/>
    <w:rsid w:val="00997B5A"/>
    <w:rsid w:val="009B0F91"/>
    <w:rsid w:val="009B4F3B"/>
    <w:rsid w:val="009B74B8"/>
    <w:rsid w:val="009C0766"/>
    <w:rsid w:val="009C100D"/>
    <w:rsid w:val="009C34EC"/>
    <w:rsid w:val="009C3C56"/>
    <w:rsid w:val="009C5813"/>
    <w:rsid w:val="009C59B3"/>
    <w:rsid w:val="009C653D"/>
    <w:rsid w:val="009D16C7"/>
    <w:rsid w:val="009D1747"/>
    <w:rsid w:val="009D3054"/>
    <w:rsid w:val="009D310B"/>
    <w:rsid w:val="009D6F40"/>
    <w:rsid w:val="009E17F9"/>
    <w:rsid w:val="009E39AB"/>
    <w:rsid w:val="009E3A6F"/>
    <w:rsid w:val="009E5F0F"/>
    <w:rsid w:val="009E61E5"/>
    <w:rsid w:val="009E7370"/>
    <w:rsid w:val="009F07CD"/>
    <w:rsid w:val="009F07D6"/>
    <w:rsid w:val="009F119F"/>
    <w:rsid w:val="009F28E2"/>
    <w:rsid w:val="009F3046"/>
    <w:rsid w:val="009F5859"/>
    <w:rsid w:val="009F59D3"/>
    <w:rsid w:val="009F62F9"/>
    <w:rsid w:val="009F6C9F"/>
    <w:rsid w:val="00A02BEF"/>
    <w:rsid w:val="00A02CDA"/>
    <w:rsid w:val="00A0648F"/>
    <w:rsid w:val="00A0763C"/>
    <w:rsid w:val="00A0777C"/>
    <w:rsid w:val="00A07F56"/>
    <w:rsid w:val="00A10AC6"/>
    <w:rsid w:val="00A12B16"/>
    <w:rsid w:val="00A1530D"/>
    <w:rsid w:val="00A1539D"/>
    <w:rsid w:val="00A1699A"/>
    <w:rsid w:val="00A21475"/>
    <w:rsid w:val="00A22873"/>
    <w:rsid w:val="00A23C25"/>
    <w:rsid w:val="00A26339"/>
    <w:rsid w:val="00A27381"/>
    <w:rsid w:val="00A304BE"/>
    <w:rsid w:val="00A30B78"/>
    <w:rsid w:val="00A33350"/>
    <w:rsid w:val="00A35420"/>
    <w:rsid w:val="00A36765"/>
    <w:rsid w:val="00A3696C"/>
    <w:rsid w:val="00A36A1B"/>
    <w:rsid w:val="00A36D9B"/>
    <w:rsid w:val="00A4149F"/>
    <w:rsid w:val="00A417BE"/>
    <w:rsid w:val="00A42D26"/>
    <w:rsid w:val="00A457DF"/>
    <w:rsid w:val="00A45B63"/>
    <w:rsid w:val="00A51F88"/>
    <w:rsid w:val="00A56C84"/>
    <w:rsid w:val="00A64E32"/>
    <w:rsid w:val="00A73614"/>
    <w:rsid w:val="00A7553E"/>
    <w:rsid w:val="00A7688E"/>
    <w:rsid w:val="00A779D9"/>
    <w:rsid w:val="00A829C3"/>
    <w:rsid w:val="00A83397"/>
    <w:rsid w:val="00A8660B"/>
    <w:rsid w:val="00A86A2C"/>
    <w:rsid w:val="00A9129E"/>
    <w:rsid w:val="00A91592"/>
    <w:rsid w:val="00A920E9"/>
    <w:rsid w:val="00A94782"/>
    <w:rsid w:val="00A94ACC"/>
    <w:rsid w:val="00A96187"/>
    <w:rsid w:val="00A97DAC"/>
    <w:rsid w:val="00AA1810"/>
    <w:rsid w:val="00AA2946"/>
    <w:rsid w:val="00AA421C"/>
    <w:rsid w:val="00AA6BDC"/>
    <w:rsid w:val="00AA6EFD"/>
    <w:rsid w:val="00AA7760"/>
    <w:rsid w:val="00AB0B71"/>
    <w:rsid w:val="00AB1E5B"/>
    <w:rsid w:val="00AB293E"/>
    <w:rsid w:val="00AB61C0"/>
    <w:rsid w:val="00AB6685"/>
    <w:rsid w:val="00AB726A"/>
    <w:rsid w:val="00AC1A67"/>
    <w:rsid w:val="00AC535E"/>
    <w:rsid w:val="00AC5F18"/>
    <w:rsid w:val="00AC7440"/>
    <w:rsid w:val="00AD150B"/>
    <w:rsid w:val="00AD17F7"/>
    <w:rsid w:val="00AD6DAE"/>
    <w:rsid w:val="00AE12C5"/>
    <w:rsid w:val="00AE3FF2"/>
    <w:rsid w:val="00AE4ACB"/>
    <w:rsid w:val="00AE51BC"/>
    <w:rsid w:val="00AE52FD"/>
    <w:rsid w:val="00AE5679"/>
    <w:rsid w:val="00AE7CB3"/>
    <w:rsid w:val="00AF1DD8"/>
    <w:rsid w:val="00AF2DAD"/>
    <w:rsid w:val="00AF4A67"/>
    <w:rsid w:val="00AF4D9D"/>
    <w:rsid w:val="00AF503F"/>
    <w:rsid w:val="00AF5210"/>
    <w:rsid w:val="00AF5415"/>
    <w:rsid w:val="00B00172"/>
    <w:rsid w:val="00B00D96"/>
    <w:rsid w:val="00B04780"/>
    <w:rsid w:val="00B0601C"/>
    <w:rsid w:val="00B0626E"/>
    <w:rsid w:val="00B11187"/>
    <w:rsid w:val="00B1466B"/>
    <w:rsid w:val="00B1624F"/>
    <w:rsid w:val="00B17ACB"/>
    <w:rsid w:val="00B21428"/>
    <w:rsid w:val="00B21FC0"/>
    <w:rsid w:val="00B22D6D"/>
    <w:rsid w:val="00B23A81"/>
    <w:rsid w:val="00B24E49"/>
    <w:rsid w:val="00B25F5A"/>
    <w:rsid w:val="00B26226"/>
    <w:rsid w:val="00B303D9"/>
    <w:rsid w:val="00B30DE1"/>
    <w:rsid w:val="00B32754"/>
    <w:rsid w:val="00B3373D"/>
    <w:rsid w:val="00B33DEE"/>
    <w:rsid w:val="00B35730"/>
    <w:rsid w:val="00B358C7"/>
    <w:rsid w:val="00B37602"/>
    <w:rsid w:val="00B40536"/>
    <w:rsid w:val="00B414A9"/>
    <w:rsid w:val="00B43CC8"/>
    <w:rsid w:val="00B44C50"/>
    <w:rsid w:val="00B50F97"/>
    <w:rsid w:val="00B51567"/>
    <w:rsid w:val="00B527B4"/>
    <w:rsid w:val="00B53FCF"/>
    <w:rsid w:val="00B55DE3"/>
    <w:rsid w:val="00B55E66"/>
    <w:rsid w:val="00B56A86"/>
    <w:rsid w:val="00B57293"/>
    <w:rsid w:val="00B57502"/>
    <w:rsid w:val="00B57DD9"/>
    <w:rsid w:val="00B60DE6"/>
    <w:rsid w:val="00B6292A"/>
    <w:rsid w:val="00B65C4B"/>
    <w:rsid w:val="00B70C8B"/>
    <w:rsid w:val="00B710A3"/>
    <w:rsid w:val="00B7275C"/>
    <w:rsid w:val="00B736DC"/>
    <w:rsid w:val="00B73EF2"/>
    <w:rsid w:val="00B75BA7"/>
    <w:rsid w:val="00B82E8C"/>
    <w:rsid w:val="00B8394B"/>
    <w:rsid w:val="00B84760"/>
    <w:rsid w:val="00B84C82"/>
    <w:rsid w:val="00B8692E"/>
    <w:rsid w:val="00B90206"/>
    <w:rsid w:val="00B90885"/>
    <w:rsid w:val="00B90E30"/>
    <w:rsid w:val="00B92086"/>
    <w:rsid w:val="00B94403"/>
    <w:rsid w:val="00B94840"/>
    <w:rsid w:val="00B94C6A"/>
    <w:rsid w:val="00B94EEC"/>
    <w:rsid w:val="00BA109C"/>
    <w:rsid w:val="00BA2297"/>
    <w:rsid w:val="00BA28BE"/>
    <w:rsid w:val="00BA364F"/>
    <w:rsid w:val="00BA5749"/>
    <w:rsid w:val="00BA59BE"/>
    <w:rsid w:val="00BA6F26"/>
    <w:rsid w:val="00BA7BB2"/>
    <w:rsid w:val="00BB05FA"/>
    <w:rsid w:val="00BB46F6"/>
    <w:rsid w:val="00BC0A6B"/>
    <w:rsid w:val="00BC2E3C"/>
    <w:rsid w:val="00BC31AA"/>
    <w:rsid w:val="00BC652B"/>
    <w:rsid w:val="00BD1A5D"/>
    <w:rsid w:val="00BD1DE8"/>
    <w:rsid w:val="00BD1FAF"/>
    <w:rsid w:val="00BD430E"/>
    <w:rsid w:val="00BD5723"/>
    <w:rsid w:val="00BD60D8"/>
    <w:rsid w:val="00BD7F6B"/>
    <w:rsid w:val="00BE0AC9"/>
    <w:rsid w:val="00BE2861"/>
    <w:rsid w:val="00BE505A"/>
    <w:rsid w:val="00BE54D2"/>
    <w:rsid w:val="00BE6392"/>
    <w:rsid w:val="00BE76A4"/>
    <w:rsid w:val="00BF05B8"/>
    <w:rsid w:val="00BF0DE5"/>
    <w:rsid w:val="00BF1040"/>
    <w:rsid w:val="00BF2A85"/>
    <w:rsid w:val="00BF2DF8"/>
    <w:rsid w:val="00BF497E"/>
    <w:rsid w:val="00BF700A"/>
    <w:rsid w:val="00C002ED"/>
    <w:rsid w:val="00C054CA"/>
    <w:rsid w:val="00C06C09"/>
    <w:rsid w:val="00C0769A"/>
    <w:rsid w:val="00C10AC3"/>
    <w:rsid w:val="00C13FFF"/>
    <w:rsid w:val="00C147F7"/>
    <w:rsid w:val="00C1516E"/>
    <w:rsid w:val="00C165BB"/>
    <w:rsid w:val="00C17AE5"/>
    <w:rsid w:val="00C213F1"/>
    <w:rsid w:val="00C221BB"/>
    <w:rsid w:val="00C22B26"/>
    <w:rsid w:val="00C23017"/>
    <w:rsid w:val="00C23B9E"/>
    <w:rsid w:val="00C27BE6"/>
    <w:rsid w:val="00C309E1"/>
    <w:rsid w:val="00C3138C"/>
    <w:rsid w:val="00C31728"/>
    <w:rsid w:val="00C35AF6"/>
    <w:rsid w:val="00C36029"/>
    <w:rsid w:val="00C368FC"/>
    <w:rsid w:val="00C36C8D"/>
    <w:rsid w:val="00C41D35"/>
    <w:rsid w:val="00C442FE"/>
    <w:rsid w:val="00C445AF"/>
    <w:rsid w:val="00C45A38"/>
    <w:rsid w:val="00C466F2"/>
    <w:rsid w:val="00C500CA"/>
    <w:rsid w:val="00C50BB3"/>
    <w:rsid w:val="00C53F2D"/>
    <w:rsid w:val="00C54753"/>
    <w:rsid w:val="00C577F7"/>
    <w:rsid w:val="00C64C09"/>
    <w:rsid w:val="00C64C63"/>
    <w:rsid w:val="00C64CCD"/>
    <w:rsid w:val="00C66575"/>
    <w:rsid w:val="00C769DE"/>
    <w:rsid w:val="00C832A4"/>
    <w:rsid w:val="00C92763"/>
    <w:rsid w:val="00C94E79"/>
    <w:rsid w:val="00C968CC"/>
    <w:rsid w:val="00C96A21"/>
    <w:rsid w:val="00C9760E"/>
    <w:rsid w:val="00C97925"/>
    <w:rsid w:val="00C97F68"/>
    <w:rsid w:val="00CA1665"/>
    <w:rsid w:val="00CA1EA4"/>
    <w:rsid w:val="00CA76BF"/>
    <w:rsid w:val="00CA7E72"/>
    <w:rsid w:val="00CB361C"/>
    <w:rsid w:val="00CB3D06"/>
    <w:rsid w:val="00CB4BF5"/>
    <w:rsid w:val="00CB597B"/>
    <w:rsid w:val="00CB72B3"/>
    <w:rsid w:val="00CC434F"/>
    <w:rsid w:val="00CC5B03"/>
    <w:rsid w:val="00CD0411"/>
    <w:rsid w:val="00CD40CB"/>
    <w:rsid w:val="00CE063C"/>
    <w:rsid w:val="00CE08FC"/>
    <w:rsid w:val="00CE2B0A"/>
    <w:rsid w:val="00CE72E6"/>
    <w:rsid w:val="00CE7875"/>
    <w:rsid w:val="00CF0AE2"/>
    <w:rsid w:val="00CF1361"/>
    <w:rsid w:val="00CF226F"/>
    <w:rsid w:val="00CF7690"/>
    <w:rsid w:val="00D00DFA"/>
    <w:rsid w:val="00D02356"/>
    <w:rsid w:val="00D02E94"/>
    <w:rsid w:val="00D068CA"/>
    <w:rsid w:val="00D07EC0"/>
    <w:rsid w:val="00D10E7B"/>
    <w:rsid w:val="00D117C0"/>
    <w:rsid w:val="00D12241"/>
    <w:rsid w:val="00D126E6"/>
    <w:rsid w:val="00D13670"/>
    <w:rsid w:val="00D13F66"/>
    <w:rsid w:val="00D14E05"/>
    <w:rsid w:val="00D17851"/>
    <w:rsid w:val="00D178E4"/>
    <w:rsid w:val="00D20A63"/>
    <w:rsid w:val="00D23B33"/>
    <w:rsid w:val="00D2421B"/>
    <w:rsid w:val="00D26047"/>
    <w:rsid w:val="00D2712E"/>
    <w:rsid w:val="00D31306"/>
    <w:rsid w:val="00D31B47"/>
    <w:rsid w:val="00D32E8D"/>
    <w:rsid w:val="00D335A6"/>
    <w:rsid w:val="00D36771"/>
    <w:rsid w:val="00D41165"/>
    <w:rsid w:val="00D4169C"/>
    <w:rsid w:val="00D4255E"/>
    <w:rsid w:val="00D42D31"/>
    <w:rsid w:val="00D439CD"/>
    <w:rsid w:val="00D43FF5"/>
    <w:rsid w:val="00D47C0A"/>
    <w:rsid w:val="00D51084"/>
    <w:rsid w:val="00D54625"/>
    <w:rsid w:val="00D546D4"/>
    <w:rsid w:val="00D54CFF"/>
    <w:rsid w:val="00D576C3"/>
    <w:rsid w:val="00D608B0"/>
    <w:rsid w:val="00D62DA9"/>
    <w:rsid w:val="00D64BC6"/>
    <w:rsid w:val="00D65715"/>
    <w:rsid w:val="00D65841"/>
    <w:rsid w:val="00D67439"/>
    <w:rsid w:val="00D70256"/>
    <w:rsid w:val="00D703B8"/>
    <w:rsid w:val="00D706F1"/>
    <w:rsid w:val="00D70C52"/>
    <w:rsid w:val="00D720C7"/>
    <w:rsid w:val="00D72C40"/>
    <w:rsid w:val="00D74197"/>
    <w:rsid w:val="00D80A49"/>
    <w:rsid w:val="00D85810"/>
    <w:rsid w:val="00D8760F"/>
    <w:rsid w:val="00D91502"/>
    <w:rsid w:val="00D91DC6"/>
    <w:rsid w:val="00D92427"/>
    <w:rsid w:val="00D9292F"/>
    <w:rsid w:val="00D95804"/>
    <w:rsid w:val="00D97A69"/>
    <w:rsid w:val="00DA25F0"/>
    <w:rsid w:val="00DA26F3"/>
    <w:rsid w:val="00DA3A71"/>
    <w:rsid w:val="00DA4CF0"/>
    <w:rsid w:val="00DA595A"/>
    <w:rsid w:val="00DA5E95"/>
    <w:rsid w:val="00DB03FF"/>
    <w:rsid w:val="00DB10EC"/>
    <w:rsid w:val="00DB1DF5"/>
    <w:rsid w:val="00DB3D55"/>
    <w:rsid w:val="00DB3EEC"/>
    <w:rsid w:val="00DB43AA"/>
    <w:rsid w:val="00DB4973"/>
    <w:rsid w:val="00DB4D5B"/>
    <w:rsid w:val="00DC03A0"/>
    <w:rsid w:val="00DC2C31"/>
    <w:rsid w:val="00DC609B"/>
    <w:rsid w:val="00DC74FD"/>
    <w:rsid w:val="00DD16BF"/>
    <w:rsid w:val="00DD60EA"/>
    <w:rsid w:val="00DD638B"/>
    <w:rsid w:val="00DD6C34"/>
    <w:rsid w:val="00DE44E4"/>
    <w:rsid w:val="00DE4E90"/>
    <w:rsid w:val="00DE7CEF"/>
    <w:rsid w:val="00DF2FEB"/>
    <w:rsid w:val="00DF41F2"/>
    <w:rsid w:val="00DF4909"/>
    <w:rsid w:val="00DF64FD"/>
    <w:rsid w:val="00DF6DA5"/>
    <w:rsid w:val="00E046C0"/>
    <w:rsid w:val="00E06A16"/>
    <w:rsid w:val="00E07CEA"/>
    <w:rsid w:val="00E11E4D"/>
    <w:rsid w:val="00E12B72"/>
    <w:rsid w:val="00E140E2"/>
    <w:rsid w:val="00E14D93"/>
    <w:rsid w:val="00E15E6F"/>
    <w:rsid w:val="00E21BA2"/>
    <w:rsid w:val="00E232E5"/>
    <w:rsid w:val="00E24B3C"/>
    <w:rsid w:val="00E24DED"/>
    <w:rsid w:val="00E24F7E"/>
    <w:rsid w:val="00E2715F"/>
    <w:rsid w:val="00E272B5"/>
    <w:rsid w:val="00E27945"/>
    <w:rsid w:val="00E30428"/>
    <w:rsid w:val="00E30EDA"/>
    <w:rsid w:val="00E33E48"/>
    <w:rsid w:val="00E33F75"/>
    <w:rsid w:val="00E3672D"/>
    <w:rsid w:val="00E37063"/>
    <w:rsid w:val="00E3768B"/>
    <w:rsid w:val="00E40414"/>
    <w:rsid w:val="00E4227E"/>
    <w:rsid w:val="00E42645"/>
    <w:rsid w:val="00E5291B"/>
    <w:rsid w:val="00E5465F"/>
    <w:rsid w:val="00E54810"/>
    <w:rsid w:val="00E54BF2"/>
    <w:rsid w:val="00E55058"/>
    <w:rsid w:val="00E566A5"/>
    <w:rsid w:val="00E57792"/>
    <w:rsid w:val="00E60B20"/>
    <w:rsid w:val="00E60F3D"/>
    <w:rsid w:val="00E61F15"/>
    <w:rsid w:val="00E64332"/>
    <w:rsid w:val="00E673EF"/>
    <w:rsid w:val="00E67D21"/>
    <w:rsid w:val="00E71823"/>
    <w:rsid w:val="00E71C6E"/>
    <w:rsid w:val="00E72157"/>
    <w:rsid w:val="00E72C70"/>
    <w:rsid w:val="00E76252"/>
    <w:rsid w:val="00E814A6"/>
    <w:rsid w:val="00E8181C"/>
    <w:rsid w:val="00E82EF7"/>
    <w:rsid w:val="00E830FD"/>
    <w:rsid w:val="00E8507E"/>
    <w:rsid w:val="00E8583B"/>
    <w:rsid w:val="00E86A9E"/>
    <w:rsid w:val="00E90034"/>
    <w:rsid w:val="00E902B2"/>
    <w:rsid w:val="00E938B7"/>
    <w:rsid w:val="00E946D8"/>
    <w:rsid w:val="00E96EDC"/>
    <w:rsid w:val="00E97E9D"/>
    <w:rsid w:val="00EA0BEF"/>
    <w:rsid w:val="00EA0C89"/>
    <w:rsid w:val="00EA3AD2"/>
    <w:rsid w:val="00EA4509"/>
    <w:rsid w:val="00EA50C7"/>
    <w:rsid w:val="00EA528F"/>
    <w:rsid w:val="00EB09BC"/>
    <w:rsid w:val="00EB3DCA"/>
    <w:rsid w:val="00EB4A45"/>
    <w:rsid w:val="00EB4EC0"/>
    <w:rsid w:val="00EB6DE6"/>
    <w:rsid w:val="00EC0499"/>
    <w:rsid w:val="00EC173F"/>
    <w:rsid w:val="00EC304A"/>
    <w:rsid w:val="00EC6AF3"/>
    <w:rsid w:val="00EC71B0"/>
    <w:rsid w:val="00EC73B1"/>
    <w:rsid w:val="00ED04FD"/>
    <w:rsid w:val="00ED2113"/>
    <w:rsid w:val="00ED32FB"/>
    <w:rsid w:val="00ED5EB8"/>
    <w:rsid w:val="00ED65D1"/>
    <w:rsid w:val="00ED6A73"/>
    <w:rsid w:val="00EE0673"/>
    <w:rsid w:val="00EE0F4F"/>
    <w:rsid w:val="00EE1D5A"/>
    <w:rsid w:val="00EE1F1C"/>
    <w:rsid w:val="00EE3A71"/>
    <w:rsid w:val="00EE64FD"/>
    <w:rsid w:val="00EF0905"/>
    <w:rsid w:val="00EF10C1"/>
    <w:rsid w:val="00EF2C9C"/>
    <w:rsid w:val="00EF2DD3"/>
    <w:rsid w:val="00EF3AC8"/>
    <w:rsid w:val="00EF5DE1"/>
    <w:rsid w:val="00F04A6F"/>
    <w:rsid w:val="00F04C1C"/>
    <w:rsid w:val="00F1695B"/>
    <w:rsid w:val="00F17ED4"/>
    <w:rsid w:val="00F2005F"/>
    <w:rsid w:val="00F20D0D"/>
    <w:rsid w:val="00F2250C"/>
    <w:rsid w:val="00F22E7F"/>
    <w:rsid w:val="00F236E5"/>
    <w:rsid w:val="00F24068"/>
    <w:rsid w:val="00F2476A"/>
    <w:rsid w:val="00F2613F"/>
    <w:rsid w:val="00F27010"/>
    <w:rsid w:val="00F32039"/>
    <w:rsid w:val="00F33104"/>
    <w:rsid w:val="00F40BC2"/>
    <w:rsid w:val="00F461F7"/>
    <w:rsid w:val="00F46F9B"/>
    <w:rsid w:val="00F513E5"/>
    <w:rsid w:val="00F52B5C"/>
    <w:rsid w:val="00F534CC"/>
    <w:rsid w:val="00F534F6"/>
    <w:rsid w:val="00F5361D"/>
    <w:rsid w:val="00F53E22"/>
    <w:rsid w:val="00F55BF5"/>
    <w:rsid w:val="00F562D5"/>
    <w:rsid w:val="00F57AF8"/>
    <w:rsid w:val="00F6085E"/>
    <w:rsid w:val="00F65444"/>
    <w:rsid w:val="00F6578F"/>
    <w:rsid w:val="00F66CAB"/>
    <w:rsid w:val="00F67A15"/>
    <w:rsid w:val="00F73E87"/>
    <w:rsid w:val="00F759C9"/>
    <w:rsid w:val="00F77150"/>
    <w:rsid w:val="00F80650"/>
    <w:rsid w:val="00F80967"/>
    <w:rsid w:val="00F82370"/>
    <w:rsid w:val="00F834A0"/>
    <w:rsid w:val="00F84DC2"/>
    <w:rsid w:val="00F84E98"/>
    <w:rsid w:val="00F93C96"/>
    <w:rsid w:val="00F941F1"/>
    <w:rsid w:val="00F97D50"/>
    <w:rsid w:val="00FA0167"/>
    <w:rsid w:val="00FA1415"/>
    <w:rsid w:val="00FA25E8"/>
    <w:rsid w:val="00FA2B89"/>
    <w:rsid w:val="00FA33C9"/>
    <w:rsid w:val="00FA4B98"/>
    <w:rsid w:val="00FB0CA5"/>
    <w:rsid w:val="00FB0CFB"/>
    <w:rsid w:val="00FB2307"/>
    <w:rsid w:val="00FB2C84"/>
    <w:rsid w:val="00FB326A"/>
    <w:rsid w:val="00FC0178"/>
    <w:rsid w:val="00FC214E"/>
    <w:rsid w:val="00FC27F4"/>
    <w:rsid w:val="00FC350F"/>
    <w:rsid w:val="00FC3ACB"/>
    <w:rsid w:val="00FC5C1B"/>
    <w:rsid w:val="00FC7D26"/>
    <w:rsid w:val="00FD1626"/>
    <w:rsid w:val="00FD29E0"/>
    <w:rsid w:val="00FD2B48"/>
    <w:rsid w:val="00FD362C"/>
    <w:rsid w:val="00FD560B"/>
    <w:rsid w:val="00FD5B9E"/>
    <w:rsid w:val="00FD707B"/>
    <w:rsid w:val="00FD79CA"/>
    <w:rsid w:val="00FE10A0"/>
    <w:rsid w:val="00FE1213"/>
    <w:rsid w:val="00FE28B1"/>
    <w:rsid w:val="00FE2A8E"/>
    <w:rsid w:val="00FE3402"/>
    <w:rsid w:val="00FE36E2"/>
    <w:rsid w:val="00FE4CD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1D8D9"/>
  <w15:chartTrackingRefBased/>
  <w15:docId w15:val="{D42EE079-A865-4795-B904-303E1A85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Normal"/>
    <w:qFormat/>
    <w:rsid w:val="005F54AF"/>
    <w:rPr>
      <w:b/>
      <w:i/>
    </w:r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845676702">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468740799">
      <w:bodyDiv w:val="1"/>
      <w:marLeft w:val="0"/>
      <w:marRight w:val="0"/>
      <w:marTop w:val="0"/>
      <w:marBottom w:val="0"/>
      <w:divBdr>
        <w:top w:val="none" w:sz="0" w:space="0" w:color="auto"/>
        <w:left w:val="none" w:sz="0" w:space="0" w:color="auto"/>
        <w:bottom w:val="none" w:sz="0" w:space="0" w:color="auto"/>
        <w:right w:val="none" w:sz="0" w:space="0" w:color="auto"/>
      </w:divBdr>
    </w:div>
    <w:div w:id="1602027780">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72182234">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t.nz/our-work/build-to-r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F1C8-3682-48CA-A0A7-0F80A772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Special report - Build-to-rent</vt:lpstr>
    </vt:vector>
  </TitlesOfParts>
  <Company>Inland Revenue</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 Build-to-rent</dc:title>
  <dc:subject/>
  <dc:creator>Policy and Regulatory Stewardship</dc:creator>
  <cp:keywords/>
  <dc:description/>
  <dcterms:created xsi:type="dcterms:W3CDTF">2023-04-02T22:01:00Z</dcterms:created>
  <dcterms:modified xsi:type="dcterms:W3CDTF">2023-04-02T22:01:00Z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2023-04-02T22:01:26Z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74bb1f36-db9a-40cf-a8d8-9300f14f8015</vt:lpwstr>
  </property>
  <property fmtid="{D5CDD505-2E9C-101B-9397-08002B2CF9AE}" pid="9" name="MSIP_Label_993bc26a-ca06-4f83-a49a-54da0c892e4f_ContentBits">
    <vt:lpwstr>0</vt:lpwstr>
  </property>
</Properties>
</file>