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868F" w14:textId="77777777" w:rsidR="00011F57" w:rsidRPr="00274CB3" w:rsidRDefault="00011F57" w:rsidP="009C34EC">
      <w:pPr>
        <w:spacing w:before="0" w:line="259" w:lineRule="auto"/>
        <w:rPr>
          <w:rFonts w:ascii="Segoe UI Light" w:hAnsi="Segoe UI Light"/>
          <w:b/>
          <w:sz w:val="28"/>
          <w:lang w:val="en-US"/>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229EB916" w14:textId="77777777" w:rsidR="00375B41" w:rsidRDefault="00375B41" w:rsidP="009C34EC">
          <w:pPr>
            <w:spacing w:before="0" w:line="259" w:lineRule="auto"/>
            <w:rPr>
              <w:rStyle w:val="TitleChar"/>
              <w:sz w:val="24"/>
              <w:szCs w:val="24"/>
            </w:rPr>
          </w:pPr>
        </w:p>
        <w:p w14:paraId="27AA68ED" w14:textId="5DCD28AF"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Pr>
              <w:b w:val="0"/>
            </w:rPr>
            <w:t xml:space="preserve">ACT </w:t>
          </w:r>
          <w:r w:rsidR="00E729AD">
            <w:rPr>
              <w:b w:val="0"/>
            </w:rPr>
            <w:t>&gt; Special Report</w:t>
          </w:r>
        </w:p>
        <w:p w14:paraId="0765FC5D" w14:textId="15A54AE9" w:rsidR="00375B41" w:rsidRDefault="009A6339" w:rsidP="00A4149F">
          <w:pPr>
            <w:spacing w:before="0" w:after="0" w:line="240" w:lineRule="auto"/>
            <w:contextualSpacing/>
            <w:rPr>
              <w:rFonts w:ascii="Segoe UI Black" w:eastAsiaTheme="majorEastAsia" w:hAnsi="Segoe UI Black" w:cstheme="majorBidi"/>
              <w:color w:val="auto"/>
              <w:spacing w:val="-10"/>
              <w:kern w:val="28"/>
              <w:sz w:val="44"/>
              <w:szCs w:val="56"/>
            </w:rPr>
          </w:pPr>
          <w:r>
            <w:rPr>
              <w:rFonts w:ascii="Segoe UI Black" w:eastAsiaTheme="majorEastAsia" w:hAnsi="Segoe UI Black" w:cstheme="majorBidi"/>
              <w:color w:val="auto"/>
              <w:spacing w:val="-10"/>
              <w:kern w:val="28"/>
              <w:sz w:val="44"/>
              <w:szCs w:val="56"/>
            </w:rPr>
            <w:t>Fair dividend rate</w:t>
          </w:r>
          <w:r w:rsidR="00112787">
            <w:rPr>
              <w:rFonts w:ascii="Segoe UI Black" w:eastAsiaTheme="majorEastAsia" w:hAnsi="Segoe UI Black" w:cstheme="majorBidi"/>
              <w:color w:val="auto"/>
              <w:spacing w:val="-10"/>
              <w:kern w:val="28"/>
              <w:sz w:val="44"/>
              <w:szCs w:val="56"/>
            </w:rPr>
            <w:t xml:space="preserve"> foreign currency hedges</w:t>
          </w:r>
        </w:p>
        <w:p w14:paraId="31CE8045" w14:textId="1CF19227" w:rsidR="00A4149F" w:rsidRPr="00A4149F" w:rsidRDefault="00A4149F" w:rsidP="00521CD6">
          <w:pPr>
            <w:pStyle w:val="DocumentDate"/>
          </w:pPr>
          <w:r w:rsidRPr="00A4149F">
            <w:t xml:space="preserve">Issued: </w:t>
          </w:r>
          <w:r w:rsidR="00BD37B1">
            <w:t>2</w:t>
          </w:r>
          <w:r w:rsidR="00EB2C8D">
            <w:t>8</w:t>
          </w:r>
          <w:r w:rsidR="00BD37B1">
            <w:t xml:space="preserve"> April</w:t>
          </w:r>
          <w:r w:rsidR="00E729AD">
            <w:t xml:space="preserve"> 2022</w:t>
          </w:r>
        </w:p>
        <w:tbl>
          <w:tblPr>
            <w:tblStyle w:val="IR-ShoulderNumberTable"/>
            <w:tblW w:w="0" w:type="auto"/>
            <w:tblLook w:val="04A0" w:firstRow="1" w:lastRow="0" w:firstColumn="1" w:lastColumn="0" w:noHBand="0" w:noVBand="1"/>
          </w:tblPr>
          <w:tblGrid>
            <w:gridCol w:w="3059"/>
          </w:tblGrid>
          <w:tr w:rsidR="00A4149F" w:rsidRPr="00A4149F" w14:paraId="72C06D10" w14:textId="77777777" w:rsidTr="00C9760E">
            <w:tc>
              <w:tcPr>
                <w:tcW w:w="0" w:type="auto"/>
              </w:tcPr>
              <w:p w14:paraId="5A1BACC8" w14:textId="47F6258C" w:rsidR="00A4149F" w:rsidRPr="00DE7CEF" w:rsidRDefault="009D1747" w:rsidP="00DE7CEF">
                <w:pPr>
                  <w:pStyle w:val="PublicationNumber"/>
                  <w:jc w:val="center"/>
                </w:pPr>
                <w:bookmarkStart w:id="1" w:name="_Hlk14700370"/>
                <w:r w:rsidRPr="009D1747">
                  <w:t xml:space="preserve">Public </w:t>
                </w:r>
                <w:r w:rsidR="00D47D8F">
                  <w:t>Act 2022</w:t>
                </w:r>
                <w:r w:rsidRPr="00492E0E">
                  <w:t xml:space="preserve"> No </w:t>
                </w:r>
                <w:r w:rsidR="00D47D8F">
                  <w:t>10</w:t>
                </w:r>
              </w:p>
            </w:tc>
          </w:tr>
          <w:bookmarkEnd w:id="0"/>
          <w:bookmarkEnd w:id="1"/>
        </w:tbl>
        <w:p w14:paraId="5B24FB0B" w14:textId="77777777" w:rsidR="00282ECC" w:rsidRDefault="00282ECC" w:rsidP="0029696F"/>
        <w:p w14:paraId="147C49E7" w14:textId="3BD71481" w:rsidR="00375B41" w:rsidRDefault="009D1747" w:rsidP="007F1B00">
          <w:pPr>
            <w:pStyle w:val="CoverPageSummary"/>
          </w:pPr>
          <w:r w:rsidRPr="009D1747">
            <w:t>Th</w:t>
          </w:r>
          <w:r w:rsidR="00E729AD">
            <w:t xml:space="preserve">is special report provides early information on the changes to the fair dividend rate foreign currency hedges rules made in the Taxation (Annual Rates for 2021-22, GST and Remedial Matters) Act </w:t>
          </w:r>
          <w:r w:rsidR="00D47D8F">
            <w:t xml:space="preserve">2022 </w:t>
          </w:r>
          <w:r w:rsidR="00E729AD">
            <w:t xml:space="preserve">ahead of an upcoming edition of the </w:t>
          </w:r>
          <w:r w:rsidR="00E729AD" w:rsidRPr="007C25CA">
            <w:rPr>
              <w:i/>
              <w:iCs/>
            </w:rPr>
            <w:t>Tax Information Bulletin</w:t>
          </w:r>
          <w:r w:rsidR="00E729AD">
            <w:t>.</w:t>
          </w:r>
        </w:p>
        <w:p w14:paraId="39948E8D" w14:textId="6E2820B9" w:rsidR="00C96A21" w:rsidRDefault="00C96A21">
          <w:pPr>
            <w:spacing w:before="0" w:line="259" w:lineRule="auto"/>
          </w:pPr>
        </w:p>
        <w:p w14:paraId="132D8FB7" w14:textId="77777777" w:rsidR="00DA4CF0" w:rsidRPr="00DA4CF0" w:rsidRDefault="00C96A21" w:rsidP="009D1747">
          <w:pPr>
            <w:spacing w:before="0" w:line="259" w:lineRule="auto"/>
          </w:pPr>
          <w:r>
            <w:br w:type="page"/>
          </w:r>
        </w:p>
      </w:sdtContent>
    </w:sdt>
    <w:p w14:paraId="55EF26D0" w14:textId="77777777" w:rsidR="00A4149F" w:rsidRPr="00C96A21" w:rsidRDefault="00A4149F" w:rsidP="00C96A21">
      <w:pPr>
        <w:pStyle w:val="TOCHeader"/>
      </w:pPr>
      <w:r>
        <w:lastRenderedPageBreak/>
        <w:t>Table of Contents</w:t>
      </w:r>
    </w:p>
    <w:p w14:paraId="42FD2C40" w14:textId="6A2E9995" w:rsidR="008260D3" w:rsidRDefault="00AD150B">
      <w:pPr>
        <w:pStyle w:val="TOC1"/>
        <w:tabs>
          <w:tab w:val="right" w:leader="dot" w:pos="9016"/>
        </w:tabs>
        <w:rPr>
          <w:rFonts w:asciiTheme="minorHAnsi" w:eastAsiaTheme="minorEastAsia" w:hAnsiTheme="minorHAnsi"/>
          <w:noProof/>
          <w:color w:val="auto"/>
          <w:lang w:eastAsia="en-NZ"/>
        </w:rPr>
      </w:pPr>
      <w:r>
        <w:rPr>
          <w:sz w:val="19"/>
        </w:rPr>
        <w:fldChar w:fldCharType="begin"/>
      </w:r>
      <w:r>
        <w:instrText xml:space="preserve"> TOC \o "1-2" \h \z \u </w:instrText>
      </w:r>
      <w:r>
        <w:rPr>
          <w:sz w:val="19"/>
        </w:rPr>
        <w:fldChar w:fldCharType="separate"/>
      </w:r>
      <w:hyperlink w:anchor="_Toc102036872" w:history="1">
        <w:r w:rsidR="008260D3" w:rsidRPr="00D10AE0">
          <w:rPr>
            <w:rStyle w:val="Hyperlink"/>
            <w:noProof/>
          </w:rPr>
          <w:t>Fair dividend rate foreign currency hedges</w:t>
        </w:r>
        <w:r w:rsidR="008260D3">
          <w:rPr>
            <w:noProof/>
            <w:webHidden/>
          </w:rPr>
          <w:tab/>
        </w:r>
        <w:r w:rsidR="008260D3">
          <w:rPr>
            <w:noProof/>
            <w:webHidden/>
          </w:rPr>
          <w:fldChar w:fldCharType="begin"/>
        </w:r>
        <w:r w:rsidR="008260D3">
          <w:rPr>
            <w:noProof/>
            <w:webHidden/>
          </w:rPr>
          <w:instrText xml:space="preserve"> PAGEREF _Toc102036872 \h </w:instrText>
        </w:r>
        <w:r w:rsidR="008260D3">
          <w:rPr>
            <w:noProof/>
            <w:webHidden/>
          </w:rPr>
        </w:r>
        <w:r w:rsidR="008260D3">
          <w:rPr>
            <w:noProof/>
            <w:webHidden/>
          </w:rPr>
          <w:fldChar w:fldCharType="separate"/>
        </w:r>
        <w:r w:rsidR="008260D3">
          <w:rPr>
            <w:noProof/>
            <w:webHidden/>
          </w:rPr>
          <w:t>2</w:t>
        </w:r>
        <w:r w:rsidR="008260D3">
          <w:rPr>
            <w:noProof/>
            <w:webHidden/>
          </w:rPr>
          <w:fldChar w:fldCharType="end"/>
        </w:r>
      </w:hyperlink>
    </w:p>
    <w:p w14:paraId="059770EA" w14:textId="621BF6A2" w:rsidR="008260D3" w:rsidRDefault="004133EA">
      <w:pPr>
        <w:pStyle w:val="TOC2"/>
        <w:tabs>
          <w:tab w:val="right" w:leader="dot" w:pos="9016"/>
        </w:tabs>
        <w:rPr>
          <w:rFonts w:asciiTheme="minorHAnsi" w:eastAsiaTheme="minorEastAsia" w:hAnsiTheme="minorHAnsi"/>
          <w:noProof/>
          <w:color w:val="auto"/>
          <w:lang w:eastAsia="en-NZ"/>
        </w:rPr>
      </w:pPr>
      <w:hyperlink w:anchor="_Toc102036873" w:history="1">
        <w:r w:rsidR="008260D3" w:rsidRPr="00D10AE0">
          <w:rPr>
            <w:rStyle w:val="Hyperlink"/>
            <w:noProof/>
          </w:rPr>
          <w:t>Background</w:t>
        </w:r>
        <w:r w:rsidR="008260D3">
          <w:rPr>
            <w:noProof/>
            <w:webHidden/>
          </w:rPr>
          <w:tab/>
        </w:r>
        <w:r w:rsidR="008260D3">
          <w:rPr>
            <w:noProof/>
            <w:webHidden/>
          </w:rPr>
          <w:fldChar w:fldCharType="begin"/>
        </w:r>
        <w:r w:rsidR="008260D3">
          <w:rPr>
            <w:noProof/>
            <w:webHidden/>
          </w:rPr>
          <w:instrText xml:space="preserve"> PAGEREF _Toc102036873 \h </w:instrText>
        </w:r>
        <w:r w:rsidR="008260D3">
          <w:rPr>
            <w:noProof/>
            <w:webHidden/>
          </w:rPr>
        </w:r>
        <w:r w:rsidR="008260D3">
          <w:rPr>
            <w:noProof/>
            <w:webHidden/>
          </w:rPr>
          <w:fldChar w:fldCharType="separate"/>
        </w:r>
        <w:r w:rsidR="008260D3">
          <w:rPr>
            <w:noProof/>
            <w:webHidden/>
          </w:rPr>
          <w:t>2</w:t>
        </w:r>
        <w:r w:rsidR="008260D3">
          <w:rPr>
            <w:noProof/>
            <w:webHidden/>
          </w:rPr>
          <w:fldChar w:fldCharType="end"/>
        </w:r>
      </w:hyperlink>
    </w:p>
    <w:p w14:paraId="1DD3766F" w14:textId="3544298B" w:rsidR="008260D3" w:rsidRDefault="004133EA">
      <w:pPr>
        <w:pStyle w:val="TOC2"/>
        <w:tabs>
          <w:tab w:val="right" w:leader="dot" w:pos="9016"/>
        </w:tabs>
        <w:rPr>
          <w:rFonts w:asciiTheme="minorHAnsi" w:eastAsiaTheme="minorEastAsia" w:hAnsiTheme="minorHAnsi"/>
          <w:noProof/>
          <w:color w:val="auto"/>
          <w:lang w:eastAsia="en-NZ"/>
        </w:rPr>
      </w:pPr>
      <w:hyperlink w:anchor="_Toc102036874" w:history="1">
        <w:r w:rsidR="008260D3" w:rsidRPr="00D10AE0">
          <w:rPr>
            <w:rStyle w:val="Hyperlink"/>
            <w:noProof/>
          </w:rPr>
          <w:t>Key features</w:t>
        </w:r>
        <w:r w:rsidR="008260D3">
          <w:rPr>
            <w:noProof/>
            <w:webHidden/>
          </w:rPr>
          <w:tab/>
        </w:r>
        <w:r w:rsidR="008260D3">
          <w:rPr>
            <w:noProof/>
            <w:webHidden/>
          </w:rPr>
          <w:fldChar w:fldCharType="begin"/>
        </w:r>
        <w:r w:rsidR="008260D3">
          <w:rPr>
            <w:noProof/>
            <w:webHidden/>
          </w:rPr>
          <w:instrText xml:space="preserve"> PAGEREF _Toc102036874 \h </w:instrText>
        </w:r>
        <w:r w:rsidR="008260D3">
          <w:rPr>
            <w:noProof/>
            <w:webHidden/>
          </w:rPr>
        </w:r>
        <w:r w:rsidR="008260D3">
          <w:rPr>
            <w:noProof/>
            <w:webHidden/>
          </w:rPr>
          <w:fldChar w:fldCharType="separate"/>
        </w:r>
        <w:r w:rsidR="008260D3">
          <w:rPr>
            <w:noProof/>
            <w:webHidden/>
          </w:rPr>
          <w:t>3</w:t>
        </w:r>
        <w:r w:rsidR="008260D3">
          <w:rPr>
            <w:noProof/>
            <w:webHidden/>
          </w:rPr>
          <w:fldChar w:fldCharType="end"/>
        </w:r>
      </w:hyperlink>
    </w:p>
    <w:p w14:paraId="5473475B" w14:textId="0176EB89" w:rsidR="008260D3" w:rsidRDefault="004133EA">
      <w:pPr>
        <w:pStyle w:val="TOC2"/>
        <w:tabs>
          <w:tab w:val="right" w:leader="dot" w:pos="9016"/>
        </w:tabs>
        <w:rPr>
          <w:rFonts w:asciiTheme="minorHAnsi" w:eastAsiaTheme="minorEastAsia" w:hAnsiTheme="minorHAnsi"/>
          <w:noProof/>
          <w:color w:val="auto"/>
          <w:lang w:eastAsia="en-NZ"/>
        </w:rPr>
      </w:pPr>
      <w:hyperlink w:anchor="_Toc102036875" w:history="1">
        <w:r w:rsidR="008260D3" w:rsidRPr="00D10AE0">
          <w:rPr>
            <w:rStyle w:val="Hyperlink"/>
            <w:noProof/>
          </w:rPr>
          <w:t>Application date</w:t>
        </w:r>
        <w:r w:rsidR="008260D3">
          <w:rPr>
            <w:noProof/>
            <w:webHidden/>
          </w:rPr>
          <w:tab/>
        </w:r>
        <w:r w:rsidR="008260D3">
          <w:rPr>
            <w:noProof/>
            <w:webHidden/>
          </w:rPr>
          <w:fldChar w:fldCharType="begin"/>
        </w:r>
        <w:r w:rsidR="008260D3">
          <w:rPr>
            <w:noProof/>
            <w:webHidden/>
          </w:rPr>
          <w:instrText xml:space="preserve"> PAGEREF _Toc102036875 \h </w:instrText>
        </w:r>
        <w:r w:rsidR="008260D3">
          <w:rPr>
            <w:noProof/>
            <w:webHidden/>
          </w:rPr>
        </w:r>
        <w:r w:rsidR="008260D3">
          <w:rPr>
            <w:noProof/>
            <w:webHidden/>
          </w:rPr>
          <w:fldChar w:fldCharType="separate"/>
        </w:r>
        <w:r w:rsidR="008260D3">
          <w:rPr>
            <w:noProof/>
            <w:webHidden/>
          </w:rPr>
          <w:t>4</w:t>
        </w:r>
        <w:r w:rsidR="008260D3">
          <w:rPr>
            <w:noProof/>
            <w:webHidden/>
          </w:rPr>
          <w:fldChar w:fldCharType="end"/>
        </w:r>
      </w:hyperlink>
    </w:p>
    <w:p w14:paraId="65854F63" w14:textId="5A599CD9" w:rsidR="008260D3" w:rsidRDefault="004133EA">
      <w:pPr>
        <w:pStyle w:val="TOC2"/>
        <w:tabs>
          <w:tab w:val="right" w:leader="dot" w:pos="9016"/>
        </w:tabs>
        <w:rPr>
          <w:rFonts w:asciiTheme="minorHAnsi" w:eastAsiaTheme="minorEastAsia" w:hAnsiTheme="minorHAnsi"/>
          <w:noProof/>
          <w:color w:val="auto"/>
          <w:lang w:eastAsia="en-NZ"/>
        </w:rPr>
      </w:pPr>
      <w:hyperlink w:anchor="_Toc102036876" w:history="1">
        <w:r w:rsidR="008260D3" w:rsidRPr="00D10AE0">
          <w:rPr>
            <w:rStyle w:val="Hyperlink"/>
            <w:noProof/>
          </w:rPr>
          <w:t>Detailed analysis</w:t>
        </w:r>
        <w:r w:rsidR="008260D3">
          <w:rPr>
            <w:noProof/>
            <w:webHidden/>
          </w:rPr>
          <w:tab/>
        </w:r>
        <w:r w:rsidR="008260D3">
          <w:rPr>
            <w:noProof/>
            <w:webHidden/>
          </w:rPr>
          <w:fldChar w:fldCharType="begin"/>
        </w:r>
        <w:r w:rsidR="008260D3">
          <w:rPr>
            <w:noProof/>
            <w:webHidden/>
          </w:rPr>
          <w:instrText xml:space="preserve"> PAGEREF _Toc102036876 \h </w:instrText>
        </w:r>
        <w:r w:rsidR="008260D3">
          <w:rPr>
            <w:noProof/>
            <w:webHidden/>
          </w:rPr>
        </w:r>
        <w:r w:rsidR="008260D3">
          <w:rPr>
            <w:noProof/>
            <w:webHidden/>
          </w:rPr>
          <w:fldChar w:fldCharType="separate"/>
        </w:r>
        <w:r w:rsidR="008260D3">
          <w:rPr>
            <w:noProof/>
            <w:webHidden/>
          </w:rPr>
          <w:t>4</w:t>
        </w:r>
        <w:r w:rsidR="008260D3">
          <w:rPr>
            <w:noProof/>
            <w:webHidden/>
          </w:rPr>
          <w:fldChar w:fldCharType="end"/>
        </w:r>
      </w:hyperlink>
    </w:p>
    <w:p w14:paraId="4643874B" w14:textId="590FF98A" w:rsidR="008260D3" w:rsidRDefault="004133EA">
      <w:pPr>
        <w:pStyle w:val="TOC1"/>
        <w:tabs>
          <w:tab w:val="right" w:leader="dot" w:pos="9016"/>
        </w:tabs>
        <w:rPr>
          <w:rFonts w:asciiTheme="minorHAnsi" w:eastAsiaTheme="minorEastAsia" w:hAnsiTheme="minorHAnsi"/>
          <w:noProof/>
          <w:color w:val="auto"/>
          <w:lang w:eastAsia="en-NZ"/>
        </w:rPr>
      </w:pPr>
      <w:hyperlink w:anchor="_Toc102036877" w:history="1">
        <w:r w:rsidR="008260D3" w:rsidRPr="00D10AE0">
          <w:rPr>
            <w:rStyle w:val="Hyperlink"/>
            <w:noProof/>
          </w:rPr>
          <w:t>About this document</w:t>
        </w:r>
        <w:r w:rsidR="008260D3">
          <w:rPr>
            <w:noProof/>
            <w:webHidden/>
          </w:rPr>
          <w:tab/>
        </w:r>
        <w:r w:rsidR="008260D3">
          <w:rPr>
            <w:noProof/>
            <w:webHidden/>
          </w:rPr>
          <w:fldChar w:fldCharType="begin"/>
        </w:r>
        <w:r w:rsidR="008260D3">
          <w:rPr>
            <w:noProof/>
            <w:webHidden/>
          </w:rPr>
          <w:instrText xml:space="preserve"> PAGEREF _Toc102036877 \h </w:instrText>
        </w:r>
        <w:r w:rsidR="008260D3">
          <w:rPr>
            <w:noProof/>
            <w:webHidden/>
          </w:rPr>
        </w:r>
        <w:r w:rsidR="008260D3">
          <w:rPr>
            <w:noProof/>
            <w:webHidden/>
          </w:rPr>
          <w:fldChar w:fldCharType="separate"/>
        </w:r>
        <w:r w:rsidR="008260D3">
          <w:rPr>
            <w:noProof/>
            <w:webHidden/>
          </w:rPr>
          <w:t>25</w:t>
        </w:r>
        <w:r w:rsidR="008260D3">
          <w:rPr>
            <w:noProof/>
            <w:webHidden/>
          </w:rPr>
          <w:fldChar w:fldCharType="end"/>
        </w:r>
      </w:hyperlink>
    </w:p>
    <w:p w14:paraId="034FC2F5" w14:textId="27AA2B87" w:rsidR="00313168" w:rsidRDefault="00AD150B" w:rsidP="00AD150B">
      <w:pPr>
        <w:pStyle w:val="NoNumberHeading1"/>
        <w:rPr>
          <w:rFonts w:ascii="Segoe UI Semibold" w:eastAsiaTheme="minorHAnsi" w:hAnsi="Segoe UI Semibold" w:cstheme="minorBidi"/>
          <w:sz w:val="21"/>
          <w:szCs w:val="22"/>
        </w:rPr>
      </w:pPr>
      <w:r>
        <w:rPr>
          <w:rFonts w:ascii="Segoe UI Semibold" w:eastAsiaTheme="minorHAnsi" w:hAnsi="Segoe UI Semibold" w:cstheme="minorBidi"/>
          <w:sz w:val="21"/>
          <w:szCs w:val="22"/>
        </w:rPr>
        <w:fldChar w:fldCharType="end"/>
      </w:r>
    </w:p>
    <w:p w14:paraId="640D80E9" w14:textId="552D1C81" w:rsidR="000B1C2F" w:rsidRDefault="000B1C2F">
      <w:pPr>
        <w:spacing w:before="0" w:line="259" w:lineRule="auto"/>
        <w:rPr>
          <w:rFonts w:ascii="Segoe UI Black" w:eastAsiaTheme="majorEastAsia" w:hAnsi="Segoe UI Black" w:cstheme="majorBidi"/>
          <w:color w:val="0D8390"/>
          <w:sz w:val="36"/>
          <w:szCs w:val="32"/>
        </w:rPr>
      </w:pPr>
      <w:r>
        <w:br w:type="page"/>
      </w:r>
    </w:p>
    <w:p w14:paraId="47FD2186" w14:textId="33B1DE4F" w:rsidR="00C34930" w:rsidRDefault="002F34EE" w:rsidP="00E22DBF">
      <w:pPr>
        <w:pStyle w:val="NoNumberHeading1"/>
      </w:pPr>
      <w:bookmarkStart w:id="2" w:name="_Toc102036872"/>
      <w:r>
        <w:lastRenderedPageBreak/>
        <w:t>Fair dividend rate</w:t>
      </w:r>
      <w:r w:rsidR="00C34930" w:rsidRPr="00C34930">
        <w:t xml:space="preserve"> foreign currency </w:t>
      </w:r>
      <w:r w:rsidR="00316CC1">
        <w:t>hedges</w:t>
      </w:r>
      <w:bookmarkEnd w:id="2"/>
    </w:p>
    <w:p w14:paraId="435931D6" w14:textId="6D465C23" w:rsidR="00863A06" w:rsidRPr="00920ECF" w:rsidRDefault="00DD6E9B" w:rsidP="00C178B6">
      <w:pPr>
        <w:rPr>
          <w:i/>
          <w:iCs/>
        </w:rPr>
      </w:pPr>
      <w:r>
        <w:rPr>
          <w:i/>
          <w:iCs/>
        </w:rPr>
        <w:t xml:space="preserve">Sections EM1, </w:t>
      </w:r>
      <w:r w:rsidR="00F816CB">
        <w:rPr>
          <w:i/>
          <w:iCs/>
        </w:rPr>
        <w:t xml:space="preserve">EM 2, </w:t>
      </w:r>
      <w:r w:rsidR="00055D31">
        <w:rPr>
          <w:i/>
          <w:iCs/>
        </w:rPr>
        <w:t>EM 3, EM 4, EM 5, EM 5B, EM 6, EM 7, EM 8</w:t>
      </w:r>
      <w:r w:rsidR="00920ECF">
        <w:rPr>
          <w:i/>
          <w:iCs/>
        </w:rPr>
        <w:t xml:space="preserve"> of the Income Tax Act 2007</w:t>
      </w:r>
    </w:p>
    <w:p w14:paraId="029636C5" w14:textId="3D2B7976" w:rsidR="00BF700A" w:rsidDel="001C1114" w:rsidRDefault="00391C15" w:rsidP="00C178B6">
      <w:r w:rsidDel="001C1114">
        <w:t>Technical amendments have been made to the</w:t>
      </w:r>
      <w:r w:rsidR="00F816CB">
        <w:t xml:space="preserve"> </w:t>
      </w:r>
      <w:r w:rsidR="00D578C8">
        <w:t xml:space="preserve">rules for </w:t>
      </w:r>
      <w:r w:rsidR="00A17E86">
        <w:t>hedging of foreign currency movement in Austra</w:t>
      </w:r>
      <w:r w:rsidR="00DB6A35">
        <w:t xml:space="preserve">lian </w:t>
      </w:r>
      <w:r w:rsidR="00861EF9">
        <w:t>non-attributing shares and attri</w:t>
      </w:r>
      <w:r w:rsidR="00374152">
        <w:t xml:space="preserve">buting FDR method interests </w:t>
      </w:r>
      <w:r w:rsidR="00F816CB">
        <w:t>(</w:t>
      </w:r>
      <w:r w:rsidR="00490A9E">
        <w:t>the</w:t>
      </w:r>
      <w:r>
        <w:t xml:space="preserve"> </w:t>
      </w:r>
      <w:r w:rsidDel="001C1114">
        <w:t>FDR FX hedges</w:t>
      </w:r>
      <w:r w:rsidR="00374152">
        <w:t xml:space="preserve"> rules</w:t>
      </w:r>
      <w:r w:rsidR="00F816CB">
        <w:t>)</w:t>
      </w:r>
      <w:r w:rsidDel="001C1114">
        <w:t xml:space="preserve"> </w:t>
      </w:r>
      <w:r w:rsidR="00374152">
        <w:t xml:space="preserve">in subpart EM of the Income Tax Act 2007 </w:t>
      </w:r>
      <w:r w:rsidDel="001C1114">
        <w:t xml:space="preserve">to improve their functionality from a practical perspective and </w:t>
      </w:r>
      <w:r w:rsidR="006C642B">
        <w:t xml:space="preserve">to </w:t>
      </w:r>
      <w:r w:rsidDel="001C1114">
        <w:t>reduce compliance costs for investors with large numbers of hedges.</w:t>
      </w:r>
    </w:p>
    <w:p w14:paraId="57BFDD8F" w14:textId="236E1EEC" w:rsidR="00BF700A" w:rsidDel="001C1114" w:rsidRDefault="00BF700A" w:rsidP="00C178B6">
      <w:pPr>
        <w:pStyle w:val="NoNumberHeading2"/>
      </w:pPr>
      <w:bookmarkStart w:id="3" w:name="_Toc102036873"/>
      <w:r w:rsidDel="001C1114">
        <w:t>Background</w:t>
      </w:r>
      <w:bookmarkEnd w:id="3"/>
    </w:p>
    <w:p w14:paraId="160C8C50" w14:textId="47E05B37" w:rsidR="00273DB1" w:rsidRDefault="00273DB1" w:rsidP="00C178B6">
      <w:r>
        <w:t xml:space="preserve">When a person invests into an offshore asset, changes in the exchange rate can affect the value of the person’s investment when it is converted back to New Zealand dollars (NZD). Therefore, many people who invest offshore enter arrangements to protect themselves from exchange rate changes. These arrangements are referred to as foreign currency hedges. </w:t>
      </w:r>
      <w:r w:rsidR="002F2BB3">
        <w:t>C</w:t>
      </w:r>
      <w:r>
        <w:t xml:space="preserve">hanges in the hedge’s value due to movements in the exchange rate </w:t>
      </w:r>
      <w:r w:rsidR="002F2BB3">
        <w:t xml:space="preserve">are intended to </w:t>
      </w:r>
      <w:r>
        <w:t xml:space="preserve">offset changes in the value of the </w:t>
      </w:r>
      <w:r w:rsidR="002874F9">
        <w:t>hedged</w:t>
      </w:r>
      <w:r>
        <w:t xml:space="preserve"> foreign assets due to those same exchange rate movements.</w:t>
      </w:r>
      <w:r w:rsidR="00375B41">
        <w:t xml:space="preserve"> </w:t>
      </w:r>
      <w:r w:rsidR="00B008C7">
        <w:t xml:space="preserve">This allows an investor to </w:t>
      </w:r>
      <w:r w:rsidR="00BD3C5A">
        <w:t>gain exposure to the economic performance of the hedged asset only, without a corresponding exposure to the currency that asset is denominated in.</w:t>
      </w:r>
    </w:p>
    <w:p w14:paraId="23A624DC" w14:textId="554850ED" w:rsidR="00273DB1" w:rsidRDefault="00273DB1" w:rsidP="00C178B6">
      <w:r>
        <w:t xml:space="preserve">A tax mismatch arises when a person hedges an investment taxed under the fair dividend rate (FDR) method. This is because, under the FDR method, changes in an asset’s value are not taxed. Instead, FDR assets are </w:t>
      </w:r>
      <w:r w:rsidR="007A428D">
        <w:t>deemed t</w:t>
      </w:r>
      <w:r w:rsidR="000652A1">
        <w:t>o return income equal to</w:t>
      </w:r>
      <w:r>
        <w:t xml:space="preserve"> five percent of the asset’s market value at the start of the period. Conversely, changes in a hedge’s value are fully taxed under the financial </w:t>
      </w:r>
      <w:proofErr w:type="gramStart"/>
      <w:r>
        <w:t>arrangements</w:t>
      </w:r>
      <w:proofErr w:type="gramEnd"/>
      <w:r>
        <w:t xml:space="preserve"> rules. This mismatch in tax treatment means that a hedge that is effective in removing the impact of unexpected currency fluctuations before tax ceases to be effective after tax.</w:t>
      </w:r>
    </w:p>
    <w:p w14:paraId="37E0D2E1" w14:textId="6239DF49" w:rsidR="00273DB1" w:rsidRDefault="00273DB1" w:rsidP="00C178B6">
      <w:r>
        <w:t xml:space="preserve">While taxpayers can attempt to hedge effectively on an after-tax basis, this is often not practical, especially when the taxpayer is taxed based on </w:t>
      </w:r>
      <w:r w:rsidR="000652A1">
        <w:t>its</w:t>
      </w:r>
      <w:r>
        <w:t xml:space="preserve"> investors’ marginal rates (for example, portfolio investment entities (PIEs)</w:t>
      </w:r>
      <w:r w:rsidR="00CB18B7">
        <w:t>,</w:t>
      </w:r>
      <w:r>
        <w:t xml:space="preserve"> which are prevalent in the managed fund</w:t>
      </w:r>
      <w:r w:rsidR="00CA572B">
        <w:t>s</w:t>
      </w:r>
      <w:r>
        <w:t xml:space="preserve"> industry). It also increases the hedging transaction costs for an investor.</w:t>
      </w:r>
    </w:p>
    <w:p w14:paraId="1442006E" w14:textId="7A7BEF1E" w:rsidR="00375B41" w:rsidRDefault="00425724" w:rsidP="00C178B6">
      <w:r>
        <w:t xml:space="preserve">The </w:t>
      </w:r>
      <w:r w:rsidR="00273DB1">
        <w:t xml:space="preserve">FDR FX hedges rules </w:t>
      </w:r>
      <w:r w:rsidR="00600566">
        <w:t xml:space="preserve">in subpart EM of the Income Tax Act 2007 </w:t>
      </w:r>
      <w:r w:rsidR="00273DB1">
        <w:t>were introduced in 2013 with the policy intent of eliminating this mismatch in the tax treatment of foreign currency hedges and hedged offshore assets. The rules are optional and allow a taxpayer to calculate tax on a foreign currency hedge on the same basis as the hedged offshore asset – by imputing taxable income of five percent of a hedge’s opening market value.</w:t>
      </w:r>
    </w:p>
    <w:p w14:paraId="40E85300" w14:textId="03BDB287" w:rsidR="00375B41" w:rsidRDefault="00273DB1" w:rsidP="00C178B6">
      <w:r>
        <w:lastRenderedPageBreak/>
        <w:t xml:space="preserve">The FDR FX hedges rules were designed </w:t>
      </w:r>
      <w:r w:rsidR="00873DE5">
        <w:t xml:space="preserve">both </w:t>
      </w:r>
      <w:r>
        <w:t xml:space="preserve">to ensure that FDR treatment </w:t>
      </w:r>
      <w:r w:rsidR="006A00E2">
        <w:t>is</w:t>
      </w:r>
      <w:r>
        <w:t xml:space="preserve"> not available for </w:t>
      </w:r>
      <w:r w:rsidR="00603807">
        <w:t>currency speculation</w:t>
      </w:r>
      <w:r>
        <w:t xml:space="preserve"> or hedges of non-eligible assets and to prevent manipulation. These risks were addressed by including appropriate restrictions in the </w:t>
      </w:r>
      <w:r w:rsidR="00CD3502">
        <w:t>rules</w:t>
      </w:r>
      <w:r>
        <w:t>. However, these restrictions impose</w:t>
      </w:r>
      <w:r w:rsidR="00773618">
        <w:t>d</w:t>
      </w:r>
      <w:r>
        <w:t xml:space="preserve"> burdensome compliance costs on taxpayers with large numbers of hedges</w:t>
      </w:r>
      <w:r w:rsidR="00082F60">
        <w:t>, and this</w:t>
      </w:r>
      <w:r>
        <w:t xml:space="preserve"> resulted in the rules being </w:t>
      </w:r>
      <w:r w:rsidR="00F90EB0">
        <w:t>unfeasible</w:t>
      </w:r>
      <w:r>
        <w:t xml:space="preserve"> to apply.</w:t>
      </w:r>
      <w:r w:rsidR="00E1337A">
        <w:t xml:space="preserve"> Further</w:t>
      </w:r>
      <w:r w:rsidR="006E2D40">
        <w:t>,</w:t>
      </w:r>
      <w:r w:rsidR="00F37656">
        <w:t xml:space="preserve"> </w:t>
      </w:r>
      <w:r w:rsidR="00BD2EE3">
        <w:t xml:space="preserve">some </w:t>
      </w:r>
      <w:r w:rsidR="00F90EB0">
        <w:t>practical</w:t>
      </w:r>
      <w:r w:rsidR="00BD2EE3">
        <w:t xml:space="preserve"> issues </w:t>
      </w:r>
      <w:r w:rsidR="00A56120">
        <w:t>had been identified</w:t>
      </w:r>
      <w:r w:rsidR="00BD2EE3">
        <w:t xml:space="preserve"> that</w:t>
      </w:r>
      <w:r w:rsidR="00E861B5">
        <w:t xml:space="preserve"> </w:t>
      </w:r>
      <w:r w:rsidR="00FF1D49">
        <w:t>needed to be addressed.</w:t>
      </w:r>
    </w:p>
    <w:p w14:paraId="2A7CF03F" w14:textId="4147091B" w:rsidR="00A400ED" w:rsidRDefault="006A18AD" w:rsidP="00C178B6">
      <w:r>
        <w:t>A</w:t>
      </w:r>
      <w:r w:rsidR="00A400ED">
        <w:t>mendments have</w:t>
      </w:r>
      <w:r w:rsidR="00D41D9C">
        <w:t xml:space="preserve"> therefore</w:t>
      </w:r>
      <w:r w:rsidR="00A400ED">
        <w:t xml:space="preserve"> been made to the FDR FX hedges rules to reduce compliance costs for investors with large numbers of hedges</w:t>
      </w:r>
      <w:r w:rsidR="00BD2EE3">
        <w:t xml:space="preserve"> and</w:t>
      </w:r>
      <w:r w:rsidR="008D5AD3">
        <w:t xml:space="preserve"> to </w:t>
      </w:r>
      <w:r>
        <w:t>improve the</w:t>
      </w:r>
      <w:r w:rsidR="009D0811">
        <w:t>ir</w:t>
      </w:r>
      <w:r>
        <w:t xml:space="preserve"> functionality</w:t>
      </w:r>
      <w:r w:rsidR="008D5AD3">
        <w:t>.</w:t>
      </w:r>
    </w:p>
    <w:p w14:paraId="5A2B3F1E" w14:textId="37500356" w:rsidR="00375B41" w:rsidRDefault="006B741E" w:rsidP="00C178B6">
      <w:r>
        <w:t xml:space="preserve">Note, </w:t>
      </w:r>
      <w:r w:rsidR="000D7B47">
        <w:t xml:space="preserve">this </w:t>
      </w:r>
      <w:r w:rsidR="001B51D3" w:rsidRPr="00B40F93">
        <w:rPr>
          <w:iCs/>
        </w:rPr>
        <w:t>s</w:t>
      </w:r>
      <w:r w:rsidR="000D7B47" w:rsidRPr="00B40F93">
        <w:rPr>
          <w:iCs/>
        </w:rPr>
        <w:t xml:space="preserve">pecial </w:t>
      </w:r>
      <w:r w:rsidR="001B51D3" w:rsidRPr="00B40F93">
        <w:rPr>
          <w:iCs/>
        </w:rPr>
        <w:t>r</w:t>
      </w:r>
      <w:r w:rsidR="000D7B47" w:rsidRPr="00B40F93">
        <w:rPr>
          <w:iCs/>
        </w:rPr>
        <w:t>eport</w:t>
      </w:r>
      <w:r w:rsidR="000D7B47">
        <w:t xml:space="preserve"> only </w:t>
      </w:r>
      <w:r w:rsidR="00D60C7F">
        <w:t>discusses</w:t>
      </w:r>
      <w:r w:rsidR="000D7B47">
        <w:t xml:space="preserve"> </w:t>
      </w:r>
      <w:r>
        <w:t xml:space="preserve">the </w:t>
      </w:r>
      <w:r w:rsidR="000D7B47">
        <w:t xml:space="preserve">amendments made to the rules by </w:t>
      </w:r>
      <w:r w:rsidR="00DE13C8">
        <w:t xml:space="preserve">the </w:t>
      </w:r>
      <w:r w:rsidR="000D7B47">
        <w:t>Taxation (Annual Rates for 2021-22, GST and Remedial Matters) Act</w:t>
      </w:r>
      <w:r w:rsidR="00DE13C8">
        <w:t xml:space="preserve"> 2022</w:t>
      </w:r>
      <w:r w:rsidR="002301B0">
        <w:t xml:space="preserve">. Please refer to </w:t>
      </w:r>
      <w:r w:rsidRPr="000F1273">
        <w:rPr>
          <w:i/>
          <w:iCs/>
        </w:rPr>
        <w:t>Tax Information Bulletin</w:t>
      </w:r>
      <w:r>
        <w:t xml:space="preserve"> Vol 25, No 9, October 2013</w:t>
      </w:r>
      <w:r w:rsidR="00020FF8">
        <w:t xml:space="preserve">, pp </w:t>
      </w:r>
      <w:r w:rsidR="006E5989">
        <w:t>47-51</w:t>
      </w:r>
      <w:r>
        <w:t xml:space="preserve"> </w:t>
      </w:r>
      <w:r w:rsidR="00CE2011">
        <w:t>for a full discussion of</w:t>
      </w:r>
      <w:r>
        <w:t xml:space="preserve"> the rules</w:t>
      </w:r>
      <w:r w:rsidR="00332CCF">
        <w:t>.</w:t>
      </w:r>
    </w:p>
    <w:p w14:paraId="7F5A96FF" w14:textId="260A286E" w:rsidR="00BF700A" w:rsidRDefault="00BF700A" w:rsidP="00C178B6">
      <w:pPr>
        <w:pStyle w:val="NoNumberHeading2"/>
      </w:pPr>
      <w:bookmarkStart w:id="4" w:name="_Toc102036874"/>
      <w:r>
        <w:t>Key features</w:t>
      </w:r>
      <w:bookmarkEnd w:id="4"/>
    </w:p>
    <w:p w14:paraId="62F3DBC3" w14:textId="6FEFBAF2" w:rsidR="000E4849" w:rsidRDefault="000E4849" w:rsidP="00C178B6">
      <w:pPr>
        <w:pStyle w:val="Bullets"/>
        <w:numPr>
          <w:ilvl w:val="0"/>
          <w:numId w:val="0"/>
        </w:numPr>
      </w:pPr>
      <w:r>
        <w:t>The amendments</w:t>
      </w:r>
      <w:r w:rsidR="003347BD">
        <w:t xml:space="preserve"> to the FDR FX</w:t>
      </w:r>
      <w:r w:rsidR="0031548D">
        <w:t xml:space="preserve"> </w:t>
      </w:r>
      <w:proofErr w:type="gramStart"/>
      <w:r w:rsidR="0031548D">
        <w:t>hedges</w:t>
      </w:r>
      <w:proofErr w:type="gramEnd"/>
      <w:r w:rsidR="0031548D">
        <w:t xml:space="preserve"> rules</w:t>
      </w:r>
      <w:r>
        <w:t>:</w:t>
      </w:r>
    </w:p>
    <w:p w14:paraId="4042A13B" w14:textId="1F55C6B9" w:rsidR="000E4849" w:rsidRDefault="00ED6D98" w:rsidP="00C178B6">
      <w:pPr>
        <w:pStyle w:val="Bullets"/>
      </w:pPr>
      <w:r>
        <w:t>m</w:t>
      </w:r>
      <w:r w:rsidR="000E4849">
        <w:t>odify the second hedge-by</w:t>
      </w:r>
      <w:r w:rsidR="006F3823">
        <w:t>-</w:t>
      </w:r>
      <w:r w:rsidR="000E4849">
        <w:t>hedge method for determining the extent to which foreign currency hedges can be subject to FDR treatment (FDR hedge portions)</w:t>
      </w:r>
      <w:r w:rsidR="000568F1">
        <w:t xml:space="preserve"> in section EM 5</w:t>
      </w:r>
    </w:p>
    <w:p w14:paraId="573022A8" w14:textId="50736B09" w:rsidR="000E4849" w:rsidRDefault="00ED6D98" w:rsidP="00C178B6">
      <w:pPr>
        <w:pStyle w:val="Bullets"/>
      </w:pPr>
      <w:r>
        <w:t>s</w:t>
      </w:r>
      <w:r w:rsidR="000E4849">
        <w:t xml:space="preserve">pecify how the hedge-by-hedge methods for determining FDR hedge portions apply to a hedge of </w:t>
      </w:r>
      <w:r w:rsidR="006F3823">
        <w:t xml:space="preserve">a </w:t>
      </w:r>
      <w:r w:rsidR="000E4849">
        <w:t>hedge</w:t>
      </w:r>
      <w:r w:rsidR="00D51594">
        <w:rPr>
          <w:rStyle w:val="FootnoteReference"/>
        </w:rPr>
        <w:footnoteReference w:id="2"/>
      </w:r>
    </w:p>
    <w:p w14:paraId="6CAE7925" w14:textId="43A288BA" w:rsidR="000E4849" w:rsidRDefault="009243AD" w:rsidP="00C178B6">
      <w:pPr>
        <w:pStyle w:val="Bullets"/>
      </w:pPr>
      <w:r>
        <w:t>u</w:t>
      </w:r>
      <w:r w:rsidR="000E4849">
        <w:t>pdate the quarterly testing timing requirements for the hedge-by-hedge methods</w:t>
      </w:r>
    </w:p>
    <w:p w14:paraId="7C6A72C7" w14:textId="53023859" w:rsidR="000E4849" w:rsidRDefault="000D79D4" w:rsidP="00C178B6">
      <w:pPr>
        <w:pStyle w:val="Bullets"/>
      </w:pPr>
      <w:r>
        <w:t>i</w:t>
      </w:r>
      <w:r w:rsidR="000E4849">
        <w:t>ntroduce an optional new method (the portfolio method) for determining FDR hedge portions to allow taxpayers with significant hedging activity to apply the rules from a practical perspective</w:t>
      </w:r>
    </w:p>
    <w:p w14:paraId="1AC243B1" w14:textId="71A9D0AD" w:rsidR="000E4849" w:rsidRDefault="0029075B" w:rsidP="00C178B6">
      <w:pPr>
        <w:pStyle w:val="Bullets"/>
      </w:pPr>
      <w:r>
        <w:t>a</w:t>
      </w:r>
      <w:r w:rsidR="000E4849">
        <w:t>llow eligible hedges to continue to be subject to FDR treatment when there is a transfer of ownership of the assets of a fund or investor class</w:t>
      </w:r>
    </w:p>
    <w:p w14:paraId="29AB9978" w14:textId="09F2282B" w:rsidR="000E4849" w:rsidRDefault="0029075B" w:rsidP="00C178B6">
      <w:pPr>
        <w:pStyle w:val="Bullets"/>
      </w:pPr>
      <w:r>
        <w:t>a</w:t>
      </w:r>
      <w:r w:rsidR="000E4849">
        <w:t>llow eligible hedges to have no NZD leg</w:t>
      </w:r>
      <w:r>
        <w:t>,</w:t>
      </w:r>
      <w:r w:rsidR="000E4849">
        <w:t xml:space="preserve"> subject to certain requirements</w:t>
      </w:r>
    </w:p>
    <w:p w14:paraId="372B64F7" w14:textId="3876FAE2" w:rsidR="000E4849" w:rsidRDefault="0029075B" w:rsidP="00C178B6">
      <w:pPr>
        <w:pStyle w:val="Bullets"/>
      </w:pPr>
      <w:r>
        <w:t>i</w:t>
      </w:r>
      <w:r w:rsidR="000E4849">
        <w:t>ntroduce an optional look-through rule to allow taxpayers who hedge indirectly owned eligible assets to apply the rules</w:t>
      </w:r>
    </w:p>
    <w:p w14:paraId="16CD1F71" w14:textId="1A362C69" w:rsidR="000E4849" w:rsidRDefault="003D612A" w:rsidP="00C178B6">
      <w:pPr>
        <w:pStyle w:val="Bullets"/>
      </w:pPr>
      <w:r>
        <w:lastRenderedPageBreak/>
        <w:t>s</w:t>
      </w:r>
      <w:r w:rsidR="000E4849">
        <w:t>pecify how the formula for calculating FDR income from eligible hedges is applied to hedges entered and settled within a valuation period</w:t>
      </w:r>
      <w:r w:rsidR="0063094F">
        <w:t>, and</w:t>
      </w:r>
    </w:p>
    <w:p w14:paraId="563BDF02" w14:textId="2B526E8B" w:rsidR="000E4849" w:rsidRDefault="009344AF" w:rsidP="00C178B6">
      <w:pPr>
        <w:pStyle w:val="Bullets"/>
      </w:pPr>
      <w:r>
        <w:t>u</w:t>
      </w:r>
      <w:r w:rsidR="000E4849">
        <w:t xml:space="preserve">pdate the definition of </w:t>
      </w:r>
      <w:r w:rsidR="0063094F">
        <w:t>“</w:t>
      </w:r>
      <w:r w:rsidR="000E4849">
        <w:t>non-eligible assets</w:t>
      </w:r>
      <w:r w:rsidR="0063094F">
        <w:t>”</w:t>
      </w:r>
      <w:r w:rsidR="000E4849">
        <w:t xml:space="preserve"> </w:t>
      </w:r>
      <w:r w:rsidR="00CB6C4D">
        <w:t>by excluding</w:t>
      </w:r>
      <w:r w:rsidR="000E4849">
        <w:t xml:space="preserve"> </w:t>
      </w:r>
      <w:r w:rsidR="002F3ACD">
        <w:t xml:space="preserve">from the definition </w:t>
      </w:r>
      <w:r w:rsidR="000E4849">
        <w:t>eligible hedges, certain foreign cash assets, and New Zealand securities listed on foreign exchanges and denominated in foreign currencies to the extent that no foreign currency hedges have been entered to hedge these assets.</w:t>
      </w:r>
    </w:p>
    <w:p w14:paraId="6DEA530F" w14:textId="031B685C" w:rsidR="00BF700A" w:rsidRDefault="00BF700A" w:rsidP="00C178B6">
      <w:pPr>
        <w:pStyle w:val="NoNumberHeading2"/>
      </w:pPr>
      <w:bookmarkStart w:id="5" w:name="_Toc102036875"/>
      <w:r>
        <w:t>Application date</w:t>
      </w:r>
      <w:bookmarkEnd w:id="5"/>
    </w:p>
    <w:p w14:paraId="51814622" w14:textId="14679F65" w:rsidR="0008775F" w:rsidRDefault="00BF700A" w:rsidP="00C178B6">
      <w:r>
        <w:t xml:space="preserve">The amendments </w:t>
      </w:r>
      <w:r w:rsidR="00673E78">
        <w:t>apply from</w:t>
      </w:r>
      <w:r>
        <w:t xml:space="preserve"> </w:t>
      </w:r>
      <w:r w:rsidR="00F1624C">
        <w:t>1 April 2022.</w:t>
      </w:r>
    </w:p>
    <w:p w14:paraId="0D5742A3" w14:textId="77777777" w:rsidR="00375B41" w:rsidRDefault="0008775F" w:rsidP="00C178B6">
      <w:pPr>
        <w:pStyle w:val="NoNumberHeading2"/>
      </w:pPr>
      <w:bookmarkStart w:id="6" w:name="_Toc102036876"/>
      <w:r w:rsidRPr="000B1C2F">
        <w:t>Detailed analysis</w:t>
      </w:r>
      <w:bookmarkEnd w:id="6"/>
    </w:p>
    <w:p w14:paraId="6336D054" w14:textId="1436974E" w:rsidR="006227A9" w:rsidRPr="006227A9" w:rsidRDefault="00C03996" w:rsidP="00C178B6">
      <w:r>
        <w:t>A</w:t>
      </w:r>
      <w:r w:rsidR="004648B7" w:rsidRPr="004648B7">
        <w:t>mendments have been made to the FDR FX hedges rules to reduce compliance costs for taxpayers that enter large numbers of hedges and to improve the functionality of the rules from a practical perspective. The specific changes are detailed below.</w:t>
      </w:r>
    </w:p>
    <w:p w14:paraId="52645B00" w14:textId="665A9173" w:rsidR="00751C55" w:rsidRPr="00751C55" w:rsidRDefault="00B40BE5" w:rsidP="00E47FE2">
      <w:pPr>
        <w:pStyle w:val="NoNumberHeading3"/>
      </w:pPr>
      <w:r>
        <w:t>Modification to second h</w:t>
      </w:r>
      <w:r w:rsidR="00751C55" w:rsidRPr="00751C55">
        <w:t>edge-by-hedge method</w:t>
      </w:r>
      <w:r w:rsidR="002D2FFC">
        <w:t xml:space="preserve"> (</w:t>
      </w:r>
      <w:r w:rsidR="00751C55" w:rsidRPr="00751C55">
        <w:t>s</w:t>
      </w:r>
      <w:r w:rsidR="002F1D00">
        <w:t>ections EM 5(9)–(10</w:t>
      </w:r>
      <w:r w:rsidR="003A2195">
        <w:t>D))</w:t>
      </w:r>
    </w:p>
    <w:p w14:paraId="6F03FAD2" w14:textId="191C9D8A" w:rsidR="00751C55" w:rsidRPr="00744870" w:rsidRDefault="00364A61" w:rsidP="00C178B6">
      <w:r>
        <w:t>Section EM 5</w:t>
      </w:r>
      <w:r w:rsidR="00751C55" w:rsidRPr="00744870">
        <w:t xml:space="preserve"> include</w:t>
      </w:r>
      <w:r w:rsidR="00F50A2A">
        <w:t>s</w:t>
      </w:r>
      <w:r w:rsidR="00751C55" w:rsidRPr="00744870">
        <w:t xml:space="preserve"> two alternative methods that a taxpayer can choose from to determine the maximum</w:t>
      </w:r>
      <w:r w:rsidR="00D8344F">
        <w:rPr>
          <w:rStyle w:val="FootnoteReference"/>
        </w:rPr>
        <w:footnoteReference w:id="3"/>
      </w:r>
      <w:r w:rsidR="00751C55" w:rsidRPr="00744870">
        <w:t xml:space="preserve"> </w:t>
      </w:r>
      <w:r w:rsidR="00AF19A4">
        <w:t>FDR</w:t>
      </w:r>
      <w:r w:rsidR="00751C55" w:rsidRPr="00744870">
        <w:t xml:space="preserve"> hedge portion on a hedge-by-hedge basis. </w:t>
      </w:r>
      <w:r w:rsidR="00850E98">
        <w:t xml:space="preserve">The FDR hedge portion is the amount of an eligible foreign currency hedge that </w:t>
      </w:r>
      <w:r w:rsidR="00A86BC7">
        <w:t>is</w:t>
      </w:r>
      <w:r w:rsidR="00850E98">
        <w:t xml:space="preserve"> subject to FDR treatment. </w:t>
      </w:r>
      <w:r w:rsidR="00C7063C">
        <w:t>Both t</w:t>
      </w:r>
      <w:r w:rsidR="00751C55" w:rsidRPr="00744870">
        <w:t>hese methods ensure the amount of a taxpayer’s eligible hedges that can be subject to FDR treatment does not exceed the value of their hedged eligible assets.</w:t>
      </w:r>
    </w:p>
    <w:p w14:paraId="32DF2E55" w14:textId="71E62B83" w:rsidR="00375B41" w:rsidRDefault="00751C55" w:rsidP="00C178B6">
      <w:r w:rsidRPr="00CE33B6">
        <w:t>The second of these two hedge-by-hedge methods</w:t>
      </w:r>
      <w:r w:rsidR="00BE5A25">
        <w:t xml:space="preserve"> for calculating FDR hedge portions</w:t>
      </w:r>
      <w:r w:rsidRPr="00CE33B6">
        <w:t xml:space="preserve"> </w:t>
      </w:r>
      <w:r w:rsidR="003939C9">
        <w:t xml:space="preserve">is </w:t>
      </w:r>
      <w:r w:rsidR="00DF7982">
        <w:t xml:space="preserve">now </w:t>
      </w:r>
      <w:r w:rsidR="003939C9">
        <w:t xml:space="preserve">contained </w:t>
      </w:r>
      <w:r w:rsidRPr="00CE33B6">
        <w:t>in sections</w:t>
      </w:r>
      <w:r w:rsidR="004E7CD2">
        <w:t> </w:t>
      </w:r>
      <w:r w:rsidRPr="00CE33B6">
        <w:t>EM</w:t>
      </w:r>
      <w:r w:rsidR="004E7CD2">
        <w:t> </w:t>
      </w:r>
      <w:r w:rsidRPr="00CE33B6">
        <w:t>5(9) to EM</w:t>
      </w:r>
      <w:r w:rsidR="004E7CD2">
        <w:t> </w:t>
      </w:r>
      <w:r w:rsidRPr="00CE33B6">
        <w:t>5(10D)</w:t>
      </w:r>
      <w:r w:rsidR="004E7CD2">
        <w:t>.</w:t>
      </w:r>
      <w:r w:rsidRPr="00CE33B6">
        <w:t xml:space="preserve"> </w:t>
      </w:r>
      <w:r w:rsidR="004E7CD2">
        <w:t>Th</w:t>
      </w:r>
      <w:r w:rsidR="00BA5518">
        <w:t>e</w:t>
      </w:r>
      <w:r w:rsidR="004E7CD2">
        <w:t xml:space="preserve"> </w:t>
      </w:r>
      <w:r w:rsidR="00BA5518">
        <w:t xml:space="preserve">amended </w:t>
      </w:r>
      <w:r w:rsidR="004E7CD2">
        <w:t>method</w:t>
      </w:r>
      <w:r w:rsidR="004C539E">
        <w:t xml:space="preserve"> now</w:t>
      </w:r>
      <w:r w:rsidRPr="00CE33B6">
        <w:t xml:space="preserve"> ensure</w:t>
      </w:r>
      <w:r w:rsidR="004C539E">
        <w:t>s</w:t>
      </w:r>
      <w:r w:rsidRPr="00CE33B6">
        <w:t xml:space="preserve"> that its application does not always result in an FDR hedge portion of less than 100% when a taxpayer’s non-eligible assets are already fully hedged.</w:t>
      </w:r>
    </w:p>
    <w:p w14:paraId="72A1B04D" w14:textId="77777777" w:rsidR="00954BA9" w:rsidRDefault="00954BA9">
      <w:pPr>
        <w:spacing w:before="0" w:line="259" w:lineRule="auto"/>
      </w:pPr>
      <w:r>
        <w:br w:type="page"/>
      </w:r>
    </w:p>
    <w:p w14:paraId="30FB8735" w14:textId="6D911A0F" w:rsidR="00040A0D" w:rsidRDefault="003A0340" w:rsidP="00C178B6">
      <w:r>
        <w:lastRenderedPageBreak/>
        <w:t>Th</w:t>
      </w:r>
      <w:r w:rsidR="00C14575">
        <w:t>e</w:t>
      </w:r>
      <w:r>
        <w:t xml:space="preserve"> </w:t>
      </w:r>
      <w:r w:rsidR="00C14575">
        <w:t xml:space="preserve">second hedge-by-hedge </w:t>
      </w:r>
      <w:r>
        <w:t xml:space="preserve">method uses the following formula </w:t>
      </w:r>
      <w:r w:rsidR="00F11D07">
        <w:t xml:space="preserve">in section EM 5(9) </w:t>
      </w:r>
      <w:r>
        <w:t>to cal</w:t>
      </w:r>
      <w:r w:rsidR="004E2F1D">
        <w:t xml:space="preserve">culate </w:t>
      </w:r>
      <w:r w:rsidR="00962FC5">
        <w:t xml:space="preserve">the </w:t>
      </w:r>
      <w:r w:rsidR="006943F5">
        <w:t xml:space="preserve">maximum </w:t>
      </w:r>
      <w:r w:rsidR="00962FC5">
        <w:t>FDR hedge portion</w:t>
      </w:r>
      <w:r w:rsidR="00043F94">
        <w:t xml:space="preserve"> for a person’s eligible hedge</w:t>
      </w:r>
      <w:r w:rsidR="00811735">
        <w:t xml:space="preserve"> (the calculation hedge)</w:t>
      </w:r>
      <w:r w:rsidR="00962FC5">
        <w:t>:</w:t>
      </w:r>
    </w:p>
    <w:p w14:paraId="6D7B4079" w14:textId="63AD277A" w:rsidR="00471B00" w:rsidRDefault="001F2012" w:rsidP="00B40F93">
      <w:pPr>
        <w:jc w:val="both"/>
      </w:pPr>
      <m:oMathPara>
        <m:oMath>
          <m:r>
            <m:rPr>
              <m:sty m:val="p"/>
            </m:rPr>
            <w:rPr>
              <w:rFonts w:ascii="Cambria Math" w:hAnsi="Cambria Math"/>
            </w:rPr>
            <m:t>FDR gross amount × (</m:t>
          </m:r>
          <m:f>
            <m:fPr>
              <m:ctrlPr>
                <w:rPr>
                  <w:rFonts w:ascii="Cambria Math" w:hAnsi="Cambria Math"/>
                </w:rPr>
              </m:ctrlPr>
            </m:fPr>
            <m:num>
              <m:r>
                <m:rPr>
                  <m:sty m:val="p"/>
                </m:rPr>
                <w:rPr>
                  <w:rFonts w:ascii="Cambria Math" w:hAnsi="Cambria Math"/>
                </w:rPr>
                <m:t xml:space="preserve">apportioned current hedge amount </m:t>
              </m:r>
            </m:num>
            <m:den>
              <m:r>
                <m:rPr>
                  <m:sty m:val="p"/>
                </m:rPr>
                <w:rPr>
                  <w:rFonts w:ascii="Cambria Math" w:hAnsi="Cambria Math"/>
                </w:rPr>
                <m:t>calculation hedge amount</m:t>
              </m:r>
            </m:den>
          </m:f>
          <m:r>
            <m:rPr>
              <m:sty m:val="p"/>
            </m:rPr>
            <w:rPr>
              <w:rFonts w:ascii="Cambria Math" w:hAnsi="Cambria Math"/>
            </w:rPr>
            <m:t>)</m:t>
          </m:r>
        </m:oMath>
      </m:oMathPara>
    </w:p>
    <w:p w14:paraId="37ABA5F7" w14:textId="77C5D333" w:rsidR="007F5A2F" w:rsidRDefault="006C737B" w:rsidP="00C178B6">
      <w:r>
        <w:t xml:space="preserve">The result of this calculation, expressed as a percentage, is </w:t>
      </w:r>
      <w:r w:rsidR="00F8448C">
        <w:t xml:space="preserve">the </w:t>
      </w:r>
      <w:r w:rsidR="007F5A2F">
        <w:t xml:space="preserve">maximum </w:t>
      </w:r>
      <w:r w:rsidR="00BE5815">
        <w:t>(or minimum for a hedge of a hedge)</w:t>
      </w:r>
      <w:r w:rsidR="007F5A2F">
        <w:t xml:space="preserve"> </w:t>
      </w:r>
      <w:r w:rsidR="00F8448C">
        <w:t>FDR hedge portion</w:t>
      </w:r>
      <w:r w:rsidR="008965AE">
        <w:t xml:space="preserve"> for the person’s eligible hedge.</w:t>
      </w:r>
    </w:p>
    <w:p w14:paraId="56532D55" w14:textId="736653D9" w:rsidR="00375B41" w:rsidRDefault="002A4986" w:rsidP="00C178B6">
      <w:r>
        <w:t>All calculations for this method must be performed in NZD.</w:t>
      </w:r>
      <w:r w:rsidR="00506727">
        <w:t xml:space="preserve"> It</w:t>
      </w:r>
      <w:r w:rsidR="00751C55" w:rsidRPr="00CE33B6">
        <w:t xml:space="preserve"> can be broken down into three steps.</w:t>
      </w:r>
    </w:p>
    <w:p w14:paraId="16EAA391" w14:textId="6726CB53" w:rsidR="00751C55" w:rsidRPr="00E83385" w:rsidRDefault="00751C55" w:rsidP="004E39A0">
      <w:pPr>
        <w:pStyle w:val="NoNumberHeading4"/>
      </w:pPr>
      <w:r w:rsidRPr="00E83385">
        <w:t>Step 1 – calculate the apportioned current hedge amount</w:t>
      </w:r>
    </w:p>
    <w:p w14:paraId="79DFFCC7" w14:textId="3B5FBC2F" w:rsidR="004930BE" w:rsidRDefault="00751C55" w:rsidP="00C178B6">
      <w:r w:rsidRPr="00CE33B6">
        <w:t xml:space="preserve">The first step is to calculate the </w:t>
      </w:r>
      <w:r w:rsidR="00CF4636">
        <w:t>“</w:t>
      </w:r>
      <w:r w:rsidRPr="00B40F93">
        <w:t>apportioned current hedge amount</w:t>
      </w:r>
      <w:r w:rsidR="00CF4636">
        <w:t>”</w:t>
      </w:r>
      <w:r w:rsidRPr="00CE33B6">
        <w:t xml:space="preserve">. </w:t>
      </w:r>
      <w:r w:rsidR="00EE11B2" w:rsidRPr="00CE33B6">
        <w:t>If the apportioned current hedge amount is zero, the FDR hedge portion will be zero and no further action is required.</w:t>
      </w:r>
    </w:p>
    <w:p w14:paraId="4291C200" w14:textId="72051789" w:rsidR="00751C55" w:rsidRPr="00CE33B6" w:rsidRDefault="00751C55" w:rsidP="00C178B6">
      <w:r w:rsidRPr="00CE33B6">
        <w:t>The purpose of this step is to allocate a hedge to non-eligible assets first.</w:t>
      </w:r>
    </w:p>
    <w:p w14:paraId="6CCC490C" w14:textId="4864D3C3" w:rsidR="00751C55" w:rsidRPr="00CE33B6" w:rsidRDefault="000741DF" w:rsidP="00C178B6">
      <w:pPr>
        <w:rPr>
          <w:rFonts w:cs="Segoe UI"/>
        </w:rPr>
      </w:pPr>
      <w:r>
        <w:rPr>
          <w:rFonts w:cs="Segoe UI"/>
        </w:rPr>
        <w:t>Under section EM 5(10D), t</w:t>
      </w:r>
      <w:r w:rsidR="00751C55" w:rsidRPr="00CE33B6">
        <w:rPr>
          <w:rFonts w:cs="Segoe UI"/>
        </w:rPr>
        <w:t>he</w:t>
      </w:r>
      <w:r w:rsidR="00751C55" w:rsidRPr="00CE33B6">
        <w:rPr>
          <w:rFonts w:cs="Segoe UI"/>
          <w:i/>
          <w:iCs/>
        </w:rPr>
        <w:t xml:space="preserve"> </w:t>
      </w:r>
      <w:r w:rsidR="00AD78E1">
        <w:rPr>
          <w:rFonts w:cs="Segoe UI"/>
        </w:rPr>
        <w:t>“</w:t>
      </w:r>
      <w:r w:rsidR="00751C55" w:rsidRPr="00F544A1">
        <w:rPr>
          <w:rFonts w:cs="Segoe UI"/>
        </w:rPr>
        <w:t>apportioned</w:t>
      </w:r>
      <w:r w:rsidR="00751C55" w:rsidRPr="00F544A1">
        <w:rPr>
          <w:rStyle w:val="Emphasis"/>
          <w:rFonts w:cs="Segoe UI"/>
          <w:i w:val="0"/>
          <w:iCs w:val="0"/>
        </w:rPr>
        <w:t xml:space="preserve"> current hedge amount</w:t>
      </w:r>
      <w:r w:rsidR="00AD78E1">
        <w:rPr>
          <w:rStyle w:val="Emphasis"/>
          <w:rFonts w:cs="Segoe UI"/>
          <w:i w:val="0"/>
          <w:iCs w:val="0"/>
        </w:rPr>
        <w:t>”</w:t>
      </w:r>
      <w:r w:rsidR="00751C55" w:rsidRPr="00666A44">
        <w:rPr>
          <w:rStyle w:val="Emphasis"/>
          <w:rFonts w:cs="Segoe UI"/>
          <w:i w:val="0"/>
          <w:iCs w:val="0"/>
        </w:rPr>
        <w:t xml:space="preserve"> is</w:t>
      </w:r>
      <w:r w:rsidR="00751C55" w:rsidRPr="00CE33B6">
        <w:rPr>
          <w:rStyle w:val="Emphasis"/>
          <w:rFonts w:cs="Segoe UI"/>
        </w:rPr>
        <w:t xml:space="preserve"> </w:t>
      </w:r>
      <w:r w:rsidR="00751C55" w:rsidRPr="00CE33B6">
        <w:rPr>
          <w:rFonts w:cs="Segoe UI"/>
        </w:rPr>
        <w:t>one of the following amounts:</w:t>
      </w:r>
    </w:p>
    <w:p w14:paraId="741B4366" w14:textId="332F994E" w:rsidR="00751C55" w:rsidRPr="00D87A0B" w:rsidRDefault="00751C55" w:rsidP="00AD78E1">
      <w:pPr>
        <w:pStyle w:val="Bullets"/>
      </w:pPr>
      <w:r w:rsidRPr="00D87A0B">
        <w:t>If the calculation hedge is not a hedge of a hedge, or is a hedge of a hedge and the second bullet point below does not apply, then the apportioned current hedge amount is the lesser of the following amounts:</w:t>
      </w:r>
    </w:p>
    <w:p w14:paraId="54F58B93" w14:textId="77777777" w:rsidR="00751C55" w:rsidRPr="00274CB3" w:rsidRDefault="00751C55" w:rsidP="00C178B6">
      <w:pPr>
        <w:pStyle w:val="ListParagraph"/>
        <w:numPr>
          <w:ilvl w:val="1"/>
          <w:numId w:val="12"/>
        </w:numPr>
        <w:jc w:val="left"/>
      </w:pPr>
      <w:r w:rsidRPr="00274CB3">
        <w:t>the amount of foreign currency hedged by the calculation hedge, and</w:t>
      </w:r>
    </w:p>
    <w:p w14:paraId="6AF8796A" w14:textId="77777777" w:rsidR="00751C55" w:rsidRPr="00274CB3" w:rsidRDefault="00751C55" w:rsidP="00C178B6">
      <w:pPr>
        <w:pStyle w:val="ListParagraph"/>
        <w:numPr>
          <w:ilvl w:val="1"/>
          <w:numId w:val="12"/>
        </w:numPr>
        <w:jc w:val="left"/>
      </w:pPr>
      <w:r w:rsidRPr="00274CB3">
        <w:t xml:space="preserve">the amount of foreign currency that is hedged by a person’s hedges including the calculation hedge </w:t>
      </w:r>
      <w:r w:rsidRPr="00274CB3">
        <w:rPr>
          <w:i/>
          <w:iCs/>
        </w:rPr>
        <w:t>less</w:t>
      </w:r>
      <w:r w:rsidRPr="00274CB3">
        <w:t xml:space="preserve"> the amount of foreign currency that is hedged by a person’s FDR hedge portions excluding the calculation hedge </w:t>
      </w:r>
      <w:r w:rsidRPr="00274CB3">
        <w:rPr>
          <w:i/>
          <w:iCs/>
        </w:rPr>
        <w:t>less</w:t>
      </w:r>
      <w:r w:rsidRPr="00274CB3">
        <w:t xml:space="preserve"> the total market value of a person’s non-eligible assets, treating a negative result as zero.</w:t>
      </w:r>
    </w:p>
    <w:p w14:paraId="5A8FD690" w14:textId="5410F7F7" w:rsidR="00986F41" w:rsidRPr="00CE33B6" w:rsidRDefault="00751C55" w:rsidP="00986F41">
      <w:pPr>
        <w:pStyle w:val="Bullets"/>
      </w:pPr>
      <w:r w:rsidRPr="00CE33B6">
        <w:t xml:space="preserve">If the calculation hedge is a hedge of a hedge and the amount of foreign currency that is hedged by a person’s FDR hedge portions excluding the calculation hedge </w:t>
      </w:r>
      <w:r w:rsidRPr="00E51B12">
        <w:rPr>
          <w:i/>
          <w:iCs/>
        </w:rPr>
        <w:t>plus</w:t>
      </w:r>
      <w:r w:rsidRPr="00CE33B6">
        <w:t xml:space="preserve"> the calculation hedge (treating </w:t>
      </w:r>
      <w:r>
        <w:t>a</w:t>
      </w:r>
      <w:r w:rsidRPr="00CE33B6">
        <w:t xml:space="preserve"> hedge of a hedge as a negative amount) </w:t>
      </w:r>
      <w:r w:rsidRPr="00540A73">
        <w:rPr>
          <w:i/>
          <w:iCs/>
        </w:rPr>
        <w:t>equals</w:t>
      </w:r>
      <w:r w:rsidRPr="00CE33B6">
        <w:t xml:space="preserve"> less than zero, then the apportioned current hedge amount is the negative of the amount of foreign currency that is hedged by a person’s FDR hedge portions excluding the calculation hedge.</w:t>
      </w:r>
    </w:p>
    <w:tbl>
      <w:tblPr>
        <w:tblStyle w:val="IR-Table-ParagraphHighlightStyle2"/>
        <w:tblW w:w="0" w:type="auto"/>
        <w:tblLook w:val="04A0" w:firstRow="1" w:lastRow="0" w:firstColumn="1" w:lastColumn="0" w:noHBand="0" w:noVBand="1"/>
      </w:tblPr>
      <w:tblGrid>
        <w:gridCol w:w="9016"/>
      </w:tblGrid>
      <w:tr w:rsidR="00190D1A" w14:paraId="55664EA1" w14:textId="77777777" w:rsidTr="0000367E">
        <w:tc>
          <w:tcPr>
            <w:tcW w:w="9016" w:type="dxa"/>
          </w:tcPr>
          <w:p w14:paraId="69E46DD5" w14:textId="77777777" w:rsidR="00190D1A" w:rsidRDefault="00190D1A" w:rsidP="00C178B6">
            <w:pPr>
              <w:rPr>
                <w:b/>
                <w:bCs/>
              </w:rPr>
            </w:pPr>
            <w:r w:rsidRPr="00830D2F">
              <w:rPr>
                <w:b/>
                <w:bCs/>
              </w:rPr>
              <w:lastRenderedPageBreak/>
              <w:t xml:space="preserve">Example </w:t>
            </w:r>
            <w:r w:rsidR="00D85DDF">
              <w:rPr>
                <w:b/>
                <w:bCs/>
              </w:rPr>
              <w:t>1</w:t>
            </w:r>
            <w:r w:rsidR="00ED672E">
              <w:rPr>
                <w:b/>
                <w:bCs/>
              </w:rPr>
              <w:t>: Apportioned current hedge amount of zero</w:t>
            </w:r>
            <w:r w:rsidR="0041757E">
              <w:rPr>
                <w:b/>
                <w:bCs/>
              </w:rPr>
              <w:t xml:space="preserve"> because hedge is allocated to non-eligible assets</w:t>
            </w:r>
          </w:p>
          <w:p w14:paraId="5C548A1B" w14:textId="5987396E" w:rsidR="00190D1A" w:rsidRDefault="00190D1A" w:rsidP="00C178B6">
            <w:r>
              <w:t xml:space="preserve">At the beginning of 1 </w:t>
            </w:r>
            <w:r w:rsidR="00804962">
              <w:t>April</w:t>
            </w:r>
            <w:r>
              <w:t xml:space="preserve"> 202</w:t>
            </w:r>
            <w:r w:rsidR="00015378">
              <w:t>3</w:t>
            </w:r>
            <w:r w:rsidR="00675708">
              <w:t>,</w:t>
            </w:r>
            <w:r w:rsidR="00BB6EA5">
              <w:t xml:space="preserve"> </w:t>
            </w:r>
            <w:r w:rsidR="00675708" w:rsidRPr="00C5695A">
              <w:rPr>
                <w:rFonts w:cs="Segoe UI"/>
                <w:iCs/>
                <w:lang w:eastAsia="en-NZ"/>
              </w:rPr>
              <w:t>Sterling Cooper</w:t>
            </w:r>
            <w:r w:rsidR="007B1093">
              <w:rPr>
                <w:rFonts w:cs="Segoe UI"/>
                <w:iCs/>
                <w:lang w:eastAsia="en-NZ"/>
              </w:rPr>
              <w:t xml:space="preserve"> </w:t>
            </w:r>
            <w:r>
              <w:t>Fund (</w:t>
            </w:r>
            <w:r w:rsidR="00675708" w:rsidRPr="00C5695A">
              <w:rPr>
                <w:rFonts w:cs="Segoe UI"/>
                <w:iCs/>
                <w:lang w:eastAsia="en-NZ"/>
              </w:rPr>
              <w:t>Sterling Cooper</w:t>
            </w:r>
            <w:r>
              <w:t>) has a portfolio of:</w:t>
            </w:r>
          </w:p>
          <w:p w14:paraId="32431A61" w14:textId="07BFC647" w:rsidR="00190D1A" w:rsidRDefault="00190D1A" w:rsidP="00FD01F6">
            <w:pPr>
              <w:pStyle w:val="Bullets"/>
            </w:pPr>
            <w:r>
              <w:t>US$35,000 of shares in US-based companies (eligible assets, worth NZ$70,000)</w:t>
            </w:r>
          </w:p>
          <w:p w14:paraId="5357DCA5" w14:textId="4F0E104C" w:rsidR="00190D1A" w:rsidRDefault="00190D1A" w:rsidP="00FD01F6">
            <w:pPr>
              <w:pStyle w:val="Bullets"/>
            </w:pPr>
            <w:r>
              <w:t>US$15,000 of share options (non-eligible assets, worth NZ$30,000)</w:t>
            </w:r>
          </w:p>
          <w:p w14:paraId="6CB884E0" w14:textId="6C9A7452" w:rsidR="00190D1A" w:rsidRDefault="00190D1A" w:rsidP="00FD01F6">
            <w:pPr>
              <w:pStyle w:val="Bullets"/>
            </w:pPr>
            <w:r>
              <w:t>A hedge of USD to NZD, with a foreign amount hedged of US$36,000 (equivalent to NZ$72,000). This hedge has an FDR hedge portion of 100%.</w:t>
            </w:r>
          </w:p>
          <w:p w14:paraId="0034DE09" w14:textId="05A2A5E2" w:rsidR="00375B41" w:rsidRDefault="00190D1A" w:rsidP="00C178B6">
            <w:r>
              <w:t xml:space="preserve">On 1 </w:t>
            </w:r>
            <w:r w:rsidR="007B60A3">
              <w:t xml:space="preserve">April </w:t>
            </w:r>
            <w:r>
              <w:t>202</w:t>
            </w:r>
            <w:r w:rsidR="004559F6">
              <w:t>3</w:t>
            </w:r>
            <w:r>
              <w:t>,</w:t>
            </w:r>
            <w:r w:rsidDel="009A60E1">
              <w:t xml:space="preserve"> </w:t>
            </w:r>
            <w:r w:rsidR="009B3EFD" w:rsidRPr="00C5695A">
              <w:rPr>
                <w:rFonts w:cs="Segoe UI"/>
                <w:iCs/>
                <w:lang w:eastAsia="en-NZ"/>
              </w:rPr>
              <w:t xml:space="preserve">Sterling Cooper </w:t>
            </w:r>
            <w:r>
              <w:t>enters into an eligible hedge for US dollars, with a foreign amount hedged of US$15,000 (equivalent to NZ$30,000).</w:t>
            </w:r>
          </w:p>
          <w:p w14:paraId="71F3A99E" w14:textId="75C0CAE6" w:rsidR="00190D1A" w:rsidRDefault="00190D1A" w:rsidP="00C178B6">
            <w:r>
              <w:t xml:space="preserve">The second hedge-by-hedge method is applied to the hedge entered on 1 </w:t>
            </w:r>
            <w:r w:rsidR="007B60A3">
              <w:t>April</w:t>
            </w:r>
            <w:r>
              <w:t xml:space="preserve"> 202</w:t>
            </w:r>
            <w:r w:rsidR="00015378">
              <w:t>3</w:t>
            </w:r>
            <w:r>
              <w:t xml:space="preserve"> by </w:t>
            </w:r>
            <w:r w:rsidR="009B3EFD" w:rsidRPr="00C5695A">
              <w:rPr>
                <w:rFonts w:cs="Segoe UI"/>
                <w:iCs/>
                <w:lang w:eastAsia="en-NZ"/>
              </w:rPr>
              <w:t xml:space="preserve">Sterling Cooper </w:t>
            </w:r>
            <w:r>
              <w:t>below.</w:t>
            </w:r>
          </w:p>
          <w:p w14:paraId="2BBF081D" w14:textId="77777777" w:rsidR="00190D1A" w:rsidRPr="00D85DDF" w:rsidRDefault="00190D1A" w:rsidP="00C178B6">
            <w:pPr>
              <w:rPr>
                <w:i/>
                <w:iCs/>
              </w:rPr>
            </w:pPr>
            <w:r w:rsidRPr="00D85DDF">
              <w:rPr>
                <w:i/>
                <w:iCs/>
              </w:rPr>
              <w:t>First step</w:t>
            </w:r>
          </w:p>
          <w:p w14:paraId="5AA701CC" w14:textId="77777777" w:rsidR="00190D1A" w:rsidRDefault="00190D1A" w:rsidP="00C178B6">
            <w:r>
              <w:t>The apportioned current hedge amount is NZ$0 as it equals the lesser of:</w:t>
            </w:r>
          </w:p>
          <w:p w14:paraId="53FCD0F7" w14:textId="5AECCC5B" w:rsidR="00190D1A" w:rsidRDefault="00190D1A" w:rsidP="00B26859">
            <w:pPr>
              <w:pStyle w:val="Bullets"/>
            </w:pPr>
            <w:r>
              <w:t>the amount of foreign currency hedged by the calculation hedge (NZ$30,000), and</w:t>
            </w:r>
          </w:p>
          <w:p w14:paraId="24E9761D" w14:textId="79ABE9DF" w:rsidR="00190D1A" w:rsidRDefault="00190D1A" w:rsidP="00B26859">
            <w:pPr>
              <w:pStyle w:val="Bullets"/>
            </w:pPr>
            <w:r>
              <w:t xml:space="preserve">the amount of foreign currency that is hedged (including by the calculation hedge) </w:t>
            </w:r>
            <w:r w:rsidRPr="006E02E1">
              <w:rPr>
                <w:i/>
                <w:iCs/>
              </w:rPr>
              <w:t>less</w:t>
            </w:r>
            <w:r>
              <w:t xml:space="preserve"> the amount of foreign currency that is hedged by </w:t>
            </w:r>
            <w:r w:rsidR="00DF6A6F">
              <w:t>Sterling Cooper’s</w:t>
            </w:r>
            <w:r>
              <w:t xml:space="preserve"> FDR hedge portions excluding the calculation hedge </w:t>
            </w:r>
            <w:r w:rsidRPr="006E02E1">
              <w:rPr>
                <w:i/>
                <w:iCs/>
              </w:rPr>
              <w:t>less</w:t>
            </w:r>
            <w:r>
              <w:t xml:space="preserve"> the total market value of </w:t>
            </w:r>
            <w:r w:rsidR="00B40BE5">
              <w:t>Sterling Cooper’s</w:t>
            </w:r>
            <w:r>
              <w:t xml:space="preserve"> non-eligible assets (NZ$102,000 – NZ$72,000 – NZ$30,000 = NZ$0).</w:t>
            </w:r>
          </w:p>
          <w:p w14:paraId="3EBC35BC" w14:textId="2B64FCF8" w:rsidR="00190D1A" w:rsidRPr="00830D2F" w:rsidRDefault="00190D1A" w:rsidP="00C178B6">
            <w:r>
              <w:t>The apportioned current hedge amount is zero, so the FDR hedge portion will be zero and no further action is required.</w:t>
            </w:r>
          </w:p>
        </w:tc>
      </w:tr>
    </w:tbl>
    <w:p w14:paraId="66DD2B09" w14:textId="77777777" w:rsidR="00751C55" w:rsidRPr="00293336" w:rsidRDefault="00751C55" w:rsidP="00ED0B50">
      <w:pPr>
        <w:pStyle w:val="NoNumberHeading4"/>
      </w:pPr>
      <w:r w:rsidRPr="00293336">
        <w:t>Step 2 – calculate the FDR gross amount</w:t>
      </w:r>
    </w:p>
    <w:p w14:paraId="4DC8E5AA" w14:textId="26129F7D" w:rsidR="00751C55" w:rsidRPr="00CE33B6" w:rsidRDefault="00751C55" w:rsidP="00C178B6">
      <w:r w:rsidRPr="00CE33B6">
        <w:t xml:space="preserve">The second step </w:t>
      </w:r>
      <w:r>
        <w:t>is to</w:t>
      </w:r>
      <w:r w:rsidRPr="00CE33B6">
        <w:t xml:space="preserve"> </w:t>
      </w:r>
      <w:r w:rsidRPr="00CE33B6" w:rsidDel="00D72CA4">
        <w:t xml:space="preserve">calculate </w:t>
      </w:r>
      <w:r w:rsidRPr="00CE33B6">
        <w:t xml:space="preserve">the </w:t>
      </w:r>
      <w:r w:rsidR="00CF4636">
        <w:t>“</w:t>
      </w:r>
      <w:r w:rsidRPr="00B40F93">
        <w:t>FDR gross amount</w:t>
      </w:r>
      <w:r w:rsidR="00CF4636">
        <w:t>”</w:t>
      </w:r>
      <w:r w:rsidRPr="00CE33B6">
        <w:t xml:space="preserve">. This is the portion of the </w:t>
      </w:r>
      <w:r w:rsidRPr="00B40F93">
        <w:t>apportioned current hedge amount</w:t>
      </w:r>
      <w:r w:rsidRPr="00CE33B6">
        <w:t xml:space="preserve"> that hedges eligible assets and is therefore eligible for FDR treatment.</w:t>
      </w:r>
    </w:p>
    <w:p w14:paraId="5557F1D8" w14:textId="77777777" w:rsidR="009F0389" w:rsidRDefault="009F0389">
      <w:pPr>
        <w:spacing w:before="0" w:line="259" w:lineRule="auto"/>
        <w:rPr>
          <w:rFonts w:cs="Segoe UI"/>
        </w:rPr>
      </w:pPr>
      <w:r>
        <w:rPr>
          <w:rFonts w:cs="Segoe UI"/>
        </w:rPr>
        <w:br w:type="page"/>
      </w:r>
    </w:p>
    <w:p w14:paraId="2F1F8C17" w14:textId="45C29842" w:rsidR="00751C55" w:rsidRPr="009E567F" w:rsidRDefault="00420BDB" w:rsidP="00C178B6">
      <w:pPr>
        <w:rPr>
          <w:rFonts w:cs="Segoe UI"/>
        </w:rPr>
      </w:pPr>
      <w:r>
        <w:rPr>
          <w:rFonts w:cs="Segoe UI"/>
        </w:rPr>
        <w:lastRenderedPageBreak/>
        <w:t>Under section</w:t>
      </w:r>
      <w:r w:rsidR="00505296">
        <w:rPr>
          <w:rFonts w:cs="Segoe UI"/>
        </w:rPr>
        <w:t>s</w:t>
      </w:r>
      <w:r>
        <w:rPr>
          <w:rFonts w:cs="Segoe UI"/>
        </w:rPr>
        <w:t> EM 5(10B)</w:t>
      </w:r>
      <w:r w:rsidR="00505296">
        <w:rPr>
          <w:rFonts w:cs="Segoe UI"/>
        </w:rPr>
        <w:t xml:space="preserve"> and (10C)</w:t>
      </w:r>
      <w:r>
        <w:rPr>
          <w:rFonts w:cs="Segoe UI"/>
        </w:rPr>
        <w:t>, t</w:t>
      </w:r>
      <w:r w:rsidR="00751C55" w:rsidRPr="009E567F">
        <w:rPr>
          <w:rFonts w:cs="Segoe UI"/>
        </w:rPr>
        <w:t xml:space="preserve">he </w:t>
      </w:r>
      <w:r>
        <w:rPr>
          <w:rFonts w:cs="Segoe UI"/>
        </w:rPr>
        <w:t>“</w:t>
      </w:r>
      <w:r w:rsidR="00751C55" w:rsidRPr="009E567F">
        <w:rPr>
          <w:rFonts w:cs="Segoe UI"/>
        </w:rPr>
        <w:t>FDR gross amount</w:t>
      </w:r>
      <w:r>
        <w:rPr>
          <w:rFonts w:cs="Segoe UI"/>
        </w:rPr>
        <w:t>”</w:t>
      </w:r>
      <w:r w:rsidR="00751C55" w:rsidRPr="009E567F">
        <w:rPr>
          <w:rFonts w:cs="Segoe UI"/>
        </w:rPr>
        <w:t xml:space="preserve"> is </w:t>
      </w:r>
      <w:r w:rsidR="00751C55" w:rsidRPr="009E567F">
        <w:rPr>
          <w:rFonts w:cs="Segoe UI"/>
          <w:iCs/>
        </w:rPr>
        <w:t xml:space="preserve">the lesser of 1 and the amount </w:t>
      </w:r>
      <w:r w:rsidR="00751C55" w:rsidRPr="009E567F">
        <w:rPr>
          <w:rFonts w:cs="Segoe UI"/>
        </w:rPr>
        <w:t>resulting from the following formula:</w:t>
      </w:r>
    </w:p>
    <w:p w14:paraId="684E2652" w14:textId="77777777" w:rsidR="00751C55" w:rsidRPr="009E567F" w:rsidRDefault="004133EA" w:rsidP="00293336">
      <w:pPr>
        <w:jc w:val="both"/>
        <w:rPr>
          <w:rFonts w:cs="Segoe UI"/>
        </w:rPr>
      </w:pPr>
      <m:oMathPara>
        <m:oMath>
          <m:f>
            <m:fPr>
              <m:ctrlPr>
                <w:rPr>
                  <w:rFonts w:ascii="Cambria Math" w:hAnsi="Cambria Math" w:cs="Segoe UI"/>
                </w:rPr>
              </m:ctrlPr>
            </m:fPr>
            <m:num>
              <m:d>
                <m:dPr>
                  <m:ctrlPr>
                    <w:rPr>
                      <w:rFonts w:ascii="Cambria Math" w:hAnsi="Cambria Math" w:cs="Segoe UI"/>
                    </w:rPr>
                  </m:ctrlPr>
                </m:dPr>
                <m:e>
                  <m:r>
                    <m:rPr>
                      <m:sty m:val="p"/>
                    </m:rPr>
                    <w:rPr>
                      <w:rFonts w:ascii="Cambria Math" w:hAnsi="Cambria Math" w:cs="Segoe UI"/>
                    </w:rPr>
                    <m:t>1.05 × eligible currency assets-FDR hedges amount</m:t>
                  </m:r>
                </m:e>
              </m:d>
              <m:r>
                <m:rPr>
                  <m:sty m:val="p"/>
                </m:rPr>
                <w:rPr>
                  <w:rFonts w:ascii="Cambria Math" w:hAnsi="Cambria Math" w:cs="Segoe UI"/>
                </w:rPr>
                <m:t xml:space="preserve"> </m:t>
              </m:r>
            </m:num>
            <m:den>
              <m:r>
                <m:rPr>
                  <m:sty m:val="p"/>
                </m:rPr>
                <w:rPr>
                  <w:rFonts w:ascii="Cambria Math" w:hAnsi="Cambria Math" w:cs="Segoe UI"/>
                </w:rPr>
                <m:t xml:space="preserve">apportioned current hedge amount </m:t>
              </m:r>
            </m:den>
          </m:f>
        </m:oMath>
      </m:oMathPara>
    </w:p>
    <w:p w14:paraId="1920FB12" w14:textId="53F10295" w:rsidR="00751C55" w:rsidRPr="00CE33B6" w:rsidRDefault="00751C55" w:rsidP="009E3E35">
      <w:r w:rsidRPr="00CE33B6">
        <w:t>Where:</w:t>
      </w:r>
    </w:p>
    <w:p w14:paraId="214CAEDE" w14:textId="05337D12" w:rsidR="00751C55" w:rsidRPr="0085481C" w:rsidRDefault="00751C55" w:rsidP="009E3E35">
      <w:pPr>
        <w:rPr>
          <w:rFonts w:cs="Segoe UI"/>
        </w:rPr>
      </w:pPr>
      <w:r w:rsidRPr="0085481C">
        <w:rPr>
          <w:rFonts w:cs="Segoe UI"/>
          <w:b/>
          <w:bCs/>
        </w:rPr>
        <w:t>Eligible currency assets</w:t>
      </w:r>
      <w:r w:rsidRPr="0085481C">
        <w:rPr>
          <w:rFonts w:cs="Segoe UI"/>
        </w:rPr>
        <w:t xml:space="preserve"> </w:t>
      </w:r>
      <w:proofErr w:type="gramStart"/>
      <w:r w:rsidRPr="0085481C">
        <w:rPr>
          <w:rFonts w:cs="Segoe UI"/>
        </w:rPr>
        <w:t>is</w:t>
      </w:r>
      <w:proofErr w:type="gramEnd"/>
      <w:r w:rsidRPr="0085481C">
        <w:rPr>
          <w:rFonts w:cs="Segoe UI"/>
        </w:rPr>
        <w:t xml:space="preserve"> the total market value of a </w:t>
      </w:r>
      <w:r w:rsidR="0053216B">
        <w:rPr>
          <w:rFonts w:cs="Segoe UI"/>
        </w:rPr>
        <w:t>person’s</w:t>
      </w:r>
      <w:r w:rsidRPr="0085481C">
        <w:rPr>
          <w:rFonts w:cs="Segoe UI"/>
        </w:rPr>
        <w:t xml:space="preserve"> eligible assets owned directly and, if the </w:t>
      </w:r>
      <w:r w:rsidR="00984779">
        <w:rPr>
          <w:rFonts w:cs="Segoe UI"/>
        </w:rPr>
        <w:t>person</w:t>
      </w:r>
      <w:r w:rsidRPr="0085481C">
        <w:rPr>
          <w:rFonts w:cs="Segoe UI"/>
        </w:rPr>
        <w:t xml:space="preserve"> </w:t>
      </w:r>
      <w:r>
        <w:rPr>
          <w:rFonts w:cs="Segoe UI"/>
        </w:rPr>
        <w:t xml:space="preserve">chooses and is an </w:t>
      </w:r>
      <w:r w:rsidRPr="00B81976">
        <w:rPr>
          <w:rFonts w:cs="Segoe UI"/>
        </w:rPr>
        <w:t>investor in a multi-rate PIE</w:t>
      </w:r>
      <w:r>
        <w:rPr>
          <w:rFonts w:cs="Segoe UI"/>
        </w:rPr>
        <w:t xml:space="preserve"> (</w:t>
      </w:r>
      <w:r w:rsidRPr="00B81976">
        <w:rPr>
          <w:rFonts w:cs="Segoe UI"/>
        </w:rPr>
        <w:t>either directly or indirectly through one or more multi</w:t>
      </w:r>
      <w:r>
        <w:rPr>
          <w:rFonts w:cs="Segoe UI"/>
        </w:rPr>
        <w:t>-</w:t>
      </w:r>
      <w:r w:rsidRPr="00B81976">
        <w:rPr>
          <w:rFonts w:cs="Segoe UI"/>
        </w:rPr>
        <w:t>rate PIEs</w:t>
      </w:r>
      <w:r>
        <w:rPr>
          <w:rFonts w:cs="Segoe UI"/>
        </w:rPr>
        <w:t>)</w:t>
      </w:r>
      <w:r w:rsidRPr="0085481C">
        <w:rPr>
          <w:rFonts w:cs="Segoe UI"/>
        </w:rPr>
        <w:t xml:space="preserve">, their interest in the eligible assets that are owned by </w:t>
      </w:r>
      <w:r>
        <w:rPr>
          <w:rFonts w:cs="Segoe UI"/>
        </w:rPr>
        <w:t xml:space="preserve">the </w:t>
      </w:r>
      <w:r w:rsidRPr="0085481C">
        <w:rPr>
          <w:rFonts w:cs="Segoe UI"/>
        </w:rPr>
        <w:t>multi-rate PIE.</w:t>
      </w:r>
    </w:p>
    <w:p w14:paraId="15DD3F83" w14:textId="141B02A8" w:rsidR="00751C55" w:rsidRPr="0085481C" w:rsidRDefault="00751C55" w:rsidP="009E3E35">
      <w:pPr>
        <w:rPr>
          <w:rFonts w:cs="Segoe UI"/>
        </w:rPr>
      </w:pPr>
      <w:r w:rsidRPr="0085481C">
        <w:rPr>
          <w:rFonts w:cs="Segoe UI"/>
          <w:b/>
          <w:bCs/>
        </w:rPr>
        <w:t>FDR hedges amount</w:t>
      </w:r>
      <w:r w:rsidRPr="0085481C">
        <w:rPr>
          <w:rFonts w:cs="Segoe UI"/>
        </w:rPr>
        <w:t xml:space="preserve"> </w:t>
      </w:r>
      <w:r>
        <w:rPr>
          <w:rFonts w:cs="Segoe UI"/>
        </w:rPr>
        <w:t>is</w:t>
      </w:r>
      <w:r w:rsidRPr="0085481C">
        <w:rPr>
          <w:rFonts w:cs="Segoe UI"/>
        </w:rPr>
        <w:t xml:space="preserve"> the amount of foreign currency hedged by a </w:t>
      </w:r>
      <w:r w:rsidR="0007128F">
        <w:rPr>
          <w:rFonts w:cs="Segoe UI"/>
        </w:rPr>
        <w:t>person</w:t>
      </w:r>
      <w:r>
        <w:rPr>
          <w:rFonts w:cs="Segoe UI"/>
        </w:rPr>
        <w:t>’s</w:t>
      </w:r>
      <w:r w:rsidRPr="0085481C">
        <w:rPr>
          <w:rFonts w:cs="Segoe UI"/>
        </w:rPr>
        <w:t xml:space="preserve"> </w:t>
      </w:r>
      <w:r w:rsidR="00113DA4">
        <w:rPr>
          <w:rFonts w:cs="Segoe UI"/>
        </w:rPr>
        <w:t>FDR</w:t>
      </w:r>
      <w:r w:rsidRPr="0085481C">
        <w:rPr>
          <w:rFonts w:cs="Segoe UI"/>
        </w:rPr>
        <w:t xml:space="preserve"> hedge portions but excluding the portion for the calculation hedge.</w:t>
      </w:r>
    </w:p>
    <w:p w14:paraId="63DA354B" w14:textId="6E08A667" w:rsidR="00751C55" w:rsidRPr="0085481C" w:rsidRDefault="00751C55" w:rsidP="009E3E35">
      <w:pPr>
        <w:rPr>
          <w:rFonts w:cs="Segoe UI"/>
        </w:rPr>
      </w:pPr>
      <w:r w:rsidRPr="0085481C">
        <w:rPr>
          <w:rFonts w:cs="Segoe UI"/>
          <w:b/>
          <w:bCs/>
        </w:rPr>
        <w:t>Apportioned current hedge amount</w:t>
      </w:r>
      <w:r w:rsidRPr="0085481C">
        <w:rPr>
          <w:rFonts w:cs="Segoe UI"/>
        </w:rPr>
        <w:t xml:space="preserve"> </w:t>
      </w:r>
      <w:r>
        <w:rPr>
          <w:rFonts w:cs="Segoe UI"/>
        </w:rPr>
        <w:t>is</w:t>
      </w:r>
      <w:r w:rsidRPr="0085481C">
        <w:rPr>
          <w:rFonts w:cs="Segoe UI"/>
        </w:rPr>
        <w:t xml:space="preserve"> the amount calculated </w:t>
      </w:r>
      <w:r w:rsidR="00176EEE">
        <w:rPr>
          <w:rFonts w:cs="Segoe UI"/>
        </w:rPr>
        <w:t>under</w:t>
      </w:r>
      <w:r w:rsidR="00176EEE" w:rsidRPr="0085481C">
        <w:rPr>
          <w:rFonts w:cs="Segoe UI"/>
        </w:rPr>
        <w:t xml:space="preserve"> </w:t>
      </w:r>
      <w:r w:rsidRPr="0085481C">
        <w:rPr>
          <w:rFonts w:cs="Segoe UI"/>
        </w:rPr>
        <w:t>the first step.</w:t>
      </w:r>
    </w:p>
    <w:p w14:paraId="453B5AA2" w14:textId="1A9D07CA" w:rsidR="00751C55" w:rsidRDefault="00751C55" w:rsidP="009E3E35">
      <w:pPr>
        <w:rPr>
          <w:rFonts w:cs="Segoe UI"/>
        </w:rPr>
      </w:pPr>
      <w:r w:rsidRPr="0085481C">
        <w:rPr>
          <w:rFonts w:cs="Segoe UI"/>
        </w:rPr>
        <w:t>If the denominator is zero</w:t>
      </w:r>
      <w:r w:rsidR="00B44627">
        <w:rPr>
          <w:rFonts w:cs="Segoe UI"/>
        </w:rPr>
        <w:t xml:space="preserve"> (that is, the apportioned current hedge amount)</w:t>
      </w:r>
      <w:r w:rsidRPr="0085481C">
        <w:rPr>
          <w:rFonts w:cs="Segoe UI"/>
        </w:rPr>
        <w:t xml:space="preserve">, the formula result </w:t>
      </w:r>
      <w:r>
        <w:rPr>
          <w:rFonts w:cs="Segoe UI"/>
        </w:rPr>
        <w:t>is to</w:t>
      </w:r>
      <w:r w:rsidRPr="0085481C">
        <w:rPr>
          <w:rFonts w:cs="Segoe UI"/>
        </w:rPr>
        <w:t xml:space="preserve"> be treated as zero.</w:t>
      </w:r>
    </w:p>
    <w:p w14:paraId="1110D145" w14:textId="77777777" w:rsidR="00751C55" w:rsidRPr="00737E01" w:rsidRDefault="00751C55" w:rsidP="00ED0B50">
      <w:pPr>
        <w:pStyle w:val="NoNumberHeading4"/>
      </w:pPr>
      <w:r w:rsidRPr="00737E01">
        <w:t>Step 3 – convert the FDR gross amount into a portion of the calculation hedge</w:t>
      </w:r>
    </w:p>
    <w:p w14:paraId="4D39046E" w14:textId="6B4190D7" w:rsidR="00751C55" w:rsidRDefault="00751C55" w:rsidP="009E3E35">
      <w:pPr>
        <w:rPr>
          <w:rFonts w:cs="Segoe UI"/>
        </w:rPr>
      </w:pPr>
      <w:r w:rsidRPr="0085481C">
        <w:rPr>
          <w:rFonts w:cs="Segoe UI"/>
        </w:rPr>
        <w:t xml:space="preserve">The third step </w:t>
      </w:r>
      <w:r>
        <w:rPr>
          <w:rFonts w:cs="Segoe UI"/>
        </w:rPr>
        <w:t>is</w:t>
      </w:r>
      <w:r w:rsidRPr="0085481C">
        <w:rPr>
          <w:rFonts w:cs="Segoe UI"/>
        </w:rPr>
        <w:t xml:space="preserve"> to convert the FDR gross amount into a portion of the calculation hedge by applying the formula</w:t>
      </w:r>
      <w:r w:rsidR="006D2207">
        <w:rPr>
          <w:rFonts w:cs="Segoe UI"/>
        </w:rPr>
        <w:t xml:space="preserve"> in section EM 5(9)</w:t>
      </w:r>
      <w:r w:rsidRPr="0085481C">
        <w:rPr>
          <w:rFonts w:cs="Segoe UI"/>
        </w:rPr>
        <w:t>:</w:t>
      </w:r>
    </w:p>
    <w:p w14:paraId="1F6BCAED" w14:textId="2C29F699" w:rsidR="00751C55" w:rsidRPr="00CE33B6" w:rsidRDefault="00751C55" w:rsidP="00293336">
      <w:pPr>
        <w:jc w:val="both"/>
      </w:pPr>
      <m:oMathPara>
        <m:oMath>
          <m:r>
            <m:rPr>
              <m:sty m:val="p"/>
            </m:rPr>
            <w:rPr>
              <w:rFonts w:ascii="Cambria Math" w:hAnsi="Cambria Math"/>
            </w:rPr>
            <m:t>FDR gross amount × (</m:t>
          </m:r>
          <m:f>
            <m:fPr>
              <m:ctrlPr>
                <w:rPr>
                  <w:rFonts w:ascii="Cambria Math" w:hAnsi="Cambria Math"/>
                </w:rPr>
              </m:ctrlPr>
            </m:fPr>
            <m:num>
              <m:r>
                <m:rPr>
                  <m:sty m:val="p"/>
                </m:rPr>
                <w:rPr>
                  <w:rFonts w:ascii="Cambria Math" w:hAnsi="Cambria Math"/>
                </w:rPr>
                <m:t xml:space="preserve">apportioned current hedge amount </m:t>
              </m:r>
            </m:num>
            <m:den>
              <m:r>
                <m:rPr>
                  <m:sty m:val="p"/>
                </m:rPr>
                <w:rPr>
                  <w:rFonts w:ascii="Cambria Math" w:hAnsi="Cambria Math"/>
                </w:rPr>
                <m:t>calculation hedge amount</m:t>
              </m:r>
            </m:den>
          </m:f>
          <m:r>
            <m:rPr>
              <m:sty m:val="p"/>
            </m:rPr>
            <w:rPr>
              <w:rFonts w:ascii="Cambria Math" w:hAnsi="Cambria Math"/>
            </w:rPr>
            <m:t>)</m:t>
          </m:r>
        </m:oMath>
      </m:oMathPara>
    </w:p>
    <w:p w14:paraId="0554AD35" w14:textId="77777777" w:rsidR="00751C55" w:rsidRPr="00CE33B6" w:rsidRDefault="00751C55" w:rsidP="009E3E35">
      <w:r w:rsidRPr="00CE33B6">
        <w:t>Where:</w:t>
      </w:r>
    </w:p>
    <w:p w14:paraId="1C858C31" w14:textId="77777777" w:rsidR="00751C55" w:rsidRPr="0013201E" w:rsidRDefault="00751C55" w:rsidP="009E3E35">
      <w:pPr>
        <w:rPr>
          <w:rFonts w:cs="Segoe UI"/>
        </w:rPr>
      </w:pPr>
      <w:r w:rsidRPr="0013201E">
        <w:rPr>
          <w:rFonts w:cs="Segoe UI"/>
          <w:b/>
          <w:bCs/>
        </w:rPr>
        <w:t>FDR gross amount</w:t>
      </w:r>
      <w:r w:rsidRPr="0013201E">
        <w:rPr>
          <w:rFonts w:cs="Segoe UI"/>
        </w:rPr>
        <w:t xml:space="preserve"> </w:t>
      </w:r>
      <w:r>
        <w:rPr>
          <w:rFonts w:cs="Segoe UI"/>
        </w:rPr>
        <w:t>is</w:t>
      </w:r>
      <w:r w:rsidRPr="0013201E">
        <w:rPr>
          <w:rFonts w:cs="Segoe UI"/>
        </w:rPr>
        <w:t xml:space="preserve"> the amount calculated for the second step.</w:t>
      </w:r>
    </w:p>
    <w:p w14:paraId="4A6007A5" w14:textId="77777777" w:rsidR="00751C55" w:rsidRPr="0013201E" w:rsidRDefault="00751C55" w:rsidP="009E3E35">
      <w:pPr>
        <w:rPr>
          <w:rFonts w:cs="Segoe UI"/>
        </w:rPr>
      </w:pPr>
      <w:r w:rsidRPr="0013201E">
        <w:rPr>
          <w:rFonts w:cs="Segoe UI"/>
          <w:b/>
          <w:bCs/>
        </w:rPr>
        <w:t>Apportioned current hedge amount</w:t>
      </w:r>
      <w:r w:rsidRPr="0013201E">
        <w:rPr>
          <w:rFonts w:cs="Segoe UI"/>
        </w:rPr>
        <w:t xml:space="preserve"> </w:t>
      </w:r>
      <w:r>
        <w:rPr>
          <w:rFonts w:cs="Segoe UI"/>
        </w:rPr>
        <w:t>is</w:t>
      </w:r>
      <w:r w:rsidRPr="0013201E">
        <w:rPr>
          <w:rFonts w:cs="Segoe UI"/>
        </w:rPr>
        <w:t xml:space="preserve"> the amount calculated for the first step.</w:t>
      </w:r>
    </w:p>
    <w:p w14:paraId="61122898" w14:textId="77777777" w:rsidR="00751C55" w:rsidRPr="0013201E" w:rsidRDefault="00751C55" w:rsidP="009E3E35">
      <w:pPr>
        <w:rPr>
          <w:rFonts w:cs="Segoe UI"/>
        </w:rPr>
      </w:pPr>
      <w:r w:rsidRPr="0013201E">
        <w:rPr>
          <w:rFonts w:cs="Segoe UI"/>
          <w:b/>
          <w:bCs/>
        </w:rPr>
        <w:t>Calculation hedge amount</w:t>
      </w:r>
      <w:r w:rsidRPr="0013201E">
        <w:rPr>
          <w:rFonts w:cs="Segoe UI"/>
        </w:rPr>
        <w:t xml:space="preserve"> </w:t>
      </w:r>
      <w:r>
        <w:rPr>
          <w:rFonts w:cs="Segoe UI"/>
        </w:rPr>
        <w:t>is</w:t>
      </w:r>
      <w:r w:rsidRPr="0013201E">
        <w:rPr>
          <w:rFonts w:cs="Segoe UI"/>
        </w:rPr>
        <w:t xml:space="preserve"> the amount of foreign currency that is hedged by the current hedge.</w:t>
      </w:r>
    </w:p>
    <w:p w14:paraId="10AC3F64" w14:textId="0B60128B" w:rsidR="00751C55" w:rsidRPr="0013201E" w:rsidRDefault="00751C55" w:rsidP="009E3E35">
      <w:pPr>
        <w:rPr>
          <w:rFonts w:cs="Segoe UI"/>
        </w:rPr>
      </w:pPr>
      <w:r w:rsidRPr="0013201E">
        <w:rPr>
          <w:rFonts w:cs="Segoe UI"/>
        </w:rPr>
        <w:t xml:space="preserve">The result of this step, expressed as a percentage, </w:t>
      </w:r>
      <w:r>
        <w:rPr>
          <w:rFonts w:cs="Segoe UI"/>
        </w:rPr>
        <w:t>is</w:t>
      </w:r>
      <w:r w:rsidRPr="0013201E">
        <w:rPr>
          <w:rFonts w:cs="Segoe UI"/>
        </w:rPr>
        <w:t xml:space="preserve"> the maximum </w:t>
      </w:r>
      <w:r w:rsidR="00FF41E4">
        <w:rPr>
          <w:rFonts w:cs="Segoe UI"/>
        </w:rPr>
        <w:t xml:space="preserve">(or minimum for a hedge of a hedge) </w:t>
      </w:r>
      <w:r w:rsidR="00FE3C23">
        <w:rPr>
          <w:rFonts w:cs="Segoe UI"/>
        </w:rPr>
        <w:t>FDR</w:t>
      </w:r>
      <w:r w:rsidRPr="0013201E">
        <w:rPr>
          <w:rFonts w:cs="Segoe UI"/>
        </w:rPr>
        <w:t xml:space="preserve"> hedge portion for a person’s hedge.</w:t>
      </w:r>
      <w:r>
        <w:rPr>
          <w:rFonts w:cs="Segoe UI"/>
        </w:rPr>
        <w:t xml:space="preserve"> A negative percentage must be treated as zero.</w:t>
      </w:r>
    </w:p>
    <w:tbl>
      <w:tblPr>
        <w:tblStyle w:val="IR-Table-ParagraphHighlightStyle2"/>
        <w:tblW w:w="0" w:type="auto"/>
        <w:tblLook w:val="04A0" w:firstRow="1" w:lastRow="0" w:firstColumn="1" w:lastColumn="0" w:noHBand="0" w:noVBand="1"/>
      </w:tblPr>
      <w:tblGrid>
        <w:gridCol w:w="9016"/>
      </w:tblGrid>
      <w:tr w:rsidR="00D85DDF" w14:paraId="34386DAB" w14:textId="77777777" w:rsidTr="0000367E">
        <w:tc>
          <w:tcPr>
            <w:tcW w:w="9016" w:type="dxa"/>
          </w:tcPr>
          <w:p w14:paraId="0BA17A15" w14:textId="29C8B348" w:rsidR="00D85DDF" w:rsidRDefault="00D85DDF" w:rsidP="009E3E35">
            <w:pPr>
              <w:rPr>
                <w:b/>
                <w:bCs/>
              </w:rPr>
            </w:pPr>
            <w:r w:rsidRPr="00830D2F">
              <w:rPr>
                <w:b/>
                <w:bCs/>
              </w:rPr>
              <w:lastRenderedPageBreak/>
              <w:t xml:space="preserve">Example </w:t>
            </w:r>
            <w:r w:rsidR="00AE76A1">
              <w:rPr>
                <w:b/>
                <w:bCs/>
              </w:rPr>
              <w:t>2</w:t>
            </w:r>
            <w:r w:rsidR="00A36463">
              <w:rPr>
                <w:b/>
                <w:bCs/>
              </w:rPr>
              <w:t xml:space="preserve">: </w:t>
            </w:r>
            <w:r w:rsidR="00A15B98">
              <w:rPr>
                <w:b/>
                <w:bCs/>
              </w:rPr>
              <w:t>H</w:t>
            </w:r>
            <w:r w:rsidR="00223C63">
              <w:rPr>
                <w:b/>
                <w:bCs/>
              </w:rPr>
              <w:t xml:space="preserve">edging </w:t>
            </w:r>
            <w:r w:rsidR="00CD7A0C">
              <w:rPr>
                <w:b/>
                <w:bCs/>
              </w:rPr>
              <w:t>on hand</w:t>
            </w:r>
            <w:r w:rsidR="00223C63">
              <w:rPr>
                <w:b/>
                <w:bCs/>
              </w:rPr>
              <w:t xml:space="preserve"> </w:t>
            </w:r>
            <w:r w:rsidR="00A41DA5">
              <w:rPr>
                <w:b/>
                <w:bCs/>
              </w:rPr>
              <w:t>not subject to</w:t>
            </w:r>
            <w:r w:rsidR="00153B1B">
              <w:rPr>
                <w:b/>
                <w:bCs/>
              </w:rPr>
              <w:t xml:space="preserve"> FDR </w:t>
            </w:r>
            <w:r w:rsidR="00A41DA5">
              <w:rPr>
                <w:b/>
                <w:bCs/>
              </w:rPr>
              <w:t>treatment</w:t>
            </w:r>
            <w:r w:rsidR="00153B1B">
              <w:rPr>
                <w:b/>
                <w:bCs/>
              </w:rPr>
              <w:t xml:space="preserve"> </w:t>
            </w:r>
            <w:r w:rsidR="00223C63">
              <w:rPr>
                <w:b/>
                <w:bCs/>
              </w:rPr>
              <w:t>equals</w:t>
            </w:r>
            <w:r w:rsidR="004C3D97">
              <w:rPr>
                <w:b/>
                <w:bCs/>
              </w:rPr>
              <w:t xml:space="preserve"> non-eligible assets</w:t>
            </w:r>
            <w:r w:rsidR="00CD7A0C">
              <w:rPr>
                <w:b/>
                <w:bCs/>
              </w:rPr>
              <w:t>,</w:t>
            </w:r>
            <w:r w:rsidR="00460EA8">
              <w:rPr>
                <w:b/>
                <w:bCs/>
              </w:rPr>
              <w:t xml:space="preserve"> </w:t>
            </w:r>
            <w:r w:rsidR="001E6C74">
              <w:rPr>
                <w:b/>
                <w:bCs/>
              </w:rPr>
              <w:t>new hedging equals eligible assets</w:t>
            </w:r>
            <w:r w:rsidR="005A3740">
              <w:rPr>
                <w:rStyle w:val="FootnoteReference"/>
                <w:b/>
                <w:bCs/>
              </w:rPr>
              <w:footnoteReference w:id="4"/>
            </w:r>
          </w:p>
          <w:p w14:paraId="65A52EE4" w14:textId="3AEB7B20" w:rsidR="00FF1167" w:rsidRPr="00267D60" w:rsidRDefault="00FF1167" w:rsidP="009E3E35">
            <w:pPr>
              <w:spacing w:after="160"/>
            </w:pPr>
            <w:r w:rsidRPr="00267D60">
              <w:t>At the beginning of 1 June 202</w:t>
            </w:r>
            <w:r w:rsidR="004559F6">
              <w:t>3</w:t>
            </w:r>
            <w:r w:rsidRPr="00267D60">
              <w:t xml:space="preserve">, </w:t>
            </w:r>
            <w:r w:rsidR="009B3EFD" w:rsidRPr="00C5695A">
              <w:rPr>
                <w:rFonts w:cs="Segoe UI"/>
                <w:iCs/>
                <w:lang w:eastAsia="en-NZ"/>
              </w:rPr>
              <w:t xml:space="preserve">Sterling Cooper </w:t>
            </w:r>
            <w:r w:rsidRPr="00267D60">
              <w:t>Fund (</w:t>
            </w:r>
            <w:r w:rsidR="009B3EFD" w:rsidRPr="00C5695A">
              <w:rPr>
                <w:rFonts w:cs="Segoe UI"/>
                <w:iCs/>
                <w:lang w:eastAsia="en-NZ"/>
              </w:rPr>
              <w:t>Sterling Cooper</w:t>
            </w:r>
            <w:r w:rsidRPr="00267D60">
              <w:t>) has a portfolio of:</w:t>
            </w:r>
          </w:p>
          <w:p w14:paraId="0D04C53C" w14:textId="77777777" w:rsidR="00FF1167" w:rsidRPr="00267D60" w:rsidRDefault="00FF1167" w:rsidP="0020515A">
            <w:pPr>
              <w:pStyle w:val="Bullets"/>
            </w:pPr>
            <w:r w:rsidRPr="00267D60">
              <w:t>US$35,000 of shares in US-based companies (eligible assets, worth NZ$70,000)</w:t>
            </w:r>
          </w:p>
          <w:p w14:paraId="0B0F5190" w14:textId="77777777" w:rsidR="00FF1167" w:rsidRPr="00267D60" w:rsidRDefault="00FF1167" w:rsidP="0020515A">
            <w:pPr>
              <w:pStyle w:val="Bullets"/>
            </w:pPr>
            <w:r w:rsidRPr="00267D60">
              <w:t>US$15,000 of share options (non-eligible assets, worth NZ$30,000)</w:t>
            </w:r>
          </w:p>
          <w:p w14:paraId="65B8AEB8" w14:textId="77777777" w:rsidR="00FF1167" w:rsidRPr="00267D60" w:rsidRDefault="00FF1167" w:rsidP="0020515A">
            <w:pPr>
              <w:pStyle w:val="Bullets"/>
            </w:pPr>
            <w:r w:rsidRPr="00267D60">
              <w:t>A hedge of USD to NZD, with a foreign amount hedged of US$15,000 (equivalent to NZ$30,000). This hedge has an FDR hedge portion of zero.</w:t>
            </w:r>
          </w:p>
          <w:p w14:paraId="01C22056" w14:textId="71E9366F" w:rsidR="00FF1167" w:rsidRPr="00267D60" w:rsidRDefault="00FF1167" w:rsidP="006D6DD8">
            <w:r w:rsidRPr="00267D60">
              <w:t>On 1 June 202</w:t>
            </w:r>
            <w:r w:rsidR="004559F6">
              <w:t>3</w:t>
            </w:r>
            <w:r w:rsidRPr="00267D60">
              <w:t xml:space="preserve">, </w:t>
            </w:r>
            <w:r w:rsidR="009B3EFD" w:rsidRPr="00C5695A">
              <w:rPr>
                <w:rFonts w:cs="Segoe UI"/>
                <w:iCs/>
                <w:lang w:eastAsia="en-NZ"/>
              </w:rPr>
              <w:t xml:space="preserve">Sterling Cooper </w:t>
            </w:r>
            <w:r w:rsidRPr="00267D60">
              <w:t>enters into an eligible hedge for US dollars, with a foreign amount hedged of US$35,000 (equivalent to NZ$70,000).</w:t>
            </w:r>
            <w:r w:rsidR="006D6DD8">
              <w:t xml:space="preserve"> </w:t>
            </w:r>
            <w:r w:rsidRPr="00267D60">
              <w:t>The second hedge-by-hedge method is applied to th</w:t>
            </w:r>
            <w:r w:rsidR="002345DC">
              <w:t>is</w:t>
            </w:r>
            <w:r w:rsidRPr="00267D60">
              <w:t xml:space="preserve"> hedge</w:t>
            </w:r>
            <w:r w:rsidR="009B3EFD" w:rsidRPr="00C5695A">
              <w:rPr>
                <w:rFonts w:cs="Segoe UI"/>
                <w:iCs/>
                <w:lang w:eastAsia="en-NZ"/>
              </w:rPr>
              <w:t xml:space="preserve"> </w:t>
            </w:r>
            <w:r w:rsidRPr="00267D60">
              <w:t>below.</w:t>
            </w:r>
          </w:p>
          <w:p w14:paraId="0F5F3320" w14:textId="77777777" w:rsidR="00FF1167" w:rsidRPr="00267D60" w:rsidRDefault="00FF1167" w:rsidP="009E3E35">
            <w:pPr>
              <w:spacing w:after="160"/>
              <w:rPr>
                <w:i/>
                <w:iCs/>
              </w:rPr>
            </w:pPr>
            <w:r w:rsidRPr="00267D60">
              <w:rPr>
                <w:i/>
                <w:iCs/>
              </w:rPr>
              <w:t>First step</w:t>
            </w:r>
          </w:p>
          <w:p w14:paraId="523908BA" w14:textId="77777777" w:rsidR="00FF1167" w:rsidRPr="00267D60" w:rsidRDefault="00FF1167" w:rsidP="009E3E35">
            <w:pPr>
              <w:spacing w:after="160"/>
            </w:pPr>
            <w:r w:rsidRPr="00267D60">
              <w:t>The apportioned current hedge amount is NZ$70,000 as it equals the lesser of:</w:t>
            </w:r>
          </w:p>
          <w:p w14:paraId="71109797" w14:textId="77777777" w:rsidR="00FF1167" w:rsidRPr="00267D60" w:rsidRDefault="00FF1167" w:rsidP="0020515A">
            <w:pPr>
              <w:pStyle w:val="Bullets"/>
            </w:pPr>
            <w:r w:rsidRPr="00267D60">
              <w:t>the amount of foreign currency hedged by the calculation hedge (NZ$70,000), and</w:t>
            </w:r>
          </w:p>
          <w:p w14:paraId="24947BC3" w14:textId="4265E74E" w:rsidR="00FF1167" w:rsidRDefault="00FF1167" w:rsidP="0020515A">
            <w:pPr>
              <w:pStyle w:val="Bullets"/>
            </w:pPr>
            <w:r w:rsidRPr="00267D60">
              <w:t xml:space="preserve">the amount of foreign currency that is hedged (including by the calculation hedge) </w:t>
            </w:r>
            <w:r w:rsidRPr="00267D60">
              <w:rPr>
                <w:i/>
                <w:iCs/>
              </w:rPr>
              <w:t>less</w:t>
            </w:r>
            <w:r w:rsidRPr="00267D60">
              <w:t xml:space="preserve"> the amount of foreign currency that is hedged by </w:t>
            </w:r>
            <w:r w:rsidR="00B40BE5">
              <w:t>Sterling Cooper’s</w:t>
            </w:r>
            <w:r w:rsidRPr="00267D60">
              <w:t xml:space="preserve"> FDR hedge portions excluding the calculation hedge </w:t>
            </w:r>
            <w:r w:rsidRPr="00267D60">
              <w:rPr>
                <w:i/>
                <w:iCs/>
              </w:rPr>
              <w:t>less</w:t>
            </w:r>
            <w:r w:rsidRPr="00267D60">
              <w:t xml:space="preserve"> the total market value of </w:t>
            </w:r>
            <w:r w:rsidR="00B40BE5">
              <w:t>Sterling Cooper’s</w:t>
            </w:r>
            <w:r w:rsidRPr="00267D60">
              <w:t xml:space="preserve"> non-eligible assets (NZ$100,000 – NZ$0 – NZ$30,000 = $70,000).</w:t>
            </w:r>
          </w:p>
          <w:p w14:paraId="70FE5A87" w14:textId="4C7D42BD" w:rsidR="001F6F6A" w:rsidRDefault="00AA7F0A" w:rsidP="009E3E35">
            <w:r w:rsidRPr="00267D60">
              <w:rPr>
                <w:i/>
                <w:iCs/>
              </w:rPr>
              <w:t>Second step</w:t>
            </w:r>
          </w:p>
          <w:p w14:paraId="1AEFB9B0" w14:textId="795F1249" w:rsidR="003B5C63" w:rsidRDefault="003B5C63" w:rsidP="009E3E35">
            <w:r>
              <w:t>The FDR gross amount is</w:t>
            </w:r>
            <w:r w:rsidR="00776671">
              <w:t xml:space="preserve"> </w:t>
            </w:r>
            <w:r w:rsidR="004B6291">
              <w:t xml:space="preserve">1 as it equals the lesser of </w:t>
            </w:r>
            <w:r w:rsidR="00882B79">
              <w:t>1 and the amount under the formula:</w:t>
            </w:r>
          </w:p>
          <w:p w14:paraId="6EBBACF9" w14:textId="76FCD1F5" w:rsidR="00375B41" w:rsidRDefault="004133EA" w:rsidP="00B40F93">
            <w:pPr>
              <w:jc w:val="center"/>
            </w:pPr>
            <m:oMathPara>
              <m:oMath>
                <m:f>
                  <m:fPr>
                    <m:ctrlPr>
                      <w:rPr>
                        <w:rFonts w:ascii="Cambria Math" w:hAnsi="Cambria Math"/>
                      </w:rPr>
                    </m:ctrlPr>
                  </m:fPr>
                  <m:num>
                    <m:d>
                      <m:dPr>
                        <m:ctrlPr>
                          <w:rPr>
                            <w:rFonts w:ascii="Cambria Math" w:hAnsi="Cambria Math"/>
                          </w:rPr>
                        </m:ctrlPr>
                      </m:dPr>
                      <m:e>
                        <m:r>
                          <m:rPr>
                            <m:sty m:val="p"/>
                          </m:rPr>
                          <w:rPr>
                            <w:rFonts w:ascii="Cambria Math" w:hAnsi="Cambria Math"/>
                          </w:rPr>
                          <m:t>1.05 x eligible currency assets - FDR hedges amount</m:t>
                        </m:r>
                      </m:e>
                    </m:d>
                  </m:num>
                  <m:den>
                    <m:r>
                      <m:rPr>
                        <m:sty m:val="p"/>
                      </m:rPr>
                      <w:rPr>
                        <w:rFonts w:ascii="Cambria Math" w:hAnsi="Cambria Math"/>
                      </w:rPr>
                      <m:t xml:space="preserve">apportioned current hedge amount </m:t>
                    </m:r>
                  </m:den>
                </m:f>
              </m:oMath>
            </m:oMathPara>
          </w:p>
          <w:p w14:paraId="6F5C9DB6" w14:textId="55043293" w:rsidR="00FF1167" w:rsidRDefault="004133EA" w:rsidP="00B40F93">
            <w:pPr>
              <w:spacing w:after="160"/>
              <w:jc w:val="center"/>
            </w:pPr>
            <m:oMath>
              <m:f>
                <m:fPr>
                  <m:ctrlPr>
                    <w:rPr>
                      <w:rFonts w:ascii="Cambria Math" w:hAnsi="Cambria Math"/>
                    </w:rPr>
                  </m:ctrlPr>
                </m:fPr>
                <m:num>
                  <m:d>
                    <m:dPr>
                      <m:ctrlPr>
                        <w:rPr>
                          <w:rFonts w:ascii="Cambria Math" w:hAnsi="Cambria Math"/>
                        </w:rPr>
                      </m:ctrlPr>
                    </m:dPr>
                    <m:e>
                      <m:r>
                        <m:rPr>
                          <m:sty m:val="p"/>
                        </m:rPr>
                        <w:rPr>
                          <w:rFonts w:ascii="Cambria Math" w:hAnsi="Cambria Math"/>
                        </w:rPr>
                        <m:t>1.05 × NZ$70,000 - 0</m:t>
                      </m:r>
                    </m:e>
                  </m:d>
                </m:num>
                <m:den>
                  <m:eqArr>
                    <m:eqArrPr>
                      <m:ctrlPr>
                        <w:rPr>
                          <w:rFonts w:ascii="Cambria Math" w:hAnsi="Cambria Math"/>
                        </w:rPr>
                      </m:ctrlPr>
                    </m:eqArrPr>
                    <m:e>
                      <m:r>
                        <m:rPr>
                          <m:sty m:val="p"/>
                        </m:rPr>
                        <w:rPr>
                          <w:rFonts w:ascii="Cambria Math" w:hAnsi="Cambria Math"/>
                        </w:rPr>
                        <m:t>NZ$70,000</m:t>
                      </m:r>
                    </m:e>
                    <m:e/>
                  </m:eqArr>
                </m:den>
              </m:f>
            </m:oMath>
            <w:r w:rsidR="00FF1167" w:rsidRPr="00267D60">
              <w:t xml:space="preserve"> = 1.05</w:t>
            </w:r>
          </w:p>
          <w:p w14:paraId="5D79B71D" w14:textId="4E42B9D4" w:rsidR="001A2F95" w:rsidRDefault="00410CF3" w:rsidP="009E3E35">
            <w:r w:rsidRPr="00267D60">
              <w:rPr>
                <w:i/>
                <w:iCs/>
              </w:rPr>
              <w:t>Third step</w:t>
            </w:r>
          </w:p>
          <w:p w14:paraId="0403311A" w14:textId="051957C5" w:rsidR="00BA2EFD" w:rsidRDefault="00BA2EFD" w:rsidP="009E3E35">
            <w:r>
              <w:t>Applying the formula in section EM 5(9):</w:t>
            </w:r>
          </w:p>
          <w:p w14:paraId="2B993190" w14:textId="28A5033B" w:rsidR="00375B41" w:rsidRDefault="00410CF3" w:rsidP="00B40F93">
            <w:pPr>
              <w:jc w:val="center"/>
            </w:pPr>
            <w:r>
              <w:rPr>
                <w:rFonts w:ascii="Cambria Math" w:hAnsi="Cambria Math"/>
              </w:rPr>
              <w:t xml:space="preserve">FDR gross amount </w:t>
            </w:r>
            <w:r w:rsidRPr="007E1FF3">
              <w:rPr>
                <w:rFonts w:ascii="Cambria Math" w:hAnsi="Cambria Math"/>
              </w:rPr>
              <w:t>×</w:t>
            </w:r>
            <w:r w:rsidR="00375B41">
              <w:t xml:space="preserve"> </w:t>
            </w:r>
            <m:oMath>
              <m:f>
                <m:fPr>
                  <m:ctrlPr>
                    <w:rPr>
                      <w:rFonts w:ascii="Cambria Math" w:hAnsi="Cambria Math"/>
                    </w:rPr>
                  </m:ctrlPr>
                </m:fPr>
                <m:num>
                  <m:r>
                    <m:rPr>
                      <m:sty m:val="p"/>
                    </m:rPr>
                    <w:rPr>
                      <w:rFonts w:ascii="Cambria Math" w:hAnsi="Cambria Math"/>
                    </w:rPr>
                    <m:t xml:space="preserve"> apportioned current hedge amount</m:t>
                  </m:r>
                </m:num>
                <m:den>
                  <m:r>
                    <m:rPr>
                      <m:sty m:val="p"/>
                    </m:rPr>
                    <w:rPr>
                      <w:rFonts w:ascii="Cambria Math" w:hAnsi="Cambria Math"/>
                    </w:rPr>
                    <m:t>calculation hedge amount</m:t>
                  </m:r>
                </m:den>
              </m:f>
            </m:oMath>
          </w:p>
          <w:p w14:paraId="4F1B3FF5" w14:textId="262A9FBE" w:rsidR="00FF1167" w:rsidRPr="00267D60" w:rsidRDefault="00D93A64" w:rsidP="00B40F93">
            <w:pPr>
              <w:spacing w:after="160"/>
              <w:jc w:val="center"/>
            </w:pPr>
            <w:r>
              <w:rPr>
                <w:rFonts w:ascii="Cambria Math" w:hAnsi="Cambria Math"/>
              </w:rPr>
              <w:t xml:space="preserve">1 </w:t>
            </w:r>
            <w:r w:rsidR="00FF1167" w:rsidRPr="007E1FF3">
              <w:rPr>
                <w:rFonts w:ascii="Cambria Math" w:hAnsi="Cambria Math"/>
              </w:rPr>
              <w:t>×</w:t>
            </w:r>
            <w:r w:rsidR="00375B41">
              <w:t xml:space="preserve"> </w:t>
            </w:r>
            <m:oMath>
              <m:f>
                <m:fPr>
                  <m:ctrlPr>
                    <w:rPr>
                      <w:rFonts w:ascii="Cambria Math" w:hAnsi="Cambria Math"/>
                    </w:rPr>
                  </m:ctrlPr>
                </m:fPr>
                <m:num>
                  <m:r>
                    <m:rPr>
                      <m:sty m:val="p"/>
                    </m:rPr>
                    <w:rPr>
                      <w:rFonts w:ascii="Cambria Math" w:hAnsi="Cambria Math"/>
                    </w:rPr>
                    <m:t xml:space="preserve">NZ$70,000 </m:t>
                  </m:r>
                </m:num>
                <m:den>
                  <m:r>
                    <m:rPr>
                      <m:sty m:val="p"/>
                    </m:rPr>
                    <w:rPr>
                      <w:rFonts w:ascii="Cambria Math" w:hAnsi="Cambria Math"/>
                    </w:rPr>
                    <m:t>NZ$70,000</m:t>
                  </m:r>
                </m:den>
              </m:f>
            </m:oMath>
            <w:r w:rsidR="00FF1167" w:rsidRPr="00267D60">
              <w:t xml:space="preserve"> = 100%</w:t>
            </w:r>
          </w:p>
          <w:p w14:paraId="2922B9A3" w14:textId="6371891F" w:rsidR="00D85DDF" w:rsidRPr="00830D2F" w:rsidRDefault="00FF1167" w:rsidP="009E3E35">
            <w:r w:rsidRPr="00267D60">
              <w:t>This means that the maximum FDR hedge portion that can be applied to the hedge of US$35,000 is 100%</w:t>
            </w:r>
            <w:r w:rsidRPr="008418D5">
              <w:rPr>
                <w:sz w:val="18"/>
                <w:szCs w:val="18"/>
              </w:rPr>
              <w:t>.</w:t>
            </w:r>
          </w:p>
        </w:tc>
      </w:tr>
    </w:tbl>
    <w:p w14:paraId="0C12869B" w14:textId="31D951D2" w:rsidR="00751C55" w:rsidRDefault="00751C55" w:rsidP="00986F41">
      <w:pPr>
        <w:spacing w:before="0" w:after="0" w:line="240" w:lineRule="auto"/>
        <w:jc w:val="both"/>
      </w:pPr>
    </w:p>
    <w:tbl>
      <w:tblPr>
        <w:tblStyle w:val="IR-Table-ParagraphHighlightStyle2"/>
        <w:tblW w:w="0" w:type="auto"/>
        <w:tblLook w:val="04A0" w:firstRow="1" w:lastRow="0" w:firstColumn="1" w:lastColumn="0" w:noHBand="0" w:noVBand="1"/>
      </w:tblPr>
      <w:tblGrid>
        <w:gridCol w:w="9016"/>
      </w:tblGrid>
      <w:tr w:rsidR="00D85DDF" w14:paraId="32392386" w14:textId="77777777" w:rsidTr="0000367E">
        <w:tc>
          <w:tcPr>
            <w:tcW w:w="9016" w:type="dxa"/>
          </w:tcPr>
          <w:p w14:paraId="00512477" w14:textId="23400942" w:rsidR="00D85DDF" w:rsidRPr="00AE76A1" w:rsidRDefault="00D85DDF" w:rsidP="00EB390A">
            <w:pPr>
              <w:rPr>
                <w:b/>
                <w:bCs/>
              </w:rPr>
            </w:pPr>
            <w:r w:rsidRPr="00830D2F">
              <w:rPr>
                <w:b/>
                <w:bCs/>
              </w:rPr>
              <w:t xml:space="preserve">Example </w:t>
            </w:r>
            <w:r w:rsidR="00AE76A1">
              <w:rPr>
                <w:b/>
                <w:bCs/>
              </w:rPr>
              <w:t>3</w:t>
            </w:r>
            <w:r w:rsidR="00E43CC5">
              <w:rPr>
                <w:b/>
                <w:bCs/>
              </w:rPr>
              <w:t xml:space="preserve">: </w:t>
            </w:r>
            <w:r w:rsidR="00A15B98">
              <w:rPr>
                <w:b/>
                <w:bCs/>
              </w:rPr>
              <w:t>H</w:t>
            </w:r>
            <w:r w:rsidR="00CD7A0C">
              <w:rPr>
                <w:b/>
                <w:bCs/>
              </w:rPr>
              <w:t>e</w:t>
            </w:r>
            <w:r w:rsidR="004C3D97">
              <w:rPr>
                <w:b/>
                <w:bCs/>
              </w:rPr>
              <w:t xml:space="preserve">dging </w:t>
            </w:r>
            <w:r w:rsidR="00CD7A0C">
              <w:rPr>
                <w:b/>
                <w:bCs/>
              </w:rPr>
              <w:t xml:space="preserve">on hand </w:t>
            </w:r>
            <w:r w:rsidR="002338C2">
              <w:rPr>
                <w:b/>
                <w:bCs/>
              </w:rPr>
              <w:t>not subject to</w:t>
            </w:r>
            <w:r w:rsidR="00A41DA5">
              <w:rPr>
                <w:b/>
                <w:bCs/>
              </w:rPr>
              <w:t xml:space="preserve"> FDR </w:t>
            </w:r>
            <w:r w:rsidR="002338C2">
              <w:rPr>
                <w:b/>
                <w:bCs/>
              </w:rPr>
              <w:t>treatment is less than</w:t>
            </w:r>
            <w:r w:rsidR="004C3D97">
              <w:rPr>
                <w:b/>
                <w:bCs/>
              </w:rPr>
              <w:t xml:space="preserve"> non-eligible assets</w:t>
            </w:r>
          </w:p>
          <w:p w14:paraId="5B6B8169" w14:textId="5761B820" w:rsidR="00AE76A1" w:rsidRPr="00AE76A1" w:rsidRDefault="00AE76A1" w:rsidP="00EB390A">
            <w:pPr>
              <w:spacing w:after="160"/>
            </w:pPr>
            <w:r w:rsidRPr="00AE76A1">
              <w:t>At the beginning of 1 August 202</w:t>
            </w:r>
            <w:r w:rsidR="004559F6">
              <w:t>3</w:t>
            </w:r>
            <w:r w:rsidRPr="00AE76A1">
              <w:t xml:space="preserve">, </w:t>
            </w:r>
            <w:r w:rsidR="009B3EFD" w:rsidRPr="00C5695A">
              <w:rPr>
                <w:rFonts w:cs="Segoe UI"/>
                <w:iCs/>
                <w:lang w:eastAsia="en-NZ"/>
              </w:rPr>
              <w:t xml:space="preserve">Sterling Cooper </w:t>
            </w:r>
            <w:r w:rsidRPr="00AE76A1">
              <w:t>Fund (</w:t>
            </w:r>
            <w:r w:rsidR="009B3EFD" w:rsidRPr="00C5695A">
              <w:rPr>
                <w:rFonts w:cs="Segoe UI"/>
                <w:iCs/>
                <w:lang w:eastAsia="en-NZ"/>
              </w:rPr>
              <w:t>Sterling Cooper</w:t>
            </w:r>
            <w:r w:rsidRPr="00AE76A1">
              <w:t>) has a portfolio of:</w:t>
            </w:r>
          </w:p>
          <w:p w14:paraId="4650844B" w14:textId="77777777" w:rsidR="00AE76A1" w:rsidRPr="00AE76A1" w:rsidRDefault="00AE76A1" w:rsidP="00B965A2">
            <w:pPr>
              <w:pStyle w:val="Bullets"/>
            </w:pPr>
            <w:r w:rsidRPr="00AE76A1">
              <w:t>US$35,000 of shares in US-based companies (eligible assets, worth NZ$70,000)</w:t>
            </w:r>
          </w:p>
          <w:p w14:paraId="19F00159" w14:textId="77777777" w:rsidR="00AE76A1" w:rsidRPr="00AE76A1" w:rsidRDefault="00AE76A1" w:rsidP="00B965A2">
            <w:pPr>
              <w:pStyle w:val="Bullets"/>
            </w:pPr>
            <w:r w:rsidRPr="00AE76A1">
              <w:t>US$15,000 of share options (non-eligible assets, worth NZ$30,000)</w:t>
            </w:r>
          </w:p>
          <w:p w14:paraId="27706D7A" w14:textId="77777777" w:rsidR="00AE76A1" w:rsidRPr="00AE76A1" w:rsidRDefault="00AE76A1" w:rsidP="00B965A2">
            <w:pPr>
              <w:pStyle w:val="Bullets"/>
            </w:pPr>
            <w:r w:rsidRPr="00AE76A1">
              <w:t>A hedge of USD to NZD, with a foreign amount hedged of US$10,000 (equivalent to NZ$20,000). This hedge has an FDR hedge portion of zero.</w:t>
            </w:r>
          </w:p>
          <w:p w14:paraId="5EE7E8AB" w14:textId="137844C7" w:rsidR="00AE76A1" w:rsidRPr="00AE76A1" w:rsidRDefault="00AE76A1" w:rsidP="00BA2EFD">
            <w:r w:rsidRPr="00AE76A1">
              <w:t>On 1 August 202</w:t>
            </w:r>
            <w:r w:rsidR="004559F6">
              <w:t>3</w:t>
            </w:r>
            <w:r w:rsidRPr="00AE76A1">
              <w:t xml:space="preserve">, </w:t>
            </w:r>
            <w:r w:rsidR="009B3EFD" w:rsidRPr="00C5695A">
              <w:rPr>
                <w:rFonts w:cs="Segoe UI"/>
                <w:iCs/>
                <w:lang w:eastAsia="en-NZ"/>
              </w:rPr>
              <w:t xml:space="preserve">Sterling Cooper </w:t>
            </w:r>
            <w:r w:rsidRPr="00AE76A1">
              <w:t>enters into an eligible hedge for US dollars, with a foreign amount hedged of US$40,000 (equivalent to NZ$80,000).</w:t>
            </w:r>
            <w:r w:rsidR="00BA2EFD">
              <w:t xml:space="preserve"> </w:t>
            </w:r>
            <w:r w:rsidRPr="00AE76A1">
              <w:t>The second hedge-by-hedge method is applied to th</w:t>
            </w:r>
            <w:r w:rsidR="00BA2EFD">
              <w:t>is</w:t>
            </w:r>
            <w:r w:rsidRPr="00AE76A1">
              <w:t xml:space="preserve"> hedge</w:t>
            </w:r>
            <w:r w:rsidR="009B3EFD" w:rsidRPr="00C5695A">
              <w:rPr>
                <w:rFonts w:cs="Segoe UI"/>
                <w:iCs/>
                <w:lang w:eastAsia="en-NZ"/>
              </w:rPr>
              <w:t xml:space="preserve"> </w:t>
            </w:r>
            <w:r w:rsidRPr="00AE76A1">
              <w:t>below.</w:t>
            </w:r>
          </w:p>
          <w:p w14:paraId="01D5D7B2" w14:textId="77777777" w:rsidR="00AE76A1" w:rsidRPr="00AE76A1" w:rsidRDefault="00AE76A1" w:rsidP="00EB390A">
            <w:pPr>
              <w:spacing w:after="160"/>
              <w:rPr>
                <w:i/>
                <w:iCs/>
              </w:rPr>
            </w:pPr>
            <w:r w:rsidRPr="00AE76A1">
              <w:rPr>
                <w:i/>
                <w:iCs/>
              </w:rPr>
              <w:t>First step</w:t>
            </w:r>
          </w:p>
          <w:p w14:paraId="03C0668A" w14:textId="77777777" w:rsidR="00AE76A1" w:rsidRPr="00AE76A1" w:rsidRDefault="00AE76A1" w:rsidP="00EB390A">
            <w:pPr>
              <w:spacing w:after="160"/>
            </w:pPr>
            <w:r w:rsidRPr="00AE76A1">
              <w:t>The apportioned current hedge amount is NZ$70,000 as it equals the lesser of:</w:t>
            </w:r>
          </w:p>
          <w:p w14:paraId="072A6952" w14:textId="77777777" w:rsidR="00AE76A1" w:rsidRPr="00AE76A1" w:rsidRDefault="00AE76A1" w:rsidP="00B965A2">
            <w:pPr>
              <w:pStyle w:val="Bullets"/>
            </w:pPr>
            <w:r w:rsidRPr="00AE76A1">
              <w:t>the amount of foreign currency hedged by the calculation hedge (NZ$80,000), and</w:t>
            </w:r>
          </w:p>
          <w:p w14:paraId="01172734" w14:textId="1A663BF2" w:rsidR="00AE76A1" w:rsidRPr="00AE76A1" w:rsidRDefault="00AE76A1" w:rsidP="00B965A2">
            <w:pPr>
              <w:pStyle w:val="Bullets"/>
            </w:pPr>
            <w:r w:rsidRPr="00AE76A1">
              <w:t xml:space="preserve">the amount of foreign currency that is hedged (including by the calculation hedge) </w:t>
            </w:r>
            <w:r w:rsidRPr="00AE76A1">
              <w:rPr>
                <w:i/>
                <w:iCs/>
              </w:rPr>
              <w:t>less</w:t>
            </w:r>
            <w:r w:rsidRPr="00AE76A1">
              <w:t xml:space="preserve"> the amount of foreign currency that is hedged by </w:t>
            </w:r>
            <w:r w:rsidR="00B40BE5">
              <w:t>Sterling Cooper’s</w:t>
            </w:r>
            <w:r w:rsidRPr="00AE76A1">
              <w:t xml:space="preserve"> FDR hedge portions excluding the calculation hedge </w:t>
            </w:r>
            <w:r w:rsidRPr="00AE76A1">
              <w:rPr>
                <w:i/>
                <w:iCs/>
              </w:rPr>
              <w:t>less</w:t>
            </w:r>
            <w:r w:rsidRPr="00AE76A1">
              <w:t xml:space="preserve"> the total market value </w:t>
            </w:r>
            <w:r w:rsidRPr="00AE76A1">
              <w:lastRenderedPageBreak/>
              <w:t xml:space="preserve">of </w:t>
            </w:r>
            <w:r w:rsidR="00B40BE5">
              <w:t>Sterling Cooper’s</w:t>
            </w:r>
            <w:r w:rsidRPr="00AE76A1">
              <w:t xml:space="preserve"> non-eligible assets (NZ$100,000 – NZ$0 – NZ$30,000 = $70,000).</w:t>
            </w:r>
          </w:p>
          <w:p w14:paraId="2C1AB867" w14:textId="467E72DD" w:rsidR="00B965A2" w:rsidRDefault="00AE76A1" w:rsidP="00EB390A">
            <w:r w:rsidRPr="00AE76A1">
              <w:rPr>
                <w:i/>
                <w:iCs/>
              </w:rPr>
              <w:t>Second step</w:t>
            </w:r>
          </w:p>
          <w:p w14:paraId="723BC53E" w14:textId="4F4D80B7" w:rsidR="00B965A2" w:rsidRDefault="00B965A2" w:rsidP="00B965A2">
            <w:r>
              <w:t>The FDR gross amount is</w:t>
            </w:r>
            <w:r w:rsidR="00776671">
              <w:t xml:space="preserve"> </w:t>
            </w:r>
            <w:r>
              <w:t>1 as it equals the lesser of 1 and the amount under the formula:</w:t>
            </w:r>
          </w:p>
          <w:p w14:paraId="71FF8933" w14:textId="43300AAC" w:rsidR="00375B41" w:rsidRDefault="004133EA" w:rsidP="00B40F93">
            <w:pPr>
              <w:jc w:val="center"/>
            </w:pPr>
            <m:oMathPara>
              <m:oMath>
                <m:f>
                  <m:fPr>
                    <m:ctrlPr>
                      <w:rPr>
                        <w:rFonts w:ascii="Cambria Math" w:hAnsi="Cambria Math"/>
                      </w:rPr>
                    </m:ctrlPr>
                  </m:fPr>
                  <m:num>
                    <m:d>
                      <m:dPr>
                        <m:ctrlPr>
                          <w:rPr>
                            <w:rFonts w:ascii="Cambria Math" w:hAnsi="Cambria Math"/>
                          </w:rPr>
                        </m:ctrlPr>
                      </m:dPr>
                      <m:e>
                        <m:r>
                          <m:rPr>
                            <m:sty m:val="p"/>
                          </m:rPr>
                          <w:rPr>
                            <w:rFonts w:ascii="Cambria Math" w:hAnsi="Cambria Math"/>
                          </w:rPr>
                          <m:t>1.05 x eligible currency assets - FDR hedges amount</m:t>
                        </m:r>
                      </m:e>
                    </m:d>
                  </m:num>
                  <m:den>
                    <m:r>
                      <m:rPr>
                        <m:sty m:val="p"/>
                      </m:rPr>
                      <w:rPr>
                        <w:rFonts w:ascii="Cambria Math" w:hAnsi="Cambria Math"/>
                      </w:rPr>
                      <m:t xml:space="preserve">apportioned current hedge amount </m:t>
                    </m:r>
                  </m:den>
                </m:f>
              </m:oMath>
            </m:oMathPara>
          </w:p>
          <w:p w14:paraId="7047B7DA" w14:textId="5334FD23" w:rsidR="00AE76A1" w:rsidRPr="00AE76A1" w:rsidRDefault="004133EA" w:rsidP="00B40F93">
            <w:pPr>
              <w:spacing w:after="160"/>
              <w:jc w:val="center"/>
            </w:pPr>
            <m:oMath>
              <m:f>
                <m:fPr>
                  <m:ctrlPr>
                    <w:rPr>
                      <w:rFonts w:ascii="Cambria Math" w:hAnsi="Cambria Math"/>
                    </w:rPr>
                  </m:ctrlPr>
                </m:fPr>
                <m:num>
                  <m:d>
                    <m:dPr>
                      <m:ctrlPr>
                        <w:rPr>
                          <w:rFonts w:ascii="Cambria Math" w:hAnsi="Cambria Math"/>
                        </w:rPr>
                      </m:ctrlPr>
                    </m:dPr>
                    <m:e>
                      <m:r>
                        <m:rPr>
                          <m:sty m:val="p"/>
                        </m:rPr>
                        <w:rPr>
                          <w:rFonts w:ascii="Cambria Math" w:hAnsi="Cambria Math"/>
                        </w:rPr>
                        <m:t>1.05 × NZ$70,000 - 0</m:t>
                      </m:r>
                    </m:e>
                  </m:d>
                </m:num>
                <m:den>
                  <m:eqArr>
                    <m:eqArrPr>
                      <m:ctrlPr>
                        <w:rPr>
                          <w:rFonts w:ascii="Cambria Math" w:hAnsi="Cambria Math"/>
                        </w:rPr>
                      </m:ctrlPr>
                    </m:eqArrPr>
                    <m:e>
                      <m:r>
                        <m:rPr>
                          <m:sty m:val="p"/>
                        </m:rPr>
                        <w:rPr>
                          <w:rFonts w:ascii="Cambria Math" w:hAnsi="Cambria Math"/>
                        </w:rPr>
                        <m:t>NZ$70,000</m:t>
                      </m:r>
                    </m:e>
                    <m:e/>
                  </m:eqArr>
                </m:den>
              </m:f>
            </m:oMath>
            <w:r w:rsidR="00AE76A1" w:rsidRPr="00AE76A1">
              <w:t xml:space="preserve"> = 1.05</w:t>
            </w:r>
          </w:p>
          <w:p w14:paraId="2EA9E8EC" w14:textId="32E00D52" w:rsidR="00BA2EFD" w:rsidRDefault="00AE76A1" w:rsidP="00EB390A">
            <w:r w:rsidRPr="00AE76A1">
              <w:rPr>
                <w:i/>
                <w:iCs/>
              </w:rPr>
              <w:t>Third step</w:t>
            </w:r>
          </w:p>
          <w:p w14:paraId="3B3EE87F" w14:textId="34FD28CE" w:rsidR="00BA2EFD" w:rsidRDefault="00BA2EFD" w:rsidP="00EB390A">
            <w:r>
              <w:t>Applying the formula in section EM 5(9):</w:t>
            </w:r>
          </w:p>
          <w:p w14:paraId="5E10971C" w14:textId="4CDF5418" w:rsidR="00375B41" w:rsidRDefault="00DD6C95" w:rsidP="00B40F93">
            <w:pPr>
              <w:jc w:val="center"/>
            </w:pPr>
            <w:r>
              <w:rPr>
                <w:rFonts w:ascii="Cambria Math" w:hAnsi="Cambria Math"/>
              </w:rPr>
              <w:t xml:space="preserve">FDR gross amount </w:t>
            </w:r>
            <w:r w:rsidRPr="007E1FF3">
              <w:rPr>
                <w:rFonts w:ascii="Cambria Math" w:hAnsi="Cambria Math"/>
              </w:rPr>
              <w:t>×</w:t>
            </w:r>
            <w:r w:rsidR="00375B41">
              <w:t xml:space="preserve"> </w:t>
            </w:r>
            <m:oMath>
              <m:f>
                <m:fPr>
                  <m:ctrlPr>
                    <w:rPr>
                      <w:rFonts w:ascii="Cambria Math" w:hAnsi="Cambria Math"/>
                    </w:rPr>
                  </m:ctrlPr>
                </m:fPr>
                <m:num>
                  <m:r>
                    <m:rPr>
                      <m:sty m:val="p"/>
                    </m:rPr>
                    <w:rPr>
                      <w:rFonts w:ascii="Cambria Math" w:hAnsi="Cambria Math"/>
                    </w:rPr>
                    <m:t xml:space="preserve"> apportioned current hedge amount</m:t>
                  </m:r>
                </m:num>
                <m:den>
                  <m:r>
                    <m:rPr>
                      <m:sty m:val="p"/>
                    </m:rPr>
                    <w:rPr>
                      <w:rFonts w:ascii="Cambria Math" w:hAnsi="Cambria Math"/>
                    </w:rPr>
                    <m:t>calculation hedge amount</m:t>
                  </m:r>
                </m:den>
              </m:f>
            </m:oMath>
          </w:p>
          <w:p w14:paraId="0A6527D1" w14:textId="416C7355" w:rsidR="00AE76A1" w:rsidRPr="00AE76A1" w:rsidRDefault="00AE76A1" w:rsidP="00B40F93">
            <w:pPr>
              <w:spacing w:after="160"/>
              <w:jc w:val="center"/>
            </w:pPr>
            <w:r w:rsidRPr="00AE76A1">
              <w:t>1 ×</w:t>
            </w:r>
            <w:r w:rsidR="00375B41">
              <w:t xml:space="preserve"> </w:t>
            </w:r>
            <m:oMath>
              <m:f>
                <m:fPr>
                  <m:ctrlPr>
                    <w:rPr>
                      <w:rFonts w:ascii="Cambria Math" w:hAnsi="Cambria Math"/>
                    </w:rPr>
                  </m:ctrlPr>
                </m:fPr>
                <m:num>
                  <m:r>
                    <m:rPr>
                      <m:sty m:val="p"/>
                    </m:rPr>
                    <w:rPr>
                      <w:rFonts w:ascii="Cambria Math" w:hAnsi="Cambria Math"/>
                    </w:rPr>
                    <m:t>NZ$70,000</m:t>
                  </m:r>
                </m:num>
                <m:den>
                  <m:r>
                    <m:rPr>
                      <m:sty m:val="p"/>
                    </m:rPr>
                    <w:rPr>
                      <w:rFonts w:ascii="Cambria Math" w:hAnsi="Cambria Math"/>
                    </w:rPr>
                    <m:t>NZ$80,000</m:t>
                  </m:r>
                </m:den>
              </m:f>
            </m:oMath>
            <w:r w:rsidRPr="00AE76A1">
              <w:t xml:space="preserve"> = 87.5%</w:t>
            </w:r>
          </w:p>
          <w:p w14:paraId="7E237B2B" w14:textId="38D70464" w:rsidR="00D85DDF" w:rsidRPr="00830D2F" w:rsidRDefault="00AE76A1" w:rsidP="00EB390A">
            <w:r w:rsidRPr="00AE76A1">
              <w:t>This means that the maximum FDR hedge portion that can be applied to the hedge of US$40,000 is 87.5%.</w:t>
            </w:r>
          </w:p>
        </w:tc>
      </w:tr>
    </w:tbl>
    <w:p w14:paraId="36F74F05" w14:textId="55148BBE" w:rsidR="00751C55" w:rsidRDefault="00751C55" w:rsidP="00986F41">
      <w:pPr>
        <w:spacing w:before="0" w:after="0" w:line="240" w:lineRule="auto"/>
      </w:pPr>
    </w:p>
    <w:tbl>
      <w:tblPr>
        <w:tblStyle w:val="IR-Table-ParagraphHighlightStyle2"/>
        <w:tblW w:w="0" w:type="auto"/>
        <w:tblLook w:val="04A0" w:firstRow="1" w:lastRow="0" w:firstColumn="1" w:lastColumn="0" w:noHBand="0" w:noVBand="1"/>
      </w:tblPr>
      <w:tblGrid>
        <w:gridCol w:w="9016"/>
      </w:tblGrid>
      <w:tr w:rsidR="00D85DDF" w14:paraId="5426096F" w14:textId="77777777" w:rsidTr="0000367E">
        <w:tc>
          <w:tcPr>
            <w:tcW w:w="9016" w:type="dxa"/>
          </w:tcPr>
          <w:p w14:paraId="45174A9E" w14:textId="21354CD0" w:rsidR="00D85DDF" w:rsidRDefault="00D85DDF" w:rsidP="00EB390A">
            <w:pPr>
              <w:rPr>
                <w:b/>
                <w:bCs/>
              </w:rPr>
            </w:pPr>
            <w:r w:rsidRPr="00830D2F">
              <w:rPr>
                <w:b/>
                <w:bCs/>
              </w:rPr>
              <w:t xml:space="preserve">Example </w:t>
            </w:r>
            <w:r w:rsidR="00C5695A">
              <w:rPr>
                <w:b/>
                <w:bCs/>
              </w:rPr>
              <w:t>4</w:t>
            </w:r>
            <w:r w:rsidR="004A779F">
              <w:rPr>
                <w:b/>
                <w:bCs/>
              </w:rPr>
              <w:t xml:space="preserve">: </w:t>
            </w:r>
            <w:r w:rsidR="00A15B98">
              <w:rPr>
                <w:b/>
                <w:bCs/>
              </w:rPr>
              <w:t>H</w:t>
            </w:r>
            <w:r w:rsidR="00C13AC2">
              <w:rPr>
                <w:b/>
                <w:bCs/>
              </w:rPr>
              <w:t xml:space="preserve">edging on hand </w:t>
            </w:r>
            <w:r w:rsidR="00A64605">
              <w:rPr>
                <w:b/>
                <w:bCs/>
              </w:rPr>
              <w:t>not subject to FDR treatment is less than</w:t>
            </w:r>
            <w:r w:rsidR="00C13AC2">
              <w:rPr>
                <w:b/>
                <w:bCs/>
              </w:rPr>
              <w:t xml:space="preserve"> non-eligible assets, FDR hedge portion</w:t>
            </w:r>
            <w:r w:rsidR="00E37888">
              <w:rPr>
                <w:b/>
                <w:bCs/>
              </w:rPr>
              <w:t>s on hand</w:t>
            </w:r>
          </w:p>
          <w:p w14:paraId="3E2C99C3" w14:textId="38FC8C33" w:rsidR="00AE76A1" w:rsidRPr="00C5695A" w:rsidRDefault="00AE76A1" w:rsidP="00EB390A">
            <w:pPr>
              <w:spacing w:after="160"/>
            </w:pPr>
            <w:r w:rsidRPr="00C5695A">
              <w:t>At the beginning of 1 October 202</w:t>
            </w:r>
            <w:r w:rsidR="004559F6">
              <w:t>3</w:t>
            </w:r>
            <w:r w:rsidRPr="00C5695A">
              <w:t xml:space="preserve">, </w:t>
            </w:r>
            <w:r w:rsidR="009B3EFD" w:rsidRPr="00C5695A">
              <w:rPr>
                <w:rFonts w:cs="Segoe UI"/>
                <w:iCs/>
                <w:lang w:eastAsia="en-NZ"/>
              </w:rPr>
              <w:t xml:space="preserve">Sterling Cooper </w:t>
            </w:r>
            <w:r w:rsidRPr="00C5695A">
              <w:t>Fund (</w:t>
            </w:r>
            <w:r w:rsidR="009B3EFD" w:rsidRPr="00C5695A">
              <w:rPr>
                <w:rFonts w:cs="Segoe UI"/>
                <w:iCs/>
                <w:lang w:eastAsia="en-NZ"/>
              </w:rPr>
              <w:t>Sterling Cooper</w:t>
            </w:r>
            <w:r w:rsidRPr="00C5695A">
              <w:t>) has a portfolio of:</w:t>
            </w:r>
          </w:p>
          <w:p w14:paraId="5013A162" w14:textId="77777777" w:rsidR="00AE76A1" w:rsidRPr="00C5695A" w:rsidRDefault="00AE76A1" w:rsidP="00BA2EFD">
            <w:pPr>
              <w:pStyle w:val="Bullets"/>
            </w:pPr>
            <w:r w:rsidRPr="00C5695A">
              <w:t>US$35,000 of shares in US-based companies (eligible assets, worth NZ$70,000)</w:t>
            </w:r>
          </w:p>
          <w:p w14:paraId="1C231AC0" w14:textId="77777777" w:rsidR="00AE76A1" w:rsidRPr="00C5695A" w:rsidRDefault="00AE76A1" w:rsidP="00BA2EFD">
            <w:pPr>
              <w:pStyle w:val="Bullets"/>
            </w:pPr>
            <w:r w:rsidRPr="00C5695A">
              <w:t>US$15,000 of share options (non-eligible assets, worth NZ$30,000)</w:t>
            </w:r>
          </w:p>
          <w:p w14:paraId="09C5EBAE" w14:textId="77777777" w:rsidR="00AE76A1" w:rsidRPr="00C5695A" w:rsidRDefault="00AE76A1" w:rsidP="00BA2EFD">
            <w:pPr>
              <w:pStyle w:val="Bullets"/>
            </w:pPr>
            <w:r w:rsidRPr="00C5695A">
              <w:t>A hedge of USD to NZD, with a foreign amount hedged of US$20,000 (equivalent to NZ$40,000). This hedge has an FDR hedge portion of 50%.</w:t>
            </w:r>
          </w:p>
          <w:p w14:paraId="58D08AC1" w14:textId="5B63EE72" w:rsidR="00AE76A1" w:rsidRPr="00C5695A" w:rsidRDefault="00AE76A1" w:rsidP="00867ACB">
            <w:r w:rsidRPr="00C5695A">
              <w:t>On 1 October 202</w:t>
            </w:r>
            <w:r w:rsidR="004559F6">
              <w:t>3</w:t>
            </w:r>
            <w:r w:rsidRPr="00C5695A">
              <w:t xml:space="preserve">, </w:t>
            </w:r>
            <w:r w:rsidR="009B3EFD" w:rsidRPr="00C5695A">
              <w:rPr>
                <w:rFonts w:cs="Segoe UI"/>
                <w:iCs/>
                <w:lang w:eastAsia="en-NZ"/>
              </w:rPr>
              <w:t xml:space="preserve">Sterling Cooper </w:t>
            </w:r>
            <w:r w:rsidRPr="00C5695A">
              <w:t>enters into an eligible hedge for US dollars, with a foreign amount hedged of US$30,000 (equivalent to NZ$60,000).</w:t>
            </w:r>
            <w:r w:rsidR="00867ACB">
              <w:t xml:space="preserve"> </w:t>
            </w:r>
            <w:r w:rsidRPr="00C5695A">
              <w:t>The second hedge-by-hedge method is applied to th</w:t>
            </w:r>
            <w:r w:rsidR="00867ACB">
              <w:t>is</w:t>
            </w:r>
            <w:r w:rsidRPr="00C5695A">
              <w:t xml:space="preserve"> hedge</w:t>
            </w:r>
            <w:r w:rsidR="009B3EFD" w:rsidRPr="00C5695A">
              <w:rPr>
                <w:rFonts w:cs="Segoe UI"/>
                <w:iCs/>
                <w:lang w:eastAsia="en-NZ"/>
              </w:rPr>
              <w:t xml:space="preserve"> </w:t>
            </w:r>
            <w:r w:rsidRPr="00C5695A">
              <w:t>below.</w:t>
            </w:r>
          </w:p>
          <w:p w14:paraId="3340EE57" w14:textId="77777777" w:rsidR="00C91A54" w:rsidRDefault="00C91A54" w:rsidP="00EB390A">
            <w:pPr>
              <w:spacing w:after="160"/>
            </w:pPr>
          </w:p>
          <w:p w14:paraId="5D044ECE" w14:textId="77777777" w:rsidR="00C91A54" w:rsidRPr="00C5695A" w:rsidRDefault="00C91A54" w:rsidP="00C91A54">
            <w:pPr>
              <w:spacing w:after="160"/>
              <w:rPr>
                <w:i/>
                <w:iCs/>
              </w:rPr>
            </w:pPr>
            <w:r w:rsidRPr="00C5695A">
              <w:rPr>
                <w:i/>
                <w:iCs/>
              </w:rPr>
              <w:lastRenderedPageBreak/>
              <w:t>First step</w:t>
            </w:r>
          </w:p>
          <w:p w14:paraId="5892BB43" w14:textId="1BA20FB2" w:rsidR="00AE76A1" w:rsidRPr="00C5695A" w:rsidRDefault="00AE76A1" w:rsidP="00EB390A">
            <w:pPr>
              <w:spacing w:after="160"/>
            </w:pPr>
            <w:r w:rsidRPr="00C5695A">
              <w:t>The apportioned current hedge amount is NZ$50,000 as it equals the lesser of:</w:t>
            </w:r>
          </w:p>
          <w:p w14:paraId="1026E324" w14:textId="77777777" w:rsidR="00AE76A1" w:rsidRPr="00C5695A" w:rsidRDefault="00AE76A1" w:rsidP="00BA2EFD">
            <w:pPr>
              <w:pStyle w:val="Bullets"/>
            </w:pPr>
            <w:r w:rsidRPr="00C5695A">
              <w:t>the amount of foreign currency hedged by the calculation hedge (NZ$60,000), and</w:t>
            </w:r>
          </w:p>
          <w:p w14:paraId="3EE4A1D6" w14:textId="05480A7D" w:rsidR="00AE76A1" w:rsidRPr="00C5695A" w:rsidRDefault="00AE76A1" w:rsidP="00BA2EFD">
            <w:pPr>
              <w:pStyle w:val="Bullets"/>
            </w:pPr>
            <w:r w:rsidRPr="00C5695A">
              <w:t xml:space="preserve">the amount of foreign currency that is hedged (including by the calculation hedge) </w:t>
            </w:r>
            <w:r w:rsidRPr="00C5695A">
              <w:rPr>
                <w:i/>
                <w:iCs/>
              </w:rPr>
              <w:t>less</w:t>
            </w:r>
            <w:r w:rsidRPr="00C5695A">
              <w:t xml:space="preserve"> the amount of foreign currency that is hedged by </w:t>
            </w:r>
            <w:r w:rsidR="00B40BE5">
              <w:t>Sterling Cooper’s</w:t>
            </w:r>
            <w:r w:rsidRPr="00C5695A">
              <w:t xml:space="preserve"> FDR hedge portions excluding the calculation hedge </w:t>
            </w:r>
            <w:r w:rsidRPr="00C5695A">
              <w:rPr>
                <w:i/>
                <w:iCs/>
              </w:rPr>
              <w:t>less</w:t>
            </w:r>
            <w:r w:rsidRPr="00C5695A">
              <w:t xml:space="preserve"> the total market value of </w:t>
            </w:r>
            <w:r w:rsidR="00B40BE5">
              <w:t>Sterling Cooper’s</w:t>
            </w:r>
            <w:r w:rsidRPr="00C5695A">
              <w:t xml:space="preserve"> non-eligible assets (NZ$100,000 – NZ$20,000 – NZ$30,000 = $50,000).</w:t>
            </w:r>
          </w:p>
          <w:p w14:paraId="1803F4B8" w14:textId="6C9A5238" w:rsidR="00B40BE5" w:rsidRDefault="00DD6C95" w:rsidP="00B40BE5">
            <w:r w:rsidRPr="00267D60">
              <w:rPr>
                <w:i/>
                <w:iCs/>
              </w:rPr>
              <w:t>Second step</w:t>
            </w:r>
          </w:p>
          <w:p w14:paraId="17388AD6" w14:textId="62DC1C77" w:rsidR="00B40BE5" w:rsidRDefault="00B40BE5" w:rsidP="00B40BE5">
            <w:r>
              <w:t>The FDR gross amount is</w:t>
            </w:r>
            <w:r w:rsidR="001C5A8B">
              <w:t xml:space="preserve"> </w:t>
            </w:r>
            <w:r>
              <w:t>1 as it equals the lesser of 1 and the amount under the formula:</w:t>
            </w:r>
          </w:p>
          <w:p w14:paraId="177A2167" w14:textId="3501350B" w:rsidR="00375B41" w:rsidRPr="00DF6A6F" w:rsidRDefault="004133EA" w:rsidP="00B40F93">
            <w:pPr>
              <w:jc w:val="center"/>
            </w:pPr>
            <m:oMathPara>
              <m:oMath>
                <m:f>
                  <m:fPr>
                    <m:ctrlPr>
                      <w:rPr>
                        <w:rFonts w:ascii="Cambria Math" w:hAnsi="Cambria Math"/>
                      </w:rPr>
                    </m:ctrlPr>
                  </m:fPr>
                  <m:num>
                    <m:d>
                      <m:dPr>
                        <m:ctrlPr>
                          <w:rPr>
                            <w:rFonts w:ascii="Cambria Math" w:hAnsi="Cambria Math"/>
                          </w:rPr>
                        </m:ctrlPr>
                      </m:dPr>
                      <m:e>
                        <m:r>
                          <m:rPr>
                            <m:sty m:val="p"/>
                          </m:rPr>
                          <w:rPr>
                            <w:rFonts w:ascii="Cambria Math" w:hAnsi="Cambria Math"/>
                          </w:rPr>
                          <m:t>1.05 x eligible currency assets - FDR hedges amount</m:t>
                        </m:r>
                      </m:e>
                    </m:d>
                  </m:num>
                  <m:den>
                    <m:r>
                      <m:rPr>
                        <m:sty m:val="p"/>
                      </m:rPr>
                      <w:rPr>
                        <w:rFonts w:ascii="Cambria Math" w:hAnsi="Cambria Math"/>
                      </w:rPr>
                      <m:t xml:space="preserve">apportioned current hedge amount </m:t>
                    </m:r>
                  </m:den>
                </m:f>
              </m:oMath>
            </m:oMathPara>
          </w:p>
          <w:p w14:paraId="64216CB3" w14:textId="4E9C9288" w:rsidR="00AE76A1" w:rsidRPr="00C5695A" w:rsidRDefault="004133EA" w:rsidP="00B40F93">
            <w:pPr>
              <w:spacing w:after="160"/>
              <w:jc w:val="center"/>
            </w:pPr>
            <m:oMath>
              <m:f>
                <m:fPr>
                  <m:ctrlPr>
                    <w:rPr>
                      <w:rFonts w:ascii="Cambria Math" w:hAnsi="Cambria Math"/>
                    </w:rPr>
                  </m:ctrlPr>
                </m:fPr>
                <m:num>
                  <m:d>
                    <m:dPr>
                      <m:ctrlPr>
                        <w:rPr>
                          <w:rFonts w:ascii="Cambria Math" w:hAnsi="Cambria Math"/>
                        </w:rPr>
                      </m:ctrlPr>
                    </m:dPr>
                    <m:e>
                      <m:r>
                        <m:rPr>
                          <m:sty m:val="p"/>
                        </m:rPr>
                        <w:rPr>
                          <w:rFonts w:ascii="Cambria Math" w:hAnsi="Cambria Math"/>
                        </w:rPr>
                        <m:t>1.05 × NZ$70,000 - NZ$20,000</m:t>
                      </m:r>
                    </m:e>
                  </m:d>
                </m:num>
                <m:den>
                  <m:eqArr>
                    <m:eqArrPr>
                      <m:ctrlPr>
                        <w:rPr>
                          <w:rFonts w:ascii="Cambria Math" w:hAnsi="Cambria Math"/>
                        </w:rPr>
                      </m:ctrlPr>
                    </m:eqArrPr>
                    <m:e>
                      <m:r>
                        <m:rPr>
                          <m:sty m:val="p"/>
                        </m:rPr>
                        <w:rPr>
                          <w:rFonts w:ascii="Cambria Math" w:hAnsi="Cambria Math"/>
                        </w:rPr>
                        <m:t>NZ$50,000</m:t>
                      </m:r>
                    </m:e>
                    <m:e/>
                  </m:eqArr>
                </m:den>
              </m:f>
            </m:oMath>
            <w:r w:rsidR="00AE76A1" w:rsidRPr="00C5695A">
              <w:t xml:space="preserve"> = 1.0</w:t>
            </w:r>
            <w:r w:rsidR="000E6FFF">
              <w:t>7</w:t>
            </w:r>
          </w:p>
          <w:p w14:paraId="2693CC5D" w14:textId="24F9642C" w:rsidR="00867ACB" w:rsidRDefault="00920649" w:rsidP="00EB390A">
            <w:r w:rsidRPr="00267D60">
              <w:rPr>
                <w:i/>
                <w:iCs/>
              </w:rPr>
              <w:t>Third step</w:t>
            </w:r>
          </w:p>
          <w:p w14:paraId="5CEDA7B7" w14:textId="77777777" w:rsidR="00867ACB" w:rsidRDefault="00867ACB" w:rsidP="00867ACB">
            <w:r>
              <w:t>Applying the formula in section EM 5(9):</w:t>
            </w:r>
          </w:p>
          <w:p w14:paraId="0C65FFD0" w14:textId="448B143A" w:rsidR="00375B41" w:rsidRDefault="00920649" w:rsidP="00B40F93">
            <w:pPr>
              <w:jc w:val="center"/>
            </w:pPr>
            <w:r>
              <w:rPr>
                <w:rFonts w:ascii="Cambria Math" w:hAnsi="Cambria Math"/>
              </w:rPr>
              <w:t xml:space="preserve">FDR gross amount </w:t>
            </w:r>
            <w:r w:rsidRPr="007E1FF3">
              <w:rPr>
                <w:rFonts w:ascii="Cambria Math" w:hAnsi="Cambria Math"/>
              </w:rPr>
              <w:t>×</w:t>
            </w:r>
            <w:r w:rsidR="00375B41">
              <w:t xml:space="preserve"> </w:t>
            </w:r>
            <m:oMath>
              <m:f>
                <m:fPr>
                  <m:ctrlPr>
                    <w:rPr>
                      <w:rFonts w:ascii="Cambria Math" w:hAnsi="Cambria Math"/>
                    </w:rPr>
                  </m:ctrlPr>
                </m:fPr>
                <m:num>
                  <m:r>
                    <m:rPr>
                      <m:sty m:val="p"/>
                    </m:rPr>
                    <w:rPr>
                      <w:rFonts w:ascii="Cambria Math" w:hAnsi="Cambria Math"/>
                    </w:rPr>
                    <m:t xml:space="preserve"> apportioned current hedge amount</m:t>
                  </m:r>
                </m:num>
                <m:den>
                  <m:r>
                    <m:rPr>
                      <m:sty m:val="p"/>
                    </m:rPr>
                    <w:rPr>
                      <w:rFonts w:ascii="Cambria Math" w:hAnsi="Cambria Math"/>
                    </w:rPr>
                    <m:t>calculation hedge amount</m:t>
                  </m:r>
                </m:den>
              </m:f>
            </m:oMath>
          </w:p>
          <w:p w14:paraId="715406AF" w14:textId="4BF64A53" w:rsidR="00AE76A1" w:rsidRPr="00C5695A" w:rsidRDefault="00AE76A1" w:rsidP="00B40F93">
            <w:pPr>
              <w:spacing w:after="160"/>
              <w:jc w:val="center"/>
            </w:pPr>
            <w:r w:rsidRPr="00C5695A">
              <w:t>1 ×</w:t>
            </w:r>
            <w:r w:rsidR="00375B41">
              <w:t xml:space="preserve"> </w:t>
            </w:r>
            <m:oMath>
              <m:f>
                <m:fPr>
                  <m:ctrlPr>
                    <w:rPr>
                      <w:rFonts w:ascii="Cambria Math" w:hAnsi="Cambria Math"/>
                    </w:rPr>
                  </m:ctrlPr>
                </m:fPr>
                <m:num>
                  <m:r>
                    <m:rPr>
                      <m:sty m:val="p"/>
                    </m:rPr>
                    <w:rPr>
                      <w:rFonts w:ascii="Cambria Math" w:hAnsi="Cambria Math"/>
                    </w:rPr>
                    <m:t>NZ$50,000</m:t>
                  </m:r>
                </m:num>
                <m:den>
                  <m:r>
                    <m:rPr>
                      <m:sty m:val="p"/>
                    </m:rPr>
                    <w:rPr>
                      <w:rFonts w:ascii="Cambria Math" w:hAnsi="Cambria Math"/>
                    </w:rPr>
                    <m:t>NZ$60,000</m:t>
                  </m:r>
                </m:den>
              </m:f>
            </m:oMath>
            <w:r w:rsidRPr="00C5695A">
              <w:t xml:space="preserve"> = 83.33%</w:t>
            </w:r>
          </w:p>
          <w:p w14:paraId="0830D347" w14:textId="47C0974A" w:rsidR="00D85DDF" w:rsidRPr="00830D2F" w:rsidRDefault="00AE76A1" w:rsidP="00EB390A">
            <w:r w:rsidRPr="00C5695A">
              <w:t>This means that the maximum FDR hedge portion that can be applied to the hedge of US$30,000 is 83.33%.</w:t>
            </w:r>
          </w:p>
        </w:tc>
      </w:tr>
    </w:tbl>
    <w:p w14:paraId="1041DD7B" w14:textId="49DA68E9" w:rsidR="00D85DDF" w:rsidRDefault="00D85DDF" w:rsidP="00986F41">
      <w:pPr>
        <w:spacing w:before="0" w:after="0" w:line="240" w:lineRule="auto"/>
      </w:pPr>
    </w:p>
    <w:tbl>
      <w:tblPr>
        <w:tblStyle w:val="IR-Table-ParagraphHighlightStyle2"/>
        <w:tblW w:w="0" w:type="auto"/>
        <w:tblLook w:val="04A0" w:firstRow="1" w:lastRow="0" w:firstColumn="1" w:lastColumn="0" w:noHBand="0" w:noVBand="1"/>
      </w:tblPr>
      <w:tblGrid>
        <w:gridCol w:w="9016"/>
      </w:tblGrid>
      <w:tr w:rsidR="00D85DDF" w14:paraId="35DBBB9D" w14:textId="77777777" w:rsidTr="0000367E">
        <w:tc>
          <w:tcPr>
            <w:tcW w:w="9016" w:type="dxa"/>
          </w:tcPr>
          <w:p w14:paraId="752F46CC" w14:textId="6BC8C361" w:rsidR="00D85DDF" w:rsidRDefault="00D85DDF" w:rsidP="00EB390A">
            <w:pPr>
              <w:rPr>
                <w:b/>
                <w:bCs/>
              </w:rPr>
            </w:pPr>
            <w:r w:rsidRPr="00830D2F">
              <w:rPr>
                <w:b/>
                <w:bCs/>
              </w:rPr>
              <w:t xml:space="preserve">Example </w:t>
            </w:r>
            <w:r w:rsidR="00C5695A">
              <w:rPr>
                <w:b/>
                <w:bCs/>
              </w:rPr>
              <w:t>5</w:t>
            </w:r>
            <w:r w:rsidR="00A15B98">
              <w:rPr>
                <w:b/>
                <w:bCs/>
              </w:rPr>
              <w:t xml:space="preserve">: </w:t>
            </w:r>
            <w:r w:rsidR="00C93E4A">
              <w:rPr>
                <w:b/>
                <w:bCs/>
              </w:rPr>
              <w:t xml:space="preserve">Hedging on hand </w:t>
            </w:r>
            <w:r w:rsidR="001521C3">
              <w:rPr>
                <w:b/>
                <w:bCs/>
              </w:rPr>
              <w:t xml:space="preserve">not subject to FDR treatment </w:t>
            </w:r>
            <w:r w:rsidR="00C93E4A">
              <w:rPr>
                <w:b/>
                <w:bCs/>
              </w:rPr>
              <w:t xml:space="preserve">equals </w:t>
            </w:r>
            <w:r w:rsidR="00D337BD">
              <w:rPr>
                <w:b/>
                <w:bCs/>
              </w:rPr>
              <w:t>non-</w:t>
            </w:r>
            <w:r w:rsidR="00C93E4A">
              <w:rPr>
                <w:b/>
                <w:bCs/>
              </w:rPr>
              <w:t>eligible assets</w:t>
            </w:r>
            <w:r w:rsidR="001E6C74">
              <w:rPr>
                <w:b/>
                <w:bCs/>
              </w:rPr>
              <w:t xml:space="preserve">, new hedging exceeds </w:t>
            </w:r>
            <w:r w:rsidR="0097705A">
              <w:rPr>
                <w:b/>
                <w:bCs/>
              </w:rPr>
              <w:t xml:space="preserve">105% of </w:t>
            </w:r>
            <w:r w:rsidR="001E6C74">
              <w:rPr>
                <w:b/>
                <w:bCs/>
              </w:rPr>
              <w:t>eligible assets</w:t>
            </w:r>
          </w:p>
          <w:p w14:paraId="028CF34E" w14:textId="121415F7" w:rsidR="00C5695A" w:rsidRPr="00C5695A" w:rsidRDefault="00C5695A" w:rsidP="00EB390A">
            <w:pPr>
              <w:spacing w:after="160"/>
            </w:pPr>
            <w:r w:rsidRPr="00C5695A">
              <w:t>At the beginning of 1 December 202</w:t>
            </w:r>
            <w:r w:rsidR="004559F6">
              <w:t>3</w:t>
            </w:r>
            <w:r w:rsidRPr="00C5695A">
              <w:t xml:space="preserve">, </w:t>
            </w:r>
            <w:r w:rsidR="009B3EFD" w:rsidRPr="00C5695A">
              <w:rPr>
                <w:rFonts w:cs="Segoe UI"/>
                <w:iCs/>
                <w:lang w:eastAsia="en-NZ"/>
              </w:rPr>
              <w:t xml:space="preserve">Sterling Cooper </w:t>
            </w:r>
            <w:r w:rsidRPr="00C5695A">
              <w:t>Fund (</w:t>
            </w:r>
            <w:r w:rsidR="009B3EFD" w:rsidRPr="00C5695A">
              <w:rPr>
                <w:rFonts w:cs="Segoe UI"/>
                <w:iCs/>
                <w:lang w:eastAsia="en-NZ"/>
              </w:rPr>
              <w:t>Sterling Cooper</w:t>
            </w:r>
            <w:r w:rsidRPr="00C5695A">
              <w:t>) has a portfolio of:</w:t>
            </w:r>
          </w:p>
          <w:p w14:paraId="745EA7D0" w14:textId="77777777" w:rsidR="00C5695A" w:rsidRPr="00C5695A" w:rsidRDefault="00C5695A" w:rsidP="00BA2EFD">
            <w:pPr>
              <w:pStyle w:val="Bullets"/>
            </w:pPr>
            <w:r w:rsidRPr="00C5695A">
              <w:t>US$35,000 of shares in US-based companies (eligible assets, worth NZ$70,000)</w:t>
            </w:r>
          </w:p>
          <w:p w14:paraId="6E58C468" w14:textId="77777777" w:rsidR="00C5695A" w:rsidRPr="00C5695A" w:rsidRDefault="00C5695A" w:rsidP="00BA2EFD">
            <w:pPr>
              <w:pStyle w:val="Bullets"/>
            </w:pPr>
            <w:r w:rsidRPr="00C5695A">
              <w:t>US$15,000 of share options (non-eligible assets, worth NZ$30,000)</w:t>
            </w:r>
          </w:p>
          <w:p w14:paraId="5E73C5A3" w14:textId="77777777" w:rsidR="00C5695A" w:rsidRPr="00C5695A" w:rsidRDefault="00C5695A" w:rsidP="00BA2EFD">
            <w:pPr>
              <w:pStyle w:val="Bullets"/>
            </w:pPr>
            <w:r w:rsidRPr="00C5695A">
              <w:lastRenderedPageBreak/>
              <w:t>A hedge of USD to NZD, with a foreign amount hedged of US$15,000 (equivalent to NZ$30,000). This hedge has an FDR hedge portion of zero.</w:t>
            </w:r>
          </w:p>
          <w:p w14:paraId="1DF011F3" w14:textId="71471F35" w:rsidR="00C5695A" w:rsidRPr="00C5695A" w:rsidRDefault="00C5695A" w:rsidP="00DF6A6F">
            <w:r w:rsidRPr="00C5695A">
              <w:t>On 1 December 202</w:t>
            </w:r>
            <w:r w:rsidR="004559F6">
              <w:t>3</w:t>
            </w:r>
            <w:r w:rsidRPr="00C5695A">
              <w:t xml:space="preserve">, </w:t>
            </w:r>
            <w:r w:rsidR="009B3EFD" w:rsidRPr="00C5695A">
              <w:rPr>
                <w:rFonts w:cs="Segoe UI"/>
                <w:iCs/>
                <w:lang w:eastAsia="en-NZ"/>
              </w:rPr>
              <w:t xml:space="preserve">Sterling Cooper </w:t>
            </w:r>
            <w:r w:rsidRPr="00C5695A">
              <w:t>enters into an eligible hedge for US dollars, with a foreign amount hedged of US$37,500 (equivalent to NZ$75,000).</w:t>
            </w:r>
            <w:r w:rsidR="00DF6A6F">
              <w:t xml:space="preserve"> </w:t>
            </w:r>
            <w:r w:rsidRPr="00C5695A">
              <w:t>The second hedge-by-hedge method is applied to th</w:t>
            </w:r>
            <w:r w:rsidR="00DF6A6F">
              <w:t>is</w:t>
            </w:r>
            <w:r w:rsidRPr="00C5695A">
              <w:t xml:space="preserve"> hedge</w:t>
            </w:r>
            <w:r w:rsidR="009B3EFD" w:rsidRPr="00C5695A">
              <w:rPr>
                <w:rFonts w:cs="Segoe UI"/>
                <w:iCs/>
                <w:lang w:eastAsia="en-NZ"/>
              </w:rPr>
              <w:t xml:space="preserve"> </w:t>
            </w:r>
            <w:r w:rsidRPr="00C5695A">
              <w:t>below.</w:t>
            </w:r>
          </w:p>
          <w:p w14:paraId="1DED4BA8" w14:textId="77777777" w:rsidR="00C5695A" w:rsidRPr="00C5695A" w:rsidRDefault="00C5695A" w:rsidP="00EB390A">
            <w:pPr>
              <w:spacing w:after="160"/>
              <w:rPr>
                <w:i/>
                <w:iCs/>
              </w:rPr>
            </w:pPr>
            <w:r w:rsidRPr="00C5695A">
              <w:rPr>
                <w:i/>
                <w:iCs/>
              </w:rPr>
              <w:t>First step</w:t>
            </w:r>
          </w:p>
          <w:p w14:paraId="337C1E3C" w14:textId="77777777" w:rsidR="00C5695A" w:rsidRPr="00C5695A" w:rsidRDefault="00C5695A" w:rsidP="00EB390A">
            <w:pPr>
              <w:spacing w:after="160"/>
            </w:pPr>
            <w:r w:rsidRPr="00C5695A">
              <w:t>The apportioned current hedge amount is NZ$75,000 as it equals the lesser of:</w:t>
            </w:r>
          </w:p>
          <w:p w14:paraId="3BA0B219" w14:textId="77777777" w:rsidR="00C5695A" w:rsidRPr="00C5695A" w:rsidRDefault="00C5695A" w:rsidP="00BA2EFD">
            <w:pPr>
              <w:pStyle w:val="Bullets"/>
            </w:pPr>
            <w:r w:rsidRPr="00C5695A">
              <w:t>the amount of foreign currency hedged by the calculation hedge (NZ$75,000), and</w:t>
            </w:r>
          </w:p>
          <w:p w14:paraId="1EDD3BCE" w14:textId="2170DBDF" w:rsidR="00C5695A" w:rsidRPr="00C5695A" w:rsidRDefault="00C5695A" w:rsidP="00BA2EFD">
            <w:pPr>
              <w:pStyle w:val="Bullets"/>
            </w:pPr>
            <w:r w:rsidRPr="00C5695A">
              <w:t xml:space="preserve">the amount of foreign currency that is hedged (including by the calculation hedge) </w:t>
            </w:r>
            <w:r w:rsidRPr="00C5695A">
              <w:rPr>
                <w:i/>
                <w:iCs/>
              </w:rPr>
              <w:t>less</w:t>
            </w:r>
            <w:r w:rsidRPr="00C5695A">
              <w:t xml:space="preserve"> the amount of foreign currency that is hedged by </w:t>
            </w:r>
            <w:r w:rsidR="00B40BE5">
              <w:t>Sterling Cooper’s</w:t>
            </w:r>
            <w:r w:rsidRPr="00C5695A">
              <w:t xml:space="preserve"> FDR hedge portions excluding the calculation hedge </w:t>
            </w:r>
            <w:r w:rsidRPr="00C5695A">
              <w:rPr>
                <w:i/>
                <w:iCs/>
              </w:rPr>
              <w:t>less</w:t>
            </w:r>
            <w:r w:rsidRPr="00C5695A">
              <w:t xml:space="preserve"> the total market value of </w:t>
            </w:r>
            <w:r w:rsidR="00B40BE5">
              <w:t>Sterling Cooper’s</w:t>
            </w:r>
            <w:r w:rsidRPr="00C5695A">
              <w:t xml:space="preserve"> non-eligible assets (NZ$105,000 – 0 – NZ$30,000 = NZ$75,000).</w:t>
            </w:r>
          </w:p>
          <w:p w14:paraId="0F7FD3C2" w14:textId="4D687185" w:rsidR="00B40BE5" w:rsidRDefault="00920649" w:rsidP="00EB390A">
            <w:r w:rsidRPr="00267D60">
              <w:rPr>
                <w:i/>
                <w:iCs/>
              </w:rPr>
              <w:t>Second step</w:t>
            </w:r>
          </w:p>
          <w:p w14:paraId="75044587" w14:textId="673D9DDD" w:rsidR="00B40BE5" w:rsidRDefault="00B40BE5" w:rsidP="00B40BE5">
            <w:r>
              <w:t>The FDR gross amount is 0.98 as it equals the lesser of 1 and the amount under the formula:</w:t>
            </w:r>
          </w:p>
          <w:p w14:paraId="51C0314F" w14:textId="770678B6" w:rsidR="00375B41" w:rsidRDefault="004133EA" w:rsidP="00B40F93">
            <w:pPr>
              <w:jc w:val="center"/>
            </w:pPr>
            <m:oMathPara>
              <m:oMath>
                <m:f>
                  <m:fPr>
                    <m:ctrlPr>
                      <w:rPr>
                        <w:rFonts w:ascii="Cambria Math" w:hAnsi="Cambria Math"/>
                      </w:rPr>
                    </m:ctrlPr>
                  </m:fPr>
                  <m:num>
                    <m:d>
                      <m:dPr>
                        <m:ctrlPr>
                          <w:rPr>
                            <w:rFonts w:ascii="Cambria Math" w:hAnsi="Cambria Math"/>
                          </w:rPr>
                        </m:ctrlPr>
                      </m:dPr>
                      <m:e>
                        <m:r>
                          <m:rPr>
                            <m:sty m:val="p"/>
                          </m:rPr>
                          <w:rPr>
                            <w:rFonts w:ascii="Cambria Math" w:hAnsi="Cambria Math"/>
                          </w:rPr>
                          <m:t>1.05 x eligible currency assets - FDR hedges amount</m:t>
                        </m:r>
                      </m:e>
                    </m:d>
                  </m:num>
                  <m:den>
                    <m:r>
                      <m:rPr>
                        <m:sty m:val="p"/>
                      </m:rPr>
                      <w:rPr>
                        <w:rFonts w:ascii="Cambria Math" w:hAnsi="Cambria Math"/>
                      </w:rPr>
                      <m:t xml:space="preserve">apportioned current hedge amount </m:t>
                    </m:r>
                  </m:den>
                </m:f>
              </m:oMath>
            </m:oMathPara>
          </w:p>
          <w:p w14:paraId="284C15B2" w14:textId="0901A8B8" w:rsidR="00C5695A" w:rsidRPr="00C5695A" w:rsidRDefault="004133EA" w:rsidP="00B40F93">
            <w:pPr>
              <w:spacing w:after="160"/>
              <w:jc w:val="center"/>
            </w:pPr>
            <m:oMath>
              <m:f>
                <m:fPr>
                  <m:ctrlPr>
                    <w:rPr>
                      <w:rFonts w:ascii="Cambria Math" w:hAnsi="Cambria Math"/>
                    </w:rPr>
                  </m:ctrlPr>
                </m:fPr>
                <m:num>
                  <m:d>
                    <m:dPr>
                      <m:ctrlPr>
                        <w:rPr>
                          <w:rFonts w:ascii="Cambria Math" w:hAnsi="Cambria Math"/>
                        </w:rPr>
                      </m:ctrlPr>
                    </m:dPr>
                    <m:e>
                      <m:r>
                        <m:rPr>
                          <m:sty m:val="p"/>
                        </m:rPr>
                        <w:rPr>
                          <w:rFonts w:ascii="Cambria Math" w:hAnsi="Cambria Math"/>
                        </w:rPr>
                        <m:t>1.05 × NZ$70,000 - 0</m:t>
                      </m:r>
                    </m:e>
                  </m:d>
                </m:num>
                <m:den>
                  <m:eqArr>
                    <m:eqArrPr>
                      <m:ctrlPr>
                        <w:rPr>
                          <w:rFonts w:ascii="Cambria Math" w:hAnsi="Cambria Math"/>
                        </w:rPr>
                      </m:ctrlPr>
                    </m:eqArrPr>
                    <m:e>
                      <m:r>
                        <m:rPr>
                          <m:sty m:val="p"/>
                        </m:rPr>
                        <w:rPr>
                          <w:rFonts w:ascii="Cambria Math" w:hAnsi="Cambria Math"/>
                        </w:rPr>
                        <m:t>NZ$75,000</m:t>
                      </m:r>
                    </m:e>
                    <m:e/>
                  </m:eqArr>
                </m:den>
              </m:f>
            </m:oMath>
            <w:r w:rsidR="00C5695A" w:rsidRPr="00C5695A">
              <w:t xml:space="preserve"> = 0.98</w:t>
            </w:r>
          </w:p>
          <w:p w14:paraId="79CAECD7" w14:textId="166DB1B9" w:rsidR="00B40BE5" w:rsidRDefault="00920649" w:rsidP="00EB390A">
            <w:r w:rsidRPr="00267D60">
              <w:rPr>
                <w:i/>
                <w:iCs/>
              </w:rPr>
              <w:t>Third step</w:t>
            </w:r>
          </w:p>
          <w:p w14:paraId="41AD1913" w14:textId="20D632CC" w:rsidR="00B40BE5" w:rsidRDefault="00B40BE5" w:rsidP="00EB390A">
            <w:r>
              <w:t>Applying the formula in section</w:t>
            </w:r>
            <w:r w:rsidR="00120DD1">
              <w:t xml:space="preserve"> </w:t>
            </w:r>
            <w:r>
              <w:t>EM</w:t>
            </w:r>
            <w:r w:rsidR="00120DD1">
              <w:t xml:space="preserve"> </w:t>
            </w:r>
            <w:r>
              <w:t>5(9):</w:t>
            </w:r>
          </w:p>
          <w:p w14:paraId="0C6E7B3A" w14:textId="1C2CB290" w:rsidR="00375B41" w:rsidRDefault="00920649" w:rsidP="00B40F93">
            <w:pPr>
              <w:jc w:val="center"/>
            </w:pPr>
            <w:r>
              <w:rPr>
                <w:rFonts w:ascii="Cambria Math" w:hAnsi="Cambria Math"/>
              </w:rPr>
              <w:t xml:space="preserve">FDR gross amount </w:t>
            </w:r>
            <w:r w:rsidRPr="007E1FF3">
              <w:rPr>
                <w:rFonts w:ascii="Cambria Math" w:hAnsi="Cambria Math"/>
              </w:rPr>
              <w:t>×</w:t>
            </w:r>
            <w:r w:rsidR="00375B41">
              <w:t xml:space="preserve"> </w:t>
            </w:r>
            <m:oMath>
              <m:f>
                <m:fPr>
                  <m:ctrlPr>
                    <w:rPr>
                      <w:rFonts w:ascii="Cambria Math" w:hAnsi="Cambria Math"/>
                    </w:rPr>
                  </m:ctrlPr>
                </m:fPr>
                <m:num>
                  <m:r>
                    <m:rPr>
                      <m:sty m:val="p"/>
                    </m:rPr>
                    <w:rPr>
                      <w:rFonts w:ascii="Cambria Math" w:hAnsi="Cambria Math"/>
                    </w:rPr>
                    <m:t xml:space="preserve"> apportioned current hedge amount</m:t>
                  </m:r>
                </m:num>
                <m:den>
                  <m:r>
                    <m:rPr>
                      <m:sty m:val="p"/>
                    </m:rPr>
                    <w:rPr>
                      <w:rFonts w:ascii="Cambria Math" w:hAnsi="Cambria Math"/>
                    </w:rPr>
                    <m:t>calculation hedge amount</m:t>
                  </m:r>
                </m:den>
              </m:f>
            </m:oMath>
          </w:p>
          <w:p w14:paraId="09E90890" w14:textId="035FBD88" w:rsidR="00C5695A" w:rsidRPr="00C5695A" w:rsidRDefault="00C5695A" w:rsidP="00B40F93">
            <w:pPr>
              <w:spacing w:after="160"/>
              <w:jc w:val="center"/>
            </w:pPr>
            <w:r w:rsidRPr="00C5695A">
              <w:t>0.98 ×</w:t>
            </w:r>
            <w:r w:rsidR="00375B41">
              <w:t xml:space="preserve"> </w:t>
            </w:r>
            <m:oMath>
              <m:f>
                <m:fPr>
                  <m:ctrlPr>
                    <w:rPr>
                      <w:rFonts w:ascii="Cambria Math" w:hAnsi="Cambria Math"/>
                    </w:rPr>
                  </m:ctrlPr>
                </m:fPr>
                <m:num>
                  <m:r>
                    <m:rPr>
                      <m:sty m:val="p"/>
                    </m:rPr>
                    <w:rPr>
                      <w:rFonts w:ascii="Cambria Math" w:hAnsi="Cambria Math"/>
                    </w:rPr>
                    <m:t>NZ$75,000</m:t>
                  </m:r>
                </m:num>
                <m:den>
                  <m:r>
                    <m:rPr>
                      <m:sty m:val="p"/>
                    </m:rPr>
                    <w:rPr>
                      <w:rFonts w:ascii="Cambria Math" w:hAnsi="Cambria Math"/>
                    </w:rPr>
                    <m:t>NZ$75,000</m:t>
                  </m:r>
                </m:den>
              </m:f>
            </m:oMath>
            <w:r w:rsidRPr="00C5695A">
              <w:t xml:space="preserve"> = 98%</w:t>
            </w:r>
          </w:p>
          <w:p w14:paraId="11EC6B44" w14:textId="071B5E52" w:rsidR="00D85DDF" w:rsidRPr="00830D2F" w:rsidRDefault="00C5695A" w:rsidP="00EB390A">
            <w:r w:rsidRPr="00C5695A">
              <w:t>This means that the maximum FDR hedge portion that can be applied to the hedge of US$37,500 is 98%.</w:t>
            </w:r>
          </w:p>
        </w:tc>
      </w:tr>
    </w:tbl>
    <w:p w14:paraId="6F41A083" w14:textId="23E2291C" w:rsidR="00751C55" w:rsidRPr="00190D1A" w:rsidRDefault="00751C55" w:rsidP="00F9238E">
      <w:pPr>
        <w:pStyle w:val="NoNumberHeading3"/>
      </w:pPr>
      <w:r w:rsidRPr="00190D1A">
        <w:lastRenderedPageBreak/>
        <w:t>Hedge of a hedge (sections EM 5(1), (4) and (9))</w:t>
      </w:r>
    </w:p>
    <w:p w14:paraId="43B7A77E" w14:textId="364FCDF2" w:rsidR="00751C55" w:rsidRPr="00A20007" w:rsidRDefault="00751C55" w:rsidP="00EB390A">
      <w:pPr>
        <w:rPr>
          <w:rFonts w:cs="Segoe UI"/>
        </w:rPr>
      </w:pPr>
      <w:r>
        <w:rPr>
          <w:rFonts w:cs="Segoe UI"/>
        </w:rPr>
        <w:t>T</w:t>
      </w:r>
      <w:r w:rsidRPr="008C600D">
        <w:rPr>
          <w:rFonts w:cs="Segoe UI"/>
        </w:rPr>
        <w:t xml:space="preserve">he </w:t>
      </w:r>
      <w:r>
        <w:rPr>
          <w:rFonts w:cs="Segoe UI"/>
        </w:rPr>
        <w:t xml:space="preserve">two hedge-by-hedge </w:t>
      </w:r>
      <w:r w:rsidRPr="008C600D">
        <w:rPr>
          <w:rFonts w:cs="Segoe UI"/>
        </w:rPr>
        <w:t>methods for calculating FDR hedge portions</w:t>
      </w:r>
      <w:r>
        <w:rPr>
          <w:rFonts w:cs="Segoe UI"/>
        </w:rPr>
        <w:t xml:space="preserve"> in section EM 5</w:t>
      </w:r>
      <w:r w:rsidRPr="008C600D">
        <w:rPr>
          <w:rFonts w:cs="Segoe UI"/>
        </w:rPr>
        <w:t xml:space="preserve"> </w:t>
      </w:r>
      <w:r>
        <w:rPr>
          <w:rFonts w:cs="Segoe UI"/>
        </w:rPr>
        <w:t>have been amended so that they</w:t>
      </w:r>
      <w:r w:rsidRPr="008C600D">
        <w:rPr>
          <w:rFonts w:cs="Segoe UI"/>
        </w:rPr>
        <w:t xml:space="preserve"> work as intended when applied to a hedge of a hedge.</w:t>
      </w:r>
      <w:r>
        <w:rPr>
          <w:rFonts w:cs="Segoe UI"/>
        </w:rPr>
        <w:t xml:space="preserve"> These two methods now</w:t>
      </w:r>
      <w:r w:rsidRPr="00A20007">
        <w:rPr>
          <w:rFonts w:cs="Segoe UI"/>
        </w:rPr>
        <w:t xml:space="preserve"> identify the minimum</w:t>
      </w:r>
      <w:r w:rsidR="0066453A">
        <w:rPr>
          <w:rFonts w:cs="Segoe UI"/>
        </w:rPr>
        <w:t>, rather than the maximum,</w:t>
      </w:r>
      <w:r w:rsidRPr="00A20007">
        <w:rPr>
          <w:rFonts w:cs="Segoe UI"/>
        </w:rPr>
        <w:t xml:space="preserve"> FDR hedge portion when applied to a hedge of a hedge</w:t>
      </w:r>
      <w:r>
        <w:rPr>
          <w:rFonts w:cs="Segoe UI"/>
        </w:rPr>
        <w:t>.</w:t>
      </w:r>
    </w:p>
    <w:p w14:paraId="77A167CF" w14:textId="2E9C8E4A" w:rsidR="00751C55" w:rsidRPr="00A20007" w:rsidRDefault="00751C55" w:rsidP="00EB390A">
      <w:pPr>
        <w:rPr>
          <w:rFonts w:cs="Segoe UI"/>
        </w:rPr>
      </w:pPr>
      <w:r>
        <w:rPr>
          <w:rFonts w:cs="Segoe UI"/>
        </w:rPr>
        <w:t>A t</w:t>
      </w:r>
      <w:r w:rsidRPr="00A20007">
        <w:rPr>
          <w:rFonts w:cs="Segoe UI"/>
        </w:rPr>
        <w:t xml:space="preserve">axpayer </w:t>
      </w:r>
      <w:r>
        <w:rPr>
          <w:rFonts w:cs="Segoe UI"/>
        </w:rPr>
        <w:t>can</w:t>
      </w:r>
      <w:r w:rsidRPr="00A20007">
        <w:rPr>
          <w:rFonts w:cs="Segoe UI"/>
        </w:rPr>
        <w:t xml:space="preserve"> choose an FDR hedge portion </w:t>
      </w:r>
      <w:r>
        <w:rPr>
          <w:rFonts w:cs="Segoe UI"/>
        </w:rPr>
        <w:t>for</w:t>
      </w:r>
      <w:r w:rsidRPr="00A20007">
        <w:rPr>
          <w:rFonts w:cs="Segoe UI"/>
        </w:rPr>
        <w:t xml:space="preserve"> </w:t>
      </w:r>
      <w:r>
        <w:rPr>
          <w:rFonts w:cs="Segoe UI"/>
        </w:rPr>
        <w:t>a</w:t>
      </w:r>
      <w:r w:rsidRPr="00A20007">
        <w:rPr>
          <w:rFonts w:cs="Segoe UI"/>
        </w:rPr>
        <w:t xml:space="preserve"> hedge of a hedge between the minimum identified </w:t>
      </w:r>
      <w:r>
        <w:rPr>
          <w:rFonts w:cs="Segoe UI"/>
        </w:rPr>
        <w:t>by the method applied</w:t>
      </w:r>
      <w:r w:rsidRPr="00A20007">
        <w:rPr>
          <w:rFonts w:cs="Segoe UI"/>
        </w:rPr>
        <w:t xml:space="preserve"> and 100</w:t>
      </w:r>
      <w:r>
        <w:rPr>
          <w:rFonts w:cs="Segoe UI"/>
        </w:rPr>
        <w:t>%</w:t>
      </w:r>
      <w:r w:rsidRPr="00A20007">
        <w:rPr>
          <w:rFonts w:cs="Segoe UI"/>
        </w:rPr>
        <w:t>.</w:t>
      </w:r>
      <w:r w:rsidR="00CB0474">
        <w:rPr>
          <w:rFonts w:cs="Segoe UI"/>
        </w:rPr>
        <w:t xml:space="preserve"> The purpose of identifying </w:t>
      </w:r>
      <w:r w:rsidR="00EF4B09">
        <w:rPr>
          <w:rFonts w:cs="Segoe UI"/>
        </w:rPr>
        <w:t>the</w:t>
      </w:r>
      <w:r w:rsidR="00CB0474">
        <w:rPr>
          <w:rFonts w:cs="Segoe UI"/>
        </w:rPr>
        <w:t xml:space="preserve"> minimum </w:t>
      </w:r>
      <w:r w:rsidR="00EF4B09">
        <w:rPr>
          <w:rFonts w:cs="Segoe UI"/>
        </w:rPr>
        <w:t xml:space="preserve">FDR hedge portion </w:t>
      </w:r>
      <w:r w:rsidR="00337BDA">
        <w:rPr>
          <w:rFonts w:cs="Segoe UI"/>
        </w:rPr>
        <w:t xml:space="preserve">is to </w:t>
      </w:r>
      <w:r w:rsidR="009F6C32">
        <w:rPr>
          <w:rFonts w:cs="Segoe UI"/>
        </w:rPr>
        <w:t>require</w:t>
      </w:r>
      <w:r w:rsidR="00337BDA">
        <w:rPr>
          <w:rFonts w:cs="Segoe UI"/>
        </w:rPr>
        <w:t xml:space="preserve"> </w:t>
      </w:r>
      <w:r w:rsidR="00EF4B09">
        <w:rPr>
          <w:rFonts w:cs="Segoe UI"/>
        </w:rPr>
        <w:t xml:space="preserve">a taxpayer’s </w:t>
      </w:r>
      <w:r w:rsidR="00B97DDD">
        <w:rPr>
          <w:rFonts w:cs="Segoe UI"/>
        </w:rPr>
        <w:t>total</w:t>
      </w:r>
      <w:r w:rsidR="00EF4B09">
        <w:rPr>
          <w:rFonts w:cs="Segoe UI"/>
        </w:rPr>
        <w:t xml:space="preserve"> </w:t>
      </w:r>
      <w:r w:rsidR="00B97DDD">
        <w:rPr>
          <w:rFonts w:cs="Segoe UI"/>
        </w:rPr>
        <w:t>FDR hedge portions</w:t>
      </w:r>
      <w:r w:rsidR="003B2CF9">
        <w:rPr>
          <w:rFonts w:cs="Segoe UI"/>
        </w:rPr>
        <w:t xml:space="preserve"> </w:t>
      </w:r>
      <w:r w:rsidR="009F6C32">
        <w:rPr>
          <w:rFonts w:cs="Segoe UI"/>
        </w:rPr>
        <w:t xml:space="preserve">to be reduced </w:t>
      </w:r>
      <w:r w:rsidR="003B2CF9">
        <w:rPr>
          <w:rFonts w:cs="Segoe UI"/>
        </w:rPr>
        <w:t xml:space="preserve">by </w:t>
      </w:r>
      <w:r w:rsidR="00E44FED">
        <w:rPr>
          <w:rFonts w:cs="Segoe UI"/>
        </w:rPr>
        <w:t>a</w:t>
      </w:r>
      <w:r w:rsidR="003B2CF9">
        <w:rPr>
          <w:rFonts w:cs="Segoe UI"/>
        </w:rPr>
        <w:t xml:space="preserve"> </w:t>
      </w:r>
      <w:r w:rsidR="006E24EA">
        <w:rPr>
          <w:rFonts w:cs="Segoe UI"/>
        </w:rPr>
        <w:t xml:space="preserve">new </w:t>
      </w:r>
      <w:r w:rsidR="003B2CF9">
        <w:rPr>
          <w:rFonts w:cs="Segoe UI"/>
        </w:rPr>
        <w:t>hedge of a hedge</w:t>
      </w:r>
      <w:r w:rsidR="00B97DDD">
        <w:rPr>
          <w:rFonts w:cs="Segoe UI"/>
        </w:rPr>
        <w:t xml:space="preserve"> </w:t>
      </w:r>
      <w:r w:rsidR="006E24EA">
        <w:rPr>
          <w:rFonts w:cs="Segoe UI"/>
        </w:rPr>
        <w:t xml:space="preserve">where the existing FDR hedge portions on hand (not counting the </w:t>
      </w:r>
      <w:r w:rsidR="00042D54">
        <w:rPr>
          <w:rFonts w:cs="Segoe UI"/>
        </w:rPr>
        <w:t xml:space="preserve">new </w:t>
      </w:r>
      <w:r w:rsidR="006E24EA">
        <w:rPr>
          <w:rFonts w:cs="Segoe UI"/>
        </w:rPr>
        <w:t>hedge of a hedge)</w:t>
      </w:r>
      <w:r w:rsidR="00F60713">
        <w:rPr>
          <w:rFonts w:cs="Segoe UI"/>
        </w:rPr>
        <w:t xml:space="preserve"> exceed 105% of eligible assets.</w:t>
      </w:r>
    </w:p>
    <w:p w14:paraId="061864A4" w14:textId="77777777" w:rsidR="00751C55" w:rsidRDefault="00751C55" w:rsidP="00EB390A">
      <w:pPr>
        <w:rPr>
          <w:rFonts w:cs="Segoe UI"/>
        </w:rPr>
      </w:pPr>
      <w:r w:rsidRPr="00A20007">
        <w:rPr>
          <w:rFonts w:cs="Segoe UI"/>
        </w:rPr>
        <w:t>When applying the</w:t>
      </w:r>
      <w:r>
        <w:rPr>
          <w:rFonts w:cs="Segoe UI"/>
        </w:rPr>
        <w:t>se</w:t>
      </w:r>
      <w:r w:rsidRPr="00A20007">
        <w:rPr>
          <w:rFonts w:cs="Segoe UI"/>
        </w:rPr>
        <w:t xml:space="preserve"> </w:t>
      </w:r>
      <w:r>
        <w:rPr>
          <w:rFonts w:cs="Segoe UI"/>
        </w:rPr>
        <w:t>methods</w:t>
      </w:r>
      <w:r w:rsidRPr="00A20007">
        <w:rPr>
          <w:rFonts w:cs="Segoe UI"/>
        </w:rPr>
        <w:t xml:space="preserve"> to a hedge of a hedge, the hedge </w:t>
      </w:r>
      <w:r>
        <w:rPr>
          <w:rFonts w:cs="Segoe UI"/>
        </w:rPr>
        <w:t xml:space="preserve">of a hedge </w:t>
      </w:r>
      <w:r w:rsidRPr="00A20007">
        <w:rPr>
          <w:rFonts w:cs="Segoe UI"/>
        </w:rPr>
        <w:t>should be treated as a negative amount</w:t>
      </w:r>
      <w:r>
        <w:rPr>
          <w:rFonts w:cs="Segoe UI"/>
        </w:rPr>
        <w:t xml:space="preserve"> in the formulae</w:t>
      </w:r>
      <w:r w:rsidRPr="00A20007">
        <w:rPr>
          <w:rFonts w:cs="Segoe UI"/>
        </w:rPr>
        <w:t>.</w:t>
      </w:r>
    </w:p>
    <w:p w14:paraId="70D9A58B" w14:textId="49B93A72" w:rsidR="00751C55" w:rsidRDefault="00751C55" w:rsidP="00EB390A">
      <w:pPr>
        <w:rPr>
          <w:rFonts w:cs="Segoe UI"/>
        </w:rPr>
      </w:pPr>
      <w:r>
        <w:rPr>
          <w:rFonts w:cs="Segoe UI"/>
        </w:rPr>
        <w:t>If the FDR hedge portion calculated is less than zero, this must be treated as a minimum FDR hedge portion of 0%.</w:t>
      </w:r>
    </w:p>
    <w:tbl>
      <w:tblPr>
        <w:tblStyle w:val="IR-Table-ParagraphHighlightStyle2"/>
        <w:tblW w:w="0" w:type="auto"/>
        <w:tblLook w:val="04A0" w:firstRow="1" w:lastRow="0" w:firstColumn="1" w:lastColumn="0" w:noHBand="0" w:noVBand="1"/>
      </w:tblPr>
      <w:tblGrid>
        <w:gridCol w:w="9016"/>
      </w:tblGrid>
      <w:tr w:rsidR="00D85DDF" w14:paraId="76945580" w14:textId="77777777" w:rsidTr="0000367E">
        <w:tc>
          <w:tcPr>
            <w:tcW w:w="9016" w:type="dxa"/>
          </w:tcPr>
          <w:p w14:paraId="33ABF80D" w14:textId="0F196A8F" w:rsidR="00D85DDF" w:rsidRDefault="00D85DDF" w:rsidP="00EB390A">
            <w:pPr>
              <w:rPr>
                <w:b/>
                <w:bCs/>
              </w:rPr>
            </w:pPr>
            <w:r w:rsidRPr="00830D2F">
              <w:rPr>
                <w:b/>
                <w:bCs/>
              </w:rPr>
              <w:t xml:space="preserve">Example </w:t>
            </w:r>
            <w:r w:rsidR="00C5695A">
              <w:rPr>
                <w:b/>
                <w:bCs/>
              </w:rPr>
              <w:t>6</w:t>
            </w:r>
            <w:r w:rsidR="00C04F1D">
              <w:rPr>
                <w:b/>
                <w:bCs/>
              </w:rPr>
              <w:t xml:space="preserve">: Minimum </w:t>
            </w:r>
            <w:r w:rsidR="0017128E">
              <w:rPr>
                <w:b/>
                <w:bCs/>
              </w:rPr>
              <w:t xml:space="preserve">FDR hedge portion </w:t>
            </w:r>
            <w:r w:rsidR="00C04F1D">
              <w:rPr>
                <w:b/>
                <w:bCs/>
              </w:rPr>
              <w:t xml:space="preserve">results in combined FDR hedge portions </w:t>
            </w:r>
            <w:r w:rsidR="005F75D0">
              <w:rPr>
                <w:b/>
                <w:bCs/>
              </w:rPr>
              <w:t>equal to</w:t>
            </w:r>
            <w:r w:rsidR="00C04F1D">
              <w:rPr>
                <w:b/>
                <w:bCs/>
              </w:rPr>
              <w:t xml:space="preserve"> 105% of eligible assets</w:t>
            </w:r>
          </w:p>
          <w:p w14:paraId="67895593" w14:textId="6AFE7074" w:rsidR="00C5695A" w:rsidRPr="00C5695A" w:rsidRDefault="00C5695A" w:rsidP="00EB390A">
            <w:pPr>
              <w:spacing w:after="160"/>
            </w:pPr>
            <w:r w:rsidRPr="00C5695A">
              <w:t>At the beginning of 1 June 202</w:t>
            </w:r>
            <w:r w:rsidR="004145B1">
              <w:t>3</w:t>
            </w:r>
            <w:r w:rsidRPr="00C5695A">
              <w:t xml:space="preserve">, </w:t>
            </w:r>
            <w:r w:rsidR="00ED713D">
              <w:t>Dunder Mifflin</w:t>
            </w:r>
            <w:r w:rsidRPr="00C5695A">
              <w:t xml:space="preserve"> Fund (</w:t>
            </w:r>
            <w:r w:rsidR="00675708">
              <w:t>Dunder Mifflin</w:t>
            </w:r>
            <w:r w:rsidRPr="00C5695A">
              <w:t>) has a portfolio of:</w:t>
            </w:r>
          </w:p>
          <w:p w14:paraId="1AA4DF51" w14:textId="77777777" w:rsidR="00C5695A" w:rsidRPr="00C5695A" w:rsidRDefault="00C5695A" w:rsidP="00BA2EFD">
            <w:pPr>
              <w:pStyle w:val="Bullets"/>
            </w:pPr>
            <w:r w:rsidRPr="00C5695A">
              <w:t>US$45,000 of shares in US-based companies (eligible assets, worth NZ$90,000)</w:t>
            </w:r>
          </w:p>
          <w:p w14:paraId="4217E404" w14:textId="77777777" w:rsidR="00C5695A" w:rsidRPr="00C5695A" w:rsidRDefault="00C5695A" w:rsidP="00BA2EFD">
            <w:pPr>
              <w:pStyle w:val="Bullets"/>
            </w:pPr>
            <w:r w:rsidRPr="00C5695A">
              <w:t>US$5,000 of share options (non-eligible assets, worth NZ$10,000)</w:t>
            </w:r>
          </w:p>
          <w:p w14:paraId="29935322" w14:textId="77777777" w:rsidR="00C5695A" w:rsidRPr="00C5695A" w:rsidRDefault="00C5695A" w:rsidP="00BA2EFD">
            <w:pPr>
              <w:pStyle w:val="Bullets"/>
            </w:pPr>
            <w:r w:rsidRPr="00C5695A">
              <w:t>A hedge of USD to NZD, with a foreign amount hedged of US$50,000 (equivalent to NZ$100,000). This hedge has an FDR hedge portion of 90% (calculated under the second hedge-by-hedge method). Therefore, the total FDR hedge portions coverage of eligible assets is 100%.</w:t>
            </w:r>
          </w:p>
          <w:p w14:paraId="13E9057D" w14:textId="3DBC7F62" w:rsidR="00C5695A" w:rsidRPr="00C5695A" w:rsidRDefault="00C5695A" w:rsidP="00EB390A">
            <w:pPr>
              <w:spacing w:after="160"/>
            </w:pPr>
            <w:r w:rsidRPr="00C5695A">
              <w:t>By the beginning of 10 June 202</w:t>
            </w:r>
            <w:r w:rsidR="004145B1">
              <w:t>3</w:t>
            </w:r>
            <w:r w:rsidRPr="00C5695A">
              <w:t xml:space="preserve">, the value of </w:t>
            </w:r>
            <w:r w:rsidR="00C45684">
              <w:t>Dunder Mifflin’s</w:t>
            </w:r>
            <w:r w:rsidR="00C45684" w:rsidRPr="00C5695A">
              <w:t xml:space="preserve"> </w:t>
            </w:r>
            <w:r w:rsidRPr="00C5695A">
              <w:t xml:space="preserve">US shares has dropped to US$35,000 (NZ$70,000). </w:t>
            </w:r>
            <w:r w:rsidR="009F1545">
              <w:t>T</w:t>
            </w:r>
            <w:r w:rsidRPr="00C5695A">
              <w:t xml:space="preserve">o adjust the foreign currency hedge exposure as result of this drop, </w:t>
            </w:r>
            <w:r w:rsidR="00C45684">
              <w:t>Dunder Mifflin</w:t>
            </w:r>
            <w:r w:rsidR="00C45684" w:rsidRPr="00C5695A">
              <w:t xml:space="preserve"> </w:t>
            </w:r>
            <w:r w:rsidRPr="00C5695A">
              <w:t>enters into a hedge of a hedge for US$10,000 (NZ$20,000)</w:t>
            </w:r>
            <w:r w:rsidR="00090006">
              <w:t xml:space="preserve"> on 10 June 2023</w:t>
            </w:r>
            <w:r w:rsidRPr="00C5695A">
              <w:t>. Applying the second hedge-by-hedge method</w:t>
            </w:r>
            <w:r w:rsidR="00441F4E">
              <w:t xml:space="preserve"> in sections EM 5(9)</w:t>
            </w:r>
            <w:r w:rsidR="00EE5F76">
              <w:t>–</w:t>
            </w:r>
            <w:r w:rsidR="00441F4E">
              <w:t>(10D)</w:t>
            </w:r>
            <w:r w:rsidRPr="00C5695A">
              <w:t>, the minimum FDR hedge portion for this hedge of a hedge is calculated as follows:</w:t>
            </w:r>
          </w:p>
          <w:p w14:paraId="54A3CE72" w14:textId="77777777" w:rsidR="00C91A54" w:rsidRDefault="00C91A54" w:rsidP="00EB390A">
            <w:pPr>
              <w:spacing w:after="160"/>
            </w:pPr>
          </w:p>
          <w:p w14:paraId="2B33C6AE" w14:textId="77777777" w:rsidR="00C91A54" w:rsidRPr="00DE7CD7" w:rsidRDefault="00C91A54" w:rsidP="00C91A54">
            <w:pPr>
              <w:spacing w:after="160"/>
              <w:rPr>
                <w:i/>
                <w:iCs/>
              </w:rPr>
            </w:pPr>
            <w:r w:rsidRPr="00DE7CD7">
              <w:rPr>
                <w:i/>
                <w:iCs/>
              </w:rPr>
              <w:lastRenderedPageBreak/>
              <w:t>First step</w:t>
            </w:r>
          </w:p>
          <w:p w14:paraId="05AAB81B" w14:textId="40D55ED4" w:rsidR="00C5695A" w:rsidRPr="00DE7CD7" w:rsidRDefault="00C5695A" w:rsidP="00EB390A">
            <w:pPr>
              <w:spacing w:after="160"/>
            </w:pPr>
            <w:r w:rsidRPr="00DE7CD7">
              <w:t xml:space="preserve">The apportioned current hedge amount is </w:t>
            </w:r>
            <w:r w:rsidR="00F67949" w:rsidRPr="00DE7CD7">
              <w:t>–</w:t>
            </w:r>
            <w:r w:rsidRPr="00DE7CD7">
              <w:t>NZ$20,000 as it equals the lesser of:</w:t>
            </w:r>
          </w:p>
          <w:p w14:paraId="01659C62" w14:textId="6B689D0D" w:rsidR="00C5695A" w:rsidRPr="00DE7CD7" w:rsidRDefault="00C5695A" w:rsidP="00BA2EFD">
            <w:pPr>
              <w:pStyle w:val="Bullets"/>
            </w:pPr>
            <w:r w:rsidRPr="00DE7CD7">
              <w:t>the amount of foreign currency hedged by the calculation hedge (</w:t>
            </w:r>
            <w:r w:rsidR="00F67949" w:rsidRPr="00DE7CD7">
              <w:t>–</w:t>
            </w:r>
            <w:r w:rsidRPr="00DE7CD7">
              <w:t>NZ$20,000), and</w:t>
            </w:r>
          </w:p>
          <w:p w14:paraId="322D1466" w14:textId="42721B93" w:rsidR="00C5695A" w:rsidRPr="00DE7CD7" w:rsidRDefault="00C5695A" w:rsidP="00BA2EFD">
            <w:pPr>
              <w:pStyle w:val="Bullets"/>
            </w:pPr>
            <w:r w:rsidRPr="00DE7CD7">
              <w:t xml:space="preserve">the amount of foreign currency that is hedged (including by the calculation hedge) </w:t>
            </w:r>
            <w:r w:rsidRPr="00DE7CD7">
              <w:rPr>
                <w:i/>
                <w:iCs/>
              </w:rPr>
              <w:t>less</w:t>
            </w:r>
            <w:r w:rsidRPr="00DE7CD7">
              <w:t xml:space="preserve"> the amount of foreign currency that is hedged by </w:t>
            </w:r>
            <w:r w:rsidR="00EE5F76" w:rsidRPr="00DE7CD7">
              <w:t>Dunder Mifflin’s</w:t>
            </w:r>
            <w:r w:rsidRPr="00DE7CD7">
              <w:t xml:space="preserve"> FDR hedge portions excluding the calculation hedge </w:t>
            </w:r>
            <w:r w:rsidRPr="00DE7CD7">
              <w:rPr>
                <w:i/>
                <w:iCs/>
              </w:rPr>
              <w:t>less</w:t>
            </w:r>
            <w:r w:rsidRPr="00DE7CD7">
              <w:t xml:space="preserve"> the total market value of </w:t>
            </w:r>
            <w:r w:rsidR="00780ABB" w:rsidRPr="00DE7CD7">
              <w:t>Dunder Mifflin’s</w:t>
            </w:r>
            <w:r w:rsidRPr="00DE7CD7">
              <w:t xml:space="preserve"> non-eligible assets, treating a negative result as zero (NZ$80,000 – NZ$90,000 – NZ$10,000 = </w:t>
            </w:r>
            <w:r w:rsidR="00780ABB" w:rsidRPr="00DE7CD7">
              <w:t>–</w:t>
            </w:r>
            <w:r w:rsidRPr="00DE7CD7">
              <w:t>NZ$20,000</w:t>
            </w:r>
            <w:r w:rsidR="00780ABB" w:rsidRPr="00DE7CD7">
              <w:t>,</w:t>
            </w:r>
            <w:r w:rsidRPr="00DE7CD7">
              <w:t xml:space="preserve"> which is treated as NZ$0).</w:t>
            </w:r>
          </w:p>
          <w:p w14:paraId="63C83911" w14:textId="2DF584C5" w:rsidR="00085B11" w:rsidRPr="00DE7CD7" w:rsidRDefault="00085B11" w:rsidP="00EB390A">
            <w:pPr>
              <w:spacing w:after="160"/>
              <w:rPr>
                <w:rFonts w:cs="Segoe UI"/>
                <w:color w:val="auto"/>
              </w:rPr>
            </w:pPr>
            <w:r w:rsidRPr="00DE7CD7">
              <w:rPr>
                <w:rFonts w:cs="Segoe UI"/>
                <w:color w:val="auto"/>
              </w:rPr>
              <w:t>(</w:t>
            </w:r>
            <w:r w:rsidR="003F7444" w:rsidRPr="00DE7CD7">
              <w:t>S</w:t>
            </w:r>
            <w:r w:rsidRPr="00DE7CD7">
              <w:t>ection EM 10D(b) does not apply because</w:t>
            </w:r>
            <w:r w:rsidR="00DE33A8" w:rsidRPr="00DE7CD7">
              <w:t xml:space="preserve"> the amount of foreign currency that is hedged by </w:t>
            </w:r>
            <w:r w:rsidR="00F07D80" w:rsidRPr="00DE7CD7">
              <w:t>Dunder Mi</w:t>
            </w:r>
            <w:r w:rsidR="00F344EE" w:rsidRPr="00DE7CD7">
              <w:t>fflin’s</w:t>
            </w:r>
            <w:r w:rsidR="00DE33A8" w:rsidRPr="00DE7CD7">
              <w:t xml:space="preserve"> FDR hedge portions excluding the calculation hedge plus the calculation hedge (treating a hedge of a hedge as a negative amount) </w:t>
            </w:r>
            <w:r w:rsidR="00473709" w:rsidRPr="00DE7CD7">
              <w:t xml:space="preserve">does not </w:t>
            </w:r>
            <w:r w:rsidR="00DE33A8" w:rsidRPr="00DE7CD7">
              <w:t>equal less than zero</w:t>
            </w:r>
            <w:r w:rsidR="00787074" w:rsidRPr="00DE7CD7">
              <w:t>.</w:t>
            </w:r>
            <w:r w:rsidR="00DE33A8" w:rsidRPr="00DE7CD7">
              <w:t>)</w:t>
            </w:r>
          </w:p>
          <w:p w14:paraId="5DB818D9" w14:textId="02628932" w:rsidR="003A6184" w:rsidRDefault="00C5695A" w:rsidP="00EB390A">
            <w:pPr>
              <w:spacing w:after="160"/>
            </w:pPr>
            <w:r w:rsidRPr="00C5695A">
              <w:rPr>
                <w:i/>
                <w:iCs/>
              </w:rPr>
              <w:t>Second step</w:t>
            </w:r>
          </w:p>
          <w:p w14:paraId="0EE5DE3E" w14:textId="6E9BA135" w:rsidR="003A6184" w:rsidRDefault="003A6184" w:rsidP="003A6184">
            <w:r>
              <w:t>The FDR gross amount is 0.825 as it equals the lesser of 1 and the amount under the formula:</w:t>
            </w:r>
          </w:p>
          <w:p w14:paraId="06745AC3" w14:textId="319458DF" w:rsidR="00C5695A" w:rsidRPr="00C5695A" w:rsidRDefault="004133EA" w:rsidP="00B40F93">
            <w:pPr>
              <w:spacing w:after="160"/>
              <w:jc w:val="center"/>
            </w:pPr>
            <m:oMath>
              <m:f>
                <m:fPr>
                  <m:ctrlPr>
                    <w:rPr>
                      <w:rFonts w:ascii="Cambria Math" w:hAnsi="Cambria Math"/>
                    </w:rPr>
                  </m:ctrlPr>
                </m:fPr>
                <m:num>
                  <m:d>
                    <m:dPr>
                      <m:ctrlPr>
                        <w:rPr>
                          <w:rFonts w:ascii="Cambria Math" w:hAnsi="Cambria Math"/>
                        </w:rPr>
                      </m:ctrlPr>
                    </m:dPr>
                    <m:e>
                      <m:r>
                        <m:rPr>
                          <m:sty m:val="p"/>
                        </m:rPr>
                        <w:rPr>
                          <w:rFonts w:ascii="Cambria Math" w:hAnsi="Cambria Math"/>
                        </w:rPr>
                        <m:t>1.05 × NZ$70,000 - NZ$90,000</m:t>
                      </m:r>
                    </m:e>
                  </m:d>
                </m:num>
                <m:den>
                  <m:eqArr>
                    <m:eqArrPr>
                      <m:ctrlPr>
                        <w:rPr>
                          <w:rFonts w:ascii="Cambria Math" w:hAnsi="Cambria Math"/>
                        </w:rPr>
                      </m:ctrlPr>
                    </m:eqArrPr>
                    <m:e>
                      <m:r>
                        <m:rPr>
                          <m:sty m:val="p"/>
                        </m:rPr>
                        <w:rPr>
                          <w:rFonts w:ascii="Cambria Math" w:hAnsi="Cambria Math"/>
                        </w:rPr>
                        <m:t>-NZ$20,000</m:t>
                      </m:r>
                    </m:e>
                    <m:e/>
                  </m:eqArr>
                </m:den>
              </m:f>
            </m:oMath>
            <w:r w:rsidR="00C5695A" w:rsidRPr="00C5695A">
              <w:t xml:space="preserve"> = 0.825</w:t>
            </w:r>
          </w:p>
          <w:p w14:paraId="3F31034C" w14:textId="23222A45" w:rsidR="0097182C" w:rsidRDefault="00C5695A" w:rsidP="00EB390A">
            <w:pPr>
              <w:spacing w:after="160"/>
            </w:pPr>
            <w:r w:rsidRPr="00C5695A">
              <w:rPr>
                <w:i/>
                <w:iCs/>
              </w:rPr>
              <w:t>Third step</w:t>
            </w:r>
          </w:p>
          <w:p w14:paraId="7ACABB70" w14:textId="140FC3CF" w:rsidR="0097182C" w:rsidRDefault="0097182C" w:rsidP="00EB390A">
            <w:pPr>
              <w:spacing w:after="160"/>
            </w:pPr>
            <w:r>
              <w:t>Applying the formula in section EM 5(9)</w:t>
            </w:r>
            <w:r w:rsidR="00831B64">
              <w:t>:</w:t>
            </w:r>
          </w:p>
          <w:p w14:paraId="38CA9151" w14:textId="7D519E40" w:rsidR="00C5695A" w:rsidRPr="00C5695A" w:rsidRDefault="00C5695A" w:rsidP="00B40F93">
            <w:pPr>
              <w:spacing w:after="160"/>
              <w:jc w:val="center"/>
            </w:pPr>
            <w:r w:rsidRPr="00C5695A">
              <w:t>0.825 ×</w:t>
            </w:r>
            <w:r w:rsidR="00375B41">
              <w:t xml:space="preserve"> </w:t>
            </w:r>
            <m:oMath>
              <m:f>
                <m:fPr>
                  <m:ctrlPr>
                    <w:rPr>
                      <w:rFonts w:ascii="Cambria Math" w:hAnsi="Cambria Math"/>
                    </w:rPr>
                  </m:ctrlPr>
                </m:fPr>
                <m:num>
                  <m:r>
                    <m:rPr>
                      <m:sty m:val="p"/>
                    </m:rPr>
                    <w:rPr>
                      <w:rFonts w:ascii="Cambria Math" w:hAnsi="Cambria Math"/>
                    </w:rPr>
                    <m:t>-NZ$20,000</m:t>
                  </m:r>
                </m:num>
                <m:den>
                  <m:r>
                    <m:rPr>
                      <m:sty m:val="p"/>
                    </m:rPr>
                    <w:rPr>
                      <w:rFonts w:ascii="Cambria Math" w:hAnsi="Cambria Math"/>
                    </w:rPr>
                    <m:t>-NZ$20,000</m:t>
                  </m:r>
                </m:den>
              </m:f>
            </m:oMath>
            <w:r w:rsidRPr="00C5695A">
              <w:t xml:space="preserve"> = 82.5%</w:t>
            </w:r>
          </w:p>
          <w:p w14:paraId="1F6BCB12" w14:textId="70BC68F0" w:rsidR="00AB10AF" w:rsidRDefault="00C5695A" w:rsidP="00EB390A">
            <w:r w:rsidRPr="00C5695A">
              <w:t xml:space="preserve">This means that the minimum FDR hedge portion that can be applied to the hedge of </w:t>
            </w:r>
            <w:r w:rsidR="007705F5">
              <w:t xml:space="preserve">a </w:t>
            </w:r>
            <w:r w:rsidR="00336FC3">
              <w:t xml:space="preserve">hedge of </w:t>
            </w:r>
            <w:r w:rsidR="007705F5">
              <w:t>–</w:t>
            </w:r>
            <w:r w:rsidRPr="00C5695A">
              <w:t xml:space="preserve">US$10,000 is 82.5%. </w:t>
            </w:r>
            <w:r w:rsidR="00AB10AF">
              <w:t>Dunder Mifflin</w:t>
            </w:r>
            <w:r w:rsidR="00AB10AF" w:rsidRPr="00C5695A">
              <w:t xml:space="preserve"> </w:t>
            </w:r>
            <w:r w:rsidR="00AB10AF">
              <w:t>can choose an FDR hedge portion for the hedge of a hedge from 82.5% to 100%.</w:t>
            </w:r>
          </w:p>
          <w:p w14:paraId="2E75C1B0" w14:textId="732309A5" w:rsidR="00D85DDF" w:rsidRPr="00830D2F" w:rsidRDefault="00C5695A" w:rsidP="00EB390A">
            <w:r w:rsidRPr="00C5695A">
              <w:t>A minimum FDR hedge portion of 82.5% for the hedge of a hedge (</w:t>
            </w:r>
            <w:r w:rsidR="00483D8E">
              <w:t>–</w:t>
            </w:r>
            <w:r w:rsidRPr="00C5695A">
              <w:t xml:space="preserve">NZ$20,000 x 82.5% = </w:t>
            </w:r>
            <w:r w:rsidR="00483D8E">
              <w:t>–</w:t>
            </w:r>
            <w:r w:rsidRPr="00C5695A">
              <w:t xml:space="preserve">NZ$16,500) would result in the total FDR hedge portions </w:t>
            </w:r>
            <w:r w:rsidR="005F75D0">
              <w:t>equalling 105% of</w:t>
            </w:r>
            <w:r w:rsidRPr="00C5695A">
              <w:t xml:space="preserve"> eligible assets ((NZ$90,000 </w:t>
            </w:r>
            <w:r w:rsidR="007F4042">
              <w:t xml:space="preserve">existing </w:t>
            </w:r>
            <w:r w:rsidR="005E5053">
              <w:t xml:space="preserve">FDR </w:t>
            </w:r>
            <w:r w:rsidR="00A45F6A">
              <w:t xml:space="preserve">hedge portion </w:t>
            </w:r>
            <w:r w:rsidR="00E876EA">
              <w:t xml:space="preserve">on hand </w:t>
            </w:r>
            <w:r w:rsidRPr="00C5695A">
              <w:t>– NZ$16,500</w:t>
            </w:r>
            <w:r w:rsidR="00E876EA">
              <w:t xml:space="preserve"> FDR hedge portion for the </w:t>
            </w:r>
            <w:r w:rsidR="007F4042">
              <w:t xml:space="preserve">new </w:t>
            </w:r>
            <w:r w:rsidR="00E876EA">
              <w:t>hedge of a hedge</w:t>
            </w:r>
            <w:r w:rsidRPr="00C5695A">
              <w:t xml:space="preserve">) / NZ$70,000 </w:t>
            </w:r>
            <w:r w:rsidR="00E876EA">
              <w:t xml:space="preserve">of eligible assets </w:t>
            </w:r>
            <w:r w:rsidRPr="00C5695A">
              <w:t>= 1.05) which is the maximum allowed.</w:t>
            </w:r>
            <w:r w:rsidR="00520CCA">
              <w:t xml:space="preserve"> </w:t>
            </w:r>
          </w:p>
        </w:tc>
      </w:tr>
    </w:tbl>
    <w:p w14:paraId="5864D16E" w14:textId="33A1042A" w:rsidR="00751C55" w:rsidRDefault="00751C55" w:rsidP="00EB390A">
      <w:pPr>
        <w:rPr>
          <w:rFonts w:cs="Segoe UI"/>
        </w:rPr>
      </w:pPr>
    </w:p>
    <w:tbl>
      <w:tblPr>
        <w:tblStyle w:val="IR-Table-ParagraphHighlightStyle2"/>
        <w:tblW w:w="0" w:type="auto"/>
        <w:tblLook w:val="04A0" w:firstRow="1" w:lastRow="0" w:firstColumn="1" w:lastColumn="0" w:noHBand="0" w:noVBand="1"/>
      </w:tblPr>
      <w:tblGrid>
        <w:gridCol w:w="9016"/>
      </w:tblGrid>
      <w:tr w:rsidR="00D85DDF" w14:paraId="3C8E4813" w14:textId="77777777" w:rsidTr="0000367E">
        <w:tc>
          <w:tcPr>
            <w:tcW w:w="9016" w:type="dxa"/>
          </w:tcPr>
          <w:p w14:paraId="7214600A" w14:textId="090872ED" w:rsidR="00D85DDF" w:rsidRDefault="00D85DDF" w:rsidP="00EB390A">
            <w:pPr>
              <w:rPr>
                <w:b/>
                <w:bCs/>
              </w:rPr>
            </w:pPr>
            <w:r w:rsidRPr="00830D2F">
              <w:rPr>
                <w:b/>
                <w:bCs/>
              </w:rPr>
              <w:lastRenderedPageBreak/>
              <w:t xml:space="preserve">Example </w:t>
            </w:r>
            <w:r w:rsidR="00C5695A">
              <w:rPr>
                <w:b/>
                <w:bCs/>
              </w:rPr>
              <w:t>7</w:t>
            </w:r>
            <w:r w:rsidR="00EC7611">
              <w:rPr>
                <w:b/>
                <w:bCs/>
              </w:rPr>
              <w:t>: Minimum FDR hedge portion of 0%</w:t>
            </w:r>
          </w:p>
          <w:p w14:paraId="5CEF410A" w14:textId="47C317F1" w:rsidR="00C5695A" w:rsidRPr="00C5695A" w:rsidRDefault="00C5695A" w:rsidP="00EB390A">
            <w:pPr>
              <w:spacing w:after="160"/>
            </w:pPr>
            <w:r w:rsidRPr="00C5695A">
              <w:t>At the beginning of 1 October 202</w:t>
            </w:r>
            <w:r w:rsidR="004145B1">
              <w:t>3</w:t>
            </w:r>
            <w:r w:rsidRPr="00C5695A">
              <w:t>, Ark Investment Fund (Ark) has a portfolio of:</w:t>
            </w:r>
          </w:p>
          <w:p w14:paraId="619EFCC4" w14:textId="77777777" w:rsidR="00C5695A" w:rsidRPr="00C5695A" w:rsidRDefault="00C5695A" w:rsidP="00BA2EFD">
            <w:pPr>
              <w:pStyle w:val="Bullets"/>
            </w:pPr>
            <w:r w:rsidRPr="00C5695A">
              <w:t>US$45,000 of shares in US-based companies (eligible assets, worth NZ$90,000)</w:t>
            </w:r>
          </w:p>
          <w:p w14:paraId="2B53C6C4" w14:textId="77777777" w:rsidR="00C5695A" w:rsidRPr="00C5695A" w:rsidRDefault="00C5695A" w:rsidP="00BA2EFD">
            <w:pPr>
              <w:pStyle w:val="Bullets"/>
            </w:pPr>
            <w:r w:rsidRPr="00C5695A">
              <w:t>US$5,000 of share options (non-eligible assets, worth NZ$10,000)</w:t>
            </w:r>
          </w:p>
          <w:p w14:paraId="25983057" w14:textId="77777777" w:rsidR="00375B41" w:rsidRDefault="00C5695A" w:rsidP="00BA2EFD">
            <w:pPr>
              <w:pStyle w:val="Bullets"/>
            </w:pPr>
            <w:r w:rsidRPr="00C5695A">
              <w:t>A hedge of USD to NZD, with a foreign amount hedged of US$30,000 (equivalent to NZ$60,000). This hedge has an FDR hedge portion of 100% (calculated under the second hedge-by-hedge method).</w:t>
            </w:r>
          </w:p>
          <w:p w14:paraId="559BE4FF" w14:textId="2235EF09" w:rsidR="00C5695A" w:rsidRPr="00C5695A" w:rsidRDefault="00C5695A" w:rsidP="00EB390A">
            <w:pPr>
              <w:spacing w:after="160"/>
            </w:pPr>
            <w:r w:rsidRPr="00C5695A">
              <w:t>On 10 October 202</w:t>
            </w:r>
            <w:r w:rsidR="004145B1">
              <w:t>3</w:t>
            </w:r>
            <w:r w:rsidRPr="00C5695A">
              <w:t>, Ark enters into a hedge of a hedge for US$10,000 (NZ$20,000). Applying the second hedge-by-hedge method</w:t>
            </w:r>
            <w:r w:rsidR="00E55FA7">
              <w:t xml:space="preserve"> in sections EM 5(9)</w:t>
            </w:r>
            <w:r w:rsidR="00E13266">
              <w:t>–</w:t>
            </w:r>
            <w:r w:rsidR="00E55FA7">
              <w:t>(10D)</w:t>
            </w:r>
            <w:r w:rsidRPr="00C5695A">
              <w:t>, the minimum FDR hedge portion for this hedge of a hedge is calculated as follows:</w:t>
            </w:r>
          </w:p>
          <w:p w14:paraId="58ACE17A" w14:textId="77777777" w:rsidR="00C5695A" w:rsidRPr="00C5695A" w:rsidRDefault="00C5695A" w:rsidP="00EB390A">
            <w:pPr>
              <w:spacing w:after="160"/>
              <w:rPr>
                <w:i/>
                <w:iCs/>
              </w:rPr>
            </w:pPr>
            <w:r w:rsidRPr="00C5695A">
              <w:rPr>
                <w:i/>
                <w:iCs/>
              </w:rPr>
              <w:t>First step</w:t>
            </w:r>
          </w:p>
          <w:p w14:paraId="7B52F329" w14:textId="0A1FFBEC" w:rsidR="00C5695A" w:rsidRPr="00C5695A" w:rsidRDefault="00C5695A" w:rsidP="00EB390A">
            <w:pPr>
              <w:spacing w:after="160"/>
            </w:pPr>
            <w:r w:rsidRPr="00C5695A">
              <w:t xml:space="preserve">The apportioned current hedge amount is </w:t>
            </w:r>
            <w:r w:rsidR="004E2643">
              <w:t>–</w:t>
            </w:r>
            <w:r w:rsidRPr="00C5695A">
              <w:t>NZ$20,000 as it equals the lesser of:</w:t>
            </w:r>
          </w:p>
          <w:p w14:paraId="3847770A" w14:textId="08104370" w:rsidR="00C5695A" w:rsidRPr="00C5695A" w:rsidRDefault="00C5695A" w:rsidP="00BA2EFD">
            <w:pPr>
              <w:pStyle w:val="Bullets"/>
            </w:pPr>
            <w:r w:rsidRPr="00C5695A">
              <w:t>the amount of foreign currency hedged by the calculation hedge (</w:t>
            </w:r>
            <w:r w:rsidR="004E2643">
              <w:t>–</w:t>
            </w:r>
            <w:r w:rsidRPr="00C5695A">
              <w:t>NZ$20,000), and</w:t>
            </w:r>
          </w:p>
          <w:p w14:paraId="28AE79F3" w14:textId="32FC2560" w:rsidR="00C5695A" w:rsidRPr="00C5695A" w:rsidRDefault="00C5695A" w:rsidP="00BA2EFD">
            <w:pPr>
              <w:pStyle w:val="Bullets"/>
            </w:pPr>
            <w:r w:rsidRPr="00C5695A">
              <w:t xml:space="preserve">the amount of foreign currency that is hedged (including by the calculation hedge) </w:t>
            </w:r>
            <w:r w:rsidRPr="00C5695A">
              <w:rPr>
                <w:i/>
                <w:iCs/>
              </w:rPr>
              <w:t>less</w:t>
            </w:r>
            <w:r w:rsidRPr="00C5695A">
              <w:t xml:space="preserve"> the amount of foreign currency that is hedged by </w:t>
            </w:r>
            <w:r w:rsidR="00111E06">
              <w:t>Ark’s</w:t>
            </w:r>
            <w:r w:rsidRPr="00C5695A">
              <w:t xml:space="preserve"> FDR hedge portions excluding the calculation hedge </w:t>
            </w:r>
            <w:r w:rsidRPr="00C5695A">
              <w:rPr>
                <w:i/>
                <w:iCs/>
              </w:rPr>
              <w:t>less</w:t>
            </w:r>
            <w:r w:rsidRPr="00C5695A">
              <w:t xml:space="preserve"> the total market value of </w:t>
            </w:r>
            <w:r w:rsidR="00111E06">
              <w:t>Ark’s</w:t>
            </w:r>
            <w:r w:rsidRPr="00C5695A">
              <w:t xml:space="preserve"> non-eligible assets, treating a negative result as zero (NZ$40,000 – NZ$60,000 – NZ$10,000 = </w:t>
            </w:r>
            <w:r w:rsidR="002D5B25">
              <w:t>–</w:t>
            </w:r>
            <w:r w:rsidRPr="00C5695A">
              <w:t>NZ$30,000</w:t>
            </w:r>
            <w:r w:rsidR="002D5B25">
              <w:t>,</w:t>
            </w:r>
            <w:r w:rsidRPr="00C5695A">
              <w:t xml:space="preserve"> which is treated as NZ$0).</w:t>
            </w:r>
          </w:p>
          <w:p w14:paraId="7C41D5A2" w14:textId="2779413B" w:rsidR="002D5B25" w:rsidRDefault="00C5695A" w:rsidP="00EB390A">
            <w:pPr>
              <w:spacing w:after="160"/>
            </w:pPr>
            <w:r w:rsidRPr="00C5695A">
              <w:rPr>
                <w:i/>
                <w:iCs/>
              </w:rPr>
              <w:t>Second step</w:t>
            </w:r>
            <w:r w:rsidRPr="00C5695A">
              <w:t xml:space="preserve"> </w:t>
            </w:r>
          </w:p>
          <w:p w14:paraId="24646A56" w14:textId="311EEDA6" w:rsidR="00CF6A3C" w:rsidRDefault="00CF6A3C" w:rsidP="00CF6A3C">
            <w:r>
              <w:t>The FDR gross amount is –1.725 as it equals the lesser of 1 and the amount under the formula:</w:t>
            </w:r>
          </w:p>
          <w:p w14:paraId="48892569" w14:textId="3A1F7429" w:rsidR="00C5695A" w:rsidRPr="00C5695A" w:rsidRDefault="004133EA" w:rsidP="00B40F93">
            <w:pPr>
              <w:spacing w:after="160"/>
              <w:jc w:val="center"/>
            </w:pPr>
            <m:oMath>
              <m:f>
                <m:fPr>
                  <m:ctrlPr>
                    <w:rPr>
                      <w:rFonts w:ascii="Cambria Math" w:hAnsi="Cambria Math"/>
                    </w:rPr>
                  </m:ctrlPr>
                </m:fPr>
                <m:num>
                  <m:d>
                    <m:dPr>
                      <m:ctrlPr>
                        <w:rPr>
                          <w:rFonts w:ascii="Cambria Math" w:hAnsi="Cambria Math"/>
                        </w:rPr>
                      </m:ctrlPr>
                    </m:dPr>
                    <m:e>
                      <m:r>
                        <m:rPr>
                          <m:sty m:val="p"/>
                        </m:rPr>
                        <w:rPr>
                          <w:rFonts w:ascii="Cambria Math" w:hAnsi="Cambria Math"/>
                        </w:rPr>
                        <m:t>1.05 × NZ$90,000 - NZ$60,000</m:t>
                      </m:r>
                    </m:e>
                  </m:d>
                </m:num>
                <m:den>
                  <m:eqArr>
                    <m:eqArrPr>
                      <m:ctrlPr>
                        <w:rPr>
                          <w:rFonts w:ascii="Cambria Math" w:hAnsi="Cambria Math"/>
                        </w:rPr>
                      </m:ctrlPr>
                    </m:eqArrPr>
                    <m:e>
                      <m:r>
                        <m:rPr>
                          <m:sty m:val="p"/>
                        </m:rPr>
                        <w:rPr>
                          <w:rFonts w:ascii="Cambria Math" w:hAnsi="Cambria Math"/>
                        </w:rPr>
                        <m:t>-NZ$20,000</m:t>
                      </m:r>
                    </m:e>
                    <m:e/>
                  </m:eqArr>
                </m:den>
              </m:f>
            </m:oMath>
            <w:r w:rsidR="00C5695A" w:rsidRPr="00C5695A">
              <w:t xml:space="preserve"> = </w:t>
            </w:r>
            <w:r w:rsidR="00CF6A3C">
              <w:t>–</w:t>
            </w:r>
            <w:r w:rsidR="00C5695A" w:rsidRPr="00C5695A">
              <w:t>1.725</w:t>
            </w:r>
          </w:p>
          <w:p w14:paraId="2737524D" w14:textId="6B4734CF" w:rsidR="0042079C" w:rsidRDefault="00C5695A" w:rsidP="00EB390A">
            <w:pPr>
              <w:spacing w:after="160"/>
            </w:pPr>
            <w:r w:rsidRPr="00C5695A">
              <w:rPr>
                <w:i/>
                <w:iCs/>
              </w:rPr>
              <w:t>Third step</w:t>
            </w:r>
          </w:p>
          <w:p w14:paraId="0274F5F2" w14:textId="77777777" w:rsidR="0042079C" w:rsidRDefault="0042079C" w:rsidP="0042079C">
            <w:pPr>
              <w:spacing w:after="160"/>
            </w:pPr>
            <w:r>
              <w:t>Applying the formula in section EM 5(9):</w:t>
            </w:r>
          </w:p>
          <w:p w14:paraId="506D0795" w14:textId="2AD14FB2" w:rsidR="00C5695A" w:rsidRPr="00C5695A" w:rsidRDefault="0042079C" w:rsidP="00B40F93">
            <w:pPr>
              <w:spacing w:after="160"/>
              <w:jc w:val="center"/>
            </w:pPr>
            <w:r>
              <w:t>–</w:t>
            </w:r>
            <w:r w:rsidR="00C5695A" w:rsidRPr="00C5695A">
              <w:t>1.725 ×</w:t>
            </w:r>
            <w:r w:rsidR="00375B41">
              <w:t xml:space="preserve"> </w:t>
            </w:r>
            <m:oMath>
              <m:f>
                <m:fPr>
                  <m:ctrlPr>
                    <w:rPr>
                      <w:rFonts w:ascii="Cambria Math" w:hAnsi="Cambria Math"/>
                    </w:rPr>
                  </m:ctrlPr>
                </m:fPr>
                <m:num>
                  <m:r>
                    <m:rPr>
                      <m:sty m:val="p"/>
                    </m:rPr>
                    <w:rPr>
                      <w:rFonts w:ascii="Cambria Math" w:hAnsi="Cambria Math"/>
                    </w:rPr>
                    <m:t>-NZ$20,000</m:t>
                  </m:r>
                </m:num>
                <m:den>
                  <m:r>
                    <m:rPr>
                      <m:sty m:val="p"/>
                    </m:rPr>
                    <w:rPr>
                      <w:rFonts w:ascii="Cambria Math" w:hAnsi="Cambria Math"/>
                    </w:rPr>
                    <m:t>-NZ$20,000</m:t>
                  </m:r>
                </m:den>
              </m:f>
            </m:oMath>
            <w:r w:rsidR="00C5695A" w:rsidRPr="00C5695A">
              <w:t xml:space="preserve"> = </w:t>
            </w:r>
            <w:r>
              <w:t>–</w:t>
            </w:r>
            <w:r w:rsidR="00C5695A" w:rsidRPr="00C5695A">
              <w:t>172.5%</w:t>
            </w:r>
            <w:r w:rsidR="0033799C">
              <w:t xml:space="preserve">, </w:t>
            </w:r>
            <w:r w:rsidR="00C5695A" w:rsidRPr="00C5695A">
              <w:t>treated as 0%</w:t>
            </w:r>
          </w:p>
          <w:p w14:paraId="50E000DF" w14:textId="3AEB177C" w:rsidR="00D85DDF" w:rsidRPr="00830D2F" w:rsidRDefault="00D42289" w:rsidP="00EB390A">
            <w:r>
              <w:lastRenderedPageBreak/>
              <w:t>This means that t</w:t>
            </w:r>
            <w:r w:rsidR="00C5695A" w:rsidRPr="00C5695A">
              <w:t xml:space="preserve">he minimum FDR hedge portion that can be applied to the hedge </w:t>
            </w:r>
            <w:r w:rsidR="0033799C">
              <w:t xml:space="preserve">of a hedge </w:t>
            </w:r>
            <w:r w:rsidR="00C5695A" w:rsidRPr="00C5695A">
              <w:t xml:space="preserve">of </w:t>
            </w:r>
            <w:r w:rsidR="00464E51">
              <w:t>–</w:t>
            </w:r>
            <w:r w:rsidR="00C5695A" w:rsidRPr="00C5695A">
              <w:t>US$10,000 is 0%.</w:t>
            </w:r>
            <w:r w:rsidR="00520CCA">
              <w:t xml:space="preserve"> </w:t>
            </w:r>
            <w:r>
              <w:t>Ark can choose an FDR hedge portion for the hedge of a hedge from 0% to 100%.</w:t>
            </w:r>
          </w:p>
        </w:tc>
      </w:tr>
    </w:tbl>
    <w:p w14:paraId="6143EC9D" w14:textId="77777777" w:rsidR="00751C55" w:rsidRPr="00190D1A" w:rsidRDefault="00751C55" w:rsidP="00F9238E">
      <w:pPr>
        <w:pStyle w:val="NoNumberHeading3"/>
      </w:pPr>
      <w:r w:rsidRPr="00190D1A">
        <w:lastRenderedPageBreak/>
        <w:t>Quarterly testing (section EM 7)</w:t>
      </w:r>
    </w:p>
    <w:p w14:paraId="05D9305C" w14:textId="67F0D63F" w:rsidR="00751C55" w:rsidRDefault="00751C55" w:rsidP="00EB390A">
      <w:pPr>
        <w:rPr>
          <w:rFonts w:cs="Segoe UI"/>
        </w:rPr>
      </w:pPr>
      <w:r w:rsidRPr="00F734BE">
        <w:rPr>
          <w:rFonts w:cs="Segoe UI"/>
        </w:rPr>
        <w:t xml:space="preserve">Under section EM 7, a taxpayer </w:t>
      </w:r>
      <w:r>
        <w:rPr>
          <w:rFonts w:cs="Segoe UI"/>
        </w:rPr>
        <w:t xml:space="preserve">that uses </w:t>
      </w:r>
      <w:r w:rsidR="00511CA0">
        <w:rPr>
          <w:rFonts w:cs="Segoe UI"/>
        </w:rPr>
        <w:t xml:space="preserve">one of the </w:t>
      </w:r>
      <w:r>
        <w:rPr>
          <w:rFonts w:cs="Segoe UI"/>
        </w:rPr>
        <w:t>hedge-by</w:t>
      </w:r>
      <w:r w:rsidR="009A28D7">
        <w:rPr>
          <w:rFonts w:cs="Segoe UI"/>
        </w:rPr>
        <w:t>-</w:t>
      </w:r>
      <w:r>
        <w:rPr>
          <w:rFonts w:cs="Segoe UI"/>
        </w:rPr>
        <w:t>hedge method</w:t>
      </w:r>
      <w:r w:rsidR="00511CA0">
        <w:rPr>
          <w:rFonts w:cs="Segoe UI"/>
        </w:rPr>
        <w:t>s</w:t>
      </w:r>
      <w:r>
        <w:rPr>
          <w:rFonts w:cs="Segoe UI"/>
        </w:rPr>
        <w:t xml:space="preserve"> </w:t>
      </w:r>
      <w:r w:rsidRPr="00F734BE">
        <w:rPr>
          <w:rFonts w:cs="Segoe UI"/>
        </w:rPr>
        <w:t>must calculate a quarterly FDR hedging ratio to ensure that their FDR hedge portions for eligible hedges remain appropriate. This requirement has been amended to allow taxpayers to choose the day in a quarter on which the test</w:t>
      </w:r>
      <w:r w:rsidR="00000DD8">
        <w:rPr>
          <w:rFonts w:cs="Segoe UI"/>
        </w:rPr>
        <w:t>ing</w:t>
      </w:r>
      <w:r w:rsidRPr="00F734BE">
        <w:rPr>
          <w:rFonts w:cs="Segoe UI"/>
        </w:rPr>
        <w:t xml:space="preserve"> is performed, provided the </w:t>
      </w:r>
      <w:r w:rsidR="00000DD8">
        <w:rPr>
          <w:rFonts w:cs="Segoe UI"/>
        </w:rPr>
        <w:t>testing</w:t>
      </w:r>
      <w:r w:rsidR="00523890">
        <w:rPr>
          <w:rFonts w:cs="Segoe UI"/>
        </w:rPr>
        <w:t xml:space="preserve"> i</w:t>
      </w:r>
      <w:r w:rsidRPr="00F734BE">
        <w:rPr>
          <w:rFonts w:cs="Segoe UI"/>
        </w:rPr>
        <w:t xml:space="preserve">s done on the same day </w:t>
      </w:r>
      <w:r>
        <w:rPr>
          <w:rFonts w:cs="Segoe UI"/>
        </w:rPr>
        <w:t>of</w:t>
      </w:r>
      <w:r w:rsidRPr="00F734BE">
        <w:rPr>
          <w:rFonts w:cs="Segoe UI"/>
        </w:rPr>
        <w:t xml:space="preserve"> each quarter in an income year.</w:t>
      </w:r>
    </w:p>
    <w:p w14:paraId="7820ED6B" w14:textId="1D5825CD" w:rsidR="00751C55" w:rsidRDefault="00751C55" w:rsidP="00EB390A">
      <w:pPr>
        <w:rPr>
          <w:rFonts w:cs="Segoe UI"/>
        </w:rPr>
      </w:pPr>
      <w:r>
        <w:rPr>
          <w:rFonts w:cs="Segoe UI"/>
        </w:rPr>
        <w:t>If a</w:t>
      </w:r>
      <w:r w:rsidRPr="00F734BE">
        <w:rPr>
          <w:rFonts w:cs="Segoe UI"/>
        </w:rPr>
        <w:t xml:space="preserve"> </w:t>
      </w:r>
      <w:r>
        <w:rPr>
          <w:rFonts w:cs="Segoe UI"/>
        </w:rPr>
        <w:t xml:space="preserve">taxpayer chooses to </w:t>
      </w:r>
      <w:r w:rsidRPr="00F734BE">
        <w:rPr>
          <w:rFonts w:cs="Segoe UI"/>
        </w:rPr>
        <w:t>change the calculation day for an income year</w:t>
      </w:r>
      <w:r>
        <w:rPr>
          <w:rFonts w:cs="Segoe UI"/>
        </w:rPr>
        <w:t>,</w:t>
      </w:r>
      <w:r w:rsidRPr="00F734BE">
        <w:rPr>
          <w:rFonts w:cs="Segoe UI"/>
        </w:rPr>
        <w:t xml:space="preserve"> </w:t>
      </w:r>
      <w:r>
        <w:rPr>
          <w:rFonts w:cs="Segoe UI"/>
        </w:rPr>
        <w:t xml:space="preserve">this </w:t>
      </w:r>
      <w:r w:rsidRPr="00F734BE">
        <w:rPr>
          <w:rFonts w:cs="Segoe UI"/>
        </w:rPr>
        <w:t>may increase or decrease the number of days between the quarterly test</w:t>
      </w:r>
      <w:r w:rsidR="00EB03FF">
        <w:rPr>
          <w:rFonts w:cs="Segoe UI"/>
        </w:rPr>
        <w:t>ing</w:t>
      </w:r>
      <w:r w:rsidRPr="00F734BE">
        <w:rPr>
          <w:rFonts w:cs="Segoe UI"/>
        </w:rPr>
        <w:t xml:space="preserve"> </w:t>
      </w:r>
      <w:r>
        <w:rPr>
          <w:rFonts w:cs="Segoe UI"/>
        </w:rPr>
        <w:t xml:space="preserve">for the last quarter of the income year </w:t>
      </w:r>
      <w:r w:rsidR="000C30C3">
        <w:rPr>
          <w:rFonts w:cs="Segoe UI"/>
        </w:rPr>
        <w:t>before</w:t>
      </w:r>
      <w:r>
        <w:rPr>
          <w:rFonts w:cs="Segoe UI"/>
        </w:rPr>
        <w:t xml:space="preserve"> the change and</w:t>
      </w:r>
      <w:r w:rsidRPr="00F734BE">
        <w:rPr>
          <w:rFonts w:cs="Segoe UI"/>
        </w:rPr>
        <w:t xml:space="preserve"> the </w:t>
      </w:r>
      <w:r>
        <w:rPr>
          <w:rFonts w:cs="Segoe UI"/>
        </w:rPr>
        <w:t>quarterly test</w:t>
      </w:r>
      <w:r w:rsidR="00EB03FF">
        <w:rPr>
          <w:rFonts w:cs="Segoe UI"/>
        </w:rPr>
        <w:t>ing</w:t>
      </w:r>
      <w:r>
        <w:rPr>
          <w:rFonts w:cs="Segoe UI"/>
        </w:rPr>
        <w:t xml:space="preserve"> for the first quarter in the </w:t>
      </w:r>
      <w:r w:rsidR="00EB03FF">
        <w:rPr>
          <w:rFonts w:cs="Segoe UI"/>
        </w:rPr>
        <w:t xml:space="preserve">income </w:t>
      </w:r>
      <w:r>
        <w:rPr>
          <w:rFonts w:cs="Segoe UI"/>
        </w:rPr>
        <w:t>year of the change</w:t>
      </w:r>
      <w:r w:rsidRPr="00F734BE">
        <w:rPr>
          <w:rFonts w:cs="Segoe UI"/>
        </w:rPr>
        <w:t>.</w:t>
      </w:r>
    </w:p>
    <w:p w14:paraId="381B40C5" w14:textId="7716332E" w:rsidR="00751C55" w:rsidRPr="00190D1A" w:rsidRDefault="00751C55" w:rsidP="00A20364">
      <w:pPr>
        <w:pStyle w:val="NoNumberHeading3"/>
      </w:pPr>
      <w:r w:rsidRPr="00190D1A">
        <w:t>The portfolio method</w:t>
      </w:r>
      <w:r w:rsidR="001A1D82">
        <w:t xml:space="preserve"> (section EM 5B)</w:t>
      </w:r>
    </w:p>
    <w:p w14:paraId="08909D63" w14:textId="25E3367E" w:rsidR="00751C55" w:rsidRPr="00D13704" w:rsidRDefault="00751C55" w:rsidP="00EB390A">
      <w:pPr>
        <w:rPr>
          <w:rFonts w:cs="Segoe UI"/>
        </w:rPr>
      </w:pPr>
      <w:r w:rsidRPr="00D13704">
        <w:rPr>
          <w:rFonts w:cs="Segoe UI"/>
        </w:rPr>
        <w:t>Where taxpayers hold a significant number of hedges at any point in time</w:t>
      </w:r>
      <w:r w:rsidR="001A3AEA">
        <w:rPr>
          <w:rFonts w:cs="Segoe UI"/>
        </w:rPr>
        <w:t>,</w:t>
      </w:r>
      <w:r w:rsidRPr="00D13704">
        <w:rPr>
          <w:rFonts w:cs="Segoe UI"/>
        </w:rPr>
        <w:t xml:space="preserve"> and </w:t>
      </w:r>
      <w:r w:rsidR="00583D00">
        <w:rPr>
          <w:rFonts w:cs="Segoe UI"/>
        </w:rPr>
        <w:t xml:space="preserve">they </w:t>
      </w:r>
      <w:r w:rsidRPr="00D13704">
        <w:rPr>
          <w:rFonts w:cs="Segoe UI"/>
        </w:rPr>
        <w:t xml:space="preserve">turnover hedges regularly, the requirement to apply the rules on a hedge-by-hedge basis can impose burdensome compliance costs </w:t>
      </w:r>
      <w:r w:rsidR="001A3AEA">
        <w:rPr>
          <w:rFonts w:cs="Segoe UI"/>
        </w:rPr>
        <w:t>that</w:t>
      </w:r>
      <w:r w:rsidRPr="00D13704">
        <w:rPr>
          <w:rFonts w:cs="Segoe UI"/>
        </w:rPr>
        <w:t xml:space="preserve"> result in the </w:t>
      </w:r>
      <w:r w:rsidR="006D7490">
        <w:rPr>
          <w:rFonts w:cs="Segoe UI"/>
        </w:rPr>
        <w:t xml:space="preserve">rules </w:t>
      </w:r>
      <w:r w:rsidRPr="00D13704">
        <w:rPr>
          <w:rFonts w:cs="Segoe UI"/>
        </w:rPr>
        <w:t>being impractical to apply.</w:t>
      </w:r>
    </w:p>
    <w:p w14:paraId="2EF28DF2" w14:textId="11AE08E7" w:rsidR="00751C55" w:rsidRPr="00D13704" w:rsidRDefault="00751C55" w:rsidP="00EB390A">
      <w:pPr>
        <w:rPr>
          <w:rFonts w:cs="Segoe UI"/>
        </w:rPr>
      </w:pPr>
      <w:r w:rsidRPr="00D13704">
        <w:rPr>
          <w:rFonts w:cs="Segoe UI"/>
        </w:rPr>
        <w:t xml:space="preserve">To address this issue, </w:t>
      </w:r>
      <w:r w:rsidR="00412484">
        <w:rPr>
          <w:rFonts w:cs="Segoe UI"/>
        </w:rPr>
        <w:t>section EM 5B</w:t>
      </w:r>
      <w:r w:rsidR="00352683">
        <w:rPr>
          <w:rFonts w:cs="Segoe UI"/>
        </w:rPr>
        <w:t xml:space="preserve"> introduces </w:t>
      </w:r>
      <w:r w:rsidRPr="00D13704">
        <w:rPr>
          <w:rFonts w:cs="Segoe UI"/>
        </w:rPr>
        <w:t xml:space="preserve">a </w:t>
      </w:r>
      <w:r>
        <w:rPr>
          <w:rFonts w:cs="Segoe UI"/>
        </w:rPr>
        <w:t xml:space="preserve">new </w:t>
      </w:r>
      <w:r w:rsidRPr="00D13704">
        <w:rPr>
          <w:rFonts w:cs="Segoe UI"/>
        </w:rPr>
        <w:t>method</w:t>
      </w:r>
      <w:r w:rsidR="003A1939">
        <w:rPr>
          <w:rFonts w:cs="Segoe UI"/>
        </w:rPr>
        <w:t xml:space="preserve"> </w:t>
      </w:r>
      <w:r w:rsidRPr="00D13704">
        <w:rPr>
          <w:rFonts w:cs="Segoe UI"/>
        </w:rPr>
        <w:t>for calculating FDR hedge portions for eligible hedges</w:t>
      </w:r>
      <w:r>
        <w:rPr>
          <w:rFonts w:cs="Segoe UI"/>
        </w:rPr>
        <w:t xml:space="preserve"> on a portfolio basis</w:t>
      </w:r>
      <w:r w:rsidRPr="00D13704">
        <w:rPr>
          <w:rFonts w:cs="Segoe UI"/>
        </w:rPr>
        <w:t>. This method sit</w:t>
      </w:r>
      <w:r>
        <w:rPr>
          <w:rFonts w:cs="Segoe UI"/>
        </w:rPr>
        <w:t>s</w:t>
      </w:r>
      <w:r w:rsidRPr="00D13704">
        <w:rPr>
          <w:rFonts w:cs="Segoe UI"/>
        </w:rPr>
        <w:t xml:space="preserve"> alongside the </w:t>
      </w:r>
      <w:r>
        <w:rPr>
          <w:rFonts w:cs="Segoe UI"/>
        </w:rPr>
        <w:t>two hedge-by-hedge methods</w:t>
      </w:r>
      <w:r w:rsidRPr="00D13704">
        <w:rPr>
          <w:rFonts w:cs="Segoe UI"/>
        </w:rPr>
        <w:t>, and taxpayers have the option of selecting their preferred method (subject to eligibility criteria detailed below).</w:t>
      </w:r>
    </w:p>
    <w:p w14:paraId="2A3C527C" w14:textId="77777777" w:rsidR="00751C55" w:rsidRPr="00D13704" w:rsidRDefault="00751C55" w:rsidP="00EB390A">
      <w:pPr>
        <w:rPr>
          <w:rFonts w:cs="Segoe UI"/>
        </w:rPr>
      </w:pPr>
      <w:r w:rsidRPr="00D13704">
        <w:rPr>
          <w:rFonts w:cs="Segoe UI"/>
        </w:rPr>
        <w:t xml:space="preserve">The </w:t>
      </w:r>
      <w:r>
        <w:rPr>
          <w:rFonts w:cs="Segoe UI"/>
        </w:rPr>
        <w:t xml:space="preserve">quarterly testing </w:t>
      </w:r>
      <w:r w:rsidRPr="00D13704">
        <w:rPr>
          <w:rFonts w:cs="Segoe UI"/>
        </w:rPr>
        <w:t xml:space="preserve">requirements </w:t>
      </w:r>
      <w:r>
        <w:rPr>
          <w:rFonts w:cs="Segoe UI"/>
        </w:rPr>
        <w:t>in</w:t>
      </w:r>
      <w:r w:rsidRPr="00D13704">
        <w:rPr>
          <w:rFonts w:cs="Segoe UI"/>
        </w:rPr>
        <w:t xml:space="preserve"> section EM 7 </w:t>
      </w:r>
      <w:r>
        <w:rPr>
          <w:rFonts w:cs="Segoe UI"/>
        </w:rPr>
        <w:t>do</w:t>
      </w:r>
      <w:r w:rsidRPr="00D13704">
        <w:rPr>
          <w:rFonts w:cs="Segoe UI"/>
        </w:rPr>
        <w:t xml:space="preserve"> not apply to taxpayers using the portfolio method. This is because FDR hedge portions for all eligible hedges </w:t>
      </w:r>
      <w:r>
        <w:rPr>
          <w:rFonts w:cs="Segoe UI"/>
        </w:rPr>
        <w:t>are</w:t>
      </w:r>
      <w:r w:rsidRPr="00D13704">
        <w:rPr>
          <w:rFonts w:cs="Segoe UI"/>
        </w:rPr>
        <w:t xml:space="preserve"> reset </w:t>
      </w:r>
      <w:r>
        <w:rPr>
          <w:rFonts w:cs="Segoe UI"/>
        </w:rPr>
        <w:t>periodically under this method</w:t>
      </w:r>
      <w:r w:rsidRPr="00D13704">
        <w:rPr>
          <w:rFonts w:cs="Segoe UI"/>
        </w:rPr>
        <w:t>.</w:t>
      </w:r>
    </w:p>
    <w:p w14:paraId="67352328" w14:textId="77777777" w:rsidR="00751C55" w:rsidRPr="00190D1A" w:rsidRDefault="00751C55" w:rsidP="000D24F2">
      <w:pPr>
        <w:pStyle w:val="NoNumberHeading4"/>
      </w:pPr>
      <w:r w:rsidRPr="00190D1A">
        <w:t>Eligibility criteria and elections (sections EM 4(6) and (7))</w:t>
      </w:r>
    </w:p>
    <w:p w14:paraId="7C9293A3" w14:textId="7C81905C" w:rsidR="00751C55" w:rsidRDefault="00751C55" w:rsidP="00EB390A">
      <w:pPr>
        <w:rPr>
          <w:rFonts w:cs="Segoe UI"/>
        </w:rPr>
      </w:pPr>
      <w:r w:rsidRPr="00D13704">
        <w:rPr>
          <w:rFonts w:cs="Segoe UI"/>
        </w:rPr>
        <w:t xml:space="preserve">Only taxpayers </w:t>
      </w:r>
      <w:r>
        <w:rPr>
          <w:rFonts w:cs="Segoe UI"/>
        </w:rPr>
        <w:t>with a</w:t>
      </w:r>
      <w:r w:rsidRPr="00D13704">
        <w:rPr>
          <w:rFonts w:cs="Segoe UI"/>
        </w:rPr>
        <w:t xml:space="preserve"> unit valu</w:t>
      </w:r>
      <w:r>
        <w:rPr>
          <w:rFonts w:cs="Segoe UI"/>
        </w:rPr>
        <w:t xml:space="preserve">ation period of one month or less </w:t>
      </w:r>
      <w:r w:rsidRPr="00D13704">
        <w:rPr>
          <w:rFonts w:cs="Segoe UI"/>
        </w:rPr>
        <w:t>for section</w:t>
      </w:r>
      <w:r w:rsidR="0013163A">
        <w:rPr>
          <w:rFonts w:cs="Segoe UI"/>
        </w:rPr>
        <w:t> </w:t>
      </w:r>
      <w:r w:rsidRPr="00D13704">
        <w:rPr>
          <w:rFonts w:cs="Segoe UI"/>
        </w:rPr>
        <w:t xml:space="preserve">EX 53 </w:t>
      </w:r>
      <w:r>
        <w:rPr>
          <w:rFonts w:cs="Segoe UI"/>
        </w:rPr>
        <w:t>can</w:t>
      </w:r>
      <w:r w:rsidRPr="00D13704">
        <w:rPr>
          <w:rFonts w:cs="Segoe UI"/>
        </w:rPr>
        <w:t xml:space="preserve"> elect to use the portfolio method. This election can be made at any time</w:t>
      </w:r>
      <w:r w:rsidR="00221BA9">
        <w:rPr>
          <w:rFonts w:cs="Segoe UI"/>
        </w:rPr>
        <w:t>.</w:t>
      </w:r>
      <w:r>
        <w:rPr>
          <w:rFonts w:cs="Segoe UI"/>
        </w:rPr>
        <w:t xml:space="preserve"> </w:t>
      </w:r>
      <w:r w:rsidR="00221BA9">
        <w:rPr>
          <w:rFonts w:cs="Segoe UI"/>
        </w:rPr>
        <w:t xml:space="preserve">The </w:t>
      </w:r>
      <w:r>
        <w:rPr>
          <w:rFonts w:cs="Segoe UI"/>
        </w:rPr>
        <w:t>except</w:t>
      </w:r>
      <w:r w:rsidR="00221BA9">
        <w:rPr>
          <w:rFonts w:cs="Segoe UI"/>
        </w:rPr>
        <w:t>ion to this is</w:t>
      </w:r>
      <w:r>
        <w:rPr>
          <w:rFonts w:cs="Segoe UI"/>
        </w:rPr>
        <w:t xml:space="preserve"> a re-election</w:t>
      </w:r>
      <w:r w:rsidR="00703ED1">
        <w:rPr>
          <w:rFonts w:cs="Segoe UI"/>
        </w:rPr>
        <w:t>,</w:t>
      </w:r>
      <w:r>
        <w:rPr>
          <w:rFonts w:cs="Segoe UI"/>
        </w:rPr>
        <w:t xml:space="preserve"> which may only be made after 12 months have passed since a previous election to use the portfolio method was </w:t>
      </w:r>
      <w:r w:rsidR="000737A2">
        <w:rPr>
          <w:rFonts w:cs="Segoe UI"/>
        </w:rPr>
        <w:t>revoked</w:t>
      </w:r>
      <w:r w:rsidRPr="00D13704">
        <w:rPr>
          <w:rFonts w:cs="Segoe UI"/>
        </w:rPr>
        <w:t>.</w:t>
      </w:r>
    </w:p>
    <w:p w14:paraId="1E36D9D0" w14:textId="7A3DF8E4" w:rsidR="00751C55" w:rsidRDefault="00751C55" w:rsidP="00EB390A">
      <w:pPr>
        <w:rPr>
          <w:rFonts w:cs="Segoe UI"/>
        </w:rPr>
      </w:pPr>
      <w:r>
        <w:rPr>
          <w:rFonts w:cs="Segoe UI"/>
        </w:rPr>
        <w:lastRenderedPageBreak/>
        <w:t>O</w:t>
      </w:r>
      <w:r w:rsidRPr="00D13704">
        <w:rPr>
          <w:rFonts w:cs="Segoe UI"/>
        </w:rPr>
        <w:t xml:space="preserve">nce an election to use </w:t>
      </w:r>
      <w:r>
        <w:rPr>
          <w:rFonts w:cs="Segoe UI"/>
        </w:rPr>
        <w:t>the portfolio</w:t>
      </w:r>
      <w:r w:rsidRPr="00D13704">
        <w:rPr>
          <w:rFonts w:cs="Segoe UI"/>
        </w:rPr>
        <w:t xml:space="preserve"> method has been made, taxpayers </w:t>
      </w:r>
      <w:r>
        <w:rPr>
          <w:rFonts w:cs="Segoe UI"/>
        </w:rPr>
        <w:t>are</w:t>
      </w:r>
      <w:r w:rsidRPr="00D13704">
        <w:rPr>
          <w:rFonts w:cs="Segoe UI"/>
        </w:rPr>
        <w:t xml:space="preserve"> required to apply the method </w:t>
      </w:r>
      <w:r w:rsidR="003B519A">
        <w:rPr>
          <w:rFonts w:cs="Segoe UI"/>
        </w:rPr>
        <w:t xml:space="preserve">for a minimum of 24 months </w:t>
      </w:r>
      <w:r w:rsidRPr="00D13704">
        <w:rPr>
          <w:rFonts w:cs="Segoe UI"/>
        </w:rPr>
        <w:t>to all existing eligible hedges on hand (regardless of whether they are subject to an existing hedge-by-hedge method</w:t>
      </w:r>
      <w:proofErr w:type="gramStart"/>
      <w:r w:rsidRPr="00D13704">
        <w:rPr>
          <w:rFonts w:cs="Segoe UI"/>
        </w:rPr>
        <w:t>)</w:t>
      </w:r>
      <w:proofErr w:type="gramEnd"/>
      <w:r w:rsidRPr="00D13704">
        <w:rPr>
          <w:rFonts w:cs="Segoe UI"/>
        </w:rPr>
        <w:t xml:space="preserve"> and any hedges entered into post-election.</w:t>
      </w:r>
    </w:p>
    <w:p w14:paraId="394ED54F" w14:textId="36824D72" w:rsidR="00751C55" w:rsidRPr="00D13704" w:rsidRDefault="00751C55" w:rsidP="00EB390A">
      <w:pPr>
        <w:rPr>
          <w:rFonts w:cs="Segoe UI"/>
        </w:rPr>
      </w:pPr>
      <w:r>
        <w:rPr>
          <w:rFonts w:cs="Segoe UI"/>
        </w:rPr>
        <w:t xml:space="preserve">The </w:t>
      </w:r>
      <w:r w:rsidRPr="00FC6F5C">
        <w:rPr>
          <w:rFonts w:cs="Segoe UI"/>
        </w:rPr>
        <w:t xml:space="preserve">Commissioner </w:t>
      </w:r>
      <w:r>
        <w:rPr>
          <w:rFonts w:cs="Segoe UI"/>
        </w:rPr>
        <w:t>may agree to</w:t>
      </w:r>
      <w:r w:rsidRPr="00FC6F5C">
        <w:rPr>
          <w:rFonts w:cs="Segoe UI"/>
        </w:rPr>
        <w:t xml:space="preserve"> reduce</w:t>
      </w:r>
      <w:r>
        <w:rPr>
          <w:rFonts w:cs="Segoe UI"/>
        </w:rPr>
        <w:t xml:space="preserve"> the</w:t>
      </w:r>
      <w:r w:rsidRPr="00FC6F5C">
        <w:rPr>
          <w:rFonts w:cs="Segoe UI"/>
        </w:rPr>
        <w:t xml:space="preserve"> election and re-election </w:t>
      </w:r>
      <w:r>
        <w:rPr>
          <w:rFonts w:cs="Segoe UI"/>
        </w:rPr>
        <w:t xml:space="preserve">time </w:t>
      </w:r>
      <w:r w:rsidRPr="00FC6F5C">
        <w:rPr>
          <w:rFonts w:cs="Segoe UI"/>
        </w:rPr>
        <w:t>period</w:t>
      </w:r>
      <w:r>
        <w:rPr>
          <w:rFonts w:cs="Segoe UI"/>
        </w:rPr>
        <w:t>s</w:t>
      </w:r>
      <w:r w:rsidRPr="00FC6F5C">
        <w:rPr>
          <w:rFonts w:cs="Segoe UI"/>
        </w:rPr>
        <w:t xml:space="preserve"> prospectively when there are genuine commercial reasons that require a change in method for calculating FDR hedge portions. Where the Commissioner agree</w:t>
      </w:r>
      <w:r>
        <w:rPr>
          <w:rFonts w:cs="Segoe UI"/>
        </w:rPr>
        <w:t>s</w:t>
      </w:r>
      <w:r w:rsidRPr="00FC6F5C">
        <w:rPr>
          <w:rFonts w:cs="Segoe UI"/>
        </w:rPr>
        <w:t xml:space="preserve">, taxpayers </w:t>
      </w:r>
      <w:r>
        <w:rPr>
          <w:rFonts w:cs="Segoe UI"/>
        </w:rPr>
        <w:t>can</w:t>
      </w:r>
      <w:r w:rsidRPr="00FC6F5C">
        <w:rPr>
          <w:rFonts w:cs="Segoe UI"/>
        </w:rPr>
        <w:t xml:space="preserve"> </w:t>
      </w:r>
      <w:r w:rsidR="009B0DBD">
        <w:rPr>
          <w:rFonts w:cs="Segoe UI"/>
        </w:rPr>
        <w:t>revoke</w:t>
      </w:r>
      <w:r w:rsidRPr="00FC6F5C">
        <w:rPr>
          <w:rFonts w:cs="Segoe UI"/>
        </w:rPr>
        <w:t xml:space="preserve"> an election to apply the portfolio method within 24 months or re-elect within 12 months. Genuine commercial reasons that warrant a change in method include where a taxpayer changes service provider and the new service provider only supports one of the methods for calculating FDR hedge portions</w:t>
      </w:r>
      <w:r>
        <w:rPr>
          <w:rFonts w:cs="Segoe UI"/>
        </w:rPr>
        <w:t>.</w:t>
      </w:r>
    </w:p>
    <w:p w14:paraId="2059FBE3" w14:textId="77777777" w:rsidR="00751C55" w:rsidRPr="00190D1A" w:rsidRDefault="00751C55" w:rsidP="000D24F2">
      <w:pPr>
        <w:pStyle w:val="NoNumberHeading4"/>
      </w:pPr>
      <w:r w:rsidRPr="00190D1A">
        <w:t>Periodic basis for calculating FDR hedge portions (section EM 5</w:t>
      </w:r>
      <w:proofErr w:type="gramStart"/>
      <w:r w:rsidRPr="00190D1A">
        <w:t>B(</w:t>
      </w:r>
      <w:proofErr w:type="gramEnd"/>
      <w:r w:rsidRPr="00190D1A">
        <w:t>3))</w:t>
      </w:r>
    </w:p>
    <w:p w14:paraId="3720F22E" w14:textId="77777777" w:rsidR="00751C55" w:rsidRPr="00D13704" w:rsidRDefault="00751C55" w:rsidP="00EB390A">
      <w:pPr>
        <w:rPr>
          <w:rFonts w:cs="Segoe UI"/>
        </w:rPr>
      </w:pPr>
      <w:r w:rsidRPr="00D13704">
        <w:rPr>
          <w:rFonts w:cs="Segoe UI"/>
        </w:rPr>
        <w:t xml:space="preserve">Taxpayers </w:t>
      </w:r>
      <w:r>
        <w:rPr>
          <w:rFonts w:cs="Segoe UI"/>
        </w:rPr>
        <w:t>can</w:t>
      </w:r>
      <w:r w:rsidRPr="00D13704">
        <w:rPr>
          <w:rFonts w:cs="Segoe UI"/>
        </w:rPr>
        <w:t xml:space="preserve"> elect their own periodic basis for calculating FDR hedge portions, up to a maximum period of one month. </w:t>
      </w:r>
      <w:r>
        <w:rPr>
          <w:rFonts w:cs="Segoe UI"/>
        </w:rPr>
        <w:t>T</w:t>
      </w:r>
      <w:r w:rsidRPr="00D13704">
        <w:rPr>
          <w:rFonts w:cs="Segoe UI"/>
        </w:rPr>
        <w:t xml:space="preserve">he periodic basis </w:t>
      </w:r>
      <w:r>
        <w:rPr>
          <w:rFonts w:cs="Segoe UI"/>
        </w:rPr>
        <w:t>chosen must be applied for an income year</w:t>
      </w:r>
      <w:r w:rsidRPr="00D13704">
        <w:rPr>
          <w:rFonts w:cs="Segoe UI"/>
        </w:rPr>
        <w:t>.</w:t>
      </w:r>
    </w:p>
    <w:p w14:paraId="05F7A9D4" w14:textId="77777777" w:rsidR="00751C55" w:rsidRPr="00190D1A" w:rsidRDefault="00751C55" w:rsidP="00CA1539">
      <w:pPr>
        <w:pStyle w:val="NoNumberHeading4"/>
      </w:pPr>
      <w:r w:rsidRPr="00190D1A">
        <w:t>Portfolio FDR hedge portion (sections EM 5</w:t>
      </w:r>
      <w:proofErr w:type="gramStart"/>
      <w:r w:rsidRPr="00190D1A">
        <w:t>B(</w:t>
      </w:r>
      <w:proofErr w:type="gramEnd"/>
      <w:r w:rsidRPr="00190D1A">
        <w:t>1) and EM 5B(3))</w:t>
      </w:r>
    </w:p>
    <w:p w14:paraId="093AD8B3" w14:textId="4188C45C" w:rsidR="00751C55" w:rsidRPr="00D13704" w:rsidRDefault="00E94098" w:rsidP="00EB390A">
      <w:pPr>
        <w:rPr>
          <w:rFonts w:cs="Segoe UI"/>
        </w:rPr>
      </w:pPr>
      <w:r>
        <w:rPr>
          <w:rFonts w:cs="Segoe UI"/>
        </w:rPr>
        <w:t>T</w:t>
      </w:r>
      <w:r w:rsidR="00751C55" w:rsidRPr="00D13704">
        <w:rPr>
          <w:rFonts w:cs="Segoe UI"/>
        </w:rPr>
        <w:t xml:space="preserve">he FDR hedge portion </w:t>
      </w:r>
      <w:r w:rsidR="00751C55">
        <w:rPr>
          <w:rFonts w:cs="Segoe UI"/>
        </w:rPr>
        <w:t>must</w:t>
      </w:r>
      <w:r w:rsidR="00751C55" w:rsidRPr="00D13704">
        <w:rPr>
          <w:rFonts w:cs="Segoe UI"/>
        </w:rPr>
        <w:t xml:space="preserve"> be calculated at the start of each period and applied to the entire portfolio of eligible hedges for that period.</w:t>
      </w:r>
    </w:p>
    <w:p w14:paraId="319804B9" w14:textId="77777777" w:rsidR="00751C55" w:rsidRPr="00D13704" w:rsidRDefault="00751C55" w:rsidP="00EB390A">
      <w:pPr>
        <w:rPr>
          <w:rFonts w:cs="Segoe UI"/>
        </w:rPr>
      </w:pPr>
      <w:r w:rsidRPr="00D13704">
        <w:rPr>
          <w:rFonts w:cs="Segoe UI"/>
        </w:rPr>
        <w:t>Where a taxpayer enters into a new eligible hedge within a period, the FDR hedge portion calculated for the portfolio at the start of the period appl</w:t>
      </w:r>
      <w:r>
        <w:rPr>
          <w:rFonts w:cs="Segoe UI"/>
        </w:rPr>
        <w:t>ies</w:t>
      </w:r>
      <w:r w:rsidRPr="00D13704">
        <w:rPr>
          <w:rFonts w:cs="Segoe UI"/>
        </w:rPr>
        <w:t xml:space="preserve"> to that hedge until the end of the period, at which point the FDR hedge portion calculated for the portfolio for the next period applies.</w:t>
      </w:r>
    </w:p>
    <w:p w14:paraId="2FFA01CD" w14:textId="58D154B3" w:rsidR="00751C55" w:rsidRPr="00190D1A" w:rsidRDefault="00751C55" w:rsidP="00CD0840">
      <w:pPr>
        <w:pStyle w:val="NoNumberHeading4"/>
      </w:pPr>
      <w:r w:rsidRPr="00190D1A">
        <w:t>Formulae (section</w:t>
      </w:r>
      <w:r w:rsidR="008D0C92">
        <w:t>s</w:t>
      </w:r>
      <w:r w:rsidRPr="00190D1A">
        <w:t xml:space="preserve"> EM 5</w:t>
      </w:r>
      <w:proofErr w:type="gramStart"/>
      <w:r w:rsidRPr="00190D1A">
        <w:t>B(</w:t>
      </w:r>
      <w:proofErr w:type="gramEnd"/>
      <w:r w:rsidRPr="00190D1A">
        <w:t>2)</w:t>
      </w:r>
      <w:r w:rsidR="00096B86">
        <w:t xml:space="preserve"> and</w:t>
      </w:r>
      <w:r w:rsidRPr="00190D1A">
        <w:t xml:space="preserve"> EM 5B(4)</w:t>
      </w:r>
      <w:r w:rsidR="00096B86">
        <w:t>–</w:t>
      </w:r>
      <w:r w:rsidRPr="00190D1A">
        <w:t>(7))</w:t>
      </w:r>
    </w:p>
    <w:p w14:paraId="4086B42A" w14:textId="7165E624" w:rsidR="00375B41" w:rsidRDefault="00751C55" w:rsidP="00EB390A">
      <w:pPr>
        <w:rPr>
          <w:rFonts w:cs="Segoe UI"/>
        </w:rPr>
      </w:pPr>
      <w:r w:rsidRPr="00D13704">
        <w:rPr>
          <w:rFonts w:cs="Segoe UI"/>
        </w:rPr>
        <w:t>The approach for calculating FDR hedge portions under this method involve</w:t>
      </w:r>
      <w:r>
        <w:rPr>
          <w:rFonts w:cs="Segoe UI"/>
        </w:rPr>
        <w:t>s</w:t>
      </w:r>
      <w:r w:rsidRPr="00D13704">
        <w:rPr>
          <w:rFonts w:cs="Segoe UI"/>
        </w:rPr>
        <w:t xml:space="preserve"> two formulae, with the portfolio FDR hedge po</w:t>
      </w:r>
      <w:r>
        <w:rPr>
          <w:rFonts w:cs="Segoe UI"/>
        </w:rPr>
        <w:t>r</w:t>
      </w:r>
      <w:r w:rsidRPr="00D13704">
        <w:rPr>
          <w:rFonts w:cs="Segoe UI"/>
        </w:rPr>
        <w:t>tion being set at the lower of the two</w:t>
      </w:r>
      <w:r>
        <w:rPr>
          <w:rFonts w:cs="Segoe UI"/>
        </w:rPr>
        <w:t xml:space="preserve"> results</w:t>
      </w:r>
      <w:r w:rsidR="00472240">
        <w:rPr>
          <w:rFonts w:cs="Segoe UI"/>
        </w:rPr>
        <w:t>.</w:t>
      </w:r>
      <w:r w:rsidR="009E331D">
        <w:rPr>
          <w:rFonts w:cs="Segoe UI"/>
        </w:rPr>
        <w:t xml:space="preserve"> This is different to</w:t>
      </w:r>
      <w:r w:rsidRPr="00D13704">
        <w:rPr>
          <w:rFonts w:cs="Segoe UI"/>
        </w:rPr>
        <w:t xml:space="preserve"> the hedge-by-hedge </w:t>
      </w:r>
      <w:r w:rsidR="00170ABB">
        <w:rPr>
          <w:rFonts w:cs="Segoe UI"/>
        </w:rPr>
        <w:t>methods</w:t>
      </w:r>
      <w:r w:rsidR="009E331D">
        <w:rPr>
          <w:rFonts w:cs="Segoe UI"/>
        </w:rPr>
        <w:t>,</w:t>
      </w:r>
      <w:r w:rsidR="00170ABB" w:rsidRPr="00D13704">
        <w:rPr>
          <w:rFonts w:cs="Segoe UI"/>
        </w:rPr>
        <w:t xml:space="preserve"> </w:t>
      </w:r>
      <w:r w:rsidRPr="00D13704">
        <w:rPr>
          <w:rFonts w:cs="Segoe UI"/>
        </w:rPr>
        <w:t>which calculate the maximum</w:t>
      </w:r>
      <w:r w:rsidR="005B3997">
        <w:rPr>
          <w:rFonts w:cs="Segoe UI"/>
        </w:rPr>
        <w:t xml:space="preserve"> (or minimum for a hedge of a hedge</w:t>
      </w:r>
      <w:r w:rsidRPr="00D13704">
        <w:rPr>
          <w:rFonts w:cs="Segoe UI"/>
        </w:rPr>
        <w:t>).</w:t>
      </w:r>
      <w:r w:rsidR="001B58EC">
        <w:rPr>
          <w:rFonts w:cs="Segoe UI"/>
        </w:rPr>
        <w:t xml:space="preserve"> </w:t>
      </w:r>
      <w:r w:rsidR="000B0979">
        <w:rPr>
          <w:rFonts w:cs="Segoe UI"/>
        </w:rPr>
        <w:t>Setting FDR hedge portions based on the results of the formulae</w:t>
      </w:r>
      <w:r w:rsidR="00881BC4">
        <w:rPr>
          <w:rFonts w:cs="Segoe UI"/>
        </w:rPr>
        <w:t xml:space="preserve"> </w:t>
      </w:r>
      <w:r w:rsidR="000B5515">
        <w:rPr>
          <w:rFonts w:cs="Segoe UI"/>
        </w:rPr>
        <w:t xml:space="preserve">under the portfolio method </w:t>
      </w:r>
      <w:r w:rsidR="00881BC4">
        <w:rPr>
          <w:rFonts w:cs="Segoe UI"/>
        </w:rPr>
        <w:t xml:space="preserve">is intended to address concerns that </w:t>
      </w:r>
      <w:r w:rsidR="004B3EA5">
        <w:rPr>
          <w:rFonts w:cs="Segoe UI"/>
        </w:rPr>
        <w:t xml:space="preserve">taxpayers could otherwise </w:t>
      </w:r>
      <w:r w:rsidR="000B0979">
        <w:rPr>
          <w:rFonts w:cs="Segoe UI"/>
        </w:rPr>
        <w:t xml:space="preserve">gain a tax advantage by </w:t>
      </w:r>
      <w:r w:rsidR="001047EA">
        <w:rPr>
          <w:rFonts w:cs="Segoe UI"/>
        </w:rPr>
        <w:t>choos</w:t>
      </w:r>
      <w:r w:rsidR="000B0979">
        <w:rPr>
          <w:rFonts w:cs="Segoe UI"/>
        </w:rPr>
        <w:t>ing</w:t>
      </w:r>
      <w:r w:rsidR="001047EA">
        <w:rPr>
          <w:rFonts w:cs="Segoe UI"/>
        </w:rPr>
        <w:t xml:space="preserve"> </w:t>
      </w:r>
      <w:r w:rsidR="00636240">
        <w:rPr>
          <w:rFonts w:cs="Segoe UI"/>
        </w:rPr>
        <w:t xml:space="preserve">the tax treatment </w:t>
      </w:r>
      <w:r w:rsidR="000B0979">
        <w:rPr>
          <w:rFonts w:cs="Segoe UI"/>
        </w:rPr>
        <w:t xml:space="preserve">of hedges </w:t>
      </w:r>
      <w:r w:rsidR="00636240">
        <w:rPr>
          <w:rFonts w:cs="Segoe UI"/>
        </w:rPr>
        <w:t>on a periodic basis</w:t>
      </w:r>
      <w:r w:rsidR="000B0979">
        <w:rPr>
          <w:rFonts w:cs="Segoe UI"/>
        </w:rPr>
        <w:t>.</w:t>
      </w:r>
    </w:p>
    <w:p w14:paraId="099EA283" w14:textId="77777777" w:rsidR="00375B41" w:rsidRDefault="002527EB" w:rsidP="00EB390A">
      <w:pPr>
        <w:rPr>
          <w:rFonts w:cs="Segoe UI"/>
        </w:rPr>
      </w:pPr>
      <w:r>
        <w:rPr>
          <w:rFonts w:cs="Segoe UI"/>
        </w:rPr>
        <w:t xml:space="preserve">The </w:t>
      </w:r>
      <w:r w:rsidR="000B0979">
        <w:rPr>
          <w:rFonts w:cs="Segoe UI"/>
        </w:rPr>
        <w:t xml:space="preserve">purpose of the </w:t>
      </w:r>
      <w:r>
        <w:rPr>
          <w:rFonts w:cs="Segoe UI"/>
        </w:rPr>
        <w:t xml:space="preserve">first formula </w:t>
      </w:r>
      <w:r w:rsidR="000B0979">
        <w:rPr>
          <w:rFonts w:cs="Segoe UI"/>
        </w:rPr>
        <w:t xml:space="preserve">is to </w:t>
      </w:r>
      <w:r w:rsidR="005941A2">
        <w:rPr>
          <w:rFonts w:cs="Segoe UI"/>
        </w:rPr>
        <w:t>allocate</w:t>
      </w:r>
      <w:r w:rsidR="000B0979">
        <w:rPr>
          <w:rFonts w:cs="Segoe UI"/>
        </w:rPr>
        <w:t xml:space="preserve"> hedges </w:t>
      </w:r>
      <w:r w:rsidR="005941A2">
        <w:rPr>
          <w:rFonts w:cs="Segoe UI"/>
        </w:rPr>
        <w:t>to non-eligible assets first</w:t>
      </w:r>
      <w:r w:rsidR="000B0979">
        <w:rPr>
          <w:rFonts w:cs="Segoe UI"/>
        </w:rPr>
        <w:t>,</w:t>
      </w:r>
      <w:r w:rsidR="005941A2">
        <w:rPr>
          <w:rFonts w:cs="Segoe UI"/>
        </w:rPr>
        <w:t xml:space="preserve"> while the second </w:t>
      </w:r>
      <w:r w:rsidR="000B0979">
        <w:rPr>
          <w:rFonts w:cs="Segoe UI"/>
        </w:rPr>
        <w:t xml:space="preserve">formula is intended to </w:t>
      </w:r>
      <w:r w:rsidR="005941A2">
        <w:rPr>
          <w:rFonts w:cs="Segoe UI"/>
        </w:rPr>
        <w:t xml:space="preserve">ensure that </w:t>
      </w:r>
      <w:r w:rsidR="00686142">
        <w:rPr>
          <w:rFonts w:cs="Segoe UI"/>
        </w:rPr>
        <w:t xml:space="preserve">the amount of hedging subject to FDR treatment does not exceed </w:t>
      </w:r>
      <w:r w:rsidR="008B3F5B">
        <w:rPr>
          <w:rFonts w:cs="Segoe UI"/>
        </w:rPr>
        <w:t>105% of eligible assets.</w:t>
      </w:r>
    </w:p>
    <w:p w14:paraId="2523F216" w14:textId="44158BBD" w:rsidR="00751C55" w:rsidRPr="00D13704" w:rsidRDefault="001B58EC" w:rsidP="00EB390A">
      <w:pPr>
        <w:rPr>
          <w:rFonts w:cs="Segoe UI"/>
        </w:rPr>
      </w:pPr>
      <w:r>
        <w:rPr>
          <w:rFonts w:cs="Segoe UI"/>
        </w:rPr>
        <w:lastRenderedPageBreak/>
        <w:t>A</w:t>
      </w:r>
      <w:r w:rsidR="009143B5">
        <w:rPr>
          <w:rFonts w:cs="Segoe UI"/>
        </w:rPr>
        <w:t>ll a</w:t>
      </w:r>
      <w:r>
        <w:rPr>
          <w:rFonts w:cs="Segoe UI"/>
        </w:rPr>
        <w:t xml:space="preserve">mounts </w:t>
      </w:r>
      <w:r w:rsidR="007C0E77">
        <w:rPr>
          <w:rFonts w:cs="Segoe UI"/>
        </w:rPr>
        <w:t>must be calculated in NZD.</w:t>
      </w:r>
    </w:p>
    <w:p w14:paraId="6F0AFCF2" w14:textId="77777777" w:rsidR="00751C55" w:rsidRDefault="00751C55" w:rsidP="00EB390A">
      <w:pPr>
        <w:rPr>
          <w:rFonts w:cs="Segoe UI"/>
        </w:rPr>
      </w:pPr>
      <w:r w:rsidRPr="00D13704">
        <w:rPr>
          <w:rFonts w:cs="Segoe UI"/>
        </w:rPr>
        <w:t xml:space="preserve">The first formula </w:t>
      </w:r>
      <w:r>
        <w:rPr>
          <w:rFonts w:cs="Segoe UI"/>
        </w:rPr>
        <w:t>is</w:t>
      </w:r>
      <w:r w:rsidRPr="00D13704">
        <w:rPr>
          <w:rFonts w:cs="Segoe UI"/>
        </w:rPr>
        <w:t>:</w:t>
      </w:r>
    </w:p>
    <w:p w14:paraId="6AACF8A2" w14:textId="4FB065B7" w:rsidR="00C326B3" w:rsidRPr="007D493C" w:rsidRDefault="00C326B3" w:rsidP="00C326B3">
      <w:pPr>
        <w:jc w:val="both"/>
        <w:rPr>
          <w:rFonts w:cs="Segoe UI"/>
          <w:sz w:val="24"/>
          <w:szCs w:val="24"/>
        </w:rPr>
      </w:pPr>
      <m:oMathPara>
        <m:oMath>
          <m:r>
            <m:rPr>
              <m:sty m:val="p"/>
            </m:rPr>
            <w:rPr>
              <w:rFonts w:ascii="Cambria Math" w:hAnsi="Cambria Math" w:cs="Segoe UI"/>
              <w:sz w:val="24"/>
              <w:szCs w:val="24"/>
            </w:rPr>
            <m:t>1- (</m:t>
          </m:r>
          <m:f>
            <m:fPr>
              <m:ctrlPr>
                <w:rPr>
                  <w:rFonts w:ascii="Cambria Math" w:hAnsi="Cambria Math" w:cs="Segoe UI"/>
                  <w:sz w:val="24"/>
                  <w:szCs w:val="24"/>
                </w:rPr>
              </m:ctrlPr>
            </m:fPr>
            <m:num>
              <m:r>
                <m:rPr>
                  <m:sty m:val="p"/>
                </m:rPr>
                <w:rPr>
                  <w:rFonts w:ascii="Cambria Math" w:hAnsi="Cambria Math" w:cs="Segoe UI"/>
                  <w:sz w:val="24"/>
                  <w:szCs w:val="24"/>
                </w:rPr>
                <m:t xml:space="preserve">non-eligible assets </m:t>
              </m:r>
            </m:num>
            <m:den>
              <m:r>
                <m:rPr>
                  <m:sty m:val="p"/>
                </m:rPr>
                <w:rPr>
                  <w:rFonts w:ascii="Cambria Math" w:hAnsi="Cambria Math" w:cs="Segoe UI"/>
                  <w:sz w:val="24"/>
                  <w:szCs w:val="24"/>
                </w:rPr>
                <m:t>portfolio hedges amount</m:t>
              </m:r>
            </m:den>
          </m:f>
          <m:r>
            <m:rPr>
              <m:sty m:val="p"/>
            </m:rPr>
            <w:rPr>
              <w:rFonts w:ascii="Cambria Math" w:hAnsi="Cambria Math" w:cs="Segoe UI"/>
              <w:sz w:val="24"/>
              <w:szCs w:val="24"/>
            </w:rPr>
            <m:t>)</m:t>
          </m:r>
        </m:oMath>
      </m:oMathPara>
    </w:p>
    <w:p w14:paraId="1BCEFFD1" w14:textId="77777777" w:rsidR="00751C55" w:rsidRPr="00D13704" w:rsidRDefault="00751C55" w:rsidP="00EB390A">
      <w:pPr>
        <w:rPr>
          <w:rFonts w:cs="Segoe UI"/>
        </w:rPr>
      </w:pPr>
      <w:r w:rsidRPr="00D13704">
        <w:rPr>
          <w:rFonts w:cs="Segoe UI"/>
        </w:rPr>
        <w:t>Where:</w:t>
      </w:r>
    </w:p>
    <w:p w14:paraId="6F38BF67" w14:textId="6D3AEF4F" w:rsidR="00751C55" w:rsidRPr="00D13704" w:rsidRDefault="00751C55" w:rsidP="00EB390A">
      <w:pPr>
        <w:rPr>
          <w:rFonts w:cs="Segoe UI"/>
        </w:rPr>
      </w:pPr>
      <w:r w:rsidRPr="00C40AF4">
        <w:rPr>
          <w:rFonts w:cs="Segoe UI"/>
          <w:b/>
          <w:bCs/>
        </w:rPr>
        <w:t>Non-eligible assets</w:t>
      </w:r>
      <w:r w:rsidRPr="00D13704">
        <w:rPr>
          <w:rFonts w:cs="Segoe UI"/>
        </w:rPr>
        <w:t xml:space="preserve"> </w:t>
      </w:r>
      <w:proofErr w:type="gramStart"/>
      <w:r>
        <w:rPr>
          <w:rFonts w:cs="Segoe UI"/>
        </w:rPr>
        <w:t>is</w:t>
      </w:r>
      <w:proofErr w:type="gramEnd"/>
      <w:r w:rsidRPr="00D13704">
        <w:rPr>
          <w:rFonts w:cs="Segoe UI"/>
        </w:rPr>
        <w:t xml:space="preserve"> the total market value of a </w:t>
      </w:r>
      <w:r w:rsidR="002714B5">
        <w:rPr>
          <w:rFonts w:cs="Segoe UI"/>
        </w:rPr>
        <w:t>person</w:t>
      </w:r>
      <w:r w:rsidRPr="00D13704">
        <w:rPr>
          <w:rFonts w:cs="Segoe UI"/>
        </w:rPr>
        <w:t xml:space="preserve">’s foreign currency assets excluding eligible assets, </w:t>
      </w:r>
      <w:r>
        <w:rPr>
          <w:rFonts w:cs="Segoe UI"/>
        </w:rPr>
        <w:t>certain</w:t>
      </w:r>
      <w:r w:rsidRPr="00D13704">
        <w:rPr>
          <w:rFonts w:cs="Segoe UI"/>
        </w:rPr>
        <w:t xml:space="preserve"> cash assets, eligible hedges and certain New Zealand securities denominated in a foreign currency.</w:t>
      </w:r>
    </w:p>
    <w:p w14:paraId="6F13C162" w14:textId="08FB89D6" w:rsidR="00751C55" w:rsidRPr="00D13704" w:rsidRDefault="00751C55" w:rsidP="00EB390A">
      <w:pPr>
        <w:rPr>
          <w:rFonts w:cs="Segoe UI"/>
        </w:rPr>
      </w:pPr>
      <w:r w:rsidRPr="002E44EB">
        <w:rPr>
          <w:rFonts w:cs="Segoe UI"/>
          <w:b/>
          <w:bCs/>
        </w:rPr>
        <w:t>Portfolio hedges amount</w:t>
      </w:r>
      <w:r w:rsidRPr="00D13704">
        <w:rPr>
          <w:rFonts w:cs="Segoe UI"/>
        </w:rPr>
        <w:t xml:space="preserve"> </w:t>
      </w:r>
      <w:r>
        <w:rPr>
          <w:rFonts w:cs="Segoe UI"/>
        </w:rPr>
        <w:t>is</w:t>
      </w:r>
      <w:r w:rsidRPr="00D13704">
        <w:rPr>
          <w:rFonts w:cs="Segoe UI"/>
        </w:rPr>
        <w:t xml:space="preserve"> the total amount of foreign currency that is hedged by a </w:t>
      </w:r>
      <w:r w:rsidR="002714B5">
        <w:rPr>
          <w:rFonts w:cs="Segoe UI"/>
        </w:rPr>
        <w:t>person</w:t>
      </w:r>
      <w:r w:rsidRPr="00D13704">
        <w:rPr>
          <w:rFonts w:cs="Segoe UI"/>
        </w:rPr>
        <w:t>’s hedges.</w:t>
      </w:r>
    </w:p>
    <w:p w14:paraId="63EECD40" w14:textId="77777777" w:rsidR="00751C55" w:rsidRDefault="00751C55" w:rsidP="00EB390A">
      <w:pPr>
        <w:rPr>
          <w:rFonts w:cs="Segoe UI"/>
        </w:rPr>
      </w:pPr>
      <w:r w:rsidRPr="00D13704">
        <w:rPr>
          <w:rFonts w:cs="Segoe UI"/>
        </w:rPr>
        <w:t xml:space="preserve">The second formula </w:t>
      </w:r>
      <w:r>
        <w:rPr>
          <w:rFonts w:cs="Segoe UI"/>
        </w:rPr>
        <w:t>is</w:t>
      </w:r>
      <w:r w:rsidRPr="00D13704">
        <w:rPr>
          <w:rFonts w:cs="Segoe UI"/>
        </w:rPr>
        <w:t>:</w:t>
      </w:r>
    </w:p>
    <w:p w14:paraId="410013C0" w14:textId="2A0E935F" w:rsidR="000F46EF" w:rsidRPr="00C232C3" w:rsidRDefault="004133EA" w:rsidP="00D0134C">
      <w:pPr>
        <w:jc w:val="both"/>
        <w:rPr>
          <w:rFonts w:cs="Segoe UI"/>
          <w:sz w:val="24"/>
          <w:szCs w:val="24"/>
        </w:rPr>
      </w:pPr>
      <m:oMathPara>
        <m:oMath>
          <m:f>
            <m:fPr>
              <m:ctrlPr>
                <w:rPr>
                  <w:rFonts w:ascii="Cambria Math" w:hAnsi="Cambria Math" w:cs="Segoe UI"/>
                  <w:sz w:val="24"/>
                  <w:szCs w:val="24"/>
                </w:rPr>
              </m:ctrlPr>
            </m:fPr>
            <m:num>
              <m:r>
                <m:rPr>
                  <m:sty m:val="p"/>
                </m:rPr>
                <w:rPr>
                  <w:rFonts w:ascii="Cambria Math" w:hAnsi="Cambria Math" w:cs="Segoe UI"/>
                  <w:sz w:val="24"/>
                  <w:szCs w:val="24"/>
                </w:rPr>
                <m:t xml:space="preserve">(1.05 x eligible assets) </m:t>
              </m:r>
            </m:num>
            <m:den>
              <m:r>
                <m:rPr>
                  <m:sty m:val="p"/>
                </m:rPr>
                <w:rPr>
                  <w:rFonts w:ascii="Cambria Math" w:hAnsi="Cambria Math" w:cs="Segoe UI"/>
                  <w:sz w:val="24"/>
                  <w:szCs w:val="24"/>
                </w:rPr>
                <m:t>portfolio hedges amount</m:t>
              </m:r>
            </m:den>
          </m:f>
        </m:oMath>
      </m:oMathPara>
    </w:p>
    <w:p w14:paraId="02E2CBD6" w14:textId="77777777" w:rsidR="00751C55" w:rsidRPr="00D13704" w:rsidRDefault="00751C55" w:rsidP="00EB390A">
      <w:pPr>
        <w:rPr>
          <w:rFonts w:cs="Segoe UI"/>
        </w:rPr>
      </w:pPr>
      <w:r w:rsidRPr="00D13704">
        <w:rPr>
          <w:rFonts w:cs="Segoe UI"/>
        </w:rPr>
        <w:t>Where:</w:t>
      </w:r>
    </w:p>
    <w:p w14:paraId="51B276BB" w14:textId="187F54EA" w:rsidR="00751C55" w:rsidRPr="00D13704" w:rsidRDefault="00751C55" w:rsidP="00EB390A">
      <w:pPr>
        <w:rPr>
          <w:rFonts w:cs="Segoe UI"/>
        </w:rPr>
      </w:pPr>
      <w:r w:rsidRPr="00166698">
        <w:rPr>
          <w:rFonts w:cs="Segoe UI"/>
          <w:b/>
          <w:bCs/>
        </w:rPr>
        <w:t>Eligible assets</w:t>
      </w:r>
      <w:r w:rsidRPr="00D13704">
        <w:rPr>
          <w:rFonts w:cs="Segoe UI"/>
        </w:rPr>
        <w:t xml:space="preserve"> </w:t>
      </w:r>
      <w:proofErr w:type="gramStart"/>
      <w:r w:rsidRPr="0085481C">
        <w:rPr>
          <w:rFonts w:cs="Segoe UI"/>
        </w:rPr>
        <w:t>is</w:t>
      </w:r>
      <w:proofErr w:type="gramEnd"/>
      <w:r w:rsidRPr="0085481C">
        <w:rPr>
          <w:rFonts w:cs="Segoe UI"/>
        </w:rPr>
        <w:t xml:space="preserve"> the total market value of a </w:t>
      </w:r>
      <w:r w:rsidR="00CE68CC">
        <w:rPr>
          <w:rFonts w:cs="Segoe UI"/>
        </w:rPr>
        <w:t>person</w:t>
      </w:r>
      <w:r w:rsidRPr="0085481C">
        <w:rPr>
          <w:rFonts w:cs="Segoe UI"/>
        </w:rPr>
        <w:t xml:space="preserve">’s eligible assets owned directly and, if the </w:t>
      </w:r>
      <w:r w:rsidR="00FF3E41">
        <w:rPr>
          <w:rFonts w:cs="Segoe UI"/>
        </w:rPr>
        <w:t>person</w:t>
      </w:r>
      <w:r w:rsidRPr="0085481C">
        <w:rPr>
          <w:rFonts w:cs="Segoe UI"/>
        </w:rPr>
        <w:t xml:space="preserve"> </w:t>
      </w:r>
      <w:r>
        <w:rPr>
          <w:rFonts w:cs="Segoe UI"/>
        </w:rPr>
        <w:t xml:space="preserve">chooses and is an </w:t>
      </w:r>
      <w:r w:rsidRPr="00B81976">
        <w:rPr>
          <w:rFonts w:cs="Segoe UI"/>
        </w:rPr>
        <w:t>investor in a multi-rate PIE</w:t>
      </w:r>
      <w:r>
        <w:rPr>
          <w:rFonts w:cs="Segoe UI"/>
        </w:rPr>
        <w:t xml:space="preserve"> (</w:t>
      </w:r>
      <w:r w:rsidRPr="00B81976">
        <w:rPr>
          <w:rFonts w:cs="Segoe UI"/>
        </w:rPr>
        <w:t>either directly or indirectly through one or more multi</w:t>
      </w:r>
      <w:r>
        <w:rPr>
          <w:rFonts w:cs="Segoe UI"/>
        </w:rPr>
        <w:t>-</w:t>
      </w:r>
      <w:r w:rsidRPr="00B81976">
        <w:rPr>
          <w:rFonts w:cs="Segoe UI"/>
        </w:rPr>
        <w:t>rate PIEs</w:t>
      </w:r>
      <w:r>
        <w:rPr>
          <w:rFonts w:cs="Segoe UI"/>
        </w:rPr>
        <w:t>)</w:t>
      </w:r>
      <w:r w:rsidRPr="0085481C">
        <w:rPr>
          <w:rFonts w:cs="Segoe UI"/>
        </w:rPr>
        <w:t xml:space="preserve">, their interest in the eligible assets that are owned by </w:t>
      </w:r>
      <w:r>
        <w:rPr>
          <w:rFonts w:cs="Segoe UI"/>
        </w:rPr>
        <w:t xml:space="preserve">the </w:t>
      </w:r>
      <w:r w:rsidRPr="0085481C">
        <w:rPr>
          <w:rFonts w:cs="Segoe UI"/>
        </w:rPr>
        <w:t>multi-rate PIE.</w:t>
      </w:r>
    </w:p>
    <w:p w14:paraId="4681C14C" w14:textId="2F65EB4B" w:rsidR="00751C55" w:rsidRDefault="00751C55" w:rsidP="00EB390A">
      <w:pPr>
        <w:rPr>
          <w:rFonts w:cs="Segoe UI"/>
        </w:rPr>
      </w:pPr>
      <w:r w:rsidRPr="00B5176E">
        <w:rPr>
          <w:rFonts w:cs="Segoe UI"/>
          <w:b/>
          <w:bCs/>
        </w:rPr>
        <w:t>Portfolio hedges amount</w:t>
      </w:r>
      <w:r w:rsidRPr="00D13704">
        <w:rPr>
          <w:rFonts w:cs="Segoe UI"/>
        </w:rPr>
        <w:t xml:space="preserve"> </w:t>
      </w:r>
      <w:r w:rsidR="00D53111">
        <w:rPr>
          <w:rFonts w:cs="Segoe UI"/>
        </w:rPr>
        <w:t>is as above</w:t>
      </w:r>
      <w:r w:rsidRPr="00D13704">
        <w:rPr>
          <w:rFonts w:cs="Segoe UI"/>
        </w:rPr>
        <w:t>.</w:t>
      </w:r>
    </w:p>
    <w:tbl>
      <w:tblPr>
        <w:tblStyle w:val="IR-Table-ParagraphHighlightStyle2"/>
        <w:tblW w:w="0" w:type="auto"/>
        <w:tblLook w:val="04A0" w:firstRow="1" w:lastRow="0" w:firstColumn="1" w:lastColumn="0" w:noHBand="0" w:noVBand="1"/>
      </w:tblPr>
      <w:tblGrid>
        <w:gridCol w:w="9016"/>
      </w:tblGrid>
      <w:tr w:rsidR="00D85DDF" w14:paraId="7B009AD4" w14:textId="77777777" w:rsidTr="0000367E">
        <w:tc>
          <w:tcPr>
            <w:tcW w:w="9016" w:type="dxa"/>
          </w:tcPr>
          <w:p w14:paraId="36FB07CE" w14:textId="32E1A7FC" w:rsidR="00D85DDF" w:rsidRDefault="00D85DDF" w:rsidP="00EB390A">
            <w:pPr>
              <w:rPr>
                <w:b/>
                <w:bCs/>
              </w:rPr>
            </w:pPr>
            <w:r w:rsidRPr="00830D2F">
              <w:rPr>
                <w:b/>
                <w:bCs/>
              </w:rPr>
              <w:t xml:space="preserve">Example </w:t>
            </w:r>
            <w:r w:rsidR="00C5695A">
              <w:rPr>
                <w:b/>
                <w:bCs/>
              </w:rPr>
              <w:t>8</w:t>
            </w:r>
            <w:r w:rsidR="00CA0812">
              <w:rPr>
                <w:b/>
                <w:bCs/>
              </w:rPr>
              <w:t>: The portfolio method</w:t>
            </w:r>
          </w:p>
          <w:p w14:paraId="604FB1B4" w14:textId="7A2CBA08" w:rsidR="00C5695A" w:rsidRPr="00675708" w:rsidRDefault="00C5695A" w:rsidP="001D0177">
            <w:r>
              <w:t xml:space="preserve">Gekko </w:t>
            </w:r>
            <w:r w:rsidR="00675708" w:rsidRPr="00C232C3">
              <w:t>&amp; Co</w:t>
            </w:r>
            <w:r w:rsidR="00675708" w:rsidRPr="001837E5">
              <w:t xml:space="preserve"> </w:t>
            </w:r>
            <w:r w:rsidR="00675708" w:rsidRPr="00C232C3">
              <w:t>F</w:t>
            </w:r>
            <w:r w:rsidRPr="00EB180B">
              <w:t>und</w:t>
            </w:r>
            <w:r>
              <w:t xml:space="preserve"> (Gekko)</w:t>
            </w:r>
            <w:r w:rsidRPr="00675708">
              <w:t xml:space="preserve"> is a daily unit valuer who elects to use the portfolio method and chooses a periodic basis of one month.</w:t>
            </w:r>
          </w:p>
          <w:p w14:paraId="6C612BD7" w14:textId="41E5BD23" w:rsidR="00C5695A" w:rsidRPr="00C5695A" w:rsidRDefault="00C5695A" w:rsidP="001D0177">
            <w:r w:rsidRPr="00C5695A">
              <w:t>At the beginning of 1 September 202</w:t>
            </w:r>
            <w:r w:rsidR="00F174A1">
              <w:t>3</w:t>
            </w:r>
            <w:r w:rsidRPr="00C5695A">
              <w:t>,</w:t>
            </w:r>
            <w:r w:rsidR="00C3676B">
              <w:rPr>
                <w:rStyle w:val="FootnoteReference"/>
                <w:rFonts w:cs="Segoe UI"/>
              </w:rPr>
              <w:footnoteReference w:id="5"/>
            </w:r>
            <w:r w:rsidRPr="00C5695A">
              <w:t xml:space="preserve"> </w:t>
            </w:r>
            <w:r w:rsidRPr="00C5695A">
              <w:rPr>
                <w:iCs/>
              </w:rPr>
              <w:t>Gekko</w:t>
            </w:r>
            <w:r w:rsidRPr="00C5695A">
              <w:t xml:space="preserve"> holds:</w:t>
            </w:r>
          </w:p>
          <w:p w14:paraId="66DBD50F" w14:textId="7B4A1A4F" w:rsidR="00C5695A" w:rsidRPr="00C5695A" w:rsidRDefault="00561396" w:rsidP="00BA2EFD">
            <w:pPr>
              <w:pStyle w:val="Bullets"/>
            </w:pPr>
            <w:r>
              <w:t>UK</w:t>
            </w:r>
            <w:r w:rsidR="00C5695A" w:rsidRPr="00C5695A">
              <w:t>£25,000 of shares in UK-based companies (eligible assets, worth NZ$50,000)</w:t>
            </w:r>
          </w:p>
          <w:p w14:paraId="1A898754" w14:textId="73228033" w:rsidR="00C5695A" w:rsidRPr="00C5695A" w:rsidRDefault="00561396" w:rsidP="00BA2EFD">
            <w:pPr>
              <w:pStyle w:val="Bullets"/>
            </w:pPr>
            <w:r>
              <w:t>UK</w:t>
            </w:r>
            <w:r w:rsidR="00C5695A" w:rsidRPr="00C5695A">
              <w:t>£10,000 of UK bonds (non-eligible assets, worth NZ$20,000)</w:t>
            </w:r>
          </w:p>
          <w:p w14:paraId="2919640E" w14:textId="77777777" w:rsidR="00C5695A" w:rsidRPr="00C5695A" w:rsidRDefault="00C5695A" w:rsidP="00BA2EFD">
            <w:pPr>
              <w:pStyle w:val="Bullets"/>
            </w:pPr>
            <w:r w:rsidRPr="00C5695A">
              <w:t>Hedges of GBP to NZD with a foreign amount hedged of UK£30,000 (equivalent to NZ$60,000).</w:t>
            </w:r>
          </w:p>
          <w:p w14:paraId="4E202BF3" w14:textId="4F3DCCFE" w:rsidR="00C5695A" w:rsidRPr="00C5695A" w:rsidRDefault="00C5695A" w:rsidP="00EC487B">
            <w:r w:rsidRPr="00C5695A">
              <w:rPr>
                <w:iCs/>
              </w:rPr>
              <w:lastRenderedPageBreak/>
              <w:t>Gekko’</w:t>
            </w:r>
            <w:r w:rsidRPr="00C5695A">
              <w:rPr>
                <w:i/>
              </w:rPr>
              <w:t xml:space="preserve">s </w:t>
            </w:r>
            <w:r w:rsidRPr="00C5695A">
              <w:t>FDR hedge portion for September 202</w:t>
            </w:r>
            <w:r w:rsidR="00F174A1">
              <w:t>3</w:t>
            </w:r>
            <w:r w:rsidRPr="00C5695A">
              <w:t xml:space="preserve"> is </w:t>
            </w:r>
            <w:r w:rsidR="00EC487B">
              <w:t xml:space="preserve">the lower of the amounts </w:t>
            </w:r>
            <w:r w:rsidRPr="00C5695A">
              <w:t xml:space="preserve">calculated </w:t>
            </w:r>
            <w:r w:rsidR="00C5497C">
              <w:t>under the</w:t>
            </w:r>
            <w:r w:rsidRPr="00C5695A">
              <w:t xml:space="preserve"> follow</w:t>
            </w:r>
            <w:r w:rsidR="00C5497C">
              <w:t>ing two formula</w:t>
            </w:r>
            <w:r w:rsidR="00730835">
              <w:t>e</w:t>
            </w:r>
            <w:r w:rsidRPr="00C5695A">
              <w:t>:</w:t>
            </w:r>
          </w:p>
          <w:p w14:paraId="4342F254" w14:textId="1D005601" w:rsidR="00C5695A" w:rsidRPr="00C5695A" w:rsidRDefault="00C5695A" w:rsidP="00EB390A">
            <w:pPr>
              <w:pStyle w:val="Example-ListBullet1"/>
              <w:numPr>
                <w:ilvl w:val="0"/>
                <w:numId w:val="0"/>
              </w:numPr>
              <w:spacing w:before="160" w:after="160"/>
              <w:ind w:left="284" w:hanging="284"/>
              <w:jc w:val="left"/>
              <w:rPr>
                <w:rFonts w:ascii="Segoe UI" w:hAnsi="Segoe UI" w:cs="Segoe UI"/>
                <w:iCs/>
                <w:sz w:val="22"/>
                <w:szCs w:val="22"/>
              </w:rPr>
            </w:pPr>
            <w:r w:rsidRPr="00C5695A">
              <w:rPr>
                <w:rFonts w:ascii="Segoe UI" w:hAnsi="Segoe UI" w:cs="Segoe UI"/>
                <w:sz w:val="22"/>
                <w:szCs w:val="22"/>
              </w:rPr>
              <w:tab/>
            </w:r>
            <w:r w:rsidRPr="00C5695A">
              <w:rPr>
                <w:rFonts w:ascii="Segoe UI" w:hAnsi="Segoe UI" w:cs="Segoe UI"/>
                <w:i/>
                <w:iCs/>
                <w:sz w:val="22"/>
                <w:szCs w:val="22"/>
              </w:rPr>
              <w:t>First formula</w:t>
            </w:r>
            <w:r w:rsidRPr="00C5695A">
              <w:rPr>
                <w:rFonts w:ascii="Segoe UI" w:hAnsi="Segoe UI" w:cs="Segoe UI"/>
                <w:sz w:val="22"/>
                <w:szCs w:val="22"/>
              </w:rPr>
              <w:t xml:space="preserve"> </w:t>
            </w:r>
            <w:r w:rsidRPr="00C5695A">
              <w:rPr>
                <w:rFonts w:ascii="Segoe UI" w:hAnsi="Segoe UI" w:cs="Segoe UI"/>
                <w:sz w:val="22"/>
                <w:szCs w:val="22"/>
              </w:rPr>
              <w:tab/>
            </w:r>
            <w:r w:rsidRPr="00C5695A">
              <w:rPr>
                <w:rFonts w:ascii="Segoe UI" w:hAnsi="Segoe UI" w:cs="Segoe UI"/>
                <w:sz w:val="22"/>
                <w:szCs w:val="22"/>
              </w:rPr>
              <w:tab/>
            </w:r>
            <w:r w:rsidRPr="00C5695A">
              <w:rPr>
                <w:rFonts w:ascii="Segoe UI" w:hAnsi="Segoe UI" w:cs="Segoe UI"/>
                <w:sz w:val="22"/>
                <w:szCs w:val="22"/>
              </w:rPr>
              <w:tab/>
            </w:r>
            <w:r w:rsidRPr="00C5695A">
              <w:rPr>
                <w:rFonts w:ascii="Segoe UI" w:hAnsi="Segoe UI" w:cs="Segoe UI"/>
                <w:sz w:val="22"/>
                <w:szCs w:val="22"/>
              </w:rPr>
              <w:tab/>
              <w:t>1 −</w:t>
            </w:r>
            <w:r w:rsidR="00375B41">
              <w:rPr>
                <w:rFonts w:ascii="Segoe UI" w:hAnsi="Segoe UI" w:cs="Segoe UI"/>
                <w:sz w:val="22"/>
                <w:szCs w:val="22"/>
              </w:rPr>
              <w:t xml:space="preserve"> </w:t>
            </w:r>
            <m:oMath>
              <m:f>
                <m:fPr>
                  <m:ctrlPr>
                    <w:rPr>
                      <w:rFonts w:ascii="Cambria Math" w:hAnsi="Cambria Math" w:cs="Segoe UI"/>
                      <w:iCs/>
                      <w:sz w:val="22"/>
                      <w:szCs w:val="22"/>
                    </w:rPr>
                  </m:ctrlPr>
                </m:fPr>
                <m:num>
                  <m:r>
                    <m:rPr>
                      <m:sty m:val="p"/>
                    </m:rPr>
                    <w:rPr>
                      <w:rFonts w:ascii="Cambria Math" w:hAnsi="Cambria Math" w:cs="Segoe UI"/>
                      <w:sz w:val="22"/>
                      <w:szCs w:val="22"/>
                    </w:rPr>
                    <m:t>NZ$20,000</m:t>
                  </m:r>
                </m:num>
                <m:den>
                  <m:r>
                    <m:rPr>
                      <m:sty m:val="p"/>
                    </m:rPr>
                    <w:rPr>
                      <w:rFonts w:ascii="Cambria Math" w:hAnsi="Cambria Math" w:cs="Segoe UI"/>
                      <w:sz w:val="22"/>
                      <w:szCs w:val="22"/>
                    </w:rPr>
                    <m:t>NZ$60,000</m:t>
                  </m:r>
                </m:den>
              </m:f>
            </m:oMath>
            <w:r w:rsidRPr="00C5695A">
              <w:rPr>
                <w:rFonts w:ascii="Segoe UI" w:hAnsi="Segoe UI" w:cs="Segoe UI"/>
                <w:iCs/>
                <w:sz w:val="22"/>
                <w:szCs w:val="22"/>
              </w:rPr>
              <w:t xml:space="preserve"> = 67%</w:t>
            </w:r>
          </w:p>
          <w:p w14:paraId="7A574D50" w14:textId="77777777" w:rsidR="00C5695A" w:rsidRPr="00C5695A" w:rsidRDefault="00C5695A" w:rsidP="00986F41">
            <w:pPr>
              <w:pStyle w:val="Example-ListBullet1"/>
              <w:numPr>
                <w:ilvl w:val="0"/>
                <w:numId w:val="0"/>
              </w:numPr>
              <w:spacing w:before="0" w:after="0"/>
              <w:ind w:left="284" w:hanging="284"/>
              <w:jc w:val="left"/>
              <w:rPr>
                <w:rFonts w:ascii="Segoe UI" w:hAnsi="Segoe UI" w:cs="Segoe UI"/>
                <w:sz w:val="22"/>
                <w:szCs w:val="22"/>
              </w:rPr>
            </w:pPr>
          </w:p>
          <w:p w14:paraId="023DFD3D" w14:textId="24F9A385" w:rsidR="00C5695A" w:rsidRPr="00C5695A" w:rsidRDefault="00C5695A" w:rsidP="00EB390A">
            <w:pPr>
              <w:pStyle w:val="Example-ListBullet1"/>
              <w:numPr>
                <w:ilvl w:val="0"/>
                <w:numId w:val="0"/>
              </w:numPr>
              <w:spacing w:before="160" w:after="160"/>
              <w:ind w:left="284" w:hanging="284"/>
              <w:jc w:val="left"/>
              <w:rPr>
                <w:rFonts w:ascii="Segoe UI" w:hAnsi="Segoe UI" w:cs="Segoe UI"/>
                <w:sz w:val="22"/>
                <w:szCs w:val="22"/>
              </w:rPr>
            </w:pPr>
            <w:r w:rsidRPr="00C5695A">
              <w:rPr>
                <w:rFonts w:ascii="Segoe UI" w:hAnsi="Segoe UI" w:cs="Segoe UI"/>
                <w:sz w:val="22"/>
                <w:szCs w:val="22"/>
              </w:rPr>
              <w:tab/>
            </w:r>
            <w:r w:rsidRPr="00C5695A">
              <w:rPr>
                <w:rFonts w:ascii="Segoe UI" w:hAnsi="Segoe UI" w:cs="Segoe UI"/>
                <w:i/>
                <w:iCs/>
                <w:sz w:val="22"/>
                <w:szCs w:val="22"/>
              </w:rPr>
              <w:t>Second formula</w:t>
            </w:r>
            <w:r w:rsidRPr="00C5695A">
              <w:rPr>
                <w:rFonts w:ascii="Segoe UI" w:hAnsi="Segoe UI" w:cs="Segoe UI"/>
                <w:sz w:val="22"/>
                <w:szCs w:val="22"/>
              </w:rPr>
              <w:t xml:space="preserve"> </w:t>
            </w:r>
            <w:r w:rsidRPr="00C5695A">
              <w:rPr>
                <w:rFonts w:ascii="Segoe UI" w:hAnsi="Segoe UI" w:cs="Segoe UI"/>
                <w:sz w:val="22"/>
                <w:szCs w:val="22"/>
              </w:rPr>
              <w:tab/>
            </w:r>
            <w:r w:rsidRPr="00C5695A">
              <w:rPr>
                <w:rFonts w:ascii="Segoe UI" w:hAnsi="Segoe UI" w:cs="Segoe UI"/>
                <w:sz w:val="22"/>
                <w:szCs w:val="22"/>
              </w:rPr>
              <w:tab/>
            </w:r>
            <w:r w:rsidRPr="00C5695A">
              <w:rPr>
                <w:rFonts w:ascii="Segoe UI" w:hAnsi="Segoe UI" w:cs="Segoe UI"/>
                <w:sz w:val="22"/>
                <w:szCs w:val="22"/>
              </w:rPr>
              <w:tab/>
            </w:r>
            <w:r w:rsidRPr="00C5695A">
              <w:rPr>
                <w:rFonts w:ascii="Segoe UI" w:hAnsi="Segoe UI" w:cs="Segoe UI"/>
                <w:sz w:val="22"/>
                <w:szCs w:val="22"/>
              </w:rPr>
              <w:tab/>
            </w:r>
            <m:oMath>
              <m:r>
                <w:rPr>
                  <w:rFonts w:ascii="Cambria Math" w:hAnsi="Cambria Math" w:cs="Segoe UI"/>
                  <w:sz w:val="22"/>
                  <w:szCs w:val="22"/>
                </w:rPr>
                <m:t xml:space="preserve"> </m:t>
              </m:r>
              <m:f>
                <m:fPr>
                  <m:ctrlPr>
                    <w:rPr>
                      <w:rFonts w:ascii="Cambria Math" w:hAnsi="Cambria Math" w:cs="Segoe UI"/>
                      <w:iCs/>
                      <w:sz w:val="22"/>
                      <w:szCs w:val="22"/>
                    </w:rPr>
                  </m:ctrlPr>
                </m:fPr>
                <m:num>
                  <m:d>
                    <m:dPr>
                      <m:ctrlPr>
                        <w:rPr>
                          <w:rFonts w:ascii="Cambria Math" w:hAnsi="Cambria Math" w:cs="Segoe UI"/>
                          <w:sz w:val="22"/>
                          <w:szCs w:val="22"/>
                        </w:rPr>
                      </m:ctrlPr>
                    </m:dPr>
                    <m:e>
                      <m:r>
                        <m:rPr>
                          <m:sty m:val="p"/>
                        </m:rPr>
                        <w:rPr>
                          <w:rFonts w:ascii="Cambria Math" w:hAnsi="Cambria Math" w:cs="Segoe UI"/>
                          <w:sz w:val="22"/>
                          <w:szCs w:val="22"/>
                        </w:rPr>
                        <m:t>1.05 x NZ$50,000</m:t>
                      </m:r>
                    </m:e>
                  </m:d>
                </m:num>
                <m:den>
                  <m:eqArr>
                    <m:eqArrPr>
                      <m:ctrlPr>
                        <w:rPr>
                          <w:rFonts w:ascii="Cambria Math" w:hAnsi="Cambria Math" w:cs="Segoe UI"/>
                          <w:sz w:val="22"/>
                          <w:szCs w:val="22"/>
                        </w:rPr>
                      </m:ctrlPr>
                    </m:eqArrPr>
                    <m:e>
                      <m:r>
                        <m:rPr>
                          <m:sty m:val="p"/>
                        </m:rPr>
                        <w:rPr>
                          <w:rFonts w:ascii="Cambria Math" w:hAnsi="Cambria Math" w:cs="Segoe UI"/>
                          <w:sz w:val="22"/>
                          <w:szCs w:val="22"/>
                        </w:rPr>
                        <m:t>NZ$60,000</m:t>
                      </m:r>
                    </m:e>
                    <m:e/>
                  </m:eqArr>
                </m:den>
              </m:f>
            </m:oMath>
            <w:r w:rsidRPr="00C5695A">
              <w:rPr>
                <w:rFonts w:ascii="Segoe UI" w:hAnsi="Segoe UI" w:cs="Segoe UI"/>
                <w:iCs/>
                <w:sz w:val="22"/>
                <w:szCs w:val="22"/>
              </w:rPr>
              <w:t xml:space="preserve"> = 8</w:t>
            </w:r>
            <w:r w:rsidR="00A07960">
              <w:rPr>
                <w:rFonts w:ascii="Segoe UI" w:hAnsi="Segoe UI" w:cs="Segoe UI"/>
                <w:iCs/>
                <w:sz w:val="22"/>
                <w:szCs w:val="22"/>
              </w:rPr>
              <w:t>7.5</w:t>
            </w:r>
            <w:r w:rsidRPr="00C5695A">
              <w:rPr>
                <w:rFonts w:ascii="Segoe UI" w:hAnsi="Segoe UI" w:cs="Segoe UI"/>
                <w:iCs/>
                <w:sz w:val="22"/>
                <w:szCs w:val="22"/>
              </w:rPr>
              <w:t>%</w:t>
            </w:r>
          </w:p>
          <w:p w14:paraId="1F28B45A" w14:textId="0BEE69EA" w:rsidR="00C5695A" w:rsidRPr="00C5695A" w:rsidRDefault="00C5695A" w:rsidP="001D0177">
            <w:pPr>
              <w:rPr>
                <w:lang w:eastAsia="en-NZ"/>
              </w:rPr>
            </w:pPr>
            <w:r w:rsidRPr="00C5695A">
              <w:rPr>
                <w:lang w:eastAsia="en-NZ"/>
              </w:rPr>
              <w:t xml:space="preserve">The FDR hedge portion for </w:t>
            </w:r>
            <w:r w:rsidRPr="00C5695A">
              <w:rPr>
                <w:iCs/>
                <w:lang w:eastAsia="en-NZ"/>
              </w:rPr>
              <w:t>Gekko’s</w:t>
            </w:r>
            <w:r w:rsidRPr="00C5695A">
              <w:rPr>
                <w:lang w:eastAsia="en-NZ"/>
              </w:rPr>
              <w:t xml:space="preserve"> hedges for September 202</w:t>
            </w:r>
            <w:r w:rsidR="00F174A1">
              <w:rPr>
                <w:lang w:eastAsia="en-NZ"/>
              </w:rPr>
              <w:t>3</w:t>
            </w:r>
            <w:r w:rsidRPr="00C5695A">
              <w:rPr>
                <w:lang w:eastAsia="en-NZ"/>
              </w:rPr>
              <w:t xml:space="preserve"> is </w:t>
            </w:r>
            <w:r w:rsidR="001E64E8">
              <w:rPr>
                <w:lang w:eastAsia="en-NZ"/>
              </w:rPr>
              <w:t xml:space="preserve">therefore </w:t>
            </w:r>
            <w:r w:rsidRPr="00C5695A">
              <w:rPr>
                <w:lang w:eastAsia="en-NZ"/>
              </w:rPr>
              <w:t xml:space="preserve">67%. This FDR hedge portion is applied to </w:t>
            </w:r>
            <w:r w:rsidRPr="00C5695A">
              <w:rPr>
                <w:rStyle w:val="Strong"/>
                <w:rFonts w:cs="Segoe UI"/>
              </w:rPr>
              <w:t>all</w:t>
            </w:r>
            <w:r w:rsidRPr="00C5695A">
              <w:rPr>
                <w:lang w:eastAsia="en-NZ"/>
              </w:rPr>
              <w:t xml:space="preserve"> hedges on hand at the start of the month</w:t>
            </w:r>
            <w:r w:rsidR="006D7225">
              <w:rPr>
                <w:lang w:eastAsia="en-NZ"/>
              </w:rPr>
              <w:t>.</w:t>
            </w:r>
            <w:r w:rsidRPr="00C5695A">
              <w:rPr>
                <w:lang w:eastAsia="en-NZ"/>
              </w:rPr>
              <w:t xml:space="preserve"> </w:t>
            </w:r>
            <w:r w:rsidR="00F64119">
              <w:rPr>
                <w:lang w:eastAsia="en-NZ"/>
              </w:rPr>
              <w:t>It als</w:t>
            </w:r>
            <w:r w:rsidR="003E0365">
              <w:rPr>
                <w:lang w:eastAsia="en-NZ"/>
              </w:rPr>
              <w:t xml:space="preserve">o </w:t>
            </w:r>
            <w:r w:rsidR="00BB103A">
              <w:rPr>
                <w:lang w:eastAsia="en-NZ"/>
              </w:rPr>
              <w:t xml:space="preserve">applies to </w:t>
            </w:r>
            <w:r w:rsidR="00524C09">
              <w:rPr>
                <w:lang w:eastAsia="en-NZ"/>
              </w:rPr>
              <w:t>any</w:t>
            </w:r>
            <w:r w:rsidRPr="00C5695A">
              <w:rPr>
                <w:lang w:eastAsia="en-NZ"/>
              </w:rPr>
              <w:t xml:space="preserve"> new hedges or hedges of hedges entered into within September 202</w:t>
            </w:r>
            <w:r w:rsidR="00F174A1">
              <w:rPr>
                <w:lang w:eastAsia="en-NZ"/>
              </w:rPr>
              <w:t>3</w:t>
            </w:r>
            <w:r w:rsidR="00524C09">
              <w:rPr>
                <w:lang w:eastAsia="en-NZ"/>
              </w:rPr>
              <w:t>,</w:t>
            </w:r>
            <w:r w:rsidRPr="00C5695A">
              <w:rPr>
                <w:lang w:eastAsia="en-NZ"/>
              </w:rPr>
              <w:t xml:space="preserve"> regardless of any changes in the holdings of eligible or non-eligible assets.</w:t>
            </w:r>
          </w:p>
          <w:p w14:paraId="779B9418" w14:textId="6B6F9583" w:rsidR="00C5695A" w:rsidRPr="00C5695A" w:rsidRDefault="00C5695A" w:rsidP="001D0177">
            <w:r w:rsidRPr="00C5695A">
              <w:t>At the beginning of 1 October 202</w:t>
            </w:r>
            <w:r w:rsidR="00F174A1">
              <w:t>3</w:t>
            </w:r>
            <w:r w:rsidRPr="00C5695A">
              <w:t xml:space="preserve">, </w:t>
            </w:r>
            <w:r w:rsidRPr="00C5695A">
              <w:rPr>
                <w:iCs/>
              </w:rPr>
              <w:t>Gekko</w:t>
            </w:r>
            <w:r w:rsidRPr="00C5695A">
              <w:t xml:space="preserve"> holds:</w:t>
            </w:r>
          </w:p>
          <w:p w14:paraId="268D64CA" w14:textId="77777777" w:rsidR="00C5695A" w:rsidRPr="00C5695A" w:rsidRDefault="00C5695A" w:rsidP="00BA2EFD">
            <w:pPr>
              <w:pStyle w:val="Bullets"/>
            </w:pPr>
            <w:r w:rsidRPr="00C5695A">
              <w:t>UK£15,000 of shares in UK-based companies (eligible assets, worth NZ$30,000)</w:t>
            </w:r>
          </w:p>
          <w:p w14:paraId="19606DD4" w14:textId="77777777" w:rsidR="00C5695A" w:rsidRPr="00C5695A" w:rsidRDefault="00C5695A" w:rsidP="00BA2EFD">
            <w:pPr>
              <w:pStyle w:val="Bullets"/>
            </w:pPr>
            <w:r w:rsidRPr="00C5695A">
              <w:t>UK£30,000 of UK bonds (non-eligible assets, worth NZ$60,000)</w:t>
            </w:r>
          </w:p>
          <w:p w14:paraId="23622CB1" w14:textId="5D8C285B" w:rsidR="00C5695A" w:rsidRPr="00C5695A" w:rsidRDefault="00C5695A" w:rsidP="00BA2EFD">
            <w:pPr>
              <w:pStyle w:val="Bullets"/>
            </w:pPr>
            <w:r w:rsidRPr="00C5695A">
              <w:t xml:space="preserve">Hedges of GBP to NZD with a foreign amount hedged of </w:t>
            </w:r>
            <w:r w:rsidR="00EC7ACB">
              <w:t>UK</w:t>
            </w:r>
            <w:r w:rsidRPr="00C5695A">
              <w:t>£40,000 (equivalent to NZ$80,000).</w:t>
            </w:r>
          </w:p>
          <w:p w14:paraId="08595181" w14:textId="5461DBB2" w:rsidR="00C5695A" w:rsidRPr="00C5695A" w:rsidRDefault="00C5695A" w:rsidP="001D0177">
            <w:r w:rsidRPr="00C5695A">
              <w:rPr>
                <w:iCs/>
              </w:rPr>
              <w:t>Gekko’s</w:t>
            </w:r>
            <w:r w:rsidRPr="00C5695A">
              <w:t xml:space="preserve"> FDR hedge portion at the start of October 202</w:t>
            </w:r>
            <w:r w:rsidR="00F174A1">
              <w:t>3</w:t>
            </w:r>
            <w:r w:rsidRPr="00C5695A">
              <w:t xml:space="preserve"> is calculated as </w:t>
            </w:r>
            <w:r w:rsidR="001D0177">
              <w:t xml:space="preserve">the lower of the </w:t>
            </w:r>
            <w:r w:rsidRPr="00C5695A">
              <w:t>follow</w:t>
            </w:r>
            <w:r w:rsidR="00945926">
              <w:t>ing</w:t>
            </w:r>
            <w:r w:rsidR="006C2BFE">
              <w:t xml:space="preserve"> two amounts</w:t>
            </w:r>
            <w:r w:rsidRPr="00C5695A">
              <w:t>:</w:t>
            </w:r>
          </w:p>
          <w:p w14:paraId="6598751D" w14:textId="05F4C31A" w:rsidR="00C5695A" w:rsidRPr="00C5695A" w:rsidRDefault="00C5695A" w:rsidP="00EB390A">
            <w:pPr>
              <w:pStyle w:val="Example-ListBullet1"/>
              <w:numPr>
                <w:ilvl w:val="0"/>
                <w:numId w:val="0"/>
              </w:numPr>
              <w:spacing w:before="160" w:after="160"/>
              <w:ind w:left="284" w:hanging="284"/>
              <w:jc w:val="left"/>
              <w:rPr>
                <w:rFonts w:ascii="Segoe UI" w:hAnsi="Segoe UI" w:cs="Segoe UI"/>
                <w:iCs/>
                <w:sz w:val="22"/>
                <w:szCs w:val="22"/>
              </w:rPr>
            </w:pPr>
            <w:r w:rsidRPr="00C5695A">
              <w:rPr>
                <w:rFonts w:ascii="Segoe UI" w:hAnsi="Segoe UI" w:cs="Segoe UI"/>
                <w:sz w:val="22"/>
                <w:szCs w:val="22"/>
              </w:rPr>
              <w:tab/>
            </w:r>
            <w:r w:rsidRPr="00C5695A">
              <w:rPr>
                <w:rFonts w:ascii="Segoe UI" w:hAnsi="Segoe UI" w:cs="Segoe UI"/>
                <w:i/>
                <w:iCs/>
                <w:sz w:val="22"/>
                <w:szCs w:val="22"/>
              </w:rPr>
              <w:t>First formula</w:t>
            </w:r>
            <w:r w:rsidRPr="00C5695A">
              <w:rPr>
                <w:rFonts w:ascii="Segoe UI" w:hAnsi="Segoe UI" w:cs="Segoe UI"/>
                <w:sz w:val="22"/>
                <w:szCs w:val="22"/>
              </w:rPr>
              <w:t xml:space="preserve"> </w:t>
            </w:r>
            <w:r w:rsidRPr="00C5695A">
              <w:rPr>
                <w:rFonts w:ascii="Segoe UI" w:hAnsi="Segoe UI" w:cs="Segoe UI"/>
                <w:sz w:val="22"/>
                <w:szCs w:val="22"/>
              </w:rPr>
              <w:tab/>
            </w:r>
            <w:r w:rsidRPr="00C5695A">
              <w:rPr>
                <w:rFonts w:ascii="Segoe UI" w:hAnsi="Segoe UI" w:cs="Segoe UI"/>
                <w:sz w:val="22"/>
                <w:szCs w:val="22"/>
              </w:rPr>
              <w:tab/>
            </w:r>
            <w:r w:rsidRPr="00C5695A">
              <w:rPr>
                <w:rFonts w:ascii="Segoe UI" w:hAnsi="Segoe UI" w:cs="Segoe UI"/>
                <w:sz w:val="22"/>
                <w:szCs w:val="22"/>
              </w:rPr>
              <w:tab/>
            </w:r>
            <w:r w:rsidRPr="00C5695A">
              <w:rPr>
                <w:rFonts w:ascii="Segoe UI" w:hAnsi="Segoe UI" w:cs="Segoe UI"/>
                <w:sz w:val="22"/>
                <w:szCs w:val="22"/>
              </w:rPr>
              <w:tab/>
              <w:t>1 –</w:t>
            </w:r>
            <w:r w:rsidR="00375B41">
              <w:rPr>
                <w:rFonts w:ascii="Segoe UI" w:hAnsi="Segoe UI" w:cs="Segoe UI"/>
                <w:sz w:val="22"/>
                <w:szCs w:val="22"/>
              </w:rPr>
              <w:t xml:space="preserve"> </w:t>
            </w:r>
            <m:oMath>
              <m:f>
                <m:fPr>
                  <m:ctrlPr>
                    <w:rPr>
                      <w:rFonts w:ascii="Cambria Math" w:hAnsi="Cambria Math" w:cs="Segoe UI"/>
                      <w:iCs/>
                      <w:sz w:val="22"/>
                      <w:szCs w:val="22"/>
                    </w:rPr>
                  </m:ctrlPr>
                </m:fPr>
                <m:num>
                  <m:r>
                    <m:rPr>
                      <m:sty m:val="p"/>
                    </m:rPr>
                    <w:rPr>
                      <w:rFonts w:ascii="Cambria Math" w:hAnsi="Cambria Math" w:cs="Segoe UI"/>
                      <w:sz w:val="22"/>
                      <w:szCs w:val="22"/>
                    </w:rPr>
                    <m:t>NZ$60,000</m:t>
                  </m:r>
                </m:num>
                <m:den>
                  <m:r>
                    <m:rPr>
                      <m:sty m:val="p"/>
                    </m:rPr>
                    <w:rPr>
                      <w:rFonts w:ascii="Cambria Math" w:hAnsi="Cambria Math" w:cs="Segoe UI"/>
                      <w:sz w:val="22"/>
                      <w:szCs w:val="22"/>
                    </w:rPr>
                    <m:t>NZ$80,000</m:t>
                  </m:r>
                </m:den>
              </m:f>
            </m:oMath>
            <w:r w:rsidRPr="00C5695A">
              <w:rPr>
                <w:rFonts w:ascii="Segoe UI" w:hAnsi="Segoe UI" w:cs="Segoe UI"/>
                <w:iCs/>
                <w:sz w:val="22"/>
                <w:szCs w:val="22"/>
              </w:rPr>
              <w:t xml:space="preserve"> = 25%</w:t>
            </w:r>
          </w:p>
          <w:p w14:paraId="24D1BCAB" w14:textId="77777777" w:rsidR="00C5695A" w:rsidRPr="00C5695A" w:rsidRDefault="00C5695A" w:rsidP="00986F41">
            <w:pPr>
              <w:pStyle w:val="Example-ListBullet1"/>
              <w:numPr>
                <w:ilvl w:val="0"/>
                <w:numId w:val="0"/>
              </w:numPr>
              <w:spacing w:before="0" w:after="0"/>
              <w:ind w:left="284" w:hanging="284"/>
              <w:jc w:val="left"/>
              <w:rPr>
                <w:rFonts w:ascii="Segoe UI" w:hAnsi="Segoe UI" w:cs="Segoe UI"/>
                <w:sz w:val="22"/>
                <w:szCs w:val="22"/>
              </w:rPr>
            </w:pPr>
          </w:p>
          <w:p w14:paraId="1D3FAB83" w14:textId="28689A03" w:rsidR="00C5695A" w:rsidRPr="00C5695A" w:rsidRDefault="00C5695A" w:rsidP="00EB390A">
            <w:pPr>
              <w:pStyle w:val="Example-ListBullet1"/>
              <w:numPr>
                <w:ilvl w:val="0"/>
                <w:numId w:val="0"/>
              </w:numPr>
              <w:spacing w:before="160" w:after="160"/>
              <w:ind w:left="284" w:hanging="284"/>
              <w:jc w:val="left"/>
              <w:rPr>
                <w:rFonts w:ascii="Segoe UI" w:hAnsi="Segoe UI" w:cs="Segoe UI"/>
                <w:sz w:val="22"/>
                <w:szCs w:val="22"/>
              </w:rPr>
            </w:pPr>
            <w:r w:rsidRPr="00C5695A">
              <w:rPr>
                <w:rFonts w:ascii="Segoe UI" w:hAnsi="Segoe UI" w:cs="Segoe UI"/>
                <w:sz w:val="22"/>
                <w:szCs w:val="22"/>
              </w:rPr>
              <w:tab/>
            </w:r>
            <w:r w:rsidRPr="00C5695A">
              <w:rPr>
                <w:rFonts w:ascii="Segoe UI" w:hAnsi="Segoe UI" w:cs="Segoe UI"/>
                <w:i/>
                <w:iCs/>
                <w:sz w:val="22"/>
                <w:szCs w:val="22"/>
              </w:rPr>
              <w:t>Second formula</w:t>
            </w:r>
            <w:r w:rsidRPr="00C5695A">
              <w:rPr>
                <w:rFonts w:ascii="Segoe UI" w:hAnsi="Segoe UI" w:cs="Segoe UI"/>
                <w:sz w:val="22"/>
                <w:szCs w:val="22"/>
              </w:rPr>
              <w:t xml:space="preserve"> </w:t>
            </w:r>
            <w:r w:rsidRPr="00C5695A">
              <w:rPr>
                <w:rFonts w:ascii="Segoe UI" w:hAnsi="Segoe UI" w:cs="Segoe UI"/>
                <w:sz w:val="22"/>
                <w:szCs w:val="22"/>
              </w:rPr>
              <w:tab/>
            </w:r>
            <w:r w:rsidRPr="00C5695A">
              <w:rPr>
                <w:rFonts w:ascii="Segoe UI" w:hAnsi="Segoe UI" w:cs="Segoe UI"/>
                <w:sz w:val="22"/>
                <w:szCs w:val="22"/>
              </w:rPr>
              <w:tab/>
            </w:r>
            <w:r w:rsidRPr="00C5695A">
              <w:rPr>
                <w:rFonts w:ascii="Segoe UI" w:hAnsi="Segoe UI" w:cs="Segoe UI"/>
                <w:sz w:val="22"/>
                <w:szCs w:val="22"/>
              </w:rPr>
              <w:tab/>
            </w:r>
            <w:r w:rsidRPr="00C5695A">
              <w:rPr>
                <w:rFonts w:ascii="Segoe UI" w:hAnsi="Segoe UI" w:cs="Segoe UI"/>
                <w:sz w:val="22"/>
                <w:szCs w:val="22"/>
              </w:rPr>
              <w:tab/>
            </w:r>
            <m:oMath>
              <m:r>
                <w:rPr>
                  <w:rFonts w:ascii="Cambria Math" w:hAnsi="Cambria Math" w:cs="Segoe UI"/>
                  <w:sz w:val="22"/>
                  <w:szCs w:val="22"/>
                </w:rPr>
                <m:t xml:space="preserve"> </m:t>
              </m:r>
              <m:f>
                <m:fPr>
                  <m:ctrlPr>
                    <w:rPr>
                      <w:rFonts w:ascii="Cambria Math" w:hAnsi="Cambria Math" w:cs="Segoe UI"/>
                      <w:iCs/>
                      <w:sz w:val="22"/>
                      <w:szCs w:val="22"/>
                    </w:rPr>
                  </m:ctrlPr>
                </m:fPr>
                <m:num>
                  <m:d>
                    <m:dPr>
                      <m:ctrlPr>
                        <w:rPr>
                          <w:rFonts w:ascii="Cambria Math" w:hAnsi="Cambria Math" w:cs="Segoe UI"/>
                          <w:sz w:val="22"/>
                          <w:szCs w:val="22"/>
                        </w:rPr>
                      </m:ctrlPr>
                    </m:dPr>
                    <m:e>
                      <m:r>
                        <m:rPr>
                          <m:sty m:val="p"/>
                        </m:rPr>
                        <w:rPr>
                          <w:rFonts w:ascii="Cambria Math" w:hAnsi="Cambria Math" w:cs="Segoe UI"/>
                          <w:sz w:val="22"/>
                          <w:szCs w:val="22"/>
                        </w:rPr>
                        <m:t>1.05 x NZ$30,000</m:t>
                      </m:r>
                    </m:e>
                  </m:d>
                </m:num>
                <m:den>
                  <m:eqArr>
                    <m:eqArrPr>
                      <m:ctrlPr>
                        <w:rPr>
                          <w:rFonts w:ascii="Cambria Math" w:hAnsi="Cambria Math" w:cs="Segoe UI"/>
                          <w:sz w:val="22"/>
                          <w:szCs w:val="22"/>
                        </w:rPr>
                      </m:ctrlPr>
                    </m:eqArrPr>
                    <m:e>
                      <m:r>
                        <m:rPr>
                          <m:sty m:val="p"/>
                        </m:rPr>
                        <w:rPr>
                          <w:rFonts w:ascii="Cambria Math" w:hAnsi="Cambria Math" w:cs="Segoe UI"/>
                          <w:sz w:val="22"/>
                          <w:szCs w:val="22"/>
                        </w:rPr>
                        <m:t>NZ$80,000</m:t>
                      </m:r>
                    </m:e>
                    <m:e/>
                  </m:eqArr>
                </m:den>
              </m:f>
            </m:oMath>
            <w:r w:rsidRPr="00C5695A">
              <w:rPr>
                <w:rFonts w:ascii="Segoe UI" w:hAnsi="Segoe UI" w:cs="Segoe UI"/>
                <w:iCs/>
                <w:sz w:val="22"/>
                <w:szCs w:val="22"/>
              </w:rPr>
              <w:t xml:space="preserve"> = 39</w:t>
            </w:r>
            <w:r w:rsidR="008667BC">
              <w:rPr>
                <w:rFonts w:ascii="Segoe UI" w:hAnsi="Segoe UI" w:cs="Segoe UI"/>
                <w:iCs/>
                <w:sz w:val="22"/>
                <w:szCs w:val="22"/>
              </w:rPr>
              <w:t>.375</w:t>
            </w:r>
            <w:r w:rsidRPr="00C5695A">
              <w:rPr>
                <w:rFonts w:ascii="Segoe UI" w:hAnsi="Segoe UI" w:cs="Segoe UI"/>
                <w:iCs/>
                <w:sz w:val="22"/>
                <w:szCs w:val="22"/>
              </w:rPr>
              <w:t>%</w:t>
            </w:r>
          </w:p>
          <w:p w14:paraId="2B7D24FC" w14:textId="712D00F7" w:rsidR="00D85DDF" w:rsidRPr="00830D2F" w:rsidRDefault="00C5695A" w:rsidP="00EB390A">
            <w:r w:rsidRPr="00C5695A">
              <w:rPr>
                <w:rFonts w:cs="Segoe UI"/>
                <w:lang w:eastAsia="en-NZ"/>
              </w:rPr>
              <w:t xml:space="preserve">The portfolio hedge portion for </w:t>
            </w:r>
            <w:r w:rsidRPr="00C5695A">
              <w:rPr>
                <w:rFonts w:cs="Segoe UI"/>
                <w:iCs/>
                <w:lang w:eastAsia="en-NZ"/>
              </w:rPr>
              <w:t>Gekko</w:t>
            </w:r>
            <w:r w:rsidRPr="00C5695A">
              <w:rPr>
                <w:rFonts w:cs="Segoe UI"/>
              </w:rPr>
              <w:t xml:space="preserve"> for October 202</w:t>
            </w:r>
            <w:r w:rsidR="00F174A1">
              <w:rPr>
                <w:rFonts w:cs="Segoe UI"/>
              </w:rPr>
              <w:t>3</w:t>
            </w:r>
            <w:r w:rsidRPr="00C5695A">
              <w:rPr>
                <w:rFonts w:cs="Segoe UI"/>
                <w:lang w:eastAsia="en-NZ"/>
              </w:rPr>
              <w:t xml:space="preserve"> is </w:t>
            </w:r>
            <w:r w:rsidR="00945926">
              <w:rPr>
                <w:rFonts w:cs="Segoe UI"/>
                <w:lang w:eastAsia="en-NZ"/>
              </w:rPr>
              <w:t xml:space="preserve">therefore </w:t>
            </w:r>
            <w:r w:rsidRPr="00C5695A">
              <w:rPr>
                <w:rFonts w:cs="Segoe UI"/>
                <w:lang w:eastAsia="en-NZ"/>
              </w:rPr>
              <w:t xml:space="preserve">25%. This portfolio FDR hedge portion is applied to </w:t>
            </w:r>
            <w:r w:rsidRPr="00C5695A">
              <w:rPr>
                <w:rStyle w:val="Strong"/>
                <w:rFonts w:cs="Segoe UI"/>
              </w:rPr>
              <w:t>all</w:t>
            </w:r>
            <w:r w:rsidRPr="00C5695A">
              <w:rPr>
                <w:rFonts w:cs="Segoe UI"/>
                <w:lang w:eastAsia="en-NZ"/>
              </w:rPr>
              <w:t xml:space="preserve"> hedges on hand at the start of the month</w:t>
            </w:r>
            <w:r w:rsidR="001F2012">
              <w:rPr>
                <w:rFonts w:cs="Segoe UI"/>
                <w:lang w:eastAsia="en-NZ"/>
              </w:rPr>
              <w:t>. It also applies to</w:t>
            </w:r>
            <w:r w:rsidR="00981EC6">
              <w:rPr>
                <w:rFonts w:cs="Segoe UI"/>
                <w:lang w:eastAsia="en-NZ"/>
              </w:rPr>
              <w:t xml:space="preserve"> any</w:t>
            </w:r>
            <w:r w:rsidRPr="00C5695A">
              <w:rPr>
                <w:rFonts w:cs="Segoe UI"/>
                <w:lang w:eastAsia="en-NZ"/>
              </w:rPr>
              <w:t xml:space="preserve"> new hedges or hedges of hedges entered into within </w:t>
            </w:r>
            <w:r w:rsidR="001F2012">
              <w:rPr>
                <w:rFonts w:cs="Segoe UI"/>
                <w:lang w:eastAsia="en-NZ"/>
              </w:rPr>
              <w:t>October 2023</w:t>
            </w:r>
            <w:r w:rsidR="00271B3F">
              <w:rPr>
                <w:rFonts w:cs="Segoe UI"/>
                <w:lang w:eastAsia="en-NZ"/>
              </w:rPr>
              <w:t>,</w:t>
            </w:r>
            <w:r w:rsidRPr="00C5695A">
              <w:rPr>
                <w:rFonts w:cs="Segoe UI"/>
                <w:lang w:eastAsia="en-NZ"/>
              </w:rPr>
              <w:t xml:space="preserve"> regardless of any changes in the holdings of eligible or non-eligible assets.</w:t>
            </w:r>
          </w:p>
        </w:tc>
      </w:tr>
    </w:tbl>
    <w:p w14:paraId="30047BB2" w14:textId="36F7A479" w:rsidR="00751C55" w:rsidRPr="00190D1A" w:rsidRDefault="00751C55" w:rsidP="00631ADB">
      <w:pPr>
        <w:pStyle w:val="NoNumberHeading3"/>
      </w:pPr>
      <w:r w:rsidRPr="00190D1A">
        <w:lastRenderedPageBreak/>
        <w:t>Transfer of eligible hedges (sections EM 3(1)(d), EM 4(2)</w:t>
      </w:r>
      <w:r w:rsidR="007B4794">
        <w:t>,</w:t>
      </w:r>
      <w:r w:rsidRPr="00190D1A">
        <w:t xml:space="preserve"> (3) and (5) and EM 5(3)</w:t>
      </w:r>
      <w:r w:rsidR="00695C1F">
        <w:t>,</w:t>
      </w:r>
      <w:r w:rsidRPr="00190D1A">
        <w:t xml:space="preserve"> (4) and (9))</w:t>
      </w:r>
    </w:p>
    <w:p w14:paraId="370A2AA4" w14:textId="556D7A97" w:rsidR="00751C55" w:rsidRPr="0045099B" w:rsidRDefault="00751C55" w:rsidP="00EB390A">
      <w:pPr>
        <w:rPr>
          <w:rFonts w:cs="Segoe UI"/>
        </w:rPr>
      </w:pPr>
      <w:r w:rsidRPr="0045099B">
        <w:rPr>
          <w:rFonts w:cs="Segoe UI"/>
        </w:rPr>
        <w:t xml:space="preserve">The FDR FX hedges rules </w:t>
      </w:r>
      <w:r>
        <w:rPr>
          <w:rFonts w:cs="Segoe UI"/>
        </w:rPr>
        <w:t xml:space="preserve">have been amended so that they can be applied </w:t>
      </w:r>
      <w:r w:rsidRPr="0045099B">
        <w:rPr>
          <w:rFonts w:cs="Segoe UI"/>
        </w:rPr>
        <w:t xml:space="preserve">to eligible hedges that are </w:t>
      </w:r>
      <w:r>
        <w:rPr>
          <w:rFonts w:cs="Segoe UI"/>
        </w:rPr>
        <w:t>acquired via a transfer</w:t>
      </w:r>
      <w:r w:rsidRPr="0045099B">
        <w:rPr>
          <w:rFonts w:cs="Segoe UI"/>
        </w:rPr>
        <w:t xml:space="preserve"> between funds or sub funds. </w:t>
      </w:r>
      <w:r w:rsidR="00DB7AF7">
        <w:rPr>
          <w:rFonts w:cs="Segoe UI"/>
        </w:rPr>
        <w:t>Before</w:t>
      </w:r>
      <w:r>
        <w:rPr>
          <w:rFonts w:cs="Segoe UI"/>
        </w:rPr>
        <w:t xml:space="preserve"> these amendments, it was not clear whether the rules could be applied in these circumstances </w:t>
      </w:r>
      <w:r w:rsidRPr="0045099B">
        <w:rPr>
          <w:rFonts w:cs="Segoe UI"/>
        </w:rPr>
        <w:t xml:space="preserve">because an eligible </w:t>
      </w:r>
      <w:r w:rsidRPr="0045099B">
        <w:rPr>
          <w:rFonts w:cs="Segoe UI"/>
        </w:rPr>
        <w:lastRenderedPageBreak/>
        <w:t xml:space="preserve">hedge </w:t>
      </w:r>
      <w:r>
        <w:rPr>
          <w:rFonts w:cs="Segoe UI"/>
        </w:rPr>
        <w:t>wa</w:t>
      </w:r>
      <w:r w:rsidRPr="0045099B">
        <w:rPr>
          <w:rFonts w:cs="Segoe UI"/>
        </w:rPr>
        <w:t xml:space="preserve">s required to have a fair value of zero when first entered into. </w:t>
      </w:r>
      <w:r>
        <w:rPr>
          <w:rFonts w:cs="Segoe UI"/>
        </w:rPr>
        <w:t>A</w:t>
      </w:r>
      <w:r w:rsidRPr="0045099B">
        <w:rPr>
          <w:rFonts w:cs="Segoe UI"/>
        </w:rPr>
        <w:t xml:space="preserve">n election to apply the rules </w:t>
      </w:r>
      <w:r>
        <w:rPr>
          <w:rFonts w:cs="Segoe UI"/>
        </w:rPr>
        <w:t>also had to</w:t>
      </w:r>
      <w:r w:rsidRPr="0045099B">
        <w:rPr>
          <w:rFonts w:cs="Segoe UI"/>
        </w:rPr>
        <w:t xml:space="preserve"> be made before a hedge </w:t>
      </w:r>
      <w:r>
        <w:rPr>
          <w:rFonts w:cs="Segoe UI"/>
        </w:rPr>
        <w:t>wa</w:t>
      </w:r>
      <w:r w:rsidRPr="0045099B">
        <w:rPr>
          <w:rFonts w:cs="Segoe UI"/>
        </w:rPr>
        <w:t xml:space="preserve">s first entered into, and FDR hedge portion calculations </w:t>
      </w:r>
      <w:r>
        <w:rPr>
          <w:rFonts w:cs="Segoe UI"/>
        </w:rPr>
        <w:t>had</w:t>
      </w:r>
      <w:r w:rsidRPr="0045099B">
        <w:rPr>
          <w:rFonts w:cs="Segoe UI"/>
        </w:rPr>
        <w:t xml:space="preserve"> </w:t>
      </w:r>
      <w:r>
        <w:rPr>
          <w:rFonts w:cs="Segoe UI"/>
        </w:rPr>
        <w:t xml:space="preserve">to </w:t>
      </w:r>
      <w:r w:rsidRPr="0045099B">
        <w:rPr>
          <w:rFonts w:cs="Segoe UI"/>
        </w:rPr>
        <w:t xml:space="preserve">be performed when a hedge </w:t>
      </w:r>
      <w:r>
        <w:rPr>
          <w:rFonts w:cs="Segoe UI"/>
        </w:rPr>
        <w:t>wa</w:t>
      </w:r>
      <w:r w:rsidRPr="0045099B">
        <w:rPr>
          <w:rFonts w:cs="Segoe UI"/>
        </w:rPr>
        <w:t>s first entered into.</w:t>
      </w:r>
    </w:p>
    <w:p w14:paraId="1C129A4A" w14:textId="4F44355B" w:rsidR="00751C55" w:rsidRDefault="00751C55" w:rsidP="00EB390A">
      <w:pPr>
        <w:rPr>
          <w:rFonts w:cs="Segoe UI"/>
        </w:rPr>
      </w:pPr>
      <w:r>
        <w:rPr>
          <w:rFonts w:cs="Segoe UI"/>
        </w:rPr>
        <w:t>T</w:t>
      </w:r>
      <w:r w:rsidRPr="0045099B">
        <w:rPr>
          <w:rFonts w:cs="Segoe UI"/>
        </w:rPr>
        <w:t>h</w:t>
      </w:r>
      <w:r>
        <w:rPr>
          <w:rFonts w:cs="Segoe UI"/>
        </w:rPr>
        <w:t>ese</w:t>
      </w:r>
      <w:r w:rsidRPr="0045099B">
        <w:rPr>
          <w:rFonts w:cs="Segoe UI"/>
        </w:rPr>
        <w:t xml:space="preserve"> issue</w:t>
      </w:r>
      <w:r>
        <w:rPr>
          <w:rFonts w:cs="Segoe UI"/>
        </w:rPr>
        <w:t>s</w:t>
      </w:r>
      <w:r w:rsidRPr="0045099B">
        <w:rPr>
          <w:rFonts w:cs="Segoe UI"/>
        </w:rPr>
        <w:t xml:space="preserve"> </w:t>
      </w:r>
      <w:r>
        <w:rPr>
          <w:rFonts w:cs="Segoe UI"/>
        </w:rPr>
        <w:t xml:space="preserve">have been addressed </w:t>
      </w:r>
      <w:r w:rsidRPr="0045099B">
        <w:rPr>
          <w:rFonts w:cs="Segoe UI"/>
        </w:rPr>
        <w:t xml:space="preserve">by amending the definition of an </w:t>
      </w:r>
      <w:r w:rsidR="007E6B42">
        <w:rPr>
          <w:rFonts w:cs="Segoe UI"/>
        </w:rPr>
        <w:t>“</w:t>
      </w:r>
      <w:r w:rsidRPr="0045099B">
        <w:rPr>
          <w:rFonts w:cs="Segoe UI"/>
        </w:rPr>
        <w:t>eligible hedge</w:t>
      </w:r>
      <w:r w:rsidR="007E6B42">
        <w:rPr>
          <w:rFonts w:cs="Segoe UI"/>
        </w:rPr>
        <w:t>”</w:t>
      </w:r>
      <w:r w:rsidRPr="0045099B">
        <w:rPr>
          <w:rFonts w:cs="Segoe UI"/>
        </w:rPr>
        <w:t xml:space="preserve"> to include a hedge that is entered into </w:t>
      </w:r>
      <w:r w:rsidRPr="0043596A">
        <w:rPr>
          <w:rFonts w:cs="Segoe UI"/>
          <w:i/>
          <w:iCs/>
        </w:rPr>
        <w:t>or acquired</w:t>
      </w:r>
      <w:r w:rsidRPr="0045099B">
        <w:rPr>
          <w:rFonts w:cs="Segoe UI"/>
        </w:rPr>
        <w:t xml:space="preserve"> at its fair value. </w:t>
      </w:r>
      <w:r>
        <w:rPr>
          <w:rFonts w:cs="Segoe UI"/>
        </w:rPr>
        <w:t>In addition, e</w:t>
      </w:r>
      <w:r w:rsidRPr="0045099B">
        <w:rPr>
          <w:rFonts w:cs="Segoe UI"/>
        </w:rPr>
        <w:t>lections for the rules to apply</w:t>
      </w:r>
      <w:r>
        <w:rPr>
          <w:rFonts w:cs="Segoe UI"/>
        </w:rPr>
        <w:t xml:space="preserve"> are</w:t>
      </w:r>
      <w:r w:rsidRPr="0045099B">
        <w:rPr>
          <w:rFonts w:cs="Segoe UI"/>
        </w:rPr>
        <w:t xml:space="preserve"> </w:t>
      </w:r>
      <w:r>
        <w:rPr>
          <w:rFonts w:cs="Segoe UI"/>
        </w:rPr>
        <w:t>now</w:t>
      </w:r>
      <w:r w:rsidRPr="0045099B">
        <w:rPr>
          <w:rFonts w:cs="Segoe UI"/>
        </w:rPr>
        <w:t xml:space="preserve"> allowed </w:t>
      </w:r>
      <w:r>
        <w:rPr>
          <w:rFonts w:cs="Segoe UI"/>
        </w:rPr>
        <w:t xml:space="preserve">to be made </w:t>
      </w:r>
      <w:r w:rsidRPr="0045099B">
        <w:rPr>
          <w:rFonts w:cs="Segoe UI"/>
        </w:rPr>
        <w:t xml:space="preserve">before a hedge is first entered into </w:t>
      </w:r>
      <w:r w:rsidRPr="00B40F93">
        <w:rPr>
          <w:rFonts w:cs="Segoe UI"/>
          <w:i/>
          <w:iCs/>
        </w:rPr>
        <w:t>or acquired</w:t>
      </w:r>
      <w:r>
        <w:rPr>
          <w:rFonts w:cs="Segoe UI"/>
        </w:rPr>
        <w:t>,</w:t>
      </w:r>
      <w:r w:rsidRPr="0045099B">
        <w:rPr>
          <w:rFonts w:cs="Segoe UI"/>
        </w:rPr>
        <w:t xml:space="preserve"> and FDR hedge portion calculations </w:t>
      </w:r>
      <w:r>
        <w:rPr>
          <w:rFonts w:cs="Segoe UI"/>
        </w:rPr>
        <w:t>can</w:t>
      </w:r>
      <w:r w:rsidRPr="0045099B">
        <w:rPr>
          <w:rFonts w:cs="Segoe UI"/>
        </w:rPr>
        <w:t xml:space="preserve"> be performed when an eligible hedge is first entered into </w:t>
      </w:r>
      <w:r w:rsidRPr="00B40F93">
        <w:rPr>
          <w:rFonts w:cs="Segoe UI"/>
          <w:i/>
          <w:iCs/>
        </w:rPr>
        <w:t>or acquired</w:t>
      </w:r>
      <w:r w:rsidRPr="0045099B">
        <w:rPr>
          <w:rFonts w:cs="Segoe UI"/>
        </w:rPr>
        <w:t>.</w:t>
      </w:r>
    </w:p>
    <w:p w14:paraId="10B5D204" w14:textId="096FC135" w:rsidR="00751C55" w:rsidRPr="00190D1A" w:rsidRDefault="00081276" w:rsidP="00631ADB">
      <w:pPr>
        <w:pStyle w:val="NoNumberHeading3"/>
      </w:pPr>
      <w:r>
        <w:t>Certain</w:t>
      </w:r>
      <w:r w:rsidR="00AB3D16">
        <w:t xml:space="preserve"> </w:t>
      </w:r>
      <w:r w:rsidR="00785E1A">
        <w:t>e</w:t>
      </w:r>
      <w:r w:rsidR="00751C55" w:rsidRPr="00190D1A">
        <w:t>ligible hedge</w:t>
      </w:r>
      <w:r w:rsidR="00A66806">
        <w:t>s</w:t>
      </w:r>
      <w:r w:rsidR="00751C55" w:rsidRPr="00190D1A">
        <w:t xml:space="preserve"> </w:t>
      </w:r>
      <w:r>
        <w:t>may</w:t>
      </w:r>
      <w:r w:rsidR="00785E1A">
        <w:t xml:space="preserve"> have no NZD leg</w:t>
      </w:r>
      <w:r w:rsidR="00751C55" w:rsidRPr="00190D1A">
        <w:t xml:space="preserve"> (section EM 3(2))</w:t>
      </w:r>
    </w:p>
    <w:p w14:paraId="2A46A1B8" w14:textId="1F53B2D2" w:rsidR="00751C55" w:rsidRPr="00062311" w:rsidRDefault="00751C55" w:rsidP="00EB390A">
      <w:pPr>
        <w:rPr>
          <w:rFonts w:cs="Segoe UI"/>
        </w:rPr>
      </w:pPr>
      <w:r>
        <w:rPr>
          <w:rFonts w:cs="Segoe UI"/>
        </w:rPr>
        <w:t>T</w:t>
      </w:r>
      <w:r w:rsidRPr="00062311">
        <w:rPr>
          <w:rFonts w:cs="Segoe UI"/>
        </w:rPr>
        <w:t xml:space="preserve">axpayers with large portfolios of hedges </w:t>
      </w:r>
      <w:r>
        <w:rPr>
          <w:rFonts w:cs="Segoe UI"/>
        </w:rPr>
        <w:t xml:space="preserve">often </w:t>
      </w:r>
      <w:r w:rsidRPr="00062311">
        <w:rPr>
          <w:rFonts w:cs="Segoe UI"/>
        </w:rPr>
        <w:t xml:space="preserve">rebalance their hedging of eligible assets denominated in two foreign currencies to NZD by hedging one foreign currency to the other – that is, </w:t>
      </w:r>
      <w:r>
        <w:rPr>
          <w:rFonts w:cs="Segoe UI"/>
        </w:rPr>
        <w:t xml:space="preserve">by </w:t>
      </w:r>
      <w:r w:rsidRPr="00062311">
        <w:rPr>
          <w:rFonts w:cs="Segoe UI"/>
        </w:rPr>
        <w:t xml:space="preserve">entering a hedge with no NZD leg. </w:t>
      </w:r>
      <w:r>
        <w:rPr>
          <w:rFonts w:cs="Segoe UI"/>
        </w:rPr>
        <w:t xml:space="preserve">The rules have been amended to </w:t>
      </w:r>
      <w:r w:rsidRPr="00062311">
        <w:rPr>
          <w:rFonts w:cs="Segoe UI"/>
        </w:rPr>
        <w:t>allow eligible hedges to have no NZD leg provided these hedges are entered into to adjust the hedging position of existing hedges on hand that have one leg in NZD.</w:t>
      </w:r>
    </w:p>
    <w:p w14:paraId="72B6E782" w14:textId="3D676775" w:rsidR="00751C55" w:rsidRDefault="00751C55" w:rsidP="00EB390A">
      <w:pPr>
        <w:rPr>
          <w:rFonts w:cs="Segoe UI"/>
        </w:rPr>
      </w:pPr>
      <w:r w:rsidRPr="00062311">
        <w:rPr>
          <w:rFonts w:cs="Segoe UI"/>
        </w:rPr>
        <w:t xml:space="preserve">This </w:t>
      </w:r>
      <w:r>
        <w:rPr>
          <w:rFonts w:cs="Segoe UI"/>
        </w:rPr>
        <w:t>change to the</w:t>
      </w:r>
      <w:r w:rsidRPr="00062311">
        <w:rPr>
          <w:rFonts w:cs="Segoe UI"/>
        </w:rPr>
        <w:t xml:space="preserve"> eligible hedge requirement</w:t>
      </w:r>
      <w:r>
        <w:rPr>
          <w:rFonts w:cs="Segoe UI"/>
        </w:rPr>
        <w:t>s</w:t>
      </w:r>
      <w:r w:rsidRPr="00062311">
        <w:rPr>
          <w:rFonts w:cs="Segoe UI"/>
        </w:rPr>
        <w:t xml:space="preserve"> only </w:t>
      </w:r>
      <w:r>
        <w:rPr>
          <w:rFonts w:cs="Segoe UI"/>
        </w:rPr>
        <w:t>applies</w:t>
      </w:r>
      <w:r w:rsidRPr="00062311">
        <w:rPr>
          <w:rFonts w:cs="Segoe UI"/>
        </w:rPr>
        <w:t xml:space="preserve"> to taxpayers </w:t>
      </w:r>
      <w:r>
        <w:rPr>
          <w:rFonts w:cs="Segoe UI"/>
        </w:rPr>
        <w:t>that use</w:t>
      </w:r>
      <w:r w:rsidRPr="00062311">
        <w:rPr>
          <w:rFonts w:cs="Segoe UI"/>
        </w:rPr>
        <w:t xml:space="preserve"> the second hedge-by-hedge method or the new portfolio method for calculating FDR hedge portions. </w:t>
      </w:r>
      <w:r>
        <w:rPr>
          <w:rFonts w:cs="Segoe UI"/>
        </w:rPr>
        <w:t>It does</w:t>
      </w:r>
      <w:r w:rsidRPr="00062311">
        <w:rPr>
          <w:rFonts w:cs="Segoe UI"/>
        </w:rPr>
        <w:t xml:space="preserve"> not apply when the first hedge-by-hedge method is used because amounts must be calculated in the calculation hedge’s foreign currency for th</w:t>
      </w:r>
      <w:r w:rsidR="009F416A">
        <w:rPr>
          <w:rFonts w:cs="Segoe UI"/>
        </w:rPr>
        <w:t>at</w:t>
      </w:r>
      <w:r w:rsidRPr="00062311">
        <w:rPr>
          <w:rFonts w:cs="Segoe UI"/>
        </w:rPr>
        <w:t xml:space="preserve"> </w:t>
      </w:r>
      <w:r>
        <w:rPr>
          <w:rFonts w:cs="Segoe UI"/>
        </w:rPr>
        <w:t>method</w:t>
      </w:r>
      <w:r w:rsidRPr="00062311">
        <w:rPr>
          <w:rFonts w:cs="Segoe UI"/>
        </w:rPr>
        <w:t>, rather than converted to NZD, and this is not practical where a hedge has two legs in a foreign currency.</w:t>
      </w:r>
    </w:p>
    <w:p w14:paraId="6DDC53FE" w14:textId="42F8C3E7" w:rsidR="00751C55" w:rsidRPr="00190D1A" w:rsidRDefault="00751C55" w:rsidP="00E3049D">
      <w:pPr>
        <w:pStyle w:val="NoNumberHeading3"/>
      </w:pPr>
      <w:r w:rsidRPr="00190D1A">
        <w:t>Optional look-through rule (sections EM 5(5)</w:t>
      </w:r>
      <w:r w:rsidR="00E3049D">
        <w:t xml:space="preserve"> and </w:t>
      </w:r>
      <w:r w:rsidRPr="00190D1A">
        <w:t>(10C)</w:t>
      </w:r>
      <w:r w:rsidR="00B10F46">
        <w:t xml:space="preserve">, </w:t>
      </w:r>
      <w:r w:rsidRPr="00190D1A">
        <w:t>EM</w:t>
      </w:r>
      <w:r w:rsidR="00E3049D">
        <w:t> </w:t>
      </w:r>
      <w:r w:rsidRPr="00190D1A">
        <w:t>5</w:t>
      </w:r>
      <w:proofErr w:type="gramStart"/>
      <w:r w:rsidRPr="00190D1A">
        <w:t>B(</w:t>
      </w:r>
      <w:proofErr w:type="gramEnd"/>
      <w:r w:rsidRPr="00190D1A">
        <w:t>7)</w:t>
      </w:r>
      <w:r w:rsidR="00B10F46">
        <w:t xml:space="preserve"> and EM</w:t>
      </w:r>
      <w:r w:rsidR="00E3049D">
        <w:t> </w:t>
      </w:r>
      <w:r w:rsidR="00B10F46">
        <w:t>8</w:t>
      </w:r>
      <w:r w:rsidR="00CD7FD7">
        <w:t>)</w:t>
      </w:r>
    </w:p>
    <w:p w14:paraId="388F3B86" w14:textId="77777777" w:rsidR="00751C55" w:rsidRPr="003236FE" w:rsidRDefault="00751C55" w:rsidP="00EB390A">
      <w:pPr>
        <w:rPr>
          <w:rFonts w:cs="Segoe UI"/>
        </w:rPr>
      </w:pPr>
      <w:r>
        <w:rPr>
          <w:rFonts w:cs="Segoe UI"/>
        </w:rPr>
        <w:t>An</w:t>
      </w:r>
      <w:r w:rsidRPr="003236FE">
        <w:rPr>
          <w:rFonts w:cs="Segoe UI"/>
        </w:rPr>
        <w:t xml:space="preserve"> optional look-through rule </w:t>
      </w:r>
      <w:r>
        <w:rPr>
          <w:rFonts w:cs="Segoe UI"/>
        </w:rPr>
        <w:t xml:space="preserve">has been introduced </w:t>
      </w:r>
      <w:r w:rsidRPr="003236FE">
        <w:rPr>
          <w:rFonts w:cs="Segoe UI"/>
        </w:rPr>
        <w:t xml:space="preserve">to allow </w:t>
      </w:r>
      <w:r>
        <w:rPr>
          <w:rFonts w:cs="Segoe UI"/>
        </w:rPr>
        <w:t xml:space="preserve">taxpayers to include </w:t>
      </w:r>
      <w:r w:rsidRPr="003236FE">
        <w:rPr>
          <w:rFonts w:cs="Segoe UI"/>
        </w:rPr>
        <w:t>indirectly owned eligible assets</w:t>
      </w:r>
      <w:r>
        <w:rPr>
          <w:rFonts w:cs="Segoe UI"/>
        </w:rPr>
        <w:t xml:space="preserve"> </w:t>
      </w:r>
      <w:r w:rsidRPr="003236FE">
        <w:rPr>
          <w:rFonts w:cs="Segoe UI"/>
        </w:rPr>
        <w:t>in their calculation of eligible assets</w:t>
      </w:r>
      <w:r>
        <w:rPr>
          <w:rFonts w:cs="Segoe UI"/>
        </w:rPr>
        <w:t xml:space="preserve"> in certain circumstances</w:t>
      </w:r>
      <w:r w:rsidRPr="003236FE">
        <w:rPr>
          <w:rFonts w:cs="Segoe UI"/>
        </w:rPr>
        <w:t>.</w:t>
      </w:r>
    </w:p>
    <w:p w14:paraId="6679DDEB" w14:textId="498E38FC" w:rsidR="00375B41" w:rsidRDefault="00751C55" w:rsidP="00EB390A">
      <w:pPr>
        <w:rPr>
          <w:rFonts w:cs="Segoe UI"/>
        </w:rPr>
      </w:pPr>
      <w:r w:rsidRPr="003236FE">
        <w:rPr>
          <w:rFonts w:cs="Segoe UI"/>
        </w:rPr>
        <w:t xml:space="preserve">This </w:t>
      </w:r>
      <w:r>
        <w:rPr>
          <w:rFonts w:cs="Segoe UI"/>
        </w:rPr>
        <w:t>optional</w:t>
      </w:r>
      <w:r w:rsidRPr="003236FE">
        <w:rPr>
          <w:rFonts w:cs="Segoe UI"/>
        </w:rPr>
        <w:t xml:space="preserve"> rule </w:t>
      </w:r>
      <w:bookmarkStart w:id="7" w:name="_Hlk49880461"/>
      <w:r>
        <w:rPr>
          <w:rFonts w:cs="Segoe UI"/>
        </w:rPr>
        <w:t xml:space="preserve">is </w:t>
      </w:r>
      <w:r w:rsidRPr="003236FE">
        <w:rPr>
          <w:rFonts w:cs="Segoe UI"/>
        </w:rPr>
        <w:t>available to</w:t>
      </w:r>
      <w:r>
        <w:rPr>
          <w:rFonts w:cs="Segoe UI"/>
        </w:rPr>
        <w:t xml:space="preserve"> </w:t>
      </w:r>
      <w:r w:rsidR="00407C75">
        <w:rPr>
          <w:rFonts w:cs="Segoe UI"/>
        </w:rPr>
        <w:t>“</w:t>
      </w:r>
      <w:r w:rsidR="008A1A38">
        <w:rPr>
          <w:rFonts w:cs="Segoe UI"/>
        </w:rPr>
        <w:t>qualifying hedge funds</w:t>
      </w:r>
      <w:r w:rsidR="00407C75">
        <w:rPr>
          <w:rFonts w:cs="Segoe UI"/>
        </w:rPr>
        <w:t>”,</w:t>
      </w:r>
      <w:r w:rsidR="00307D6F">
        <w:rPr>
          <w:rFonts w:cs="Segoe UI"/>
        </w:rPr>
        <w:t xml:space="preserve"> as defined in section EM 8. These are</w:t>
      </w:r>
      <w:r>
        <w:rPr>
          <w:rFonts w:cs="Segoe UI"/>
        </w:rPr>
        <w:t xml:space="preserve"> taxpayers that invest </w:t>
      </w:r>
      <w:bookmarkEnd w:id="7"/>
      <w:r>
        <w:rPr>
          <w:rFonts w:cs="Segoe UI"/>
        </w:rPr>
        <w:t>in a multi-rate PIE</w:t>
      </w:r>
      <w:r w:rsidRPr="00316D08">
        <w:rPr>
          <w:rFonts w:cs="Segoe UI"/>
        </w:rPr>
        <w:t>, either directly or indirectly through one or more multi</w:t>
      </w:r>
      <w:r>
        <w:rPr>
          <w:rFonts w:cs="Segoe UI"/>
        </w:rPr>
        <w:t>-</w:t>
      </w:r>
      <w:r w:rsidRPr="00316D08">
        <w:rPr>
          <w:rFonts w:cs="Segoe UI"/>
        </w:rPr>
        <w:t xml:space="preserve">rate PIEs, </w:t>
      </w:r>
      <w:r>
        <w:rPr>
          <w:rFonts w:cs="Segoe UI"/>
        </w:rPr>
        <w:t>and have i</w:t>
      </w:r>
      <w:r w:rsidRPr="00316D08">
        <w:rPr>
          <w:rFonts w:cs="Segoe UI"/>
        </w:rPr>
        <w:t xml:space="preserve">ncome from </w:t>
      </w:r>
      <w:r>
        <w:rPr>
          <w:rFonts w:cs="Segoe UI"/>
        </w:rPr>
        <w:t xml:space="preserve">eligible </w:t>
      </w:r>
      <w:r w:rsidRPr="00316D08">
        <w:rPr>
          <w:rFonts w:cs="Segoe UI"/>
        </w:rPr>
        <w:t>asset</w:t>
      </w:r>
      <w:r>
        <w:rPr>
          <w:rFonts w:cs="Segoe UI"/>
        </w:rPr>
        <w:t>s</w:t>
      </w:r>
      <w:r w:rsidRPr="00316D08">
        <w:rPr>
          <w:rFonts w:cs="Segoe UI"/>
        </w:rPr>
        <w:t xml:space="preserve"> </w:t>
      </w:r>
      <w:r>
        <w:rPr>
          <w:rFonts w:cs="Segoe UI"/>
        </w:rPr>
        <w:t xml:space="preserve">held by the multi-rate PIE </w:t>
      </w:r>
      <w:r w:rsidRPr="00316D08">
        <w:rPr>
          <w:rFonts w:cs="Segoe UI"/>
        </w:rPr>
        <w:t>attributed to the</w:t>
      </w:r>
      <w:r>
        <w:rPr>
          <w:rFonts w:cs="Segoe UI"/>
        </w:rPr>
        <w:t>m</w:t>
      </w:r>
      <w:r w:rsidRPr="003236FE">
        <w:rPr>
          <w:rFonts w:cs="Segoe UI"/>
        </w:rPr>
        <w:t>.</w:t>
      </w:r>
    </w:p>
    <w:p w14:paraId="031F63A2" w14:textId="5C639DFE" w:rsidR="00751C55" w:rsidRDefault="00751C55" w:rsidP="00EB390A">
      <w:pPr>
        <w:rPr>
          <w:rFonts w:cs="Segoe UI"/>
        </w:rPr>
      </w:pPr>
      <w:r w:rsidRPr="003236FE">
        <w:rPr>
          <w:rFonts w:cs="Segoe UI"/>
        </w:rPr>
        <w:t xml:space="preserve">In applying this new look-through rule, </w:t>
      </w:r>
      <w:r>
        <w:rPr>
          <w:rFonts w:cs="Segoe UI"/>
        </w:rPr>
        <w:t>a taxpayer</w:t>
      </w:r>
      <w:r w:rsidRPr="003236FE">
        <w:rPr>
          <w:rFonts w:cs="Segoe UI"/>
        </w:rPr>
        <w:t xml:space="preserve"> </w:t>
      </w:r>
      <w:r>
        <w:rPr>
          <w:rFonts w:cs="Segoe UI"/>
        </w:rPr>
        <w:t>will</w:t>
      </w:r>
      <w:r w:rsidRPr="003236FE">
        <w:rPr>
          <w:rFonts w:cs="Segoe UI"/>
        </w:rPr>
        <w:t xml:space="preserve"> need to determine the value of their interest in </w:t>
      </w:r>
      <w:r>
        <w:rPr>
          <w:rFonts w:cs="Segoe UI"/>
        </w:rPr>
        <w:t xml:space="preserve">the </w:t>
      </w:r>
      <w:r w:rsidRPr="003236FE">
        <w:rPr>
          <w:rFonts w:cs="Segoe UI"/>
        </w:rPr>
        <w:t xml:space="preserve">eligible assets held </w:t>
      </w:r>
      <w:r>
        <w:rPr>
          <w:rFonts w:cs="Segoe UI"/>
        </w:rPr>
        <w:t>by</w:t>
      </w:r>
      <w:r w:rsidRPr="003236FE">
        <w:rPr>
          <w:rFonts w:cs="Segoe UI"/>
        </w:rPr>
        <w:t xml:space="preserve"> the multi-rate PIE by reference to the proportion of the</w:t>
      </w:r>
      <w:r>
        <w:rPr>
          <w:rFonts w:cs="Segoe UI"/>
        </w:rPr>
        <w:t xml:space="preserve"> units they hold in the </w:t>
      </w:r>
      <w:r w:rsidRPr="003236FE">
        <w:rPr>
          <w:rFonts w:cs="Segoe UI"/>
        </w:rPr>
        <w:t>PIE</w:t>
      </w:r>
      <w:r>
        <w:rPr>
          <w:rFonts w:cs="Segoe UI"/>
        </w:rPr>
        <w:t xml:space="preserve"> or investor class</w:t>
      </w:r>
      <w:r w:rsidRPr="003236FE">
        <w:rPr>
          <w:rFonts w:cs="Segoe UI"/>
        </w:rPr>
        <w:t xml:space="preserve">. </w:t>
      </w:r>
      <w:r w:rsidR="00EF396A">
        <w:rPr>
          <w:rFonts w:cs="Segoe UI"/>
        </w:rPr>
        <w:t>A</w:t>
      </w:r>
      <w:r>
        <w:rPr>
          <w:rFonts w:cs="Segoe UI"/>
        </w:rPr>
        <w:t xml:space="preserve"> taxpayer will</w:t>
      </w:r>
      <w:r w:rsidRPr="003236FE">
        <w:rPr>
          <w:rFonts w:cs="Segoe UI"/>
        </w:rPr>
        <w:t xml:space="preserve"> </w:t>
      </w:r>
      <w:r w:rsidR="00EF396A">
        <w:rPr>
          <w:rFonts w:cs="Segoe UI"/>
        </w:rPr>
        <w:t xml:space="preserve">therefore </w:t>
      </w:r>
      <w:r w:rsidRPr="003236FE">
        <w:rPr>
          <w:rFonts w:cs="Segoe UI"/>
        </w:rPr>
        <w:t xml:space="preserve">need to have access to sufficient information from the multi-rate PIE </w:t>
      </w:r>
      <w:r>
        <w:rPr>
          <w:rFonts w:cs="Segoe UI"/>
        </w:rPr>
        <w:t>to</w:t>
      </w:r>
      <w:r w:rsidRPr="003236FE">
        <w:rPr>
          <w:rFonts w:cs="Segoe UI"/>
        </w:rPr>
        <w:t xml:space="preserve"> comply with the requirements</w:t>
      </w:r>
      <w:r w:rsidR="00EB15B3">
        <w:rPr>
          <w:rFonts w:cs="Segoe UI"/>
        </w:rPr>
        <w:t xml:space="preserve"> if they wish to apply this optional rule</w:t>
      </w:r>
      <w:r w:rsidRPr="003236FE">
        <w:rPr>
          <w:rFonts w:cs="Segoe UI"/>
        </w:rPr>
        <w:t>.</w:t>
      </w:r>
    </w:p>
    <w:p w14:paraId="663DF5D2" w14:textId="04DB09B4" w:rsidR="00751C55" w:rsidRPr="00190D1A" w:rsidRDefault="00751C55" w:rsidP="00107033">
      <w:pPr>
        <w:pStyle w:val="NoNumberHeading3"/>
      </w:pPr>
      <w:r w:rsidRPr="00190D1A">
        <w:lastRenderedPageBreak/>
        <w:t>Hedges entered and settled within a valuation period (</w:t>
      </w:r>
      <w:r w:rsidR="00107033">
        <w:t>section </w:t>
      </w:r>
      <w:r w:rsidRPr="00190D1A">
        <w:t>EM 6)</w:t>
      </w:r>
    </w:p>
    <w:p w14:paraId="720C6D6D" w14:textId="351567F9" w:rsidR="00751C55" w:rsidRPr="005755C5" w:rsidRDefault="00751C55" w:rsidP="00EB390A">
      <w:pPr>
        <w:rPr>
          <w:rFonts w:cs="Segoe UI"/>
        </w:rPr>
      </w:pPr>
      <w:r w:rsidRPr="005755C5">
        <w:rPr>
          <w:rFonts w:cs="Segoe UI"/>
        </w:rPr>
        <w:t>Section EM 6 calculates the FDR income or expenditure from eligible hedges</w:t>
      </w:r>
      <w:r>
        <w:rPr>
          <w:rFonts w:cs="Segoe UI"/>
        </w:rPr>
        <w:t xml:space="preserve">. </w:t>
      </w:r>
      <w:r w:rsidR="00CC68D2">
        <w:rPr>
          <w:rFonts w:cs="Segoe UI"/>
        </w:rPr>
        <w:t>T</w:t>
      </w:r>
      <w:r w:rsidRPr="005755C5">
        <w:rPr>
          <w:rFonts w:cs="Segoe UI"/>
        </w:rPr>
        <w:t xml:space="preserve">he formula in section EM 6 </w:t>
      </w:r>
      <w:r w:rsidR="00CC68D2">
        <w:rPr>
          <w:rFonts w:cs="Segoe UI"/>
        </w:rPr>
        <w:t xml:space="preserve">has been amended </w:t>
      </w:r>
      <w:r>
        <w:rPr>
          <w:rFonts w:cs="Segoe UI"/>
        </w:rPr>
        <w:t xml:space="preserve">to ensure that an amount of income or expenditure is calculated for </w:t>
      </w:r>
      <w:r w:rsidRPr="005755C5">
        <w:rPr>
          <w:rFonts w:cs="Segoe UI"/>
        </w:rPr>
        <w:t xml:space="preserve">hedges </w:t>
      </w:r>
      <w:r>
        <w:rPr>
          <w:rFonts w:cs="Segoe UI"/>
        </w:rPr>
        <w:t xml:space="preserve">that are </w:t>
      </w:r>
      <w:r w:rsidRPr="005755C5">
        <w:rPr>
          <w:rFonts w:cs="Segoe UI"/>
        </w:rPr>
        <w:t>entered into and settled within a valuation period</w:t>
      </w:r>
      <w:r>
        <w:rPr>
          <w:rFonts w:cs="Segoe UI"/>
        </w:rPr>
        <w:t>.</w:t>
      </w:r>
    </w:p>
    <w:p w14:paraId="61CEF445" w14:textId="452EBCE7" w:rsidR="00751C55" w:rsidRPr="005755C5" w:rsidRDefault="00751C55" w:rsidP="00EB390A">
      <w:pPr>
        <w:rPr>
          <w:rFonts w:cs="Segoe UI"/>
        </w:rPr>
      </w:pPr>
      <w:r w:rsidRPr="005755C5">
        <w:rPr>
          <w:rFonts w:cs="Segoe UI"/>
        </w:rPr>
        <w:t xml:space="preserve">The </w:t>
      </w:r>
      <w:r w:rsidR="00B60490">
        <w:rPr>
          <w:rFonts w:cs="Segoe UI"/>
        </w:rPr>
        <w:t>amended</w:t>
      </w:r>
      <w:r w:rsidRPr="005755C5">
        <w:rPr>
          <w:rFonts w:cs="Segoe UI"/>
        </w:rPr>
        <w:t xml:space="preserve"> formula </w:t>
      </w:r>
      <w:r w:rsidR="00B60490">
        <w:rPr>
          <w:rFonts w:cs="Segoe UI"/>
        </w:rPr>
        <w:t>has</w:t>
      </w:r>
      <w:r w:rsidR="001A4DA3">
        <w:rPr>
          <w:rFonts w:cs="Segoe UI"/>
        </w:rPr>
        <w:t xml:space="preserve"> added the items ‘period gain’ and ‘period loss’ as follows</w:t>
      </w:r>
      <w:r w:rsidRPr="005755C5">
        <w:rPr>
          <w:rFonts w:cs="Segoe UI"/>
        </w:rPr>
        <w:t>:</w:t>
      </w:r>
    </w:p>
    <w:p w14:paraId="5B7DD6B4" w14:textId="77777777" w:rsidR="00751C55" w:rsidRPr="00754BD6" w:rsidRDefault="004133EA" w:rsidP="00EB390A">
      <w:pPr>
        <w:rPr>
          <w:iCs/>
        </w:rPr>
      </w:pPr>
      <m:oMathPara>
        <m:oMath>
          <m:f>
            <m:fPr>
              <m:ctrlPr>
                <w:rPr>
                  <w:rFonts w:ascii="Cambria Math" w:hAnsi="Cambria Math"/>
                  <w:iCs/>
                </w:rPr>
              </m:ctrlPr>
            </m:fPr>
            <m:num>
              <m:d>
                <m:dPr>
                  <m:ctrlPr>
                    <w:rPr>
                      <w:rFonts w:ascii="Cambria Math" w:hAnsi="Cambria Math"/>
                      <w:iCs/>
                    </w:rPr>
                  </m:ctrlPr>
                </m:dPr>
                <m:e>
                  <m:r>
                    <m:rPr>
                      <m:sty m:val="p"/>
                    </m:rPr>
                    <w:rPr>
                      <w:rFonts w:ascii="Cambria Math" w:hAnsi="Cambria Math"/>
                    </w:rPr>
                    <m:t>FDR portion</m:t>
                  </m:r>
                  <m:sSup>
                    <m:sSupPr>
                      <m:ctrlPr>
                        <w:rPr>
                          <w:rFonts w:ascii="Cambria Math" w:hAnsi="Cambria Math"/>
                          <w:iCs/>
                        </w:rPr>
                      </m:ctrlPr>
                    </m:sSupPr>
                    <m:e>
                      <m:r>
                        <m:rPr>
                          <m:sty m:val="p"/>
                        </m:rPr>
                        <w:rPr>
                          <w:rFonts w:ascii="Cambria Math" w:hAnsi="Cambria Math"/>
                        </w:rPr>
                        <m:t>s</m:t>
                      </m:r>
                    </m:e>
                    <m:sup>
                      <m:r>
                        <m:rPr>
                          <m:sty m:val="p"/>
                        </m:rPr>
                        <w:rPr>
                          <w:rFonts w:ascii="Cambria Math" w:hAnsi="Cambria Math"/>
                        </w:rPr>
                        <m:t>'</m:t>
                      </m:r>
                    </m:sup>
                  </m:sSup>
                  <m:r>
                    <m:rPr>
                      <m:sty m:val="p"/>
                    </m:rPr>
                    <w:rPr>
                      <w:rFonts w:ascii="Cambria Math" w:hAnsi="Cambria Math"/>
                    </w:rPr>
                    <m:t>value</m:t>
                  </m:r>
                  <m:r>
                    <w:rPr>
                      <w:rFonts w:ascii="Cambria Math" w:hAnsi="Cambria Math"/>
                    </w:rPr>
                    <m:t>+period gain-period loss</m:t>
                  </m:r>
                </m:e>
              </m:d>
              <m:r>
                <m:rPr>
                  <m:sty m:val="p"/>
                </m:rPr>
                <w:rPr>
                  <w:rFonts w:ascii="Cambria Math" w:hAnsi="Cambria Math"/>
                </w:rPr>
                <m:t xml:space="preserve"> × 0.05 × valuation period </m:t>
              </m:r>
            </m:num>
            <m:den>
              <m:r>
                <m:rPr>
                  <m:sty m:val="p"/>
                </m:rPr>
                <w:rPr>
                  <w:rFonts w:ascii="Cambria Math" w:hAnsi="Cambria Math"/>
                </w:rPr>
                <m:t xml:space="preserve">days in the year </m:t>
              </m:r>
            </m:den>
          </m:f>
        </m:oMath>
      </m:oMathPara>
    </w:p>
    <w:p w14:paraId="05A296DA" w14:textId="77777777" w:rsidR="00751C55" w:rsidRPr="005755C5" w:rsidRDefault="00751C55" w:rsidP="00EB390A">
      <w:pPr>
        <w:rPr>
          <w:rFonts w:cs="Segoe UI"/>
        </w:rPr>
      </w:pPr>
      <w:r w:rsidRPr="005755C5">
        <w:rPr>
          <w:rFonts w:cs="Segoe UI"/>
        </w:rPr>
        <w:t>Where:</w:t>
      </w:r>
    </w:p>
    <w:p w14:paraId="4981EC68" w14:textId="77777777" w:rsidR="00751C55" w:rsidRPr="005755C5" w:rsidRDefault="00751C55" w:rsidP="00EB390A">
      <w:pPr>
        <w:rPr>
          <w:rFonts w:cs="Segoe UI"/>
        </w:rPr>
      </w:pPr>
      <w:r w:rsidRPr="005755C5">
        <w:rPr>
          <w:rFonts w:cs="Segoe UI"/>
          <w:b/>
          <w:bCs/>
        </w:rPr>
        <w:t>Period gain</w:t>
      </w:r>
      <w:r w:rsidRPr="005755C5">
        <w:rPr>
          <w:rFonts w:cs="Segoe UI"/>
        </w:rPr>
        <w:t xml:space="preserve"> </w:t>
      </w:r>
      <w:r>
        <w:rPr>
          <w:rFonts w:cs="Segoe UI"/>
        </w:rPr>
        <w:t>is the</w:t>
      </w:r>
      <w:r w:rsidRPr="005755C5">
        <w:rPr>
          <w:rFonts w:cs="Segoe UI"/>
        </w:rPr>
        <w:t xml:space="preserve"> net gain multiplied by the FDR hedge portion for relevant eligible hedges that are entered into and settled within the preceding valuation period.</w:t>
      </w:r>
    </w:p>
    <w:p w14:paraId="18572900" w14:textId="77777777" w:rsidR="00751C55" w:rsidRDefault="00751C55" w:rsidP="00EB390A">
      <w:pPr>
        <w:rPr>
          <w:rFonts w:cs="Segoe UI"/>
        </w:rPr>
      </w:pPr>
      <w:r w:rsidRPr="005755C5">
        <w:rPr>
          <w:rFonts w:cs="Segoe UI"/>
          <w:b/>
          <w:bCs/>
        </w:rPr>
        <w:t>Period loss</w:t>
      </w:r>
      <w:r w:rsidRPr="005755C5">
        <w:rPr>
          <w:rFonts w:cs="Segoe UI"/>
        </w:rPr>
        <w:t xml:space="preserve"> </w:t>
      </w:r>
      <w:r>
        <w:rPr>
          <w:rFonts w:cs="Segoe UI"/>
        </w:rPr>
        <w:t>is</w:t>
      </w:r>
      <w:r w:rsidRPr="005755C5">
        <w:rPr>
          <w:rFonts w:cs="Segoe UI"/>
        </w:rPr>
        <w:t xml:space="preserve"> the net loss multiplied by the FDR hedge portion for relevant eligible hedges that are entered into and settled within the preceding valuation period.</w:t>
      </w:r>
    </w:p>
    <w:p w14:paraId="62CCA8F5" w14:textId="6DE9A610" w:rsidR="00751C55" w:rsidRPr="005755C5" w:rsidRDefault="00751C55" w:rsidP="00EB390A">
      <w:pPr>
        <w:rPr>
          <w:rFonts w:cs="Segoe UI"/>
        </w:rPr>
      </w:pPr>
      <w:r>
        <w:rPr>
          <w:rFonts w:cs="Segoe UI"/>
        </w:rPr>
        <w:t xml:space="preserve">As a result of </w:t>
      </w:r>
      <w:r w:rsidR="00CC76CF">
        <w:rPr>
          <w:rFonts w:cs="Segoe UI"/>
        </w:rPr>
        <w:t>this change</w:t>
      </w:r>
      <w:r>
        <w:rPr>
          <w:rFonts w:cs="Segoe UI"/>
        </w:rPr>
        <w:t xml:space="preserve">, </w:t>
      </w:r>
      <w:r w:rsidRPr="005755C5">
        <w:rPr>
          <w:rFonts w:cs="Segoe UI"/>
        </w:rPr>
        <w:t xml:space="preserve">the net gain or loss </w:t>
      </w:r>
      <w:r w:rsidR="00393A92">
        <w:rPr>
          <w:rFonts w:cs="Segoe UI"/>
        </w:rPr>
        <w:t>on</w:t>
      </w:r>
      <w:r w:rsidR="00E744E6">
        <w:rPr>
          <w:rFonts w:cs="Segoe UI"/>
        </w:rPr>
        <w:t xml:space="preserve"> the FDR hedge portion </w:t>
      </w:r>
      <w:r w:rsidR="00764920">
        <w:rPr>
          <w:rFonts w:cs="Segoe UI"/>
        </w:rPr>
        <w:t>of</w:t>
      </w:r>
      <w:r w:rsidRPr="005755C5">
        <w:rPr>
          <w:rFonts w:cs="Segoe UI"/>
        </w:rPr>
        <w:t xml:space="preserve"> eligible hedges </w:t>
      </w:r>
      <w:r w:rsidR="00393A92">
        <w:rPr>
          <w:rFonts w:cs="Segoe UI"/>
        </w:rPr>
        <w:t xml:space="preserve">that are </w:t>
      </w:r>
      <w:r w:rsidRPr="005755C5">
        <w:rPr>
          <w:rFonts w:cs="Segoe UI"/>
        </w:rPr>
        <w:t xml:space="preserve">entered and settled within </w:t>
      </w:r>
      <w:r w:rsidR="00BD1BBA">
        <w:rPr>
          <w:rFonts w:cs="Segoe UI"/>
        </w:rPr>
        <w:t>a</w:t>
      </w:r>
      <w:r w:rsidRPr="005755C5">
        <w:rPr>
          <w:rFonts w:cs="Segoe UI"/>
        </w:rPr>
        <w:t xml:space="preserve"> preceding valuation period</w:t>
      </w:r>
      <w:r>
        <w:rPr>
          <w:rFonts w:cs="Segoe UI"/>
        </w:rPr>
        <w:t xml:space="preserve"> is now subject to FDR treatment</w:t>
      </w:r>
      <w:r w:rsidRPr="005755C5">
        <w:rPr>
          <w:rFonts w:cs="Segoe UI"/>
        </w:rPr>
        <w:t>.</w:t>
      </w:r>
    </w:p>
    <w:tbl>
      <w:tblPr>
        <w:tblStyle w:val="IR-Table-ParagraphHighlightStyle2"/>
        <w:tblW w:w="0" w:type="auto"/>
        <w:tblLook w:val="04A0" w:firstRow="1" w:lastRow="0" w:firstColumn="1" w:lastColumn="0" w:noHBand="0" w:noVBand="1"/>
      </w:tblPr>
      <w:tblGrid>
        <w:gridCol w:w="9016"/>
      </w:tblGrid>
      <w:tr w:rsidR="00D85DDF" w14:paraId="36541BB9" w14:textId="77777777" w:rsidTr="0000367E">
        <w:tc>
          <w:tcPr>
            <w:tcW w:w="9016" w:type="dxa"/>
          </w:tcPr>
          <w:p w14:paraId="7CE8FBD6" w14:textId="54ACCCED" w:rsidR="00D85DDF" w:rsidRDefault="00D85DDF" w:rsidP="00EB390A">
            <w:pPr>
              <w:rPr>
                <w:b/>
                <w:bCs/>
              </w:rPr>
            </w:pPr>
            <w:r w:rsidRPr="00830D2F">
              <w:rPr>
                <w:b/>
                <w:bCs/>
              </w:rPr>
              <w:t xml:space="preserve">Example </w:t>
            </w:r>
            <w:r w:rsidR="00C5695A">
              <w:rPr>
                <w:b/>
                <w:bCs/>
              </w:rPr>
              <w:t>9</w:t>
            </w:r>
            <w:r w:rsidR="00CA0812">
              <w:rPr>
                <w:b/>
                <w:bCs/>
              </w:rPr>
              <w:t xml:space="preserve">: </w:t>
            </w:r>
            <w:r w:rsidR="00275E4A">
              <w:rPr>
                <w:b/>
                <w:bCs/>
              </w:rPr>
              <w:t>Hed</w:t>
            </w:r>
            <w:r w:rsidR="00BD1BBA">
              <w:rPr>
                <w:b/>
                <w:bCs/>
              </w:rPr>
              <w:t>ge entered and settled within valuation period</w:t>
            </w:r>
          </w:p>
          <w:p w14:paraId="20597F03" w14:textId="72B00306" w:rsidR="00C5695A" w:rsidRPr="00C5695A" w:rsidRDefault="001F25DE" w:rsidP="007505BA">
            <w:pPr>
              <w:rPr>
                <w:lang w:eastAsia="en-NZ"/>
              </w:rPr>
            </w:pPr>
            <w:r>
              <w:rPr>
                <w:iCs/>
                <w:lang w:eastAsia="en-NZ"/>
              </w:rPr>
              <w:t>M. Burns Asset Management</w:t>
            </w:r>
            <w:r w:rsidR="00C5695A" w:rsidRPr="00C5695A">
              <w:rPr>
                <w:iCs/>
                <w:lang w:eastAsia="en-NZ"/>
              </w:rPr>
              <w:t xml:space="preserve"> Fund</w:t>
            </w:r>
            <w:r w:rsidR="00C5695A" w:rsidRPr="00C5695A" w:rsidDel="00CA7EC6">
              <w:rPr>
                <w:lang w:eastAsia="en-NZ"/>
              </w:rPr>
              <w:t xml:space="preserve"> </w:t>
            </w:r>
            <w:r>
              <w:rPr>
                <w:lang w:eastAsia="en-NZ"/>
              </w:rPr>
              <w:t xml:space="preserve">(Burns) </w:t>
            </w:r>
            <w:r w:rsidR="00C5695A" w:rsidRPr="00C5695A">
              <w:rPr>
                <w:lang w:eastAsia="en-NZ"/>
              </w:rPr>
              <w:t>has a one-month valuation period. Its hedging activity during March 202</w:t>
            </w:r>
            <w:r w:rsidR="0014131D">
              <w:rPr>
                <w:lang w:eastAsia="en-NZ"/>
              </w:rPr>
              <w:t>3</w:t>
            </w:r>
            <w:r w:rsidR="00C5695A" w:rsidRPr="00C5695A">
              <w:rPr>
                <w:lang w:eastAsia="en-NZ"/>
              </w:rPr>
              <w:t xml:space="preserve"> is:</w:t>
            </w:r>
          </w:p>
          <w:p w14:paraId="246A59E7" w14:textId="6570EC99" w:rsidR="00C5695A" w:rsidRPr="00C5695A" w:rsidRDefault="00C5695A" w:rsidP="00BA2EFD">
            <w:pPr>
              <w:pStyle w:val="Bullets"/>
              <w:rPr>
                <w:lang w:eastAsia="en-NZ"/>
              </w:rPr>
            </w:pPr>
            <w:r w:rsidRPr="00C5695A">
              <w:rPr>
                <w:lang w:eastAsia="en-NZ"/>
              </w:rPr>
              <w:t>On 4 March 202</w:t>
            </w:r>
            <w:r w:rsidR="0014131D">
              <w:rPr>
                <w:lang w:eastAsia="en-NZ"/>
              </w:rPr>
              <w:t>3</w:t>
            </w:r>
            <w:r w:rsidRPr="00C5695A">
              <w:rPr>
                <w:lang w:eastAsia="en-NZ"/>
              </w:rPr>
              <w:t>, it enters into an eligible hedge for US$100,000 (equivalent to NZ$140,000 at acquisition). This hedge has an FDR hedge portion of 50%.</w:t>
            </w:r>
          </w:p>
          <w:p w14:paraId="1F07B528" w14:textId="38318751" w:rsidR="00C5695A" w:rsidRPr="00C5695A" w:rsidRDefault="00C5695A" w:rsidP="00BA2EFD">
            <w:pPr>
              <w:pStyle w:val="Bullets"/>
              <w:rPr>
                <w:lang w:eastAsia="en-NZ"/>
              </w:rPr>
            </w:pPr>
            <w:r w:rsidRPr="00C5695A">
              <w:rPr>
                <w:lang w:eastAsia="en-NZ"/>
              </w:rPr>
              <w:t>On 15 March 202</w:t>
            </w:r>
            <w:r w:rsidR="0014131D">
              <w:rPr>
                <w:lang w:eastAsia="en-NZ"/>
              </w:rPr>
              <w:t>3</w:t>
            </w:r>
            <w:r w:rsidRPr="00C5695A">
              <w:rPr>
                <w:lang w:eastAsia="en-NZ"/>
              </w:rPr>
              <w:t>, it enters into an eligible hedge for US$50,000 (equivalent to NZ$75,000 at acquisition). This hedge has an FDR hedge portion of 100%.</w:t>
            </w:r>
          </w:p>
          <w:p w14:paraId="05BD88E4" w14:textId="5F21112E" w:rsidR="00C5695A" w:rsidRPr="00C5695A" w:rsidRDefault="00C5695A" w:rsidP="00BA2EFD">
            <w:pPr>
              <w:pStyle w:val="Bullets"/>
              <w:rPr>
                <w:lang w:eastAsia="en-NZ"/>
              </w:rPr>
            </w:pPr>
            <w:r w:rsidRPr="00C5695A">
              <w:rPr>
                <w:lang w:eastAsia="en-NZ"/>
              </w:rPr>
              <w:t>On 27 March 202</w:t>
            </w:r>
            <w:r w:rsidR="0014131D">
              <w:rPr>
                <w:lang w:eastAsia="en-NZ"/>
              </w:rPr>
              <w:t>3</w:t>
            </w:r>
            <w:r w:rsidRPr="00C5695A">
              <w:rPr>
                <w:lang w:eastAsia="en-NZ"/>
              </w:rPr>
              <w:t>, the hedge for US$50,000 is settled. At settlement, US$50,000 is equivalent to NZ$70,000.</w:t>
            </w:r>
          </w:p>
          <w:p w14:paraId="53393FA2" w14:textId="2D11C88E" w:rsidR="00C5695A" w:rsidRPr="00C5695A" w:rsidRDefault="00C5695A" w:rsidP="00BA2EFD">
            <w:pPr>
              <w:pStyle w:val="Bullets"/>
              <w:rPr>
                <w:lang w:eastAsia="en-NZ"/>
              </w:rPr>
            </w:pPr>
            <w:r w:rsidRPr="00C5695A">
              <w:rPr>
                <w:lang w:eastAsia="en-NZ"/>
              </w:rPr>
              <w:t>At the end of 31 March 202</w:t>
            </w:r>
            <w:r w:rsidR="0014131D">
              <w:rPr>
                <w:lang w:eastAsia="en-NZ"/>
              </w:rPr>
              <w:t>3</w:t>
            </w:r>
            <w:r w:rsidRPr="00C5695A">
              <w:rPr>
                <w:lang w:eastAsia="en-NZ"/>
              </w:rPr>
              <w:t>, the hedge entered into on 4 March 202</w:t>
            </w:r>
            <w:r w:rsidR="005E32A5">
              <w:rPr>
                <w:lang w:eastAsia="en-NZ"/>
              </w:rPr>
              <w:t>3</w:t>
            </w:r>
            <w:r w:rsidRPr="00C5695A">
              <w:rPr>
                <w:lang w:eastAsia="en-NZ"/>
              </w:rPr>
              <w:t xml:space="preserve"> is still on hand and US$100,000 is equivalent to NZ$125,000. There are no other hedges on hand.</w:t>
            </w:r>
          </w:p>
          <w:p w14:paraId="564B1B84" w14:textId="2B557741" w:rsidR="00C5695A" w:rsidRPr="00C5695A" w:rsidRDefault="00C5695A" w:rsidP="00EB390A">
            <w:pPr>
              <w:pStyle w:val="Example-ListBullet1"/>
              <w:numPr>
                <w:ilvl w:val="0"/>
                <w:numId w:val="0"/>
              </w:numPr>
              <w:tabs>
                <w:tab w:val="clear" w:pos="284"/>
                <w:tab w:val="left" w:pos="0"/>
              </w:tabs>
              <w:spacing w:before="160" w:after="160"/>
              <w:jc w:val="left"/>
              <w:rPr>
                <w:rFonts w:ascii="Segoe UI" w:hAnsi="Segoe UI" w:cs="Segoe UI"/>
                <w:iCs/>
                <w:sz w:val="22"/>
                <w:szCs w:val="22"/>
                <w:lang w:eastAsia="en-NZ"/>
              </w:rPr>
            </w:pPr>
            <w:r w:rsidRPr="00C5695A">
              <w:rPr>
                <w:rFonts w:ascii="Segoe UI" w:hAnsi="Segoe UI" w:cs="Segoe UI"/>
                <w:iCs/>
                <w:sz w:val="22"/>
                <w:szCs w:val="22"/>
                <w:lang w:eastAsia="en-NZ"/>
              </w:rPr>
              <w:t xml:space="preserve">Applying the updated formula in section EM 6, </w:t>
            </w:r>
            <w:r w:rsidR="001F25DE">
              <w:rPr>
                <w:rFonts w:ascii="Segoe UI" w:hAnsi="Segoe UI" w:cs="Segoe UI"/>
                <w:sz w:val="22"/>
                <w:szCs w:val="22"/>
                <w:lang w:eastAsia="en-NZ"/>
              </w:rPr>
              <w:t>Burn</w:t>
            </w:r>
            <w:r w:rsidR="006A3ECF">
              <w:rPr>
                <w:rFonts w:ascii="Segoe UI" w:hAnsi="Segoe UI" w:cs="Segoe UI"/>
                <w:sz w:val="22"/>
                <w:szCs w:val="22"/>
                <w:lang w:eastAsia="en-NZ"/>
              </w:rPr>
              <w:t>s</w:t>
            </w:r>
            <w:r w:rsidR="001F25DE">
              <w:rPr>
                <w:rFonts w:ascii="Segoe UI" w:hAnsi="Segoe UI" w:cs="Segoe UI"/>
                <w:sz w:val="22"/>
                <w:szCs w:val="22"/>
                <w:lang w:eastAsia="en-NZ"/>
              </w:rPr>
              <w:t>’</w:t>
            </w:r>
            <w:r w:rsidRPr="00C5695A" w:rsidDel="001F25DE">
              <w:rPr>
                <w:rFonts w:ascii="Segoe UI" w:hAnsi="Segoe UI" w:cs="Segoe UI"/>
                <w:sz w:val="22"/>
                <w:szCs w:val="22"/>
                <w:lang w:eastAsia="en-NZ"/>
              </w:rPr>
              <w:t xml:space="preserve"> </w:t>
            </w:r>
            <w:r w:rsidRPr="00C5695A">
              <w:rPr>
                <w:rFonts w:ascii="Segoe UI" w:hAnsi="Segoe UI" w:cs="Segoe UI"/>
                <w:iCs/>
                <w:sz w:val="22"/>
                <w:szCs w:val="22"/>
                <w:lang w:eastAsia="en-NZ"/>
              </w:rPr>
              <w:t>FDR income from its eligible hedges on 1 April 202</w:t>
            </w:r>
            <w:r w:rsidR="0014131D">
              <w:rPr>
                <w:rFonts w:ascii="Segoe UI" w:hAnsi="Segoe UI" w:cs="Segoe UI"/>
                <w:iCs/>
                <w:sz w:val="22"/>
                <w:szCs w:val="22"/>
                <w:lang w:eastAsia="en-NZ"/>
              </w:rPr>
              <w:t>3</w:t>
            </w:r>
            <w:r w:rsidRPr="00C5695A">
              <w:rPr>
                <w:rFonts w:ascii="Segoe UI" w:hAnsi="Segoe UI" w:cs="Segoe UI"/>
                <w:iCs/>
                <w:sz w:val="22"/>
                <w:szCs w:val="22"/>
                <w:lang w:eastAsia="en-NZ"/>
              </w:rPr>
              <w:t xml:space="preserve"> is:</w:t>
            </w:r>
          </w:p>
          <w:p w14:paraId="1A6B85DA" w14:textId="5BCBAD6C" w:rsidR="00C5695A" w:rsidRPr="00C5695A" w:rsidRDefault="004133EA" w:rsidP="00B40F93">
            <w:pPr>
              <w:pStyle w:val="Example-ListBullet1"/>
              <w:numPr>
                <w:ilvl w:val="0"/>
                <w:numId w:val="0"/>
              </w:numPr>
              <w:jc w:val="center"/>
              <w:rPr>
                <w:sz w:val="22"/>
                <w:szCs w:val="22"/>
              </w:rPr>
            </w:pPr>
            <m:oMath>
              <m:f>
                <m:fPr>
                  <m:ctrlPr>
                    <w:rPr>
                      <w:rFonts w:ascii="Cambria Math" w:hAnsi="Cambria Math"/>
                      <w:iCs/>
                      <w:sz w:val="22"/>
                      <w:szCs w:val="22"/>
                      <w:lang w:eastAsia="en-NZ"/>
                    </w:rPr>
                  </m:ctrlPr>
                </m:fPr>
                <m:num>
                  <m:r>
                    <w:rPr>
                      <w:rFonts w:ascii="Cambria Math" w:hAnsi="Cambria Math"/>
                      <w:sz w:val="22"/>
                      <w:szCs w:val="22"/>
                      <w:lang w:eastAsia="en-NZ"/>
                    </w:rPr>
                    <m:t>(</m:t>
                  </m:r>
                  <m:d>
                    <m:dPr>
                      <m:ctrlPr>
                        <w:rPr>
                          <w:rFonts w:ascii="Cambria Math" w:hAnsi="Cambria Math"/>
                          <w:iCs/>
                          <w:sz w:val="22"/>
                          <w:szCs w:val="22"/>
                        </w:rPr>
                      </m:ctrlPr>
                    </m:dPr>
                    <m:e>
                      <m:r>
                        <m:rPr>
                          <m:sty m:val="p"/>
                        </m:rPr>
                        <w:rPr>
                          <w:rFonts w:ascii="Cambria Math" w:hAnsi="Cambria Math"/>
                          <w:sz w:val="22"/>
                          <w:szCs w:val="22"/>
                        </w:rPr>
                        <m:t xml:space="preserve">NZ$125,000 × 50%) </m:t>
                      </m:r>
                      <m:r>
                        <w:rPr>
                          <w:rFonts w:ascii="Cambria Math" w:hAnsi="Cambria Math"/>
                          <w:sz w:val="22"/>
                          <w:szCs w:val="22"/>
                        </w:rPr>
                        <m:t>+ 0 -</m:t>
                      </m:r>
                      <m:r>
                        <m:rPr>
                          <m:sty m:val="p"/>
                        </m:rPr>
                        <w:rPr>
                          <w:rFonts w:ascii="Cambria Math" w:hAnsi="Cambria Math"/>
                          <w:sz w:val="22"/>
                          <w:szCs w:val="22"/>
                        </w:rPr>
                        <m:t>NZ$5,000</m:t>
                      </m:r>
                    </m:e>
                  </m:d>
                  <m:r>
                    <m:rPr>
                      <m:sty m:val="p"/>
                    </m:rPr>
                    <w:rPr>
                      <w:rFonts w:ascii="Cambria Math" w:hAnsi="Cambria Math"/>
                      <w:sz w:val="22"/>
                      <w:szCs w:val="22"/>
                    </w:rPr>
                    <m:t xml:space="preserve"> × 0.05 × 30 </m:t>
                  </m:r>
                </m:num>
                <m:den>
                  <m:r>
                    <m:rPr>
                      <m:sty m:val="p"/>
                    </m:rPr>
                    <w:rPr>
                      <w:rFonts w:ascii="Cambria Math" w:hAnsi="Cambria Math"/>
                      <w:sz w:val="22"/>
                      <w:szCs w:val="22"/>
                    </w:rPr>
                    <m:t>365</m:t>
                  </m:r>
                </m:den>
              </m:f>
            </m:oMath>
            <w:r w:rsidR="00C5695A" w:rsidRPr="00C5695A">
              <w:rPr>
                <w:iCs/>
                <w:sz w:val="22"/>
                <w:szCs w:val="22"/>
                <w:lang w:eastAsia="en-NZ"/>
              </w:rPr>
              <w:t xml:space="preserve"> = $236</w:t>
            </w:r>
          </w:p>
          <w:p w14:paraId="29FAA914" w14:textId="08CCCD10" w:rsidR="00C5695A" w:rsidRPr="00C5695A" w:rsidRDefault="00C5695A" w:rsidP="00EB390A">
            <w:pPr>
              <w:pStyle w:val="Example-ListBullet1"/>
              <w:numPr>
                <w:ilvl w:val="0"/>
                <w:numId w:val="0"/>
              </w:numPr>
              <w:tabs>
                <w:tab w:val="clear" w:pos="284"/>
                <w:tab w:val="left" w:pos="0"/>
              </w:tabs>
              <w:spacing w:before="160" w:after="160"/>
              <w:jc w:val="left"/>
              <w:rPr>
                <w:rFonts w:ascii="Segoe UI" w:hAnsi="Segoe UI" w:cs="Segoe UI"/>
                <w:iCs/>
                <w:sz w:val="22"/>
                <w:szCs w:val="22"/>
                <w:lang w:eastAsia="en-NZ"/>
              </w:rPr>
            </w:pPr>
            <w:r w:rsidRPr="00C5695A">
              <w:rPr>
                <w:rFonts w:ascii="Segoe UI" w:hAnsi="Segoe UI" w:cs="Segoe UI"/>
                <w:iCs/>
                <w:sz w:val="22"/>
                <w:szCs w:val="22"/>
                <w:lang w:eastAsia="en-NZ"/>
              </w:rPr>
              <w:lastRenderedPageBreak/>
              <w:t>Period gain is zero on 1 April 202</w:t>
            </w:r>
            <w:r w:rsidR="0014131D">
              <w:rPr>
                <w:rFonts w:ascii="Segoe UI" w:hAnsi="Segoe UI" w:cs="Segoe UI"/>
                <w:iCs/>
                <w:sz w:val="22"/>
                <w:szCs w:val="22"/>
                <w:lang w:eastAsia="en-NZ"/>
              </w:rPr>
              <w:t>3</w:t>
            </w:r>
            <w:r w:rsidRPr="00C5695A">
              <w:rPr>
                <w:rFonts w:ascii="Segoe UI" w:hAnsi="Segoe UI" w:cs="Segoe UI"/>
                <w:iCs/>
                <w:sz w:val="22"/>
                <w:szCs w:val="22"/>
                <w:lang w:eastAsia="en-NZ"/>
              </w:rPr>
              <w:t xml:space="preserve"> because there was no net gain on the hedge of US$50,000 that was entered and settled within the preceding valuation period.</w:t>
            </w:r>
          </w:p>
          <w:p w14:paraId="04D68FB7" w14:textId="1E47B2E0" w:rsidR="00D85DDF" w:rsidRPr="00830D2F" w:rsidRDefault="00C5695A" w:rsidP="00EB390A">
            <w:r w:rsidRPr="00C5695A">
              <w:rPr>
                <w:rFonts w:cs="Segoe UI"/>
                <w:iCs/>
                <w:lang w:eastAsia="en-NZ"/>
              </w:rPr>
              <w:t>Period loss is NZ$5,000 on 1 April 202</w:t>
            </w:r>
            <w:r w:rsidR="0014131D">
              <w:rPr>
                <w:rFonts w:cs="Segoe UI"/>
                <w:iCs/>
                <w:lang w:eastAsia="en-NZ"/>
              </w:rPr>
              <w:t>3</w:t>
            </w:r>
            <w:r w:rsidRPr="00C5695A">
              <w:rPr>
                <w:rFonts w:cs="Segoe UI"/>
                <w:iCs/>
                <w:lang w:eastAsia="en-NZ"/>
              </w:rPr>
              <w:t xml:space="preserve"> (being (NZ$70,000 − NZ$75,000) × the 100% FDR hedge portion) </w:t>
            </w:r>
            <w:r w:rsidR="009A1FAE" w:rsidRPr="00C5695A">
              <w:rPr>
                <w:rFonts w:cs="Segoe UI"/>
                <w:iCs/>
                <w:lang w:eastAsia="en-NZ"/>
              </w:rPr>
              <w:t xml:space="preserve">because there was a net loss of $5,000 </w:t>
            </w:r>
            <w:r w:rsidRPr="00C5695A">
              <w:rPr>
                <w:rFonts w:cs="Segoe UI"/>
                <w:iCs/>
                <w:lang w:eastAsia="en-NZ"/>
              </w:rPr>
              <w:t>on the hedge of US$50,000 that was entered and settled within the preceding valuation period.</w:t>
            </w:r>
          </w:p>
        </w:tc>
      </w:tr>
    </w:tbl>
    <w:p w14:paraId="5D469A15" w14:textId="517BD84A" w:rsidR="00751C55" w:rsidRPr="00190D1A" w:rsidRDefault="00751C55" w:rsidP="00204C6A">
      <w:pPr>
        <w:pStyle w:val="NoNumberHeading3"/>
      </w:pPr>
      <w:r w:rsidRPr="00190D1A">
        <w:lastRenderedPageBreak/>
        <w:t xml:space="preserve">Definition of </w:t>
      </w:r>
      <w:r w:rsidR="00204C6A">
        <w:t>“</w:t>
      </w:r>
      <w:r w:rsidRPr="00190D1A">
        <w:t>non-eligible assets</w:t>
      </w:r>
      <w:r w:rsidR="00204C6A">
        <w:t>”</w:t>
      </w:r>
      <w:r w:rsidRPr="00190D1A">
        <w:t xml:space="preserve"> (section EM 8)</w:t>
      </w:r>
    </w:p>
    <w:p w14:paraId="7891EF38" w14:textId="0BFD619F" w:rsidR="00751C55" w:rsidRDefault="00751C55" w:rsidP="00EB390A">
      <w:pPr>
        <w:rPr>
          <w:rFonts w:cs="Segoe UI"/>
        </w:rPr>
      </w:pPr>
      <w:r>
        <w:rPr>
          <w:rFonts w:cs="Segoe UI"/>
        </w:rPr>
        <w:t>T</w:t>
      </w:r>
      <w:r w:rsidRPr="0045099B">
        <w:rPr>
          <w:rFonts w:cs="Segoe UI"/>
        </w:rPr>
        <w:t xml:space="preserve">he definition of </w:t>
      </w:r>
      <w:r w:rsidR="00204C6A">
        <w:rPr>
          <w:rFonts w:cs="Segoe UI"/>
        </w:rPr>
        <w:t>“</w:t>
      </w:r>
      <w:r w:rsidRPr="0045099B">
        <w:rPr>
          <w:rFonts w:cs="Segoe UI"/>
        </w:rPr>
        <w:t>non-eligible assets</w:t>
      </w:r>
      <w:r w:rsidR="00204C6A">
        <w:rPr>
          <w:rFonts w:cs="Segoe UI"/>
        </w:rPr>
        <w:t>”</w:t>
      </w:r>
      <w:r w:rsidRPr="0045099B">
        <w:rPr>
          <w:rFonts w:cs="Segoe UI"/>
        </w:rPr>
        <w:t xml:space="preserve"> </w:t>
      </w:r>
      <w:r w:rsidR="0037148D">
        <w:rPr>
          <w:rFonts w:cs="Segoe UI"/>
        </w:rPr>
        <w:t xml:space="preserve">in section EM 8 </w:t>
      </w:r>
      <w:r>
        <w:rPr>
          <w:rFonts w:cs="Segoe UI"/>
        </w:rPr>
        <w:t>has been amended to improve the accuracy of FDR hedge portion calculations. El</w:t>
      </w:r>
      <w:r w:rsidRPr="0045099B">
        <w:rPr>
          <w:rFonts w:cs="Segoe UI"/>
        </w:rPr>
        <w:t>igible foreign currency hedges</w:t>
      </w:r>
      <w:r>
        <w:rPr>
          <w:rFonts w:cs="Segoe UI"/>
        </w:rPr>
        <w:t xml:space="preserve"> are now excluded from the definition of </w:t>
      </w:r>
      <w:r w:rsidR="00FE6FC4">
        <w:rPr>
          <w:rFonts w:cs="Segoe UI"/>
        </w:rPr>
        <w:t>“</w:t>
      </w:r>
      <w:r>
        <w:rPr>
          <w:rFonts w:cs="Segoe UI"/>
        </w:rPr>
        <w:t>non-eligible assets</w:t>
      </w:r>
      <w:r w:rsidR="00FE6FC4">
        <w:rPr>
          <w:rFonts w:cs="Segoe UI"/>
        </w:rPr>
        <w:t>”</w:t>
      </w:r>
      <w:r w:rsidR="00354415">
        <w:rPr>
          <w:rFonts w:cs="Segoe UI"/>
        </w:rPr>
        <w:t>.</w:t>
      </w:r>
      <w:r w:rsidRPr="0045099B">
        <w:rPr>
          <w:rFonts w:cs="Segoe UI"/>
        </w:rPr>
        <w:t xml:space="preserve"> </w:t>
      </w:r>
      <w:r w:rsidR="00354415">
        <w:rPr>
          <w:rFonts w:cs="Segoe UI"/>
        </w:rPr>
        <w:t>Also excluded are</w:t>
      </w:r>
      <w:r w:rsidRPr="0045099B">
        <w:rPr>
          <w:rFonts w:cs="Segoe UI"/>
        </w:rPr>
        <w:t xml:space="preserve"> New Zealand securities listed on </w:t>
      </w:r>
      <w:r>
        <w:rPr>
          <w:rFonts w:cs="Segoe UI"/>
        </w:rPr>
        <w:t xml:space="preserve">a </w:t>
      </w:r>
      <w:r w:rsidRPr="0045099B">
        <w:rPr>
          <w:rFonts w:cs="Segoe UI"/>
        </w:rPr>
        <w:t xml:space="preserve">foreign exchange </w:t>
      </w:r>
      <w:r>
        <w:rPr>
          <w:rFonts w:cs="Segoe UI"/>
        </w:rPr>
        <w:t xml:space="preserve">and </w:t>
      </w:r>
      <w:r w:rsidRPr="0045099B">
        <w:rPr>
          <w:rFonts w:cs="Segoe UI"/>
        </w:rPr>
        <w:t xml:space="preserve">denominated in </w:t>
      </w:r>
      <w:r>
        <w:rPr>
          <w:rFonts w:cs="Segoe UI"/>
        </w:rPr>
        <w:t xml:space="preserve">a </w:t>
      </w:r>
      <w:r w:rsidRPr="0045099B">
        <w:rPr>
          <w:rFonts w:cs="Segoe UI"/>
        </w:rPr>
        <w:t>foreign currenc</w:t>
      </w:r>
      <w:r>
        <w:rPr>
          <w:rFonts w:cs="Segoe UI"/>
        </w:rPr>
        <w:t xml:space="preserve">y </w:t>
      </w:r>
      <w:r w:rsidRPr="0045099B">
        <w:rPr>
          <w:rFonts w:cs="Segoe UI"/>
        </w:rPr>
        <w:t xml:space="preserve">to the extent that no foreign currency hedge has been entered into to hedge the </w:t>
      </w:r>
      <w:r>
        <w:rPr>
          <w:rFonts w:cs="Segoe UI"/>
        </w:rPr>
        <w:t>shares</w:t>
      </w:r>
      <w:r w:rsidRPr="0045099B">
        <w:rPr>
          <w:rFonts w:cs="Segoe UI"/>
        </w:rPr>
        <w:t>.</w:t>
      </w:r>
    </w:p>
    <w:p w14:paraId="11931E26" w14:textId="24559AB2" w:rsidR="00751C55" w:rsidRDefault="00751C55" w:rsidP="00EB390A">
      <w:pPr>
        <w:rPr>
          <w:rFonts w:cs="Segoe UI"/>
        </w:rPr>
      </w:pPr>
      <w:r>
        <w:rPr>
          <w:rFonts w:cs="Segoe UI"/>
        </w:rPr>
        <w:t>Certain foreign currency cash assets are also excluded from non-eligible assets. There are two different approaches for taxpayers to calculate this exclusion</w:t>
      </w:r>
      <w:r w:rsidR="006C1823">
        <w:rPr>
          <w:rFonts w:cs="Segoe UI"/>
        </w:rPr>
        <w:t xml:space="preserve"> </w:t>
      </w:r>
      <w:r w:rsidR="00DD5F5C">
        <w:rPr>
          <w:rFonts w:cs="Segoe UI"/>
        </w:rPr>
        <w:t>—</w:t>
      </w:r>
      <w:r w:rsidR="006A12B0">
        <w:rPr>
          <w:rFonts w:cs="Segoe UI"/>
        </w:rPr>
        <w:t xml:space="preserve"> the </w:t>
      </w:r>
      <w:r w:rsidR="006A12B0" w:rsidRPr="00436E69">
        <w:rPr>
          <w:rFonts w:cs="Segoe UI"/>
          <w:i/>
        </w:rPr>
        <w:t>de minimis cash exclusion</w:t>
      </w:r>
      <w:r w:rsidR="006A12B0">
        <w:rPr>
          <w:rFonts w:cs="Segoe UI"/>
        </w:rPr>
        <w:t xml:space="preserve"> and the </w:t>
      </w:r>
      <w:r w:rsidR="006A12B0" w:rsidRPr="00436E69">
        <w:rPr>
          <w:rFonts w:cs="Segoe UI"/>
          <w:i/>
        </w:rPr>
        <w:t>relational cash exclusion</w:t>
      </w:r>
      <w:r>
        <w:rPr>
          <w:rFonts w:cs="Segoe UI"/>
        </w:rPr>
        <w:t xml:space="preserve">. </w:t>
      </w:r>
      <w:r w:rsidR="00B16773">
        <w:rPr>
          <w:rFonts w:cs="Segoe UI"/>
        </w:rPr>
        <w:t xml:space="preserve">The de minimis cash exclusion approach is the default </w:t>
      </w:r>
      <w:r w:rsidR="00042CA8">
        <w:rPr>
          <w:rFonts w:cs="Segoe UI"/>
        </w:rPr>
        <w:t>approach</w:t>
      </w:r>
      <w:r w:rsidR="004569F5">
        <w:rPr>
          <w:rFonts w:cs="Segoe UI"/>
        </w:rPr>
        <w:t>.</w:t>
      </w:r>
      <w:r w:rsidR="00042CA8">
        <w:rPr>
          <w:rFonts w:cs="Segoe UI"/>
        </w:rPr>
        <w:t xml:space="preserve"> </w:t>
      </w:r>
      <w:r w:rsidR="004569F5">
        <w:rPr>
          <w:rFonts w:cs="Segoe UI"/>
        </w:rPr>
        <w:t>H</w:t>
      </w:r>
      <w:r w:rsidR="00042CA8">
        <w:rPr>
          <w:rFonts w:cs="Segoe UI"/>
        </w:rPr>
        <w:t>owever</w:t>
      </w:r>
      <w:r w:rsidR="004569F5">
        <w:rPr>
          <w:rFonts w:cs="Segoe UI"/>
        </w:rPr>
        <w:t>,</w:t>
      </w:r>
      <w:r w:rsidR="00B16773">
        <w:rPr>
          <w:rFonts w:cs="Segoe UI"/>
        </w:rPr>
        <w:t xml:space="preserve"> </w:t>
      </w:r>
      <w:r w:rsidR="00A00939">
        <w:rPr>
          <w:rFonts w:cs="Segoe UI"/>
        </w:rPr>
        <w:t>e</w:t>
      </w:r>
      <w:r>
        <w:rPr>
          <w:rFonts w:cs="Segoe UI"/>
        </w:rPr>
        <w:t>ither approach can be applied each time an FDR hedge portion is being calculated</w:t>
      </w:r>
      <w:r w:rsidR="00494434">
        <w:rPr>
          <w:rFonts w:cs="Segoe UI"/>
        </w:rPr>
        <w:t xml:space="preserve"> (but only one approach can be applied</w:t>
      </w:r>
      <w:r w:rsidR="005F75D5">
        <w:rPr>
          <w:rFonts w:cs="Segoe UI"/>
        </w:rPr>
        <w:t xml:space="preserve"> per FDR hedge portion calculation)</w:t>
      </w:r>
      <w:r w:rsidR="00304C80">
        <w:rPr>
          <w:rFonts w:cs="Segoe UI"/>
        </w:rPr>
        <w:t>.</w:t>
      </w:r>
    </w:p>
    <w:p w14:paraId="53F8535F" w14:textId="1DA01F10" w:rsidR="00751C55" w:rsidRDefault="00751C55" w:rsidP="00443BD8">
      <w:pPr>
        <w:pStyle w:val="NoNumberHeading4"/>
      </w:pPr>
      <w:r w:rsidRPr="00964C49">
        <w:t xml:space="preserve">De minimis </w:t>
      </w:r>
      <w:r w:rsidR="00304C80">
        <w:t xml:space="preserve">cash exclusion </w:t>
      </w:r>
      <w:r>
        <w:t>approach</w:t>
      </w:r>
    </w:p>
    <w:p w14:paraId="78A34CDC" w14:textId="6BC3FBCC" w:rsidR="00751C55" w:rsidRDefault="00751C55" w:rsidP="00EB390A">
      <w:pPr>
        <w:rPr>
          <w:rFonts w:cs="Segoe UI"/>
        </w:rPr>
      </w:pPr>
      <w:r>
        <w:rPr>
          <w:rFonts w:cs="Segoe UI"/>
        </w:rPr>
        <w:t xml:space="preserve">Under the de minimis approach, foreign currency </w:t>
      </w:r>
      <w:r w:rsidRPr="00F95162">
        <w:rPr>
          <w:rFonts w:cs="Segoe UI"/>
        </w:rPr>
        <w:t>cash assets totalling less than 5% of the market value of</w:t>
      </w:r>
      <w:r>
        <w:rPr>
          <w:rFonts w:cs="Segoe UI"/>
        </w:rPr>
        <w:t xml:space="preserve"> eligible assets are excluded from non-eligible assets. This means that if a taxpayer’s foreign currency cash assets equal less than 5% of eligible assets when calculating </w:t>
      </w:r>
      <w:r w:rsidR="00304C80">
        <w:rPr>
          <w:rFonts w:cs="Segoe UI"/>
        </w:rPr>
        <w:t>an</w:t>
      </w:r>
      <w:r>
        <w:rPr>
          <w:rFonts w:cs="Segoe UI"/>
        </w:rPr>
        <w:t xml:space="preserve"> FDR hedge portion, all the foreign currency cash assets will be excluded from non-eligible assets. If a taxpayer’s foreign currency cash assets equal 5% or more of eligible assets, </w:t>
      </w:r>
      <w:r w:rsidR="003478F0">
        <w:rPr>
          <w:rFonts w:cs="Segoe UI"/>
        </w:rPr>
        <w:t xml:space="preserve">then </w:t>
      </w:r>
      <w:r>
        <w:rPr>
          <w:rFonts w:cs="Segoe UI"/>
        </w:rPr>
        <w:t>the maximum allowed</w:t>
      </w:r>
      <w:r w:rsidR="003478F0">
        <w:rPr>
          <w:rFonts w:cs="Segoe UI"/>
        </w:rPr>
        <w:t xml:space="preserve"> (</w:t>
      </w:r>
      <w:r w:rsidR="00795389">
        <w:rPr>
          <w:rFonts w:cs="Segoe UI"/>
        </w:rPr>
        <w:t>that is,</w:t>
      </w:r>
      <w:r w:rsidR="003478F0">
        <w:rPr>
          <w:rFonts w:cs="Segoe UI"/>
        </w:rPr>
        <w:t xml:space="preserve"> 4.99%</w:t>
      </w:r>
      <w:r>
        <w:rPr>
          <w:rFonts w:cs="Segoe UI"/>
        </w:rPr>
        <w:t>) will be excluded.</w:t>
      </w:r>
    </w:p>
    <w:tbl>
      <w:tblPr>
        <w:tblStyle w:val="IR-Table-ParagraphHighlightStyle2"/>
        <w:tblW w:w="0" w:type="auto"/>
        <w:tblLook w:val="04A0" w:firstRow="1" w:lastRow="0" w:firstColumn="1" w:lastColumn="0" w:noHBand="0" w:noVBand="1"/>
      </w:tblPr>
      <w:tblGrid>
        <w:gridCol w:w="9016"/>
      </w:tblGrid>
      <w:tr w:rsidR="00D85DDF" w14:paraId="6634E752" w14:textId="77777777" w:rsidTr="0000367E">
        <w:tc>
          <w:tcPr>
            <w:tcW w:w="9016" w:type="dxa"/>
          </w:tcPr>
          <w:p w14:paraId="192881EE" w14:textId="093ED193" w:rsidR="00D85DDF" w:rsidRDefault="00D85DDF" w:rsidP="00EB390A">
            <w:pPr>
              <w:rPr>
                <w:b/>
                <w:bCs/>
              </w:rPr>
            </w:pPr>
            <w:r w:rsidRPr="00830D2F">
              <w:rPr>
                <w:b/>
                <w:bCs/>
              </w:rPr>
              <w:t xml:space="preserve">Example </w:t>
            </w:r>
            <w:r w:rsidR="00C5695A">
              <w:rPr>
                <w:b/>
                <w:bCs/>
              </w:rPr>
              <w:t>10</w:t>
            </w:r>
            <w:r w:rsidR="00A93351">
              <w:rPr>
                <w:b/>
                <w:bCs/>
              </w:rPr>
              <w:t xml:space="preserve">: </w:t>
            </w:r>
            <w:r w:rsidR="00FA1A46">
              <w:rPr>
                <w:b/>
                <w:bCs/>
              </w:rPr>
              <w:t>Foreign currency cash assets equal less than 5% of eligible assets</w:t>
            </w:r>
          </w:p>
          <w:p w14:paraId="26BF7DC4" w14:textId="7EBD6943" w:rsidR="00C5695A" w:rsidRPr="00C5695A" w:rsidRDefault="00C5695A" w:rsidP="00EB390A">
            <w:pPr>
              <w:spacing w:after="160"/>
            </w:pPr>
            <w:r w:rsidRPr="00C5695A">
              <w:t>At the beginning of 1 November 202</w:t>
            </w:r>
            <w:r w:rsidR="008C51BE">
              <w:t>3</w:t>
            </w:r>
            <w:r w:rsidRPr="00C5695A">
              <w:t>, Basil US Equity Fund (Basil) has a portfolio of:</w:t>
            </w:r>
          </w:p>
          <w:p w14:paraId="1B487FA7" w14:textId="77777777" w:rsidR="00C5695A" w:rsidRPr="00C5695A" w:rsidRDefault="00C5695A" w:rsidP="00BA2EFD">
            <w:pPr>
              <w:pStyle w:val="Bullets"/>
            </w:pPr>
            <w:r w:rsidRPr="00C5695A">
              <w:t>US$50,000 of shares in US-based companies (eligible assets, worth NZ$100,000)</w:t>
            </w:r>
          </w:p>
          <w:p w14:paraId="4755ED07" w14:textId="77777777" w:rsidR="00C5695A" w:rsidRPr="00C5695A" w:rsidRDefault="00C5695A" w:rsidP="00BA2EFD">
            <w:pPr>
              <w:pStyle w:val="Bullets"/>
            </w:pPr>
            <w:r w:rsidRPr="00C5695A">
              <w:t>US$2,000 of foreign currency cash assets (worth NZ$4,000)</w:t>
            </w:r>
          </w:p>
          <w:p w14:paraId="137AB9C1" w14:textId="2B9A3FE5" w:rsidR="00D85DDF" w:rsidRPr="00830D2F" w:rsidRDefault="007D2280" w:rsidP="00EB390A">
            <w:r>
              <w:rPr>
                <w:rFonts w:cs="Segoe UI"/>
              </w:rPr>
              <w:lastRenderedPageBreak/>
              <w:t>At the beginning of 1 November 202</w:t>
            </w:r>
            <w:r w:rsidR="008C51BE">
              <w:rPr>
                <w:rFonts w:cs="Segoe UI"/>
              </w:rPr>
              <w:t>3</w:t>
            </w:r>
            <w:r>
              <w:rPr>
                <w:rFonts w:cs="Segoe UI"/>
              </w:rPr>
              <w:t xml:space="preserve">, </w:t>
            </w:r>
            <w:r w:rsidR="00C5695A" w:rsidRPr="00C5695A">
              <w:rPr>
                <w:rFonts w:cs="Segoe UI"/>
              </w:rPr>
              <w:t>Basil’s foreign currency cash assets equal less than 5% of its eligible assets</w:t>
            </w:r>
            <w:r w:rsidR="006529B9">
              <w:rPr>
                <w:rFonts w:cs="Segoe UI"/>
              </w:rPr>
              <w:t>,</w:t>
            </w:r>
            <w:r w:rsidR="00C5695A" w:rsidRPr="00C5695A">
              <w:rPr>
                <w:rFonts w:cs="Segoe UI"/>
              </w:rPr>
              <w:t xml:space="preserve"> so all NZ$4,000 of the foreign currency cash assets are excluded from non-eligible assets under the de minimis approach.</w:t>
            </w:r>
          </w:p>
        </w:tc>
      </w:tr>
    </w:tbl>
    <w:p w14:paraId="305611C7" w14:textId="169B1633" w:rsidR="00751C55" w:rsidRDefault="00751C55" w:rsidP="00986F41">
      <w:pPr>
        <w:spacing w:before="0" w:after="0" w:line="240" w:lineRule="auto"/>
        <w:rPr>
          <w:rFonts w:cs="Segoe UI"/>
          <w:i/>
          <w:iCs/>
        </w:rPr>
      </w:pPr>
    </w:p>
    <w:tbl>
      <w:tblPr>
        <w:tblStyle w:val="IR-Table-ParagraphHighlightStyle2"/>
        <w:tblW w:w="0" w:type="auto"/>
        <w:tblLook w:val="04A0" w:firstRow="1" w:lastRow="0" w:firstColumn="1" w:lastColumn="0" w:noHBand="0" w:noVBand="1"/>
      </w:tblPr>
      <w:tblGrid>
        <w:gridCol w:w="9016"/>
      </w:tblGrid>
      <w:tr w:rsidR="00D85DDF" w14:paraId="0A6C28AB" w14:textId="77777777" w:rsidTr="0000367E">
        <w:tc>
          <w:tcPr>
            <w:tcW w:w="9016" w:type="dxa"/>
          </w:tcPr>
          <w:p w14:paraId="2B867943" w14:textId="5F0F4618" w:rsidR="00D85DDF" w:rsidRDefault="00D85DDF" w:rsidP="00EB390A">
            <w:pPr>
              <w:rPr>
                <w:b/>
                <w:bCs/>
              </w:rPr>
            </w:pPr>
            <w:r w:rsidRPr="00830D2F">
              <w:rPr>
                <w:b/>
                <w:bCs/>
              </w:rPr>
              <w:t xml:space="preserve">Example </w:t>
            </w:r>
            <w:r w:rsidR="00C5695A">
              <w:rPr>
                <w:b/>
                <w:bCs/>
              </w:rPr>
              <w:t>11</w:t>
            </w:r>
            <w:r w:rsidR="00FA1A46">
              <w:rPr>
                <w:b/>
                <w:bCs/>
              </w:rPr>
              <w:t>: Foreign currency cash assets equal more than 5% of eligible assets</w:t>
            </w:r>
          </w:p>
          <w:p w14:paraId="68565278" w14:textId="0F9D2936" w:rsidR="00C5695A" w:rsidRPr="00C5695A" w:rsidRDefault="00C5695A" w:rsidP="00EB390A">
            <w:pPr>
              <w:spacing w:after="160"/>
            </w:pPr>
            <w:r w:rsidRPr="00C5695A">
              <w:t>At the beginning of 1 November 202</w:t>
            </w:r>
            <w:r w:rsidR="008C51BE">
              <w:t>3</w:t>
            </w:r>
            <w:r w:rsidRPr="00C5695A">
              <w:t>, Thyme US Equity Fund (Thyme) has a portfolio of:</w:t>
            </w:r>
          </w:p>
          <w:p w14:paraId="52A6AD85" w14:textId="77777777" w:rsidR="00C5695A" w:rsidRPr="00C5695A" w:rsidRDefault="00C5695A" w:rsidP="00BA2EFD">
            <w:pPr>
              <w:pStyle w:val="Bullets"/>
            </w:pPr>
            <w:r w:rsidRPr="00C5695A">
              <w:t>US$50,000 of shares in US-based companies (eligible assets, worth NZ$100,000)</w:t>
            </w:r>
          </w:p>
          <w:p w14:paraId="5F5B9EAE" w14:textId="77777777" w:rsidR="00C5695A" w:rsidRPr="00C5695A" w:rsidRDefault="00C5695A" w:rsidP="00BA2EFD">
            <w:pPr>
              <w:pStyle w:val="Bullets"/>
            </w:pPr>
            <w:r w:rsidRPr="00C5695A">
              <w:t>US$20,000 of foreign currency cash assets (worth NZ$40,000)</w:t>
            </w:r>
          </w:p>
          <w:p w14:paraId="0EF93B7F" w14:textId="589FB8B2" w:rsidR="00D85DDF" w:rsidRPr="00830D2F" w:rsidRDefault="006F4A34" w:rsidP="00EB390A">
            <w:r>
              <w:rPr>
                <w:rFonts w:cs="Segoe UI"/>
              </w:rPr>
              <w:t>At the beginning of 1 November 202</w:t>
            </w:r>
            <w:r w:rsidR="008C51BE">
              <w:rPr>
                <w:rFonts w:cs="Segoe UI"/>
              </w:rPr>
              <w:t>3</w:t>
            </w:r>
            <w:r>
              <w:rPr>
                <w:rFonts w:cs="Segoe UI"/>
              </w:rPr>
              <w:t xml:space="preserve">, </w:t>
            </w:r>
            <w:r w:rsidR="00C5695A" w:rsidRPr="00C5695A">
              <w:rPr>
                <w:rFonts w:cs="Segoe UI"/>
              </w:rPr>
              <w:t>Thyme’s foreign currency cash assets equal greater than 5% of its eligible assets</w:t>
            </w:r>
            <w:r w:rsidR="00B60356">
              <w:rPr>
                <w:rFonts w:cs="Segoe UI"/>
              </w:rPr>
              <w:t>,</w:t>
            </w:r>
            <w:r w:rsidR="00C5695A" w:rsidRPr="00C5695A">
              <w:rPr>
                <w:rFonts w:cs="Segoe UI"/>
              </w:rPr>
              <w:t xml:space="preserve"> so NZ$4,999.99 of the foreign currency cash assets (</w:t>
            </w:r>
            <w:r w:rsidR="006529B9">
              <w:rPr>
                <w:rFonts w:cs="Segoe UI"/>
              </w:rPr>
              <w:t>that is,</w:t>
            </w:r>
            <w:r w:rsidR="00C5695A" w:rsidRPr="00C5695A">
              <w:rPr>
                <w:rFonts w:cs="Segoe UI"/>
              </w:rPr>
              <w:t xml:space="preserve"> the maximum allowed) are excluded from non-eligible assets under the de minimis </w:t>
            </w:r>
            <w:r w:rsidR="00322B0B">
              <w:rPr>
                <w:rFonts w:cs="Segoe UI"/>
              </w:rPr>
              <w:t xml:space="preserve">cash exclusion </w:t>
            </w:r>
            <w:r w:rsidR="00C5695A" w:rsidRPr="00C5695A">
              <w:rPr>
                <w:rFonts w:cs="Segoe UI"/>
              </w:rPr>
              <w:t xml:space="preserve">approach. NZ$35,000.01 of the </w:t>
            </w:r>
            <w:r w:rsidR="006529B9">
              <w:rPr>
                <w:rFonts w:cs="Segoe UI"/>
              </w:rPr>
              <w:t xml:space="preserve">foreign currency </w:t>
            </w:r>
            <w:r w:rsidR="00C5695A" w:rsidRPr="00C5695A">
              <w:rPr>
                <w:rFonts w:cs="Segoe UI"/>
              </w:rPr>
              <w:t xml:space="preserve">cash </w:t>
            </w:r>
            <w:r w:rsidR="006529B9">
              <w:rPr>
                <w:rFonts w:cs="Segoe UI"/>
              </w:rPr>
              <w:t xml:space="preserve">assets </w:t>
            </w:r>
            <w:r w:rsidR="00C5695A" w:rsidRPr="00C5695A">
              <w:rPr>
                <w:rFonts w:cs="Segoe UI"/>
              </w:rPr>
              <w:t>will be treated as non-eligible assets under this approach.</w:t>
            </w:r>
          </w:p>
        </w:tc>
      </w:tr>
    </w:tbl>
    <w:p w14:paraId="4CABDDFA" w14:textId="26BFB659" w:rsidR="00751C55" w:rsidRPr="006E64CF" w:rsidRDefault="00751C55" w:rsidP="00443BD8">
      <w:pPr>
        <w:pStyle w:val="NoNumberHeading4"/>
      </w:pPr>
      <w:r w:rsidRPr="006E64CF">
        <w:t xml:space="preserve">Relational </w:t>
      </w:r>
      <w:r w:rsidR="00304C80">
        <w:t xml:space="preserve">cash exclusion </w:t>
      </w:r>
      <w:r w:rsidRPr="006E64CF">
        <w:t>approach</w:t>
      </w:r>
    </w:p>
    <w:p w14:paraId="6E6C22C9" w14:textId="79FA7AD8" w:rsidR="00751C55" w:rsidRDefault="002148C8" w:rsidP="00EB390A">
      <w:pPr>
        <w:rPr>
          <w:rFonts w:cs="Segoe UI"/>
        </w:rPr>
      </w:pPr>
      <w:r>
        <w:rPr>
          <w:rFonts w:cs="Segoe UI"/>
        </w:rPr>
        <w:t>If a taxpayer does not wish to use</w:t>
      </w:r>
      <w:r w:rsidR="00683378">
        <w:rPr>
          <w:rFonts w:cs="Segoe UI"/>
        </w:rPr>
        <w:t xml:space="preserve"> the de minimis cash exclusion approach, </w:t>
      </w:r>
      <w:r>
        <w:rPr>
          <w:rFonts w:cs="Segoe UI"/>
        </w:rPr>
        <w:t>they</w:t>
      </w:r>
      <w:r w:rsidR="00683378">
        <w:rPr>
          <w:rFonts w:cs="Segoe UI"/>
        </w:rPr>
        <w:t xml:space="preserve"> can elect to </w:t>
      </w:r>
      <w:r>
        <w:rPr>
          <w:rFonts w:cs="Segoe UI"/>
        </w:rPr>
        <w:t xml:space="preserve">adopt the relational cash exclusion approach. </w:t>
      </w:r>
      <w:r w:rsidR="00751C55">
        <w:rPr>
          <w:rFonts w:cs="Segoe UI"/>
        </w:rPr>
        <w:t>Under th</w:t>
      </w:r>
      <w:r>
        <w:rPr>
          <w:rFonts w:cs="Segoe UI"/>
        </w:rPr>
        <w:t>is</w:t>
      </w:r>
      <w:r w:rsidR="00751C55">
        <w:rPr>
          <w:rFonts w:cs="Segoe UI"/>
        </w:rPr>
        <w:t xml:space="preserve"> approach, </w:t>
      </w:r>
      <w:r w:rsidR="00751C55" w:rsidRPr="00EB2105">
        <w:rPr>
          <w:rFonts w:cs="Segoe UI"/>
        </w:rPr>
        <w:t xml:space="preserve">foreign cash assets that relate directly to </w:t>
      </w:r>
      <w:r w:rsidR="00751C55">
        <w:rPr>
          <w:rFonts w:cs="Segoe UI"/>
        </w:rPr>
        <w:t xml:space="preserve">eligible </w:t>
      </w:r>
      <w:r w:rsidR="00751C55" w:rsidRPr="00EB2105">
        <w:rPr>
          <w:rFonts w:cs="Segoe UI"/>
        </w:rPr>
        <w:t>assets</w:t>
      </w:r>
      <w:r w:rsidR="00751C55">
        <w:rPr>
          <w:rFonts w:cs="Segoe UI"/>
        </w:rPr>
        <w:t xml:space="preserve"> </w:t>
      </w:r>
      <w:r w:rsidR="00751C55" w:rsidRPr="00EB2105">
        <w:rPr>
          <w:rFonts w:cs="Segoe UI"/>
        </w:rPr>
        <w:t>or FDR hedge portions</w:t>
      </w:r>
      <w:r w:rsidR="00751C55">
        <w:rPr>
          <w:rFonts w:cs="Segoe UI"/>
        </w:rPr>
        <w:t xml:space="preserve"> can be excluded from non-eligible assets. Examples of foreign cash assets that relate directly to eligible assets or FDR hedge portions include cash held:</w:t>
      </w:r>
    </w:p>
    <w:p w14:paraId="457F6C09" w14:textId="1947A895" w:rsidR="00751C55" w:rsidRPr="002B4F65" w:rsidRDefault="00751C55" w:rsidP="00BA2EFD">
      <w:pPr>
        <w:pStyle w:val="Bullets"/>
      </w:pPr>
      <w:r w:rsidRPr="002B4F65">
        <w:t xml:space="preserve">for investment or reinvestment in </w:t>
      </w:r>
      <w:r>
        <w:t>eligible assets</w:t>
      </w:r>
    </w:p>
    <w:p w14:paraId="0F7FC822" w14:textId="6D1B1632" w:rsidR="00375B41" w:rsidRDefault="00751C55" w:rsidP="00BA2EFD">
      <w:pPr>
        <w:pStyle w:val="Bullets"/>
      </w:pPr>
      <w:r w:rsidRPr="002B4F65">
        <w:t xml:space="preserve">for settling eligible hedges, to the extent of the FDR hedge portions, </w:t>
      </w:r>
      <w:r w:rsidR="00F07699">
        <w:t>or</w:t>
      </w:r>
    </w:p>
    <w:p w14:paraId="418AE2BE" w14:textId="2B87B036" w:rsidR="00751C55" w:rsidRDefault="00751C55" w:rsidP="00BA2EFD">
      <w:pPr>
        <w:pStyle w:val="Bullets"/>
      </w:pPr>
      <w:r w:rsidRPr="002B4F65">
        <w:t xml:space="preserve">to </w:t>
      </w:r>
      <w:r>
        <w:t>provide liquidity for</w:t>
      </w:r>
      <w:r w:rsidRPr="002B4F65">
        <w:t xml:space="preserve"> redemption</w:t>
      </w:r>
      <w:r>
        <w:t xml:space="preserve"> purposes</w:t>
      </w:r>
      <w:r w:rsidRPr="002B4F65">
        <w:t>, to the</w:t>
      </w:r>
      <w:r>
        <w:t xml:space="preserve"> extent the</w:t>
      </w:r>
      <w:r w:rsidRPr="002B4F65">
        <w:t xml:space="preserve"> </w:t>
      </w:r>
      <w:r>
        <w:t>fund</w:t>
      </w:r>
      <w:r w:rsidRPr="002B4F65">
        <w:t xml:space="preserve"> invest</w:t>
      </w:r>
      <w:r>
        <w:t>s</w:t>
      </w:r>
      <w:r w:rsidRPr="002B4F65">
        <w:t xml:space="preserve"> in eligible assets.</w:t>
      </w:r>
    </w:p>
    <w:p w14:paraId="26D9AAF7" w14:textId="0780813A" w:rsidR="00B67E1B" w:rsidRDefault="00B67E1B">
      <w:pPr>
        <w:spacing w:before="0" w:line="259" w:lineRule="auto"/>
      </w:pPr>
      <w:r>
        <w:br w:type="page"/>
      </w:r>
    </w:p>
    <w:tbl>
      <w:tblPr>
        <w:tblStyle w:val="IR-Table-ParagraphHighlightStyle2"/>
        <w:tblW w:w="0" w:type="auto"/>
        <w:tblLook w:val="04A0" w:firstRow="1" w:lastRow="0" w:firstColumn="1" w:lastColumn="0" w:noHBand="0" w:noVBand="1"/>
      </w:tblPr>
      <w:tblGrid>
        <w:gridCol w:w="9016"/>
      </w:tblGrid>
      <w:tr w:rsidR="00D85DDF" w14:paraId="3041B441" w14:textId="77777777" w:rsidTr="0000367E">
        <w:tc>
          <w:tcPr>
            <w:tcW w:w="9016" w:type="dxa"/>
          </w:tcPr>
          <w:p w14:paraId="5C35177F" w14:textId="77777777" w:rsidR="00375B41" w:rsidRDefault="00D85DDF" w:rsidP="00EB390A">
            <w:pPr>
              <w:rPr>
                <w:b/>
                <w:bCs/>
              </w:rPr>
            </w:pPr>
            <w:r w:rsidRPr="00830D2F">
              <w:rPr>
                <w:b/>
                <w:bCs/>
              </w:rPr>
              <w:lastRenderedPageBreak/>
              <w:t xml:space="preserve">Example </w:t>
            </w:r>
            <w:r w:rsidR="00C5695A">
              <w:rPr>
                <w:b/>
                <w:bCs/>
              </w:rPr>
              <w:t>12</w:t>
            </w:r>
            <w:r w:rsidR="003836D9">
              <w:rPr>
                <w:b/>
                <w:bCs/>
              </w:rPr>
              <w:t xml:space="preserve">: </w:t>
            </w:r>
            <w:r w:rsidR="006159FF">
              <w:rPr>
                <w:b/>
                <w:bCs/>
              </w:rPr>
              <w:t xml:space="preserve">Relational cash exclusion </w:t>
            </w:r>
            <w:r w:rsidR="00A17FF2">
              <w:rPr>
                <w:b/>
                <w:bCs/>
              </w:rPr>
              <w:t>where fund invests in eligible assets</w:t>
            </w:r>
          </w:p>
          <w:p w14:paraId="1053454C" w14:textId="1EF8DBAD" w:rsidR="00D85DDF" w:rsidRDefault="003418E8" w:rsidP="00EB390A">
            <w:r>
              <w:t>Assume the same facts as in</w:t>
            </w:r>
            <w:r w:rsidR="00D85DDF">
              <w:t xml:space="preserve"> example </w:t>
            </w:r>
            <w:r w:rsidR="00053981">
              <w:t>11</w:t>
            </w:r>
            <w:r w:rsidR="00D85DDF">
              <w:t>.</w:t>
            </w:r>
          </w:p>
          <w:p w14:paraId="15AE9EEE" w14:textId="1BAD5887" w:rsidR="00D85DDF" w:rsidRDefault="00D85DDF" w:rsidP="00EB390A">
            <w:r>
              <w:t xml:space="preserve">NZ$30,000 of Thyme’s foreign currency cash is due to a subscription </w:t>
            </w:r>
            <w:r w:rsidR="00A344C7">
              <w:t xml:space="preserve">for units </w:t>
            </w:r>
            <w:r>
              <w:t>and is to be invested in US equities. NZ$6,000 of the cash is due to a sale of shares and is to be reinvested in US equities. The remaining NZ</w:t>
            </w:r>
            <w:r w:rsidR="004F02E4">
              <w:t>$</w:t>
            </w:r>
            <w:r>
              <w:t>4,000 is held to provide liquidity for redemption purposes.</w:t>
            </w:r>
          </w:p>
          <w:p w14:paraId="3093C6E3" w14:textId="642A00E4" w:rsidR="00D85DDF" w:rsidRPr="00830D2F" w:rsidRDefault="00D85DDF" w:rsidP="00EB390A">
            <w:r>
              <w:t>All of Thyme</w:t>
            </w:r>
            <w:r w:rsidR="00517CF3">
              <w:t>’</w:t>
            </w:r>
            <w:r>
              <w:t>s foreign cash assets relate directly to eligible assets, so the full NZ</w:t>
            </w:r>
            <w:r w:rsidR="00517CF3">
              <w:t>$</w:t>
            </w:r>
            <w:r>
              <w:t xml:space="preserve">40,000 cash is excluded from non-eligible assets under the relational </w:t>
            </w:r>
            <w:r w:rsidR="00BA5C45">
              <w:t xml:space="preserve">cash exclusion </w:t>
            </w:r>
            <w:r>
              <w:t>approach</w:t>
            </w:r>
            <w:r w:rsidR="00517CF3">
              <w:t>.</w:t>
            </w:r>
          </w:p>
        </w:tc>
      </w:tr>
    </w:tbl>
    <w:p w14:paraId="4DFC657B" w14:textId="20F755D1" w:rsidR="00751C55" w:rsidRDefault="00751C55" w:rsidP="00EB390A">
      <w:pPr>
        <w:rPr>
          <w:rFonts w:cs="Segoe UI"/>
        </w:rPr>
      </w:pPr>
      <w:r>
        <w:rPr>
          <w:rFonts w:cs="Segoe UI"/>
        </w:rPr>
        <w:t>In some cases, foreign cash assets can relate to a mix of eligible assets and other assets. Taxpayers will need to determine the extent to which cash may be excluded from non-eligible assets on a reasonable basis in these circumstances. For example, this could be based on a proportional allocation of the cash (</w:t>
      </w:r>
      <w:r w:rsidR="00B531C5">
        <w:rPr>
          <w:rFonts w:cs="Segoe UI"/>
        </w:rPr>
        <w:t>that</w:t>
      </w:r>
      <w:r w:rsidR="00210812">
        <w:rPr>
          <w:rFonts w:cs="Segoe UI"/>
        </w:rPr>
        <w:t xml:space="preserve"> is,</w:t>
      </w:r>
      <w:r>
        <w:rPr>
          <w:rFonts w:cs="Segoe UI"/>
        </w:rPr>
        <w:t xml:space="preserve"> based on the proportion of eligible assets to total assets, excluding cash balances)</w:t>
      </w:r>
      <w:r w:rsidR="00D24DE7">
        <w:rPr>
          <w:rFonts w:cs="Segoe UI"/>
        </w:rPr>
        <w:t xml:space="preserve"> or on a direct attribution basis</w:t>
      </w:r>
      <w:r w:rsidR="002E55BC">
        <w:rPr>
          <w:rFonts w:cs="Segoe UI"/>
        </w:rPr>
        <w:t xml:space="preserve"> where foreign cash assets </w:t>
      </w:r>
      <w:r w:rsidR="00ED054D">
        <w:rPr>
          <w:rFonts w:cs="Segoe UI"/>
        </w:rPr>
        <w:t xml:space="preserve">that relate solely to eligible assets </w:t>
      </w:r>
      <w:r w:rsidR="002E55BC">
        <w:rPr>
          <w:rFonts w:cs="Segoe UI"/>
        </w:rPr>
        <w:t xml:space="preserve">are held in separate </w:t>
      </w:r>
      <w:r w:rsidR="000024D9">
        <w:rPr>
          <w:rFonts w:cs="Segoe UI"/>
        </w:rPr>
        <w:t xml:space="preserve">earmarked </w:t>
      </w:r>
      <w:r w:rsidR="002E55BC">
        <w:rPr>
          <w:rFonts w:cs="Segoe UI"/>
        </w:rPr>
        <w:t>accounts</w:t>
      </w:r>
      <w:r>
        <w:rPr>
          <w:rFonts w:cs="Segoe UI"/>
        </w:rPr>
        <w:t>.</w:t>
      </w:r>
    </w:p>
    <w:tbl>
      <w:tblPr>
        <w:tblStyle w:val="IR-Table-ParagraphHighlightStyle2"/>
        <w:tblW w:w="0" w:type="auto"/>
        <w:tblLook w:val="04A0" w:firstRow="1" w:lastRow="0" w:firstColumn="1" w:lastColumn="0" w:noHBand="0" w:noVBand="1"/>
      </w:tblPr>
      <w:tblGrid>
        <w:gridCol w:w="9016"/>
      </w:tblGrid>
      <w:tr w:rsidR="00D85DDF" w14:paraId="00904604" w14:textId="77777777" w:rsidTr="0000367E">
        <w:tc>
          <w:tcPr>
            <w:tcW w:w="9016" w:type="dxa"/>
          </w:tcPr>
          <w:p w14:paraId="27067DB1" w14:textId="54D37885" w:rsidR="00D85DDF" w:rsidRDefault="00D85DDF" w:rsidP="00EB390A">
            <w:pPr>
              <w:rPr>
                <w:b/>
                <w:bCs/>
              </w:rPr>
            </w:pPr>
            <w:r w:rsidRPr="00830D2F">
              <w:rPr>
                <w:b/>
                <w:bCs/>
              </w:rPr>
              <w:t xml:space="preserve">Example </w:t>
            </w:r>
            <w:r w:rsidR="00C5695A">
              <w:rPr>
                <w:b/>
                <w:bCs/>
              </w:rPr>
              <w:t>13</w:t>
            </w:r>
            <w:r w:rsidR="00A17FF2">
              <w:rPr>
                <w:b/>
                <w:bCs/>
              </w:rPr>
              <w:t>: Relational cash exclusion</w:t>
            </w:r>
            <w:r w:rsidR="003A5659">
              <w:rPr>
                <w:b/>
                <w:bCs/>
              </w:rPr>
              <w:t>,</w:t>
            </w:r>
            <w:r w:rsidR="00A17FF2">
              <w:rPr>
                <w:b/>
                <w:bCs/>
              </w:rPr>
              <w:t xml:space="preserve"> </w:t>
            </w:r>
            <w:r w:rsidR="007B0E86">
              <w:rPr>
                <w:b/>
                <w:bCs/>
              </w:rPr>
              <w:t xml:space="preserve">on a proportional allocation basis, </w:t>
            </w:r>
            <w:r w:rsidR="00A17FF2">
              <w:rPr>
                <w:b/>
                <w:bCs/>
              </w:rPr>
              <w:t xml:space="preserve">where fund invests in a mix of eligible </w:t>
            </w:r>
            <w:r w:rsidR="00BF52BB">
              <w:rPr>
                <w:b/>
                <w:bCs/>
              </w:rPr>
              <w:t xml:space="preserve">assets </w:t>
            </w:r>
            <w:r w:rsidR="00A17FF2">
              <w:rPr>
                <w:b/>
                <w:bCs/>
              </w:rPr>
              <w:t xml:space="preserve">and </w:t>
            </w:r>
            <w:r w:rsidR="00415109">
              <w:rPr>
                <w:b/>
                <w:bCs/>
              </w:rPr>
              <w:t>other</w:t>
            </w:r>
            <w:r w:rsidR="00A17FF2">
              <w:rPr>
                <w:b/>
                <w:bCs/>
              </w:rPr>
              <w:t xml:space="preserve"> assets</w:t>
            </w:r>
          </w:p>
          <w:p w14:paraId="09C3E614" w14:textId="27ECAE23" w:rsidR="00D85DDF" w:rsidRDefault="00D85DDF" w:rsidP="00EB390A">
            <w:r>
              <w:t>At the beginning of 1 November 202</w:t>
            </w:r>
            <w:r w:rsidR="004D7677">
              <w:t>3</w:t>
            </w:r>
            <w:r>
              <w:t>, Parsley US Investments Fund (Parsley) has a portfolio of:</w:t>
            </w:r>
          </w:p>
          <w:p w14:paraId="3B5E4A55" w14:textId="21B7CE93" w:rsidR="00D85DDF" w:rsidRDefault="00D85DDF" w:rsidP="00867ACB">
            <w:pPr>
              <w:pStyle w:val="Bullets"/>
            </w:pPr>
            <w:r>
              <w:t>US$40,000 of shares in US-based companies (eligible assets, worth NZ$80,000)</w:t>
            </w:r>
          </w:p>
          <w:p w14:paraId="2B567A25" w14:textId="5EA3DFB6" w:rsidR="00D85DDF" w:rsidRDefault="00D85DDF" w:rsidP="00867ACB">
            <w:pPr>
              <w:pStyle w:val="Bullets"/>
            </w:pPr>
            <w:r>
              <w:t>US$10,000 of share options (</w:t>
            </w:r>
            <w:r w:rsidR="007B7DAD">
              <w:t xml:space="preserve">non-eligible assets, </w:t>
            </w:r>
            <w:r>
              <w:t>worth NZ$20,000)</w:t>
            </w:r>
          </w:p>
          <w:p w14:paraId="2F989A0F" w14:textId="2CD8E673" w:rsidR="00D85DDF" w:rsidRDefault="00D85DDF" w:rsidP="00867ACB">
            <w:pPr>
              <w:pStyle w:val="Bullets"/>
            </w:pPr>
            <w:r>
              <w:t>US$</w:t>
            </w:r>
            <w:r w:rsidR="00F048CC">
              <w:t>15</w:t>
            </w:r>
            <w:r>
              <w:t>,000 of foreign currency cash assets (worth NZ$</w:t>
            </w:r>
            <w:r w:rsidR="00F048CC">
              <w:t>3</w:t>
            </w:r>
            <w:r>
              <w:t>0,000)</w:t>
            </w:r>
          </w:p>
          <w:p w14:paraId="0C5B0945" w14:textId="3B976C3D" w:rsidR="00D85DDF" w:rsidRDefault="00D85DDF" w:rsidP="00EB390A">
            <w:r>
              <w:t xml:space="preserve">NZ$20,000 of Parsley’s foreign currency cash is due to a subscription </w:t>
            </w:r>
            <w:r w:rsidR="00A344C7">
              <w:t xml:space="preserve">for units </w:t>
            </w:r>
            <w:r>
              <w:t>and is to be invested in US equities and share options. NZ$4,000 of the cash is due to rebalancing investment interests and is to be invested in US equities and share options. The remaining $NZ6,000 is held for liquidity purposes.</w:t>
            </w:r>
          </w:p>
          <w:p w14:paraId="01324511" w14:textId="5DAB7755" w:rsidR="00D85DDF" w:rsidRPr="00830D2F" w:rsidRDefault="00D85DDF" w:rsidP="00EB390A">
            <w:r>
              <w:t>NZ$</w:t>
            </w:r>
            <w:r w:rsidR="00F048CC">
              <w:t>24</w:t>
            </w:r>
            <w:r>
              <w:t xml:space="preserve">,000 of cash is excluded from non-eligible assets on a proportional basis under the relational </w:t>
            </w:r>
            <w:r w:rsidR="00134053">
              <w:t xml:space="preserve">cash </w:t>
            </w:r>
            <w:r w:rsidR="008775B6">
              <w:t xml:space="preserve">exclusion </w:t>
            </w:r>
            <w:r>
              <w:t>approach (NZ$80,000 of eligible assets / NZ$100,000 of assets excluding cash balances x NZ$</w:t>
            </w:r>
            <w:r w:rsidR="00F048CC">
              <w:t>3</w:t>
            </w:r>
            <w:r>
              <w:t>0,000 of foreign currency cash).</w:t>
            </w:r>
          </w:p>
        </w:tc>
      </w:tr>
    </w:tbl>
    <w:p w14:paraId="4466EF86" w14:textId="77777777" w:rsidR="00804A54" w:rsidRDefault="00CA7E72" w:rsidP="00EB390A">
      <w:pPr>
        <w:pStyle w:val="NoNumberHeading1"/>
      </w:pPr>
      <w:bookmarkStart w:id="8" w:name="_Toc102036877"/>
      <w:r>
        <w:lastRenderedPageBreak/>
        <w:t>About this document</w:t>
      </w:r>
      <w:bookmarkEnd w:id="8"/>
    </w:p>
    <w:p w14:paraId="3BFFD021" w14:textId="7CA8D26D" w:rsidR="00BE6392" w:rsidRDefault="005E77A8" w:rsidP="00EB390A">
      <w:r>
        <w:t xml:space="preserve">Special reports are published shortly after new legislation is enacted or Orders in Council are made to help affected taxpayers and their advisors understand the consequences of the changes. These are published in advance of an article in the </w:t>
      </w:r>
      <w:r w:rsidRPr="007C25CA">
        <w:rPr>
          <w:i/>
          <w:iCs/>
        </w:rPr>
        <w:t>Tax Information Bulletin</w:t>
      </w:r>
      <w:r>
        <w:t>.</w:t>
      </w:r>
    </w:p>
    <w:sectPr w:rsidR="00BE6392" w:rsidSect="002368DE">
      <w:headerReference w:type="even" r:id="rId7"/>
      <w:headerReference w:type="default" r:id="rId8"/>
      <w:footerReference w:type="even" r:id="rId9"/>
      <w:footerReference w:type="default" r:id="rId10"/>
      <w:headerReference w:type="first" r:id="rId11"/>
      <w:footerReference w:type="first" r:id="rId12"/>
      <w:pgSz w:w="11906" w:h="16838"/>
      <w:pgMar w:top="1843" w:right="1440" w:bottom="1135"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1A3C" w14:textId="77777777" w:rsidR="004133EA" w:rsidRDefault="004133EA" w:rsidP="00FE3402">
      <w:pPr>
        <w:spacing w:before="0" w:after="0" w:line="240" w:lineRule="auto"/>
      </w:pPr>
      <w:r>
        <w:separator/>
      </w:r>
    </w:p>
    <w:p w14:paraId="7E902DC2" w14:textId="77777777" w:rsidR="004133EA" w:rsidRDefault="004133EA"/>
    <w:p w14:paraId="7C3873FE" w14:textId="77777777" w:rsidR="004133EA" w:rsidRDefault="004133EA"/>
  </w:endnote>
  <w:endnote w:type="continuationSeparator" w:id="0">
    <w:p w14:paraId="1300382D" w14:textId="77777777" w:rsidR="004133EA" w:rsidRDefault="004133EA" w:rsidP="00FE3402">
      <w:pPr>
        <w:spacing w:before="0" w:after="0" w:line="240" w:lineRule="auto"/>
      </w:pPr>
      <w:r>
        <w:continuationSeparator/>
      </w:r>
    </w:p>
    <w:p w14:paraId="0A77C029" w14:textId="77777777" w:rsidR="004133EA" w:rsidRDefault="004133EA"/>
    <w:p w14:paraId="2F13A602" w14:textId="77777777" w:rsidR="004133EA" w:rsidRDefault="004133EA"/>
  </w:endnote>
  <w:endnote w:type="continuationNotice" w:id="1">
    <w:p w14:paraId="33A59A91" w14:textId="77777777" w:rsidR="004133EA" w:rsidRDefault="004133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altName w:val="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CB86" w14:textId="77777777" w:rsidR="008708F5" w:rsidRDefault="008708F5">
    <w:pPr>
      <w:pStyle w:val="Footer"/>
    </w:pPr>
  </w:p>
  <w:p w14:paraId="4929C9EB" w14:textId="77777777" w:rsidR="008708F5" w:rsidRDefault="008708F5"/>
  <w:p w14:paraId="63341F0D"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22BB03F5" w14:textId="77777777" w:rsidTr="002368DE">
      <w:tc>
        <w:tcPr>
          <w:tcW w:w="3005" w:type="dxa"/>
        </w:tcPr>
        <w:p w14:paraId="22DEAA5F" w14:textId="77777777" w:rsidR="008708F5" w:rsidRDefault="008708F5" w:rsidP="002368DE">
          <w:pPr>
            <w:pStyle w:val="Footer"/>
          </w:pPr>
        </w:p>
      </w:tc>
      <w:tc>
        <w:tcPr>
          <w:tcW w:w="3005" w:type="dxa"/>
        </w:tcPr>
        <w:p w14:paraId="533AD295" w14:textId="77777777" w:rsidR="008708F5" w:rsidRDefault="008708F5" w:rsidP="002368DE">
          <w:pPr>
            <w:pStyle w:val="Footer"/>
            <w:jc w:val="center"/>
          </w:pPr>
        </w:p>
      </w:tc>
      <w:tc>
        <w:tcPr>
          <w:tcW w:w="3006" w:type="dxa"/>
        </w:tcPr>
        <w:p w14:paraId="12AD7054" w14:textId="4292BD6F" w:rsidR="008708F5" w:rsidRPr="00B0626E" w:rsidRDefault="00375B41" w:rsidP="00B0626E">
          <w:pPr>
            <w:pStyle w:val="Footer"/>
            <w:jc w:val="right"/>
          </w:pPr>
          <w:r>
            <w:t xml:space="preserve"> </w:t>
          </w:r>
          <w:r w:rsidR="008708F5">
            <w:t xml:space="preserve"> </w:t>
          </w:r>
          <w:r w:rsidR="008708F5" w:rsidRPr="00B0626E">
            <w:t xml:space="preserve">Page </w:t>
          </w:r>
          <w:r w:rsidR="008708F5" w:rsidRPr="00B0626E">
            <w:fldChar w:fldCharType="begin"/>
          </w:r>
          <w:r w:rsidR="008708F5" w:rsidRPr="00B0626E">
            <w:instrText xml:space="preserve"> PAGE  \* Arabic  \* MERGEFORMAT </w:instrText>
          </w:r>
          <w:r w:rsidR="008708F5" w:rsidRPr="00B0626E">
            <w:fldChar w:fldCharType="separate"/>
          </w:r>
          <w:r w:rsidR="008708F5" w:rsidRPr="00B0626E">
            <w:t>1</w:t>
          </w:r>
          <w:r w:rsidR="008708F5" w:rsidRPr="00B0626E">
            <w:fldChar w:fldCharType="end"/>
          </w:r>
          <w:r w:rsidR="008708F5" w:rsidRPr="00B0626E">
            <w:t xml:space="preserve"> of </w:t>
          </w:r>
          <w:fldSimple w:instr="NUMPAGES  \* Arabic  \* MERGEFORMAT">
            <w:r w:rsidR="008708F5" w:rsidRPr="00B0626E">
              <w:t>2</w:t>
            </w:r>
          </w:fldSimple>
        </w:p>
      </w:tc>
    </w:tr>
  </w:tbl>
  <w:p w14:paraId="6A4A5EC2" w14:textId="77777777" w:rsidR="008708F5" w:rsidRDefault="008708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68BBBB86" w14:textId="77777777" w:rsidTr="00234CCE">
      <w:tc>
        <w:tcPr>
          <w:tcW w:w="3005" w:type="dxa"/>
        </w:tcPr>
        <w:p w14:paraId="099DF13E" w14:textId="77777777" w:rsidR="008708F5" w:rsidRDefault="008708F5" w:rsidP="004A27B6">
          <w:pPr>
            <w:pStyle w:val="Footer"/>
          </w:pPr>
        </w:p>
      </w:tc>
      <w:tc>
        <w:tcPr>
          <w:tcW w:w="3005" w:type="dxa"/>
        </w:tcPr>
        <w:p w14:paraId="0B3C85C2" w14:textId="77777777" w:rsidR="008708F5" w:rsidRDefault="008708F5" w:rsidP="004A27B6">
          <w:pPr>
            <w:pStyle w:val="Footer"/>
            <w:jc w:val="center"/>
          </w:pPr>
        </w:p>
      </w:tc>
      <w:tc>
        <w:tcPr>
          <w:tcW w:w="3006" w:type="dxa"/>
        </w:tcPr>
        <w:p w14:paraId="2BE419BA" w14:textId="757750D4" w:rsidR="008708F5" w:rsidRDefault="00375B41" w:rsidP="004A27B6">
          <w:pPr>
            <w:pStyle w:val="Footer"/>
            <w:jc w:val="right"/>
          </w:pPr>
          <w:r>
            <w:rPr>
              <w:color w:val="auto"/>
            </w:rPr>
            <w:t xml:space="preserve"> </w:t>
          </w:r>
          <w:r w:rsidR="008708F5">
            <w:rPr>
              <w:color w:val="auto"/>
            </w:rPr>
            <w:t xml:space="preserve"> </w:t>
          </w:r>
        </w:p>
      </w:tc>
    </w:tr>
  </w:tbl>
  <w:p w14:paraId="05160469"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3FE4" w14:textId="77777777" w:rsidR="004133EA" w:rsidRDefault="004133EA" w:rsidP="00FE3402">
      <w:pPr>
        <w:spacing w:before="0" w:after="0" w:line="240" w:lineRule="auto"/>
      </w:pPr>
      <w:r>
        <w:separator/>
      </w:r>
    </w:p>
  </w:footnote>
  <w:footnote w:type="continuationSeparator" w:id="0">
    <w:p w14:paraId="7C1308E0" w14:textId="77777777" w:rsidR="004133EA" w:rsidRDefault="004133EA" w:rsidP="00FE3402">
      <w:pPr>
        <w:spacing w:before="0" w:after="0" w:line="240" w:lineRule="auto"/>
      </w:pPr>
      <w:r>
        <w:continuationSeparator/>
      </w:r>
    </w:p>
    <w:p w14:paraId="0148644D" w14:textId="77777777" w:rsidR="004133EA" w:rsidRDefault="004133EA"/>
    <w:p w14:paraId="513C993D" w14:textId="77777777" w:rsidR="004133EA" w:rsidRDefault="004133EA"/>
  </w:footnote>
  <w:footnote w:type="continuationNotice" w:id="1">
    <w:p w14:paraId="662CB742" w14:textId="77777777" w:rsidR="004133EA" w:rsidRDefault="004133EA">
      <w:pPr>
        <w:spacing w:before="0" w:after="0" w:line="240" w:lineRule="auto"/>
      </w:pPr>
    </w:p>
  </w:footnote>
  <w:footnote w:id="2">
    <w:p w14:paraId="599A0702" w14:textId="330F26AB" w:rsidR="00D51594" w:rsidRPr="00E83385" w:rsidRDefault="00D51594" w:rsidP="008F31E7">
      <w:pPr>
        <w:pStyle w:val="FootnoteText"/>
      </w:pPr>
      <w:r w:rsidRPr="00E83385">
        <w:rPr>
          <w:rStyle w:val="FootnoteReference"/>
          <w:rFonts w:ascii="Segoe UI" w:hAnsi="Segoe UI"/>
        </w:rPr>
        <w:footnoteRef/>
      </w:r>
      <w:r w:rsidRPr="00E83385">
        <w:t xml:space="preserve"> </w:t>
      </w:r>
      <w:r w:rsidR="001D2AF1" w:rsidRPr="00E83385">
        <w:t>A hedge of a hedge is a hedge that effectively cancels out another hedge of a foreign currency to NZD</w:t>
      </w:r>
      <w:r w:rsidR="00C639AF">
        <w:t>.</w:t>
      </w:r>
      <w:r w:rsidR="003352DE">
        <w:t xml:space="preserve"> A hedge of a hedge can also be referred to as a negative hedge.</w:t>
      </w:r>
    </w:p>
  </w:footnote>
  <w:footnote w:id="3">
    <w:p w14:paraId="5C45980E" w14:textId="6A91262A" w:rsidR="00D8344F" w:rsidRPr="00E83385" w:rsidRDefault="00D8344F" w:rsidP="008F31E7">
      <w:pPr>
        <w:pStyle w:val="FootnoteText"/>
      </w:pPr>
      <w:r w:rsidRPr="00E83385">
        <w:rPr>
          <w:rStyle w:val="FootnoteReference"/>
          <w:rFonts w:ascii="Segoe UI" w:hAnsi="Segoe UI"/>
        </w:rPr>
        <w:footnoteRef/>
      </w:r>
      <w:r w:rsidRPr="00E83385">
        <w:t xml:space="preserve"> </w:t>
      </w:r>
      <w:r w:rsidR="00D62D52" w:rsidRPr="00E83385">
        <w:t xml:space="preserve">When the methods are applied to a hedge </w:t>
      </w:r>
      <w:r w:rsidR="00D62D52" w:rsidRPr="008F31E7">
        <w:t>of</w:t>
      </w:r>
      <w:r w:rsidR="00D62D52" w:rsidRPr="00E83385">
        <w:t xml:space="preserve"> a hedge, </w:t>
      </w:r>
      <w:r w:rsidR="003C525E">
        <w:t>an amendment has been made so that they now</w:t>
      </w:r>
      <w:r w:rsidR="00D62D52" w:rsidRPr="00E83385">
        <w:t xml:space="preserve"> calculate the</w:t>
      </w:r>
      <w:r w:rsidRPr="00E83385">
        <w:t xml:space="preserve"> minimum </w:t>
      </w:r>
      <w:r w:rsidR="00877402" w:rsidRPr="00E83385">
        <w:t>FDR hedge portion.</w:t>
      </w:r>
      <w:r w:rsidR="003C525E">
        <w:t xml:space="preserve"> This amendment is discussed below in this special report. </w:t>
      </w:r>
    </w:p>
  </w:footnote>
  <w:footnote w:id="4">
    <w:p w14:paraId="13929259" w14:textId="7AD7D199" w:rsidR="005A3740" w:rsidRPr="00536759" w:rsidRDefault="005A3740" w:rsidP="00713743">
      <w:pPr>
        <w:pStyle w:val="FootnoteText"/>
      </w:pPr>
      <w:r w:rsidRPr="00540A73">
        <w:rPr>
          <w:rStyle w:val="FootnoteReference"/>
          <w:rFonts w:ascii="Segoe UI" w:hAnsi="Segoe UI"/>
          <w:szCs w:val="20"/>
        </w:rPr>
        <w:footnoteRef/>
      </w:r>
      <w:r w:rsidRPr="00540A73">
        <w:t xml:space="preserve"> </w:t>
      </w:r>
      <w:r w:rsidR="00522865" w:rsidRPr="00540A73">
        <w:t>In examples 2 to 5, the fund only holds foreign assets denominated in the same foreign currency. This has been done for simplicity purposes and to highlight the modifications to the second hedge-by-hedge method. When applying this method in practice, the formulae in the second hedge-by-hedge method are not applied on a currency-by-currency basis</w:t>
      </w:r>
      <w:r w:rsidR="00522865">
        <w:t xml:space="preserve"> </w:t>
      </w:r>
      <w:r w:rsidR="00A66070">
        <w:t>–</w:t>
      </w:r>
      <w:r w:rsidR="00A31761">
        <w:t xml:space="preserve"> </w:t>
      </w:r>
      <w:r w:rsidR="00A66070">
        <w:t>that is,</w:t>
      </w:r>
      <w:r w:rsidR="00522865" w:rsidRPr="00540A73">
        <w:t xml:space="preserve"> they are applied taking into account the values of all foreign currency assets and hedges, converted to New Zealand dollars.</w:t>
      </w:r>
    </w:p>
  </w:footnote>
  <w:footnote w:id="5">
    <w:p w14:paraId="2925FFBB" w14:textId="05DDEEE9" w:rsidR="00C3676B" w:rsidRPr="00FC4A74" w:rsidRDefault="00C3676B" w:rsidP="008F31E7">
      <w:pPr>
        <w:pStyle w:val="FootnoteText"/>
        <w:rPr>
          <w:sz w:val="18"/>
          <w:szCs w:val="18"/>
        </w:rPr>
      </w:pPr>
      <w:r w:rsidRPr="00FC4A74">
        <w:rPr>
          <w:rStyle w:val="FootnoteReference"/>
          <w:rFonts w:ascii="Segoe UI" w:hAnsi="Segoe UI"/>
          <w:sz w:val="18"/>
          <w:szCs w:val="18"/>
        </w:rPr>
        <w:footnoteRef/>
      </w:r>
      <w:r w:rsidRPr="00FC4A74">
        <w:rPr>
          <w:sz w:val="18"/>
          <w:szCs w:val="18"/>
        </w:rPr>
        <w:t xml:space="preserve"> </w:t>
      </w:r>
      <w:r w:rsidRPr="008C1FDA">
        <w:rPr>
          <w:rStyle w:val="FootnoteReference"/>
          <w:rFonts w:ascii="Segoe UI" w:hAnsi="Segoe UI"/>
          <w:szCs w:val="20"/>
          <w:vertAlign w:val="baseline"/>
        </w:rPr>
        <w:t>Note, for practical purposes the opening values on 1 September 202</w:t>
      </w:r>
      <w:r w:rsidR="00A32A05">
        <w:rPr>
          <w:szCs w:val="20"/>
        </w:rPr>
        <w:t>X</w:t>
      </w:r>
      <w:r w:rsidRPr="008C1FDA">
        <w:rPr>
          <w:rStyle w:val="FootnoteReference"/>
          <w:rFonts w:ascii="Segoe UI" w:hAnsi="Segoe UI"/>
          <w:szCs w:val="20"/>
          <w:vertAlign w:val="baseline"/>
        </w:rPr>
        <w:t xml:space="preserve"> are the closing values on 31 August 202</w:t>
      </w:r>
      <w:r w:rsidR="00A32A05">
        <w:rPr>
          <w:rStyle w:val="FootnoteReference"/>
          <w:rFonts w:ascii="Segoe UI" w:hAnsi="Segoe UI"/>
          <w:szCs w:val="20"/>
          <w:vertAlign w:val="baseline"/>
        </w:rPr>
        <w: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9046" w14:textId="77777777" w:rsidR="008708F5" w:rsidRDefault="008708F5"/>
  <w:p w14:paraId="250BA3E6" w14:textId="77777777" w:rsidR="008708F5" w:rsidRDefault="008708F5"/>
  <w:p w14:paraId="4A9B798F"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B918" w14:textId="4E0D304B" w:rsidR="008708F5" w:rsidRDefault="006A6FA9">
    <w:r>
      <w:rPr>
        <w:noProof/>
      </w:rPr>
      <mc:AlternateContent>
        <mc:Choice Requires="wps">
          <w:drawing>
            <wp:anchor distT="0" distB="0" distL="114300" distR="114300" simplePos="0" relativeHeight="251658241" behindDoc="0" locked="0" layoutInCell="1" allowOverlap="1" wp14:anchorId="05001070" wp14:editId="7C34D86F">
              <wp:simplePos x="0" y="0"/>
              <wp:positionH relativeFrom="margin">
                <wp:posOffset>2743200</wp:posOffset>
              </wp:positionH>
              <wp:positionV relativeFrom="paragraph">
                <wp:posOffset>-236220</wp:posOffset>
              </wp:positionV>
              <wp:extent cx="37084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08400" cy="521970"/>
                      </a:xfrm>
                      <a:prstGeom prst="rect">
                        <a:avLst/>
                      </a:prstGeom>
                      <a:noFill/>
                      <a:ln w="6350">
                        <a:noFill/>
                      </a:ln>
                    </wps:spPr>
                    <wps:txbx>
                      <w:txbxContent>
                        <w:p w14:paraId="0F4E4525" w14:textId="337ADB49" w:rsidR="008708F5" w:rsidRPr="00C368FC" w:rsidRDefault="007B1F23"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 </w:t>
                          </w:r>
                          <w:r w:rsidR="008708F5" w:rsidRPr="00E71B4F">
                            <w:rPr>
                              <w:rFonts w:cs="Segoe UI"/>
                              <w:b/>
                              <w:bCs/>
                              <w:color w:val="FFFFFF" w:themeColor="background1"/>
                              <w:sz w:val="20"/>
                              <w:szCs w:val="20"/>
                            </w:rPr>
                            <w:t xml:space="preserve">Public </w:t>
                          </w:r>
                          <w:r w:rsidR="00E71B4F">
                            <w:rPr>
                              <w:rFonts w:cs="Segoe UI"/>
                              <w:b/>
                              <w:bCs/>
                              <w:color w:val="FFFFFF" w:themeColor="background1"/>
                              <w:sz w:val="20"/>
                              <w:szCs w:val="20"/>
                            </w:rPr>
                            <w:t>Act 2022</w:t>
                          </w:r>
                          <w:r w:rsidR="008708F5" w:rsidRPr="00E71B4F">
                            <w:rPr>
                              <w:rFonts w:cs="Segoe UI"/>
                              <w:b/>
                              <w:bCs/>
                              <w:color w:val="FFFFFF" w:themeColor="background1"/>
                              <w:sz w:val="20"/>
                              <w:szCs w:val="20"/>
                            </w:rPr>
                            <w:t xml:space="preserve"> No </w:t>
                          </w:r>
                          <w:r w:rsidR="007D688B">
                            <w:rPr>
                              <w:rFonts w:cs="Segoe UI"/>
                              <w:b/>
                              <w:bCs/>
                              <w:color w:val="FFFFFF" w:themeColor="background1"/>
                              <w:sz w:val="20"/>
                              <w:szCs w:val="20"/>
                            </w:rPr>
                            <w:t>10</w:t>
                          </w:r>
                          <w:r w:rsidR="00375B41" w:rsidRPr="00E71B4F">
                            <w:rPr>
                              <w:rFonts w:cs="Segoe UI"/>
                              <w:b/>
                              <w:bCs/>
                              <w:color w:val="FFFFFF" w:themeColor="background1"/>
                              <w:sz w:val="20"/>
                              <w:szCs w:val="20"/>
                            </w:rPr>
                            <w:t xml:space="preserve">  </w:t>
                          </w:r>
                          <w:r w:rsidR="008708F5" w:rsidRPr="00E71B4F">
                            <w:rPr>
                              <w:rFonts w:cs="Segoe UI"/>
                              <w:b/>
                              <w:bCs/>
                              <w:color w:val="FFFFFF" w:themeColor="background1"/>
                              <w:sz w:val="20"/>
                              <w:szCs w:val="20"/>
                            </w:rPr>
                            <w:t xml:space="preserve"> </w:t>
                          </w:r>
                          <w:r w:rsidR="008708F5" w:rsidRPr="00E71B4F">
                            <w:rPr>
                              <w:rFonts w:ascii="Segoe UI Light" w:hAnsi="Segoe UI Light" w:cs="Segoe UI Light"/>
                              <w:color w:val="FFFFFF" w:themeColor="background1"/>
                              <w:sz w:val="20"/>
                              <w:szCs w:val="20"/>
                            </w:rPr>
                            <w:t>|</w:t>
                          </w:r>
                          <w:r w:rsidR="00375B41" w:rsidRPr="00E71B4F">
                            <w:rPr>
                              <w:rFonts w:cs="Segoe UI"/>
                              <w:b/>
                              <w:bCs/>
                              <w:color w:val="FFFFFF" w:themeColor="background1"/>
                              <w:sz w:val="20"/>
                              <w:szCs w:val="20"/>
                            </w:rPr>
                            <w:t xml:space="preserve"> </w:t>
                          </w:r>
                          <w:r w:rsidR="008708F5" w:rsidRPr="00E71B4F">
                            <w:rPr>
                              <w:rFonts w:cs="Segoe UI"/>
                              <w:b/>
                              <w:bCs/>
                              <w:color w:val="FFFFFF" w:themeColor="background1"/>
                              <w:sz w:val="20"/>
                              <w:szCs w:val="20"/>
                            </w:rPr>
                            <w:t xml:space="preserve"> </w:t>
                          </w:r>
                          <w:r w:rsidR="006A6FA9" w:rsidRPr="00E71B4F">
                            <w:rPr>
                              <w:rFonts w:cs="Segoe UI"/>
                              <w:b/>
                              <w:bCs/>
                              <w:color w:val="FFFFFF" w:themeColor="background1"/>
                              <w:sz w:val="20"/>
                              <w:szCs w:val="20"/>
                            </w:rPr>
                            <w:t xml:space="preserve"> </w:t>
                          </w:r>
                          <w:r w:rsidR="00072492">
                            <w:rPr>
                              <w:rFonts w:cs="Segoe UI"/>
                              <w:b/>
                              <w:bCs/>
                              <w:color w:val="FFFFFF" w:themeColor="background1"/>
                              <w:sz w:val="20"/>
                              <w:szCs w:val="20"/>
                            </w:rPr>
                            <w:t>2</w:t>
                          </w:r>
                          <w:r w:rsidR="00EB2C8D">
                            <w:rPr>
                              <w:rFonts w:cs="Segoe UI"/>
                              <w:b/>
                              <w:bCs/>
                              <w:color w:val="FFFFFF" w:themeColor="background1"/>
                              <w:sz w:val="20"/>
                              <w:szCs w:val="20"/>
                            </w:rPr>
                            <w:t>8</w:t>
                          </w:r>
                          <w:r w:rsidR="00072492">
                            <w:rPr>
                              <w:rFonts w:cs="Segoe UI"/>
                              <w:b/>
                              <w:bCs/>
                              <w:color w:val="FFFFFF" w:themeColor="background1"/>
                              <w:sz w:val="20"/>
                              <w:szCs w:val="20"/>
                            </w:rPr>
                            <w:t xml:space="preserve"> </w:t>
                          </w:r>
                          <w:r w:rsidR="00BB0B60">
                            <w:rPr>
                              <w:rFonts w:cs="Segoe UI"/>
                              <w:b/>
                              <w:bCs/>
                              <w:color w:val="FFFFFF" w:themeColor="background1"/>
                              <w:sz w:val="20"/>
                              <w:szCs w:val="20"/>
                            </w:rPr>
                            <w:t>April</w:t>
                          </w:r>
                          <w:r w:rsidR="006A6FA9" w:rsidRPr="00E71B4F">
                            <w:rPr>
                              <w:rFonts w:cs="Segoe UI"/>
                              <w:b/>
                              <w:bCs/>
                              <w:color w:val="FFFFFF" w:themeColor="background1"/>
                              <w:sz w:val="20"/>
                              <w:szCs w:val="20"/>
                            </w:rPr>
                            <w:t xml:space="preserve"> </w:t>
                          </w:r>
                          <w:r w:rsidR="00BB0B60">
                            <w:rPr>
                              <w:rFonts w:cs="Segoe UI"/>
                              <w:b/>
                              <w:bCs/>
                              <w:color w:val="FFFFFF" w:themeColor="background1"/>
                              <w:sz w:val="20"/>
                              <w:szCs w:val="20"/>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01070" id="_x0000_t202" coordsize="21600,21600" o:spt="202" path="m,l,21600r21600,l21600,xe">
              <v:stroke joinstyle="miter"/>
              <v:path gradientshapeok="t" o:connecttype="rect"/>
            </v:shapetype>
            <v:shape id="Text Box 3" o:spid="_x0000_s1026" type="#_x0000_t202" style="position:absolute;margin-left:3in;margin-top:-18.6pt;width:292pt;height:4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" filled="f" stroked="f" strokeweight=".5pt">
              <v:textbox>
                <w:txbxContent>
                  <w:p w14:paraId="0F4E4525" w14:textId="337ADB49" w:rsidR="008708F5" w:rsidRPr="00C368FC" w:rsidRDefault="007B1F23"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 </w:t>
                    </w:r>
                    <w:r w:rsidR="008708F5" w:rsidRPr="00E71B4F">
                      <w:rPr>
                        <w:rFonts w:cs="Segoe UI"/>
                        <w:b/>
                        <w:bCs/>
                        <w:color w:val="FFFFFF" w:themeColor="background1"/>
                        <w:sz w:val="20"/>
                        <w:szCs w:val="20"/>
                      </w:rPr>
                      <w:t xml:space="preserve">Public </w:t>
                    </w:r>
                    <w:r w:rsidR="00E71B4F">
                      <w:rPr>
                        <w:rFonts w:cs="Segoe UI"/>
                        <w:b/>
                        <w:bCs/>
                        <w:color w:val="FFFFFF" w:themeColor="background1"/>
                        <w:sz w:val="20"/>
                        <w:szCs w:val="20"/>
                      </w:rPr>
                      <w:t>Act 2022</w:t>
                    </w:r>
                    <w:r w:rsidR="008708F5" w:rsidRPr="00E71B4F">
                      <w:rPr>
                        <w:rFonts w:cs="Segoe UI"/>
                        <w:b/>
                        <w:bCs/>
                        <w:color w:val="FFFFFF" w:themeColor="background1"/>
                        <w:sz w:val="20"/>
                        <w:szCs w:val="20"/>
                      </w:rPr>
                      <w:t xml:space="preserve"> No </w:t>
                    </w:r>
                    <w:r w:rsidR="007D688B">
                      <w:rPr>
                        <w:rFonts w:cs="Segoe UI"/>
                        <w:b/>
                        <w:bCs/>
                        <w:color w:val="FFFFFF" w:themeColor="background1"/>
                        <w:sz w:val="20"/>
                        <w:szCs w:val="20"/>
                      </w:rPr>
                      <w:t>10</w:t>
                    </w:r>
                    <w:r w:rsidR="00375B41" w:rsidRPr="00E71B4F">
                      <w:rPr>
                        <w:rFonts w:cs="Segoe UI"/>
                        <w:b/>
                        <w:bCs/>
                        <w:color w:val="FFFFFF" w:themeColor="background1"/>
                        <w:sz w:val="20"/>
                        <w:szCs w:val="20"/>
                      </w:rPr>
                      <w:t xml:space="preserve">  </w:t>
                    </w:r>
                    <w:r w:rsidR="008708F5" w:rsidRPr="00E71B4F">
                      <w:rPr>
                        <w:rFonts w:cs="Segoe UI"/>
                        <w:b/>
                        <w:bCs/>
                        <w:color w:val="FFFFFF" w:themeColor="background1"/>
                        <w:sz w:val="20"/>
                        <w:szCs w:val="20"/>
                      </w:rPr>
                      <w:t xml:space="preserve"> </w:t>
                    </w:r>
                    <w:r w:rsidR="008708F5" w:rsidRPr="00E71B4F">
                      <w:rPr>
                        <w:rFonts w:ascii="Segoe UI Light" w:hAnsi="Segoe UI Light" w:cs="Segoe UI Light"/>
                        <w:color w:val="FFFFFF" w:themeColor="background1"/>
                        <w:sz w:val="20"/>
                        <w:szCs w:val="20"/>
                      </w:rPr>
                      <w:t>|</w:t>
                    </w:r>
                    <w:r w:rsidR="00375B41" w:rsidRPr="00E71B4F">
                      <w:rPr>
                        <w:rFonts w:cs="Segoe UI"/>
                        <w:b/>
                        <w:bCs/>
                        <w:color w:val="FFFFFF" w:themeColor="background1"/>
                        <w:sz w:val="20"/>
                        <w:szCs w:val="20"/>
                      </w:rPr>
                      <w:t xml:space="preserve"> </w:t>
                    </w:r>
                    <w:r w:rsidR="008708F5" w:rsidRPr="00E71B4F">
                      <w:rPr>
                        <w:rFonts w:cs="Segoe UI"/>
                        <w:b/>
                        <w:bCs/>
                        <w:color w:val="FFFFFF" w:themeColor="background1"/>
                        <w:sz w:val="20"/>
                        <w:szCs w:val="20"/>
                      </w:rPr>
                      <w:t xml:space="preserve"> </w:t>
                    </w:r>
                    <w:r w:rsidR="006A6FA9" w:rsidRPr="00E71B4F">
                      <w:rPr>
                        <w:rFonts w:cs="Segoe UI"/>
                        <w:b/>
                        <w:bCs/>
                        <w:color w:val="FFFFFF" w:themeColor="background1"/>
                        <w:sz w:val="20"/>
                        <w:szCs w:val="20"/>
                      </w:rPr>
                      <w:t xml:space="preserve"> </w:t>
                    </w:r>
                    <w:r w:rsidR="00072492">
                      <w:rPr>
                        <w:rFonts w:cs="Segoe UI"/>
                        <w:b/>
                        <w:bCs/>
                        <w:color w:val="FFFFFF" w:themeColor="background1"/>
                        <w:sz w:val="20"/>
                        <w:szCs w:val="20"/>
                      </w:rPr>
                      <w:t>2</w:t>
                    </w:r>
                    <w:r w:rsidR="00EB2C8D">
                      <w:rPr>
                        <w:rFonts w:cs="Segoe UI"/>
                        <w:b/>
                        <w:bCs/>
                        <w:color w:val="FFFFFF" w:themeColor="background1"/>
                        <w:sz w:val="20"/>
                        <w:szCs w:val="20"/>
                      </w:rPr>
                      <w:t>8</w:t>
                    </w:r>
                    <w:r w:rsidR="00072492">
                      <w:rPr>
                        <w:rFonts w:cs="Segoe UI"/>
                        <w:b/>
                        <w:bCs/>
                        <w:color w:val="FFFFFF" w:themeColor="background1"/>
                        <w:sz w:val="20"/>
                        <w:szCs w:val="20"/>
                      </w:rPr>
                      <w:t xml:space="preserve"> </w:t>
                    </w:r>
                    <w:r w:rsidR="00BB0B60">
                      <w:rPr>
                        <w:rFonts w:cs="Segoe UI"/>
                        <w:b/>
                        <w:bCs/>
                        <w:color w:val="FFFFFF" w:themeColor="background1"/>
                        <w:sz w:val="20"/>
                        <w:szCs w:val="20"/>
                      </w:rPr>
                      <w:t>April</w:t>
                    </w:r>
                    <w:r w:rsidR="006A6FA9" w:rsidRPr="00E71B4F">
                      <w:rPr>
                        <w:rFonts w:cs="Segoe UI"/>
                        <w:b/>
                        <w:bCs/>
                        <w:color w:val="FFFFFF" w:themeColor="background1"/>
                        <w:sz w:val="20"/>
                        <w:szCs w:val="20"/>
                      </w:rPr>
                      <w:t xml:space="preserve"> </w:t>
                    </w:r>
                    <w:r w:rsidR="00BB0B60">
                      <w:rPr>
                        <w:rFonts w:cs="Segoe UI"/>
                        <w:b/>
                        <w:bCs/>
                        <w:color w:val="FFFFFF" w:themeColor="background1"/>
                        <w:sz w:val="20"/>
                        <w:szCs w:val="20"/>
                      </w:rPr>
                      <w:t>2022</w:t>
                    </w:r>
                  </w:p>
                </w:txbxContent>
              </v:textbox>
              <w10:wrap anchorx="margin"/>
            </v:shape>
          </w:pict>
        </mc:Fallback>
      </mc:AlternateContent>
    </w:r>
    <w:r w:rsidR="008708F5">
      <w:rPr>
        <w:noProof/>
      </w:rPr>
      <w:drawing>
        <wp:anchor distT="0" distB="0" distL="114300" distR="114300" simplePos="0" relativeHeight="251658242" behindDoc="0" locked="0" layoutInCell="1" allowOverlap="1" wp14:anchorId="3DFF5994" wp14:editId="081C4A7A">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8240" behindDoc="1" locked="0" layoutInCell="1" allowOverlap="1" wp14:anchorId="4061D747" wp14:editId="048C9809">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283B" id="Rectangle 1" o:spid="_x0000_s1026" alt="&quot;&quot;" style="position:absolute;margin-left:.55pt;margin-top:-35.4pt;width:594pt;height: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3C8A4700" w14:textId="77777777" w:rsidTr="00EA3AD2">
      <w:tc>
        <w:tcPr>
          <w:tcW w:w="4508" w:type="dxa"/>
        </w:tcPr>
        <w:p w14:paraId="35E53CE2"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20B1518F" wp14:editId="4D92AEF1">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365D837E" w14:textId="77777777" w:rsidR="008708F5" w:rsidRPr="009679B1" w:rsidRDefault="008708F5" w:rsidP="009679B1">
          <w:pPr>
            <w:tabs>
              <w:tab w:val="center" w:pos="4513"/>
              <w:tab w:val="right" w:pos="9026"/>
            </w:tabs>
            <w:spacing w:before="0" w:line="240" w:lineRule="auto"/>
          </w:pPr>
        </w:p>
      </w:tc>
    </w:tr>
  </w:tbl>
  <w:p w14:paraId="1FD296C1"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45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29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929A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74E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68F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AC4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356D6F4"/>
    <w:lvl w:ilvl="0">
      <w:start w:val="1"/>
      <w:numFmt w:val="decimal"/>
      <w:lvlText w:val="%1."/>
      <w:lvlJc w:val="left"/>
      <w:pPr>
        <w:tabs>
          <w:tab w:val="num" w:pos="360"/>
        </w:tabs>
        <w:ind w:left="360" w:hanging="360"/>
      </w:pPr>
    </w:lvl>
  </w:abstractNum>
  <w:abstractNum w:abstractNumId="7" w15:restartNumberingAfterBreak="0">
    <w:nsid w:val="021811CA"/>
    <w:multiLevelType w:val="hybridMultilevel"/>
    <w:tmpl w:val="4BAEC0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2D270E0"/>
    <w:multiLevelType w:val="hybridMultilevel"/>
    <w:tmpl w:val="318ACF6C"/>
    <w:lvl w:ilvl="0" w:tplc="CBA88208">
      <w:start w:val="1"/>
      <w:numFmt w:val="bullet"/>
      <w:pStyle w:val="ListBulle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BE80834"/>
    <w:multiLevelType w:val="hybridMultilevel"/>
    <w:tmpl w:val="AB1A9A00"/>
    <w:lvl w:ilvl="0" w:tplc="77124A0C">
      <w:start w:val="1"/>
      <w:numFmt w:val="bullet"/>
      <w:pStyle w:val="indentedlist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14" w15:restartNumberingAfterBreak="0">
    <w:nsid w:val="2E965E16"/>
    <w:multiLevelType w:val="hybridMultilevel"/>
    <w:tmpl w:val="9072E0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6755EB9"/>
    <w:multiLevelType w:val="hybridMultilevel"/>
    <w:tmpl w:val="366639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9135537"/>
    <w:multiLevelType w:val="hybridMultilevel"/>
    <w:tmpl w:val="C58877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6A7C68"/>
    <w:multiLevelType w:val="multilevel"/>
    <w:tmpl w:val="A280774A"/>
    <w:styleLink w:val="Table-BulletedList"/>
    <w:lvl w:ilvl="0">
      <w:start w:val="1"/>
      <w:numFmt w:val="decimal"/>
      <w:lvlText w:val="%1."/>
      <w:lvlJc w:val="left"/>
      <w:pPr>
        <w:tabs>
          <w:tab w:val="num" w:pos="720"/>
        </w:tabs>
        <w:ind w:left="720" w:hanging="720"/>
      </w:pPr>
      <w:rPr>
        <w:rFonts w:ascii="Verdana" w:hAnsi="Verdana" w:hint="default"/>
        <w:sz w:val="20"/>
        <w:szCs w:val="20"/>
      </w:rPr>
    </w:lvl>
    <w:lvl w:ilvl="1">
      <w:start w:val="1"/>
      <w:numFmt w:val="decimal"/>
      <w:lvlText w:val="%1.%2."/>
      <w:lvlJc w:val="left"/>
      <w:pPr>
        <w:tabs>
          <w:tab w:val="num" w:pos="1418"/>
        </w:tabs>
        <w:ind w:left="1418" w:hanging="698"/>
      </w:pPr>
      <w:rPr>
        <w:rFonts w:ascii="Verdana" w:hAnsi="Verdana" w:hint="default"/>
        <w:sz w:val="20"/>
        <w:szCs w:val="20"/>
      </w:rPr>
    </w:lvl>
    <w:lvl w:ilvl="2">
      <w:start w:val="1"/>
      <w:numFmt w:val="decimal"/>
      <w:lvlText w:val="%1.%2.%3."/>
      <w:lvlJc w:val="left"/>
      <w:pPr>
        <w:tabs>
          <w:tab w:val="num" w:pos="2155"/>
        </w:tabs>
        <w:ind w:left="2155" w:hanging="737"/>
      </w:pPr>
      <w:rPr>
        <w:rFonts w:ascii="Verdana" w:hAnsi="Verdana" w:hint="default"/>
        <w:sz w:val="20"/>
        <w:szCs w:val="20"/>
      </w:rPr>
    </w:lvl>
    <w:lvl w:ilvl="3">
      <w:start w:val="1"/>
      <w:numFmt w:val="decimal"/>
      <w:lvlText w:val="%1.%2.%3.%4."/>
      <w:lvlJc w:val="left"/>
      <w:pPr>
        <w:tabs>
          <w:tab w:val="num" w:pos="3175"/>
        </w:tabs>
        <w:ind w:left="3175" w:hanging="102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6A0C75"/>
    <w:multiLevelType w:val="hybridMultilevel"/>
    <w:tmpl w:val="4BC2B2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C642172"/>
    <w:multiLevelType w:val="hybridMultilevel"/>
    <w:tmpl w:val="9F306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38E7D41"/>
    <w:multiLevelType w:val="hybridMultilevel"/>
    <w:tmpl w:val="DE24AF46"/>
    <w:lvl w:ilvl="0" w:tplc="6232AE2C">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6ED5116"/>
    <w:multiLevelType w:val="hybridMultilevel"/>
    <w:tmpl w:val="383257B4"/>
    <w:lvl w:ilvl="0" w:tplc="01E408C2">
      <w:start w:val="1"/>
      <w:numFmt w:val="decimal"/>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23" w15:restartNumberingAfterBreak="0">
    <w:nsid w:val="67DA665C"/>
    <w:multiLevelType w:val="multilevel"/>
    <w:tmpl w:val="1D22162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5"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83361B"/>
    <w:multiLevelType w:val="hybridMultilevel"/>
    <w:tmpl w:val="C1A08E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C6C0B6C"/>
    <w:multiLevelType w:val="hybridMultilevel"/>
    <w:tmpl w:val="BD5297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3"/>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12"/>
  </w:num>
  <w:num w:numId="9">
    <w:abstractNumId w:val="17"/>
  </w:num>
  <w:num w:numId="10">
    <w:abstractNumId w:val="11"/>
  </w:num>
  <w:num w:numId="11">
    <w:abstractNumId w:val="8"/>
  </w:num>
  <w:num w:numId="12">
    <w:abstractNumId w:val="21"/>
  </w:num>
  <w:num w:numId="13">
    <w:abstractNumId w:val="26"/>
  </w:num>
  <w:num w:numId="14">
    <w:abstractNumId w:val="7"/>
  </w:num>
  <w:num w:numId="15">
    <w:abstractNumId w:val="27"/>
  </w:num>
  <w:num w:numId="16">
    <w:abstractNumId w:val="16"/>
  </w:num>
  <w:num w:numId="17">
    <w:abstractNumId w:val="20"/>
  </w:num>
  <w:num w:numId="18">
    <w:abstractNumId w:val="15"/>
  </w:num>
  <w:num w:numId="19">
    <w:abstractNumId w:val="14"/>
  </w:num>
  <w:num w:numId="20">
    <w:abstractNumId w:val="19"/>
  </w:num>
  <w:num w:numId="21">
    <w:abstractNumId w:val="22"/>
  </w:num>
  <w:num w:numId="22">
    <w:abstractNumId w:val="5"/>
  </w:num>
  <w:num w:numId="23">
    <w:abstractNumId w:val="4"/>
  </w:num>
  <w:num w:numId="24">
    <w:abstractNumId w:val="6"/>
  </w:num>
  <w:num w:numId="25">
    <w:abstractNumId w:val="3"/>
  </w:num>
  <w:num w:numId="26">
    <w:abstractNumId w:val="2"/>
  </w:num>
  <w:num w:numId="27">
    <w:abstractNumId w:val="1"/>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0F"/>
    <w:rsid w:val="00000DD8"/>
    <w:rsid w:val="00001C78"/>
    <w:rsid w:val="000024D9"/>
    <w:rsid w:val="0000367E"/>
    <w:rsid w:val="000058FA"/>
    <w:rsid w:val="00006D42"/>
    <w:rsid w:val="00010709"/>
    <w:rsid w:val="00011F57"/>
    <w:rsid w:val="00012365"/>
    <w:rsid w:val="00014629"/>
    <w:rsid w:val="000148F4"/>
    <w:rsid w:val="00015378"/>
    <w:rsid w:val="000158C0"/>
    <w:rsid w:val="00015939"/>
    <w:rsid w:val="00020FF8"/>
    <w:rsid w:val="00023D51"/>
    <w:rsid w:val="00024EC2"/>
    <w:rsid w:val="000263ED"/>
    <w:rsid w:val="000277F5"/>
    <w:rsid w:val="00030978"/>
    <w:rsid w:val="00033F21"/>
    <w:rsid w:val="000355DE"/>
    <w:rsid w:val="000363CB"/>
    <w:rsid w:val="00036603"/>
    <w:rsid w:val="00040A0D"/>
    <w:rsid w:val="00041D64"/>
    <w:rsid w:val="00042CA8"/>
    <w:rsid w:val="00042D54"/>
    <w:rsid w:val="000432BB"/>
    <w:rsid w:val="00043A40"/>
    <w:rsid w:val="00043F94"/>
    <w:rsid w:val="00045A9C"/>
    <w:rsid w:val="0004790D"/>
    <w:rsid w:val="0005001D"/>
    <w:rsid w:val="000516BD"/>
    <w:rsid w:val="000531C1"/>
    <w:rsid w:val="00053981"/>
    <w:rsid w:val="00055D31"/>
    <w:rsid w:val="000568F1"/>
    <w:rsid w:val="000604A0"/>
    <w:rsid w:val="00060779"/>
    <w:rsid w:val="00060E73"/>
    <w:rsid w:val="0006280D"/>
    <w:rsid w:val="00062885"/>
    <w:rsid w:val="00062A81"/>
    <w:rsid w:val="000632A0"/>
    <w:rsid w:val="000652A1"/>
    <w:rsid w:val="000654C4"/>
    <w:rsid w:val="00066EEF"/>
    <w:rsid w:val="000672B6"/>
    <w:rsid w:val="000672DB"/>
    <w:rsid w:val="00067406"/>
    <w:rsid w:val="00067BEA"/>
    <w:rsid w:val="00070FBB"/>
    <w:rsid w:val="0007128F"/>
    <w:rsid w:val="00072492"/>
    <w:rsid w:val="000737A2"/>
    <w:rsid w:val="000741DF"/>
    <w:rsid w:val="0007551F"/>
    <w:rsid w:val="000770B9"/>
    <w:rsid w:val="00081276"/>
    <w:rsid w:val="00081E2A"/>
    <w:rsid w:val="0008201D"/>
    <w:rsid w:val="00082F60"/>
    <w:rsid w:val="00083508"/>
    <w:rsid w:val="00085B11"/>
    <w:rsid w:val="00085E51"/>
    <w:rsid w:val="00086DC7"/>
    <w:rsid w:val="0008775F"/>
    <w:rsid w:val="00087A84"/>
    <w:rsid w:val="00090006"/>
    <w:rsid w:val="00092855"/>
    <w:rsid w:val="00093CD1"/>
    <w:rsid w:val="00096577"/>
    <w:rsid w:val="00096B86"/>
    <w:rsid w:val="00096FB4"/>
    <w:rsid w:val="000971F0"/>
    <w:rsid w:val="000A3E69"/>
    <w:rsid w:val="000B0979"/>
    <w:rsid w:val="000B0A8B"/>
    <w:rsid w:val="000B1C2F"/>
    <w:rsid w:val="000B1CE0"/>
    <w:rsid w:val="000B2F94"/>
    <w:rsid w:val="000B5515"/>
    <w:rsid w:val="000C1FC8"/>
    <w:rsid w:val="000C30C3"/>
    <w:rsid w:val="000C3A61"/>
    <w:rsid w:val="000C5042"/>
    <w:rsid w:val="000C66E6"/>
    <w:rsid w:val="000C6A4B"/>
    <w:rsid w:val="000D1D75"/>
    <w:rsid w:val="000D2041"/>
    <w:rsid w:val="000D24F2"/>
    <w:rsid w:val="000D2662"/>
    <w:rsid w:val="000D4990"/>
    <w:rsid w:val="000D4BC9"/>
    <w:rsid w:val="000D5CB4"/>
    <w:rsid w:val="000D6A46"/>
    <w:rsid w:val="000D79D4"/>
    <w:rsid w:val="000D7B47"/>
    <w:rsid w:val="000D7DCC"/>
    <w:rsid w:val="000E3C3F"/>
    <w:rsid w:val="000E4310"/>
    <w:rsid w:val="000E4849"/>
    <w:rsid w:val="000E4FF6"/>
    <w:rsid w:val="000E5680"/>
    <w:rsid w:val="000E68F5"/>
    <w:rsid w:val="000E6FFF"/>
    <w:rsid w:val="000E7385"/>
    <w:rsid w:val="000F1DC4"/>
    <w:rsid w:val="000F3562"/>
    <w:rsid w:val="000F46EF"/>
    <w:rsid w:val="000F55E8"/>
    <w:rsid w:val="00100190"/>
    <w:rsid w:val="001011EC"/>
    <w:rsid w:val="001023D0"/>
    <w:rsid w:val="001035C3"/>
    <w:rsid w:val="001047EA"/>
    <w:rsid w:val="00107033"/>
    <w:rsid w:val="0010747A"/>
    <w:rsid w:val="00110E37"/>
    <w:rsid w:val="001114D1"/>
    <w:rsid w:val="00111E06"/>
    <w:rsid w:val="00112787"/>
    <w:rsid w:val="00113C91"/>
    <w:rsid w:val="00113DA4"/>
    <w:rsid w:val="00115D30"/>
    <w:rsid w:val="001171D4"/>
    <w:rsid w:val="001200A1"/>
    <w:rsid w:val="001204EE"/>
    <w:rsid w:val="00120DD1"/>
    <w:rsid w:val="00124B7B"/>
    <w:rsid w:val="00124C46"/>
    <w:rsid w:val="001302C2"/>
    <w:rsid w:val="001308E4"/>
    <w:rsid w:val="0013163A"/>
    <w:rsid w:val="00132BC4"/>
    <w:rsid w:val="001332D6"/>
    <w:rsid w:val="00134053"/>
    <w:rsid w:val="001343F0"/>
    <w:rsid w:val="00135A8A"/>
    <w:rsid w:val="00135DE4"/>
    <w:rsid w:val="001365DF"/>
    <w:rsid w:val="00137D2A"/>
    <w:rsid w:val="0014131D"/>
    <w:rsid w:val="0014283D"/>
    <w:rsid w:val="00142B10"/>
    <w:rsid w:val="00143C53"/>
    <w:rsid w:val="00144AE5"/>
    <w:rsid w:val="00150E00"/>
    <w:rsid w:val="0015109E"/>
    <w:rsid w:val="001521C3"/>
    <w:rsid w:val="001528DA"/>
    <w:rsid w:val="00153B1B"/>
    <w:rsid w:val="001623C3"/>
    <w:rsid w:val="00162829"/>
    <w:rsid w:val="00164BDD"/>
    <w:rsid w:val="00166036"/>
    <w:rsid w:val="00170ABB"/>
    <w:rsid w:val="0017128E"/>
    <w:rsid w:val="00172C77"/>
    <w:rsid w:val="00173BE9"/>
    <w:rsid w:val="00176EEE"/>
    <w:rsid w:val="001777D6"/>
    <w:rsid w:val="00180359"/>
    <w:rsid w:val="00180FEE"/>
    <w:rsid w:val="00182268"/>
    <w:rsid w:val="001835BA"/>
    <w:rsid w:val="001837E5"/>
    <w:rsid w:val="001845C4"/>
    <w:rsid w:val="00185D60"/>
    <w:rsid w:val="00186222"/>
    <w:rsid w:val="001864A5"/>
    <w:rsid w:val="00190D1A"/>
    <w:rsid w:val="00190DEC"/>
    <w:rsid w:val="0019157E"/>
    <w:rsid w:val="00196B91"/>
    <w:rsid w:val="00197D5B"/>
    <w:rsid w:val="001A0809"/>
    <w:rsid w:val="001A1D82"/>
    <w:rsid w:val="001A1FE0"/>
    <w:rsid w:val="001A2F95"/>
    <w:rsid w:val="001A31D7"/>
    <w:rsid w:val="001A3AEA"/>
    <w:rsid w:val="001A4DA3"/>
    <w:rsid w:val="001A68E5"/>
    <w:rsid w:val="001A7C8A"/>
    <w:rsid w:val="001B51D3"/>
    <w:rsid w:val="001B58EC"/>
    <w:rsid w:val="001B5F76"/>
    <w:rsid w:val="001B6B2C"/>
    <w:rsid w:val="001B75BC"/>
    <w:rsid w:val="001C1031"/>
    <w:rsid w:val="001C1114"/>
    <w:rsid w:val="001C3CAA"/>
    <w:rsid w:val="001C4A36"/>
    <w:rsid w:val="001C4B0B"/>
    <w:rsid w:val="001C4FD7"/>
    <w:rsid w:val="001C5A8B"/>
    <w:rsid w:val="001C5B02"/>
    <w:rsid w:val="001D0177"/>
    <w:rsid w:val="001D2AF1"/>
    <w:rsid w:val="001D3A17"/>
    <w:rsid w:val="001D526B"/>
    <w:rsid w:val="001D6CA6"/>
    <w:rsid w:val="001D7617"/>
    <w:rsid w:val="001D7915"/>
    <w:rsid w:val="001E2C17"/>
    <w:rsid w:val="001E4824"/>
    <w:rsid w:val="001E64E8"/>
    <w:rsid w:val="001E6C74"/>
    <w:rsid w:val="001E7216"/>
    <w:rsid w:val="001E7ACC"/>
    <w:rsid w:val="001F0ED2"/>
    <w:rsid w:val="001F2012"/>
    <w:rsid w:val="001F25DE"/>
    <w:rsid w:val="001F5EC2"/>
    <w:rsid w:val="001F6F6A"/>
    <w:rsid w:val="001F7AB0"/>
    <w:rsid w:val="0020027D"/>
    <w:rsid w:val="00203196"/>
    <w:rsid w:val="002038F1"/>
    <w:rsid w:val="00204211"/>
    <w:rsid w:val="00204C6A"/>
    <w:rsid w:val="0020515A"/>
    <w:rsid w:val="002107C3"/>
    <w:rsid w:val="00210812"/>
    <w:rsid w:val="00210B78"/>
    <w:rsid w:val="00212EC5"/>
    <w:rsid w:val="00213828"/>
    <w:rsid w:val="002147D2"/>
    <w:rsid w:val="002148C8"/>
    <w:rsid w:val="00215BC0"/>
    <w:rsid w:val="0022024D"/>
    <w:rsid w:val="0022199F"/>
    <w:rsid w:val="00221BA9"/>
    <w:rsid w:val="00223A72"/>
    <w:rsid w:val="00223C63"/>
    <w:rsid w:val="00225EA0"/>
    <w:rsid w:val="002264C3"/>
    <w:rsid w:val="00226696"/>
    <w:rsid w:val="00226F90"/>
    <w:rsid w:val="00227427"/>
    <w:rsid w:val="002276CA"/>
    <w:rsid w:val="00227C8D"/>
    <w:rsid w:val="002301B0"/>
    <w:rsid w:val="00230EA7"/>
    <w:rsid w:val="002323BF"/>
    <w:rsid w:val="0023257D"/>
    <w:rsid w:val="002338C2"/>
    <w:rsid w:val="002345DC"/>
    <w:rsid w:val="00234CCE"/>
    <w:rsid w:val="0023610C"/>
    <w:rsid w:val="002368DE"/>
    <w:rsid w:val="0023738A"/>
    <w:rsid w:val="00240DEA"/>
    <w:rsid w:val="00241BC8"/>
    <w:rsid w:val="00242734"/>
    <w:rsid w:val="00242CB6"/>
    <w:rsid w:val="00243A10"/>
    <w:rsid w:val="00244322"/>
    <w:rsid w:val="00244936"/>
    <w:rsid w:val="0024645E"/>
    <w:rsid w:val="00251974"/>
    <w:rsid w:val="002527EB"/>
    <w:rsid w:val="00252F15"/>
    <w:rsid w:val="0025634E"/>
    <w:rsid w:val="00260D08"/>
    <w:rsid w:val="00263271"/>
    <w:rsid w:val="00264D08"/>
    <w:rsid w:val="00265128"/>
    <w:rsid w:val="00266C85"/>
    <w:rsid w:val="002671A7"/>
    <w:rsid w:val="00267D60"/>
    <w:rsid w:val="002700A8"/>
    <w:rsid w:val="00271130"/>
    <w:rsid w:val="002714B5"/>
    <w:rsid w:val="0027157F"/>
    <w:rsid w:val="00271B3F"/>
    <w:rsid w:val="002726B2"/>
    <w:rsid w:val="00272BBC"/>
    <w:rsid w:val="00273DB1"/>
    <w:rsid w:val="00274035"/>
    <w:rsid w:val="00274C7F"/>
    <w:rsid w:val="00274CB3"/>
    <w:rsid w:val="002753DD"/>
    <w:rsid w:val="00275E4A"/>
    <w:rsid w:val="0027603F"/>
    <w:rsid w:val="00276C46"/>
    <w:rsid w:val="002817CE"/>
    <w:rsid w:val="00282ECC"/>
    <w:rsid w:val="002840DA"/>
    <w:rsid w:val="00285589"/>
    <w:rsid w:val="00285C72"/>
    <w:rsid w:val="002860D1"/>
    <w:rsid w:val="00286384"/>
    <w:rsid w:val="002874F9"/>
    <w:rsid w:val="00287C88"/>
    <w:rsid w:val="002906B3"/>
    <w:rsid w:val="0029075B"/>
    <w:rsid w:val="00293336"/>
    <w:rsid w:val="0029469F"/>
    <w:rsid w:val="00296340"/>
    <w:rsid w:val="0029696F"/>
    <w:rsid w:val="00297606"/>
    <w:rsid w:val="00297B8D"/>
    <w:rsid w:val="002A225F"/>
    <w:rsid w:val="002A250E"/>
    <w:rsid w:val="002A2AF1"/>
    <w:rsid w:val="002A2FBA"/>
    <w:rsid w:val="002A43A3"/>
    <w:rsid w:val="002A4986"/>
    <w:rsid w:val="002A54AC"/>
    <w:rsid w:val="002A7E39"/>
    <w:rsid w:val="002A7F13"/>
    <w:rsid w:val="002B02F0"/>
    <w:rsid w:val="002B04FF"/>
    <w:rsid w:val="002B092C"/>
    <w:rsid w:val="002B1AA3"/>
    <w:rsid w:val="002B5363"/>
    <w:rsid w:val="002B693A"/>
    <w:rsid w:val="002B7736"/>
    <w:rsid w:val="002C1646"/>
    <w:rsid w:val="002C1B02"/>
    <w:rsid w:val="002C2F97"/>
    <w:rsid w:val="002C637E"/>
    <w:rsid w:val="002C6695"/>
    <w:rsid w:val="002C676A"/>
    <w:rsid w:val="002C7C42"/>
    <w:rsid w:val="002D19CD"/>
    <w:rsid w:val="002D1CBD"/>
    <w:rsid w:val="002D2FFC"/>
    <w:rsid w:val="002D47EA"/>
    <w:rsid w:val="002D4BBC"/>
    <w:rsid w:val="002D5B25"/>
    <w:rsid w:val="002D610E"/>
    <w:rsid w:val="002D6913"/>
    <w:rsid w:val="002E2C9A"/>
    <w:rsid w:val="002E55BC"/>
    <w:rsid w:val="002E7DFB"/>
    <w:rsid w:val="002F1D00"/>
    <w:rsid w:val="002F1DAC"/>
    <w:rsid w:val="002F2BB3"/>
    <w:rsid w:val="002F34EE"/>
    <w:rsid w:val="002F3ACD"/>
    <w:rsid w:val="002F40CE"/>
    <w:rsid w:val="002F5070"/>
    <w:rsid w:val="002F643A"/>
    <w:rsid w:val="00304C80"/>
    <w:rsid w:val="00307D6F"/>
    <w:rsid w:val="00310213"/>
    <w:rsid w:val="003114FD"/>
    <w:rsid w:val="00312B4C"/>
    <w:rsid w:val="00313168"/>
    <w:rsid w:val="0031354F"/>
    <w:rsid w:val="0031548D"/>
    <w:rsid w:val="00316CC1"/>
    <w:rsid w:val="00317F6E"/>
    <w:rsid w:val="00321F44"/>
    <w:rsid w:val="003220CB"/>
    <w:rsid w:val="00322B0B"/>
    <w:rsid w:val="00325CBD"/>
    <w:rsid w:val="003267D8"/>
    <w:rsid w:val="003321AF"/>
    <w:rsid w:val="00332700"/>
    <w:rsid w:val="00332CCF"/>
    <w:rsid w:val="003347BD"/>
    <w:rsid w:val="003352DE"/>
    <w:rsid w:val="0033652F"/>
    <w:rsid w:val="00336771"/>
    <w:rsid w:val="00336FC3"/>
    <w:rsid w:val="0033799C"/>
    <w:rsid w:val="00337BDA"/>
    <w:rsid w:val="003418E8"/>
    <w:rsid w:val="003445B8"/>
    <w:rsid w:val="00345232"/>
    <w:rsid w:val="00345936"/>
    <w:rsid w:val="00345C4D"/>
    <w:rsid w:val="003478F0"/>
    <w:rsid w:val="00352645"/>
    <w:rsid w:val="00352683"/>
    <w:rsid w:val="00352EB1"/>
    <w:rsid w:val="00354415"/>
    <w:rsid w:val="00362158"/>
    <w:rsid w:val="003647E6"/>
    <w:rsid w:val="00364A33"/>
    <w:rsid w:val="00364A61"/>
    <w:rsid w:val="00364F8D"/>
    <w:rsid w:val="00367110"/>
    <w:rsid w:val="00367800"/>
    <w:rsid w:val="00371267"/>
    <w:rsid w:val="0037148D"/>
    <w:rsid w:val="0037248E"/>
    <w:rsid w:val="00373157"/>
    <w:rsid w:val="00374152"/>
    <w:rsid w:val="003741E1"/>
    <w:rsid w:val="00374AFC"/>
    <w:rsid w:val="003759FE"/>
    <w:rsid w:val="00375B41"/>
    <w:rsid w:val="00375FAD"/>
    <w:rsid w:val="00381C07"/>
    <w:rsid w:val="0038202C"/>
    <w:rsid w:val="0038252E"/>
    <w:rsid w:val="003836D9"/>
    <w:rsid w:val="003837B7"/>
    <w:rsid w:val="003852E1"/>
    <w:rsid w:val="00386F6D"/>
    <w:rsid w:val="00390D4A"/>
    <w:rsid w:val="00391C15"/>
    <w:rsid w:val="00392264"/>
    <w:rsid w:val="003926A6"/>
    <w:rsid w:val="003939C9"/>
    <w:rsid w:val="00393A92"/>
    <w:rsid w:val="003A0340"/>
    <w:rsid w:val="003A1939"/>
    <w:rsid w:val="003A2101"/>
    <w:rsid w:val="003A2195"/>
    <w:rsid w:val="003A40AF"/>
    <w:rsid w:val="003A5659"/>
    <w:rsid w:val="003A5668"/>
    <w:rsid w:val="003A6184"/>
    <w:rsid w:val="003A6CBE"/>
    <w:rsid w:val="003B0DBF"/>
    <w:rsid w:val="003B1861"/>
    <w:rsid w:val="003B26DA"/>
    <w:rsid w:val="003B2C52"/>
    <w:rsid w:val="003B2CF9"/>
    <w:rsid w:val="003B519A"/>
    <w:rsid w:val="003B5C63"/>
    <w:rsid w:val="003B674D"/>
    <w:rsid w:val="003C0180"/>
    <w:rsid w:val="003C0DDC"/>
    <w:rsid w:val="003C525E"/>
    <w:rsid w:val="003D07EC"/>
    <w:rsid w:val="003D2289"/>
    <w:rsid w:val="003D612A"/>
    <w:rsid w:val="003E0365"/>
    <w:rsid w:val="003E37CF"/>
    <w:rsid w:val="003E45BA"/>
    <w:rsid w:val="003E4F36"/>
    <w:rsid w:val="003E628D"/>
    <w:rsid w:val="003E6F6F"/>
    <w:rsid w:val="003E73EB"/>
    <w:rsid w:val="003F0E15"/>
    <w:rsid w:val="003F4886"/>
    <w:rsid w:val="003F7444"/>
    <w:rsid w:val="003F785B"/>
    <w:rsid w:val="00400FB8"/>
    <w:rsid w:val="00404305"/>
    <w:rsid w:val="0040471E"/>
    <w:rsid w:val="00405DFF"/>
    <w:rsid w:val="004061F1"/>
    <w:rsid w:val="004065B4"/>
    <w:rsid w:val="0040763C"/>
    <w:rsid w:val="00407C75"/>
    <w:rsid w:val="00410CF3"/>
    <w:rsid w:val="00412484"/>
    <w:rsid w:val="00413191"/>
    <w:rsid w:val="004133EA"/>
    <w:rsid w:val="004145B1"/>
    <w:rsid w:val="00415109"/>
    <w:rsid w:val="00415268"/>
    <w:rsid w:val="0041570A"/>
    <w:rsid w:val="004174E7"/>
    <w:rsid w:val="0041757E"/>
    <w:rsid w:val="0042079C"/>
    <w:rsid w:val="00420BDB"/>
    <w:rsid w:val="004223D5"/>
    <w:rsid w:val="00425724"/>
    <w:rsid w:val="004271A2"/>
    <w:rsid w:val="004271A5"/>
    <w:rsid w:val="0042790E"/>
    <w:rsid w:val="00427E01"/>
    <w:rsid w:val="0043072B"/>
    <w:rsid w:val="004320E8"/>
    <w:rsid w:val="0043305B"/>
    <w:rsid w:val="00433DD5"/>
    <w:rsid w:val="00435A28"/>
    <w:rsid w:val="00436845"/>
    <w:rsid w:val="00436901"/>
    <w:rsid w:val="00436B96"/>
    <w:rsid w:val="00436E69"/>
    <w:rsid w:val="004403CD"/>
    <w:rsid w:val="00441F4E"/>
    <w:rsid w:val="0044261B"/>
    <w:rsid w:val="00443BD8"/>
    <w:rsid w:val="0044427D"/>
    <w:rsid w:val="0044761C"/>
    <w:rsid w:val="0045129C"/>
    <w:rsid w:val="00453181"/>
    <w:rsid w:val="004540DC"/>
    <w:rsid w:val="00454D83"/>
    <w:rsid w:val="004559F6"/>
    <w:rsid w:val="004569F5"/>
    <w:rsid w:val="00460EA8"/>
    <w:rsid w:val="0046163F"/>
    <w:rsid w:val="004648B7"/>
    <w:rsid w:val="00464A45"/>
    <w:rsid w:val="00464C8C"/>
    <w:rsid w:val="00464E51"/>
    <w:rsid w:val="004677C7"/>
    <w:rsid w:val="00471B00"/>
    <w:rsid w:val="00472240"/>
    <w:rsid w:val="00473709"/>
    <w:rsid w:val="00473CF6"/>
    <w:rsid w:val="00473F4F"/>
    <w:rsid w:val="00475708"/>
    <w:rsid w:val="004761EF"/>
    <w:rsid w:val="00476EFA"/>
    <w:rsid w:val="00481636"/>
    <w:rsid w:val="00483217"/>
    <w:rsid w:val="004834B0"/>
    <w:rsid w:val="00483D8E"/>
    <w:rsid w:val="00483DC7"/>
    <w:rsid w:val="00485575"/>
    <w:rsid w:val="00486253"/>
    <w:rsid w:val="00490A9E"/>
    <w:rsid w:val="00492E0E"/>
    <w:rsid w:val="00492FF6"/>
    <w:rsid w:val="004930BE"/>
    <w:rsid w:val="004940AF"/>
    <w:rsid w:val="00494434"/>
    <w:rsid w:val="004963ED"/>
    <w:rsid w:val="00497C1D"/>
    <w:rsid w:val="00497ECD"/>
    <w:rsid w:val="004A0D93"/>
    <w:rsid w:val="004A1373"/>
    <w:rsid w:val="004A1BC3"/>
    <w:rsid w:val="004A27B6"/>
    <w:rsid w:val="004A447C"/>
    <w:rsid w:val="004A5444"/>
    <w:rsid w:val="004A779F"/>
    <w:rsid w:val="004B02D9"/>
    <w:rsid w:val="004B183F"/>
    <w:rsid w:val="004B1DA5"/>
    <w:rsid w:val="004B34EF"/>
    <w:rsid w:val="004B39BD"/>
    <w:rsid w:val="004B3C3D"/>
    <w:rsid w:val="004B3EA5"/>
    <w:rsid w:val="004B488D"/>
    <w:rsid w:val="004B57E7"/>
    <w:rsid w:val="004B6291"/>
    <w:rsid w:val="004C0CCD"/>
    <w:rsid w:val="004C0DE6"/>
    <w:rsid w:val="004C1E8D"/>
    <w:rsid w:val="004C2E56"/>
    <w:rsid w:val="004C36A9"/>
    <w:rsid w:val="004C3D97"/>
    <w:rsid w:val="004C4475"/>
    <w:rsid w:val="004C50E1"/>
    <w:rsid w:val="004C539E"/>
    <w:rsid w:val="004D096A"/>
    <w:rsid w:val="004D1548"/>
    <w:rsid w:val="004D199C"/>
    <w:rsid w:val="004D19A5"/>
    <w:rsid w:val="004D25E7"/>
    <w:rsid w:val="004D4C13"/>
    <w:rsid w:val="004D6352"/>
    <w:rsid w:val="004D6B50"/>
    <w:rsid w:val="004D6C5B"/>
    <w:rsid w:val="004D6E08"/>
    <w:rsid w:val="004D7677"/>
    <w:rsid w:val="004D7DB2"/>
    <w:rsid w:val="004D7ECF"/>
    <w:rsid w:val="004D7FD6"/>
    <w:rsid w:val="004E0BFC"/>
    <w:rsid w:val="004E2643"/>
    <w:rsid w:val="004E2F1D"/>
    <w:rsid w:val="004E39A0"/>
    <w:rsid w:val="004E62F1"/>
    <w:rsid w:val="004E7CD2"/>
    <w:rsid w:val="004E7CFB"/>
    <w:rsid w:val="004F02E4"/>
    <w:rsid w:val="004F6417"/>
    <w:rsid w:val="004F7FEA"/>
    <w:rsid w:val="005021A3"/>
    <w:rsid w:val="00502415"/>
    <w:rsid w:val="0050473F"/>
    <w:rsid w:val="00505296"/>
    <w:rsid w:val="00506727"/>
    <w:rsid w:val="00506DC3"/>
    <w:rsid w:val="00507574"/>
    <w:rsid w:val="005075A7"/>
    <w:rsid w:val="005110FB"/>
    <w:rsid w:val="00511CA0"/>
    <w:rsid w:val="00512E4F"/>
    <w:rsid w:val="00513C1D"/>
    <w:rsid w:val="0051465B"/>
    <w:rsid w:val="00514793"/>
    <w:rsid w:val="00514E2F"/>
    <w:rsid w:val="00515339"/>
    <w:rsid w:val="00515D7B"/>
    <w:rsid w:val="00516313"/>
    <w:rsid w:val="00517B65"/>
    <w:rsid w:val="00517CF3"/>
    <w:rsid w:val="00517D96"/>
    <w:rsid w:val="0052024F"/>
    <w:rsid w:val="00520CCA"/>
    <w:rsid w:val="005214AE"/>
    <w:rsid w:val="00521CD6"/>
    <w:rsid w:val="005222DF"/>
    <w:rsid w:val="00522865"/>
    <w:rsid w:val="005234E6"/>
    <w:rsid w:val="00523890"/>
    <w:rsid w:val="005238A1"/>
    <w:rsid w:val="00523BC4"/>
    <w:rsid w:val="00524C09"/>
    <w:rsid w:val="0052723E"/>
    <w:rsid w:val="0053012D"/>
    <w:rsid w:val="00531142"/>
    <w:rsid w:val="0053216B"/>
    <w:rsid w:val="00533854"/>
    <w:rsid w:val="00533AD4"/>
    <w:rsid w:val="00536759"/>
    <w:rsid w:val="005368DC"/>
    <w:rsid w:val="00540A73"/>
    <w:rsid w:val="00555383"/>
    <w:rsid w:val="00555A02"/>
    <w:rsid w:val="00556B71"/>
    <w:rsid w:val="00557049"/>
    <w:rsid w:val="00561396"/>
    <w:rsid w:val="00562191"/>
    <w:rsid w:val="00567E98"/>
    <w:rsid w:val="00571627"/>
    <w:rsid w:val="005724F9"/>
    <w:rsid w:val="00572913"/>
    <w:rsid w:val="0057389B"/>
    <w:rsid w:val="00583380"/>
    <w:rsid w:val="00583D00"/>
    <w:rsid w:val="0058406A"/>
    <w:rsid w:val="00584A30"/>
    <w:rsid w:val="00584E71"/>
    <w:rsid w:val="00585384"/>
    <w:rsid w:val="0059117C"/>
    <w:rsid w:val="00591D28"/>
    <w:rsid w:val="0059227F"/>
    <w:rsid w:val="00592D1B"/>
    <w:rsid w:val="005941A2"/>
    <w:rsid w:val="00595813"/>
    <w:rsid w:val="00597527"/>
    <w:rsid w:val="005A0760"/>
    <w:rsid w:val="005A241C"/>
    <w:rsid w:val="005A2613"/>
    <w:rsid w:val="005A3740"/>
    <w:rsid w:val="005A4C25"/>
    <w:rsid w:val="005A569D"/>
    <w:rsid w:val="005A7A46"/>
    <w:rsid w:val="005B2CD8"/>
    <w:rsid w:val="005B30BC"/>
    <w:rsid w:val="005B3997"/>
    <w:rsid w:val="005B5B22"/>
    <w:rsid w:val="005B633B"/>
    <w:rsid w:val="005B6643"/>
    <w:rsid w:val="005B79F9"/>
    <w:rsid w:val="005C4150"/>
    <w:rsid w:val="005C6333"/>
    <w:rsid w:val="005C6409"/>
    <w:rsid w:val="005C64E9"/>
    <w:rsid w:val="005C6DBF"/>
    <w:rsid w:val="005D0898"/>
    <w:rsid w:val="005D36F5"/>
    <w:rsid w:val="005D4A28"/>
    <w:rsid w:val="005D6B03"/>
    <w:rsid w:val="005E1EFB"/>
    <w:rsid w:val="005E32A5"/>
    <w:rsid w:val="005E3CFB"/>
    <w:rsid w:val="005E5053"/>
    <w:rsid w:val="005E6156"/>
    <w:rsid w:val="005E77A8"/>
    <w:rsid w:val="005F0987"/>
    <w:rsid w:val="005F3D34"/>
    <w:rsid w:val="005F42B0"/>
    <w:rsid w:val="005F56E4"/>
    <w:rsid w:val="005F6612"/>
    <w:rsid w:val="005F75D0"/>
    <w:rsid w:val="005F75D5"/>
    <w:rsid w:val="005F76B1"/>
    <w:rsid w:val="00600566"/>
    <w:rsid w:val="0060165A"/>
    <w:rsid w:val="00603452"/>
    <w:rsid w:val="00603807"/>
    <w:rsid w:val="00604277"/>
    <w:rsid w:val="00604E26"/>
    <w:rsid w:val="006051A4"/>
    <w:rsid w:val="006058B6"/>
    <w:rsid w:val="0061088A"/>
    <w:rsid w:val="006117FA"/>
    <w:rsid w:val="00611DF3"/>
    <w:rsid w:val="00615320"/>
    <w:rsid w:val="006159FF"/>
    <w:rsid w:val="00616042"/>
    <w:rsid w:val="00617D0B"/>
    <w:rsid w:val="006227A9"/>
    <w:rsid w:val="00625904"/>
    <w:rsid w:val="00625A23"/>
    <w:rsid w:val="0063094F"/>
    <w:rsid w:val="00630CAA"/>
    <w:rsid w:val="00631ADB"/>
    <w:rsid w:val="00631C0F"/>
    <w:rsid w:val="006332C3"/>
    <w:rsid w:val="00634424"/>
    <w:rsid w:val="00636240"/>
    <w:rsid w:val="006373C8"/>
    <w:rsid w:val="00637A8B"/>
    <w:rsid w:val="00640A5C"/>
    <w:rsid w:val="006416E8"/>
    <w:rsid w:val="006419DB"/>
    <w:rsid w:val="006440FE"/>
    <w:rsid w:val="006444B8"/>
    <w:rsid w:val="006478B6"/>
    <w:rsid w:val="00647FC3"/>
    <w:rsid w:val="006529B9"/>
    <w:rsid w:val="00653349"/>
    <w:rsid w:val="006539EA"/>
    <w:rsid w:val="006579CA"/>
    <w:rsid w:val="006611E0"/>
    <w:rsid w:val="00661F81"/>
    <w:rsid w:val="0066453A"/>
    <w:rsid w:val="00666A44"/>
    <w:rsid w:val="00667A93"/>
    <w:rsid w:val="00670564"/>
    <w:rsid w:val="00671DF0"/>
    <w:rsid w:val="006723EF"/>
    <w:rsid w:val="00672DBB"/>
    <w:rsid w:val="00673E78"/>
    <w:rsid w:val="00674F99"/>
    <w:rsid w:val="00675708"/>
    <w:rsid w:val="006763B7"/>
    <w:rsid w:val="00676F60"/>
    <w:rsid w:val="00683378"/>
    <w:rsid w:val="00683EE6"/>
    <w:rsid w:val="00685136"/>
    <w:rsid w:val="00686142"/>
    <w:rsid w:val="00686336"/>
    <w:rsid w:val="006871CC"/>
    <w:rsid w:val="0069053A"/>
    <w:rsid w:val="006943F5"/>
    <w:rsid w:val="006945DE"/>
    <w:rsid w:val="006952E4"/>
    <w:rsid w:val="00695C1F"/>
    <w:rsid w:val="00695CD4"/>
    <w:rsid w:val="006973B8"/>
    <w:rsid w:val="006A00E2"/>
    <w:rsid w:val="006A12B0"/>
    <w:rsid w:val="006A18AD"/>
    <w:rsid w:val="006A2ABA"/>
    <w:rsid w:val="006A3ECF"/>
    <w:rsid w:val="006A6A88"/>
    <w:rsid w:val="006A6FA9"/>
    <w:rsid w:val="006A72DC"/>
    <w:rsid w:val="006B115E"/>
    <w:rsid w:val="006B3B81"/>
    <w:rsid w:val="006B4A5A"/>
    <w:rsid w:val="006B741E"/>
    <w:rsid w:val="006B769C"/>
    <w:rsid w:val="006C1823"/>
    <w:rsid w:val="006C2308"/>
    <w:rsid w:val="006C262D"/>
    <w:rsid w:val="006C2BFE"/>
    <w:rsid w:val="006C4E17"/>
    <w:rsid w:val="006C5D86"/>
    <w:rsid w:val="006C642B"/>
    <w:rsid w:val="006C72C0"/>
    <w:rsid w:val="006C737B"/>
    <w:rsid w:val="006D10D6"/>
    <w:rsid w:val="006D167D"/>
    <w:rsid w:val="006D1DC1"/>
    <w:rsid w:val="006D2207"/>
    <w:rsid w:val="006D3EE2"/>
    <w:rsid w:val="006D50CD"/>
    <w:rsid w:val="006D6DD8"/>
    <w:rsid w:val="006D7225"/>
    <w:rsid w:val="006D723A"/>
    <w:rsid w:val="006D7490"/>
    <w:rsid w:val="006D782F"/>
    <w:rsid w:val="006E02E1"/>
    <w:rsid w:val="006E0DF5"/>
    <w:rsid w:val="006E24EA"/>
    <w:rsid w:val="006E2D40"/>
    <w:rsid w:val="006E38AE"/>
    <w:rsid w:val="006E5989"/>
    <w:rsid w:val="006E5E6A"/>
    <w:rsid w:val="006E7B61"/>
    <w:rsid w:val="006F06A5"/>
    <w:rsid w:val="006F34FC"/>
    <w:rsid w:val="006F3823"/>
    <w:rsid w:val="006F4A34"/>
    <w:rsid w:val="007002CA"/>
    <w:rsid w:val="00700A51"/>
    <w:rsid w:val="0070118A"/>
    <w:rsid w:val="00703ED1"/>
    <w:rsid w:val="007043BC"/>
    <w:rsid w:val="00704B8D"/>
    <w:rsid w:val="00705AD9"/>
    <w:rsid w:val="00710166"/>
    <w:rsid w:val="00711586"/>
    <w:rsid w:val="00713743"/>
    <w:rsid w:val="00716735"/>
    <w:rsid w:val="0071688C"/>
    <w:rsid w:val="00722409"/>
    <w:rsid w:val="00725C4A"/>
    <w:rsid w:val="00726539"/>
    <w:rsid w:val="00726A97"/>
    <w:rsid w:val="00727A7E"/>
    <w:rsid w:val="00730835"/>
    <w:rsid w:val="00731AA8"/>
    <w:rsid w:val="00732E06"/>
    <w:rsid w:val="00735A8E"/>
    <w:rsid w:val="00736056"/>
    <w:rsid w:val="00737E01"/>
    <w:rsid w:val="00741339"/>
    <w:rsid w:val="00742E07"/>
    <w:rsid w:val="00747C2E"/>
    <w:rsid w:val="007505BA"/>
    <w:rsid w:val="00751C55"/>
    <w:rsid w:val="00753299"/>
    <w:rsid w:val="00753D45"/>
    <w:rsid w:val="007556F3"/>
    <w:rsid w:val="00755FFA"/>
    <w:rsid w:val="00756030"/>
    <w:rsid w:val="00756629"/>
    <w:rsid w:val="00756D26"/>
    <w:rsid w:val="00757DEA"/>
    <w:rsid w:val="007628BE"/>
    <w:rsid w:val="007637BE"/>
    <w:rsid w:val="007641F6"/>
    <w:rsid w:val="00764920"/>
    <w:rsid w:val="00764C82"/>
    <w:rsid w:val="007705F5"/>
    <w:rsid w:val="00773618"/>
    <w:rsid w:val="00773831"/>
    <w:rsid w:val="00776671"/>
    <w:rsid w:val="00780705"/>
    <w:rsid w:val="00780ABB"/>
    <w:rsid w:val="00782694"/>
    <w:rsid w:val="00782B06"/>
    <w:rsid w:val="00784666"/>
    <w:rsid w:val="0078511B"/>
    <w:rsid w:val="00785E1A"/>
    <w:rsid w:val="00786947"/>
    <w:rsid w:val="00787074"/>
    <w:rsid w:val="00790178"/>
    <w:rsid w:val="00790AE1"/>
    <w:rsid w:val="007912D2"/>
    <w:rsid w:val="00792CBD"/>
    <w:rsid w:val="00795389"/>
    <w:rsid w:val="007975F8"/>
    <w:rsid w:val="0079770A"/>
    <w:rsid w:val="00797A7A"/>
    <w:rsid w:val="00797D2E"/>
    <w:rsid w:val="00797DC3"/>
    <w:rsid w:val="007A071C"/>
    <w:rsid w:val="007A2679"/>
    <w:rsid w:val="007A428D"/>
    <w:rsid w:val="007A7C3F"/>
    <w:rsid w:val="007B023D"/>
    <w:rsid w:val="007B0C47"/>
    <w:rsid w:val="007B0E86"/>
    <w:rsid w:val="007B1093"/>
    <w:rsid w:val="007B1F23"/>
    <w:rsid w:val="007B3103"/>
    <w:rsid w:val="007B40A5"/>
    <w:rsid w:val="007B42A1"/>
    <w:rsid w:val="007B4794"/>
    <w:rsid w:val="007B4CB6"/>
    <w:rsid w:val="007B5CC9"/>
    <w:rsid w:val="007B60A3"/>
    <w:rsid w:val="007B7DAD"/>
    <w:rsid w:val="007C0E77"/>
    <w:rsid w:val="007C25CA"/>
    <w:rsid w:val="007C5B4E"/>
    <w:rsid w:val="007C5EF8"/>
    <w:rsid w:val="007C617A"/>
    <w:rsid w:val="007D2280"/>
    <w:rsid w:val="007D3431"/>
    <w:rsid w:val="007D4464"/>
    <w:rsid w:val="007D493C"/>
    <w:rsid w:val="007D5E50"/>
    <w:rsid w:val="007D688B"/>
    <w:rsid w:val="007E1FF3"/>
    <w:rsid w:val="007E3934"/>
    <w:rsid w:val="007E45B0"/>
    <w:rsid w:val="007E6B42"/>
    <w:rsid w:val="007F055E"/>
    <w:rsid w:val="007F05E3"/>
    <w:rsid w:val="007F07AC"/>
    <w:rsid w:val="007F1B00"/>
    <w:rsid w:val="007F4042"/>
    <w:rsid w:val="007F5A2F"/>
    <w:rsid w:val="007F60A5"/>
    <w:rsid w:val="00800859"/>
    <w:rsid w:val="0080193F"/>
    <w:rsid w:val="0080257D"/>
    <w:rsid w:val="00803FC7"/>
    <w:rsid w:val="00804962"/>
    <w:rsid w:val="00804A54"/>
    <w:rsid w:val="00804A8D"/>
    <w:rsid w:val="008072BC"/>
    <w:rsid w:val="008108EF"/>
    <w:rsid w:val="00811735"/>
    <w:rsid w:val="00811D11"/>
    <w:rsid w:val="00811EAD"/>
    <w:rsid w:val="00812427"/>
    <w:rsid w:val="00813620"/>
    <w:rsid w:val="00813677"/>
    <w:rsid w:val="0081386B"/>
    <w:rsid w:val="008158D5"/>
    <w:rsid w:val="00816572"/>
    <w:rsid w:val="008260D3"/>
    <w:rsid w:val="00826A43"/>
    <w:rsid w:val="0082743E"/>
    <w:rsid w:val="008300CD"/>
    <w:rsid w:val="00830D2F"/>
    <w:rsid w:val="00831B64"/>
    <w:rsid w:val="008337D4"/>
    <w:rsid w:val="008345C8"/>
    <w:rsid w:val="00835980"/>
    <w:rsid w:val="00845637"/>
    <w:rsid w:val="008474C2"/>
    <w:rsid w:val="00850E98"/>
    <w:rsid w:val="00853D4D"/>
    <w:rsid w:val="008544D5"/>
    <w:rsid w:val="00860489"/>
    <w:rsid w:val="00861EF9"/>
    <w:rsid w:val="00863A06"/>
    <w:rsid w:val="00864F1D"/>
    <w:rsid w:val="008667BC"/>
    <w:rsid w:val="00867ACB"/>
    <w:rsid w:val="008708F5"/>
    <w:rsid w:val="00870D60"/>
    <w:rsid w:val="00873DD2"/>
    <w:rsid w:val="00873DE5"/>
    <w:rsid w:val="008744CA"/>
    <w:rsid w:val="008752AC"/>
    <w:rsid w:val="00876C8D"/>
    <w:rsid w:val="00877402"/>
    <w:rsid w:val="00877441"/>
    <w:rsid w:val="008775B6"/>
    <w:rsid w:val="00881BC4"/>
    <w:rsid w:val="00882B79"/>
    <w:rsid w:val="00882C5F"/>
    <w:rsid w:val="0088466B"/>
    <w:rsid w:val="00884734"/>
    <w:rsid w:val="00892B16"/>
    <w:rsid w:val="00894B83"/>
    <w:rsid w:val="00895071"/>
    <w:rsid w:val="00895F4C"/>
    <w:rsid w:val="008965AE"/>
    <w:rsid w:val="008A1A38"/>
    <w:rsid w:val="008A1C2B"/>
    <w:rsid w:val="008A243D"/>
    <w:rsid w:val="008A2B6B"/>
    <w:rsid w:val="008A3A70"/>
    <w:rsid w:val="008A4FC5"/>
    <w:rsid w:val="008A6E96"/>
    <w:rsid w:val="008B0389"/>
    <w:rsid w:val="008B03E1"/>
    <w:rsid w:val="008B2199"/>
    <w:rsid w:val="008B3DD8"/>
    <w:rsid w:val="008B3F5B"/>
    <w:rsid w:val="008B42B9"/>
    <w:rsid w:val="008C0980"/>
    <w:rsid w:val="008C1FDA"/>
    <w:rsid w:val="008C51BE"/>
    <w:rsid w:val="008C6CB7"/>
    <w:rsid w:val="008D0C92"/>
    <w:rsid w:val="008D5AD3"/>
    <w:rsid w:val="008E28DA"/>
    <w:rsid w:val="008E297B"/>
    <w:rsid w:val="008E5987"/>
    <w:rsid w:val="008F03AC"/>
    <w:rsid w:val="008F1D82"/>
    <w:rsid w:val="008F2D4F"/>
    <w:rsid w:val="008F2E43"/>
    <w:rsid w:val="008F31E7"/>
    <w:rsid w:val="008F6004"/>
    <w:rsid w:val="00901735"/>
    <w:rsid w:val="009019B5"/>
    <w:rsid w:val="00901D3B"/>
    <w:rsid w:val="00902AA5"/>
    <w:rsid w:val="00904AAD"/>
    <w:rsid w:val="0090742B"/>
    <w:rsid w:val="00907FF5"/>
    <w:rsid w:val="00910817"/>
    <w:rsid w:val="0091154B"/>
    <w:rsid w:val="009120B1"/>
    <w:rsid w:val="009137DB"/>
    <w:rsid w:val="0091404A"/>
    <w:rsid w:val="009143B5"/>
    <w:rsid w:val="00916B74"/>
    <w:rsid w:val="00920649"/>
    <w:rsid w:val="00920ECF"/>
    <w:rsid w:val="009237A0"/>
    <w:rsid w:val="009243AD"/>
    <w:rsid w:val="00926537"/>
    <w:rsid w:val="0093022B"/>
    <w:rsid w:val="0093337E"/>
    <w:rsid w:val="009344AF"/>
    <w:rsid w:val="00935221"/>
    <w:rsid w:val="00941E4A"/>
    <w:rsid w:val="0094219F"/>
    <w:rsid w:val="00945926"/>
    <w:rsid w:val="009462CF"/>
    <w:rsid w:val="009469AE"/>
    <w:rsid w:val="00950BD0"/>
    <w:rsid w:val="00950F2A"/>
    <w:rsid w:val="00951537"/>
    <w:rsid w:val="00954BA9"/>
    <w:rsid w:val="00954C95"/>
    <w:rsid w:val="00956F17"/>
    <w:rsid w:val="009576BC"/>
    <w:rsid w:val="0096006F"/>
    <w:rsid w:val="0096082E"/>
    <w:rsid w:val="00962F81"/>
    <w:rsid w:val="00962FC5"/>
    <w:rsid w:val="00965772"/>
    <w:rsid w:val="00967140"/>
    <w:rsid w:val="00967196"/>
    <w:rsid w:val="009679B1"/>
    <w:rsid w:val="0097034E"/>
    <w:rsid w:val="009704C7"/>
    <w:rsid w:val="009707C2"/>
    <w:rsid w:val="0097182C"/>
    <w:rsid w:val="009718A7"/>
    <w:rsid w:val="00971906"/>
    <w:rsid w:val="00973308"/>
    <w:rsid w:val="00975F95"/>
    <w:rsid w:val="0097705A"/>
    <w:rsid w:val="0098008F"/>
    <w:rsid w:val="00981EC6"/>
    <w:rsid w:val="00983C17"/>
    <w:rsid w:val="00984222"/>
    <w:rsid w:val="00984779"/>
    <w:rsid w:val="009868C0"/>
    <w:rsid w:val="00986F41"/>
    <w:rsid w:val="00992418"/>
    <w:rsid w:val="009929D0"/>
    <w:rsid w:val="00992D0A"/>
    <w:rsid w:val="00992E71"/>
    <w:rsid w:val="009A0F6E"/>
    <w:rsid w:val="009A1E53"/>
    <w:rsid w:val="009A1FAE"/>
    <w:rsid w:val="009A28D7"/>
    <w:rsid w:val="009A60E1"/>
    <w:rsid w:val="009A6339"/>
    <w:rsid w:val="009B0DBD"/>
    <w:rsid w:val="009B3EFD"/>
    <w:rsid w:val="009B3F65"/>
    <w:rsid w:val="009B5099"/>
    <w:rsid w:val="009B719F"/>
    <w:rsid w:val="009C3305"/>
    <w:rsid w:val="009C34EC"/>
    <w:rsid w:val="009C5B4B"/>
    <w:rsid w:val="009D0811"/>
    <w:rsid w:val="009D0D76"/>
    <w:rsid w:val="009D1747"/>
    <w:rsid w:val="009D1BC3"/>
    <w:rsid w:val="009D2384"/>
    <w:rsid w:val="009D36AD"/>
    <w:rsid w:val="009D3D1B"/>
    <w:rsid w:val="009D643F"/>
    <w:rsid w:val="009E0169"/>
    <w:rsid w:val="009E1D9B"/>
    <w:rsid w:val="009E331D"/>
    <w:rsid w:val="009E3A39"/>
    <w:rsid w:val="009E3A6F"/>
    <w:rsid w:val="009E3E35"/>
    <w:rsid w:val="009E63EA"/>
    <w:rsid w:val="009F01EE"/>
    <w:rsid w:val="009F0389"/>
    <w:rsid w:val="009F1545"/>
    <w:rsid w:val="009F1EE1"/>
    <w:rsid w:val="009F2413"/>
    <w:rsid w:val="009F3680"/>
    <w:rsid w:val="009F416A"/>
    <w:rsid w:val="009F5859"/>
    <w:rsid w:val="009F6C32"/>
    <w:rsid w:val="00A00939"/>
    <w:rsid w:val="00A02CDA"/>
    <w:rsid w:val="00A03106"/>
    <w:rsid w:val="00A03126"/>
    <w:rsid w:val="00A05BEA"/>
    <w:rsid w:val="00A05DC9"/>
    <w:rsid w:val="00A0777C"/>
    <w:rsid w:val="00A07960"/>
    <w:rsid w:val="00A10AC6"/>
    <w:rsid w:val="00A10FE7"/>
    <w:rsid w:val="00A11C4D"/>
    <w:rsid w:val="00A145CF"/>
    <w:rsid w:val="00A15B98"/>
    <w:rsid w:val="00A1699A"/>
    <w:rsid w:val="00A17E86"/>
    <w:rsid w:val="00A17FF2"/>
    <w:rsid w:val="00A20364"/>
    <w:rsid w:val="00A22873"/>
    <w:rsid w:val="00A238E0"/>
    <w:rsid w:val="00A26E3A"/>
    <w:rsid w:val="00A27381"/>
    <w:rsid w:val="00A301B2"/>
    <w:rsid w:val="00A304BE"/>
    <w:rsid w:val="00A30598"/>
    <w:rsid w:val="00A31280"/>
    <w:rsid w:val="00A31761"/>
    <w:rsid w:val="00A32A05"/>
    <w:rsid w:val="00A3388E"/>
    <w:rsid w:val="00A344C7"/>
    <w:rsid w:val="00A34523"/>
    <w:rsid w:val="00A36463"/>
    <w:rsid w:val="00A36A1B"/>
    <w:rsid w:val="00A400ED"/>
    <w:rsid w:val="00A40F8E"/>
    <w:rsid w:val="00A412B0"/>
    <w:rsid w:val="00A4149F"/>
    <w:rsid w:val="00A41DA5"/>
    <w:rsid w:val="00A45F6A"/>
    <w:rsid w:val="00A47ABF"/>
    <w:rsid w:val="00A521D0"/>
    <w:rsid w:val="00A52AE4"/>
    <w:rsid w:val="00A53F63"/>
    <w:rsid w:val="00A5567F"/>
    <w:rsid w:val="00A55FC1"/>
    <w:rsid w:val="00A56120"/>
    <w:rsid w:val="00A56CF5"/>
    <w:rsid w:val="00A619AC"/>
    <w:rsid w:val="00A64605"/>
    <w:rsid w:val="00A64E32"/>
    <w:rsid w:val="00A66070"/>
    <w:rsid w:val="00A66199"/>
    <w:rsid w:val="00A66806"/>
    <w:rsid w:val="00A702E4"/>
    <w:rsid w:val="00A760A8"/>
    <w:rsid w:val="00A7688E"/>
    <w:rsid w:val="00A80EDB"/>
    <w:rsid w:val="00A8275B"/>
    <w:rsid w:val="00A86BC7"/>
    <w:rsid w:val="00A908BD"/>
    <w:rsid w:val="00A90C18"/>
    <w:rsid w:val="00A918FE"/>
    <w:rsid w:val="00A93351"/>
    <w:rsid w:val="00AA0CBD"/>
    <w:rsid w:val="00AA0CBE"/>
    <w:rsid w:val="00AA411B"/>
    <w:rsid w:val="00AA662D"/>
    <w:rsid w:val="00AA7F0A"/>
    <w:rsid w:val="00AB10AF"/>
    <w:rsid w:val="00AB1E5B"/>
    <w:rsid w:val="00AB3D16"/>
    <w:rsid w:val="00AB6AB3"/>
    <w:rsid w:val="00AB6DC3"/>
    <w:rsid w:val="00AB726A"/>
    <w:rsid w:val="00AC0142"/>
    <w:rsid w:val="00AC287F"/>
    <w:rsid w:val="00AC3A63"/>
    <w:rsid w:val="00AC455D"/>
    <w:rsid w:val="00AC4D9F"/>
    <w:rsid w:val="00AD150B"/>
    <w:rsid w:val="00AD15EE"/>
    <w:rsid w:val="00AD78E1"/>
    <w:rsid w:val="00AE0285"/>
    <w:rsid w:val="00AE222D"/>
    <w:rsid w:val="00AE34D9"/>
    <w:rsid w:val="00AE374C"/>
    <w:rsid w:val="00AE404F"/>
    <w:rsid w:val="00AE4D69"/>
    <w:rsid w:val="00AE5679"/>
    <w:rsid w:val="00AE62C6"/>
    <w:rsid w:val="00AE6885"/>
    <w:rsid w:val="00AE76A1"/>
    <w:rsid w:val="00AF0A1B"/>
    <w:rsid w:val="00AF19A4"/>
    <w:rsid w:val="00AF4A67"/>
    <w:rsid w:val="00B008C7"/>
    <w:rsid w:val="00B0166D"/>
    <w:rsid w:val="00B0626E"/>
    <w:rsid w:val="00B06375"/>
    <w:rsid w:val="00B0642E"/>
    <w:rsid w:val="00B10F3E"/>
    <w:rsid w:val="00B10F46"/>
    <w:rsid w:val="00B11187"/>
    <w:rsid w:val="00B1286E"/>
    <w:rsid w:val="00B1481E"/>
    <w:rsid w:val="00B14C88"/>
    <w:rsid w:val="00B1624F"/>
    <w:rsid w:val="00B16773"/>
    <w:rsid w:val="00B20E1F"/>
    <w:rsid w:val="00B26859"/>
    <w:rsid w:val="00B26EE5"/>
    <w:rsid w:val="00B278C8"/>
    <w:rsid w:val="00B27BF2"/>
    <w:rsid w:val="00B3084F"/>
    <w:rsid w:val="00B325D6"/>
    <w:rsid w:val="00B345D8"/>
    <w:rsid w:val="00B40BE5"/>
    <w:rsid w:val="00B40F93"/>
    <w:rsid w:val="00B43DCA"/>
    <w:rsid w:val="00B44627"/>
    <w:rsid w:val="00B509D0"/>
    <w:rsid w:val="00B50A39"/>
    <w:rsid w:val="00B50DD1"/>
    <w:rsid w:val="00B527B0"/>
    <w:rsid w:val="00B531C5"/>
    <w:rsid w:val="00B53FCF"/>
    <w:rsid w:val="00B544C4"/>
    <w:rsid w:val="00B55DE3"/>
    <w:rsid w:val="00B60356"/>
    <w:rsid w:val="00B60490"/>
    <w:rsid w:val="00B606EC"/>
    <w:rsid w:val="00B60DE6"/>
    <w:rsid w:val="00B6284F"/>
    <w:rsid w:val="00B657DC"/>
    <w:rsid w:val="00B67B2C"/>
    <w:rsid w:val="00B67E1B"/>
    <w:rsid w:val="00B712CC"/>
    <w:rsid w:val="00B736DC"/>
    <w:rsid w:val="00B75603"/>
    <w:rsid w:val="00B756C4"/>
    <w:rsid w:val="00B7643B"/>
    <w:rsid w:val="00B775E4"/>
    <w:rsid w:val="00B830D8"/>
    <w:rsid w:val="00B83924"/>
    <w:rsid w:val="00B84760"/>
    <w:rsid w:val="00B84A1F"/>
    <w:rsid w:val="00B851DC"/>
    <w:rsid w:val="00B86134"/>
    <w:rsid w:val="00B86692"/>
    <w:rsid w:val="00B86E4E"/>
    <w:rsid w:val="00B87FF2"/>
    <w:rsid w:val="00B90E30"/>
    <w:rsid w:val="00B931CF"/>
    <w:rsid w:val="00B9338E"/>
    <w:rsid w:val="00B933CF"/>
    <w:rsid w:val="00B937A5"/>
    <w:rsid w:val="00B965A2"/>
    <w:rsid w:val="00B97C44"/>
    <w:rsid w:val="00B97DDD"/>
    <w:rsid w:val="00BA0601"/>
    <w:rsid w:val="00BA17B6"/>
    <w:rsid w:val="00BA2297"/>
    <w:rsid w:val="00BA28B9"/>
    <w:rsid w:val="00BA2D7B"/>
    <w:rsid w:val="00BA2EFD"/>
    <w:rsid w:val="00BA3632"/>
    <w:rsid w:val="00BA47F1"/>
    <w:rsid w:val="00BA5518"/>
    <w:rsid w:val="00BA5999"/>
    <w:rsid w:val="00BA5C45"/>
    <w:rsid w:val="00BA7D0A"/>
    <w:rsid w:val="00BB05FA"/>
    <w:rsid w:val="00BB0B60"/>
    <w:rsid w:val="00BB0CAD"/>
    <w:rsid w:val="00BB103A"/>
    <w:rsid w:val="00BB2636"/>
    <w:rsid w:val="00BB2B69"/>
    <w:rsid w:val="00BB6EA5"/>
    <w:rsid w:val="00BC07E2"/>
    <w:rsid w:val="00BC44AC"/>
    <w:rsid w:val="00BC7AE8"/>
    <w:rsid w:val="00BD1BBA"/>
    <w:rsid w:val="00BD2EE3"/>
    <w:rsid w:val="00BD37B1"/>
    <w:rsid w:val="00BD3C5A"/>
    <w:rsid w:val="00BD60D8"/>
    <w:rsid w:val="00BD7E5B"/>
    <w:rsid w:val="00BE2DB3"/>
    <w:rsid w:val="00BE34F9"/>
    <w:rsid w:val="00BE49D1"/>
    <w:rsid w:val="00BE5815"/>
    <w:rsid w:val="00BE5A25"/>
    <w:rsid w:val="00BE5CC4"/>
    <w:rsid w:val="00BE6185"/>
    <w:rsid w:val="00BE6392"/>
    <w:rsid w:val="00BF05B8"/>
    <w:rsid w:val="00BF0DE5"/>
    <w:rsid w:val="00BF52BB"/>
    <w:rsid w:val="00BF57FB"/>
    <w:rsid w:val="00BF700A"/>
    <w:rsid w:val="00C03996"/>
    <w:rsid w:val="00C04F1D"/>
    <w:rsid w:val="00C054FC"/>
    <w:rsid w:val="00C07E72"/>
    <w:rsid w:val="00C1206B"/>
    <w:rsid w:val="00C13AC2"/>
    <w:rsid w:val="00C13B97"/>
    <w:rsid w:val="00C14575"/>
    <w:rsid w:val="00C178B6"/>
    <w:rsid w:val="00C206B2"/>
    <w:rsid w:val="00C232C3"/>
    <w:rsid w:val="00C25657"/>
    <w:rsid w:val="00C27EF3"/>
    <w:rsid w:val="00C3199B"/>
    <w:rsid w:val="00C31CC4"/>
    <w:rsid w:val="00C326B3"/>
    <w:rsid w:val="00C34930"/>
    <w:rsid w:val="00C35573"/>
    <w:rsid w:val="00C3676B"/>
    <w:rsid w:val="00C368FC"/>
    <w:rsid w:val="00C375F8"/>
    <w:rsid w:val="00C41489"/>
    <w:rsid w:val="00C41D35"/>
    <w:rsid w:val="00C45684"/>
    <w:rsid w:val="00C466F2"/>
    <w:rsid w:val="00C500CA"/>
    <w:rsid w:val="00C50BB3"/>
    <w:rsid w:val="00C52B84"/>
    <w:rsid w:val="00C5497C"/>
    <w:rsid w:val="00C5695A"/>
    <w:rsid w:val="00C56AB7"/>
    <w:rsid w:val="00C57C6D"/>
    <w:rsid w:val="00C605FE"/>
    <w:rsid w:val="00C6179B"/>
    <w:rsid w:val="00C639AF"/>
    <w:rsid w:val="00C64D9C"/>
    <w:rsid w:val="00C64F06"/>
    <w:rsid w:val="00C658AF"/>
    <w:rsid w:val="00C65A7E"/>
    <w:rsid w:val="00C67D18"/>
    <w:rsid w:val="00C7063C"/>
    <w:rsid w:val="00C70A5C"/>
    <w:rsid w:val="00C75A06"/>
    <w:rsid w:val="00C75E08"/>
    <w:rsid w:val="00C77FB1"/>
    <w:rsid w:val="00C84C4E"/>
    <w:rsid w:val="00C87A59"/>
    <w:rsid w:val="00C90804"/>
    <w:rsid w:val="00C91A54"/>
    <w:rsid w:val="00C92763"/>
    <w:rsid w:val="00C93E4A"/>
    <w:rsid w:val="00C95355"/>
    <w:rsid w:val="00C96A21"/>
    <w:rsid w:val="00C9760E"/>
    <w:rsid w:val="00CA0812"/>
    <w:rsid w:val="00CA1539"/>
    <w:rsid w:val="00CA3A9F"/>
    <w:rsid w:val="00CA572B"/>
    <w:rsid w:val="00CA628C"/>
    <w:rsid w:val="00CA79C7"/>
    <w:rsid w:val="00CA7E72"/>
    <w:rsid w:val="00CB0474"/>
    <w:rsid w:val="00CB18B7"/>
    <w:rsid w:val="00CB22BA"/>
    <w:rsid w:val="00CB4BF5"/>
    <w:rsid w:val="00CB4E72"/>
    <w:rsid w:val="00CB55AD"/>
    <w:rsid w:val="00CB6AE0"/>
    <w:rsid w:val="00CB6C4D"/>
    <w:rsid w:val="00CC0545"/>
    <w:rsid w:val="00CC1AB8"/>
    <w:rsid w:val="00CC402E"/>
    <w:rsid w:val="00CC68D2"/>
    <w:rsid w:val="00CC76CF"/>
    <w:rsid w:val="00CD0840"/>
    <w:rsid w:val="00CD0D08"/>
    <w:rsid w:val="00CD3502"/>
    <w:rsid w:val="00CD6C06"/>
    <w:rsid w:val="00CD7A0C"/>
    <w:rsid w:val="00CD7FD7"/>
    <w:rsid w:val="00CE0811"/>
    <w:rsid w:val="00CE2011"/>
    <w:rsid w:val="00CE272A"/>
    <w:rsid w:val="00CE29EB"/>
    <w:rsid w:val="00CE2B0A"/>
    <w:rsid w:val="00CE4B90"/>
    <w:rsid w:val="00CE68CC"/>
    <w:rsid w:val="00CE6BAF"/>
    <w:rsid w:val="00CE72E6"/>
    <w:rsid w:val="00CE7875"/>
    <w:rsid w:val="00CE7AF7"/>
    <w:rsid w:val="00CF0AE2"/>
    <w:rsid w:val="00CF1361"/>
    <w:rsid w:val="00CF1F03"/>
    <w:rsid w:val="00CF2DEF"/>
    <w:rsid w:val="00CF4636"/>
    <w:rsid w:val="00CF4696"/>
    <w:rsid w:val="00CF628E"/>
    <w:rsid w:val="00CF6A3C"/>
    <w:rsid w:val="00CF7D73"/>
    <w:rsid w:val="00D0134C"/>
    <w:rsid w:val="00D0372E"/>
    <w:rsid w:val="00D03EFB"/>
    <w:rsid w:val="00D11BCC"/>
    <w:rsid w:val="00D11DDC"/>
    <w:rsid w:val="00D12370"/>
    <w:rsid w:val="00D172AC"/>
    <w:rsid w:val="00D178E4"/>
    <w:rsid w:val="00D21EA3"/>
    <w:rsid w:val="00D235A1"/>
    <w:rsid w:val="00D24DE7"/>
    <w:rsid w:val="00D257C5"/>
    <w:rsid w:val="00D2636A"/>
    <w:rsid w:val="00D26D56"/>
    <w:rsid w:val="00D3226F"/>
    <w:rsid w:val="00D32E8D"/>
    <w:rsid w:val="00D333D0"/>
    <w:rsid w:val="00D337BD"/>
    <w:rsid w:val="00D41165"/>
    <w:rsid w:val="00D41D9C"/>
    <w:rsid w:val="00D42289"/>
    <w:rsid w:val="00D4259B"/>
    <w:rsid w:val="00D42D31"/>
    <w:rsid w:val="00D43431"/>
    <w:rsid w:val="00D44842"/>
    <w:rsid w:val="00D4640F"/>
    <w:rsid w:val="00D47C0A"/>
    <w:rsid w:val="00D47D8F"/>
    <w:rsid w:val="00D51594"/>
    <w:rsid w:val="00D517AE"/>
    <w:rsid w:val="00D53111"/>
    <w:rsid w:val="00D5714D"/>
    <w:rsid w:val="00D578C8"/>
    <w:rsid w:val="00D607D6"/>
    <w:rsid w:val="00D60C7F"/>
    <w:rsid w:val="00D61986"/>
    <w:rsid w:val="00D62D52"/>
    <w:rsid w:val="00D62DA9"/>
    <w:rsid w:val="00D66F6B"/>
    <w:rsid w:val="00D67439"/>
    <w:rsid w:val="00D70527"/>
    <w:rsid w:val="00D706F1"/>
    <w:rsid w:val="00D714C1"/>
    <w:rsid w:val="00D72829"/>
    <w:rsid w:val="00D753FE"/>
    <w:rsid w:val="00D8344F"/>
    <w:rsid w:val="00D84BEF"/>
    <w:rsid w:val="00D85572"/>
    <w:rsid w:val="00D8593D"/>
    <w:rsid w:val="00D85DDF"/>
    <w:rsid w:val="00D8760F"/>
    <w:rsid w:val="00D87A0B"/>
    <w:rsid w:val="00D91502"/>
    <w:rsid w:val="00D92427"/>
    <w:rsid w:val="00D9292F"/>
    <w:rsid w:val="00D92FBC"/>
    <w:rsid w:val="00D93A64"/>
    <w:rsid w:val="00D93C4D"/>
    <w:rsid w:val="00D94C8E"/>
    <w:rsid w:val="00D957CF"/>
    <w:rsid w:val="00D95804"/>
    <w:rsid w:val="00D9686F"/>
    <w:rsid w:val="00DA045F"/>
    <w:rsid w:val="00DA2FC7"/>
    <w:rsid w:val="00DA4CF0"/>
    <w:rsid w:val="00DB1001"/>
    <w:rsid w:val="00DB10EC"/>
    <w:rsid w:val="00DB128D"/>
    <w:rsid w:val="00DB1DF5"/>
    <w:rsid w:val="00DB5208"/>
    <w:rsid w:val="00DB6A35"/>
    <w:rsid w:val="00DB7AF7"/>
    <w:rsid w:val="00DC530B"/>
    <w:rsid w:val="00DD4252"/>
    <w:rsid w:val="00DD4A1C"/>
    <w:rsid w:val="00DD55C1"/>
    <w:rsid w:val="00DD5F5C"/>
    <w:rsid w:val="00DD6520"/>
    <w:rsid w:val="00DD6C95"/>
    <w:rsid w:val="00DD6E9B"/>
    <w:rsid w:val="00DD7807"/>
    <w:rsid w:val="00DE13C8"/>
    <w:rsid w:val="00DE2E6A"/>
    <w:rsid w:val="00DE33A8"/>
    <w:rsid w:val="00DE4C75"/>
    <w:rsid w:val="00DE4CFA"/>
    <w:rsid w:val="00DE56E9"/>
    <w:rsid w:val="00DE5B51"/>
    <w:rsid w:val="00DE7CD7"/>
    <w:rsid w:val="00DE7CEF"/>
    <w:rsid w:val="00DF16C0"/>
    <w:rsid w:val="00DF4625"/>
    <w:rsid w:val="00DF5BE4"/>
    <w:rsid w:val="00DF64FD"/>
    <w:rsid w:val="00DF6A6F"/>
    <w:rsid w:val="00DF7982"/>
    <w:rsid w:val="00E00BE7"/>
    <w:rsid w:val="00E069D7"/>
    <w:rsid w:val="00E070A1"/>
    <w:rsid w:val="00E07BC6"/>
    <w:rsid w:val="00E11E4D"/>
    <w:rsid w:val="00E12DA3"/>
    <w:rsid w:val="00E13266"/>
    <w:rsid w:val="00E1337A"/>
    <w:rsid w:val="00E2094A"/>
    <w:rsid w:val="00E22D27"/>
    <w:rsid w:val="00E22DBF"/>
    <w:rsid w:val="00E24A86"/>
    <w:rsid w:val="00E25A7F"/>
    <w:rsid w:val="00E264BC"/>
    <w:rsid w:val="00E3049D"/>
    <w:rsid w:val="00E3253B"/>
    <w:rsid w:val="00E342AF"/>
    <w:rsid w:val="00E36ED8"/>
    <w:rsid w:val="00E37888"/>
    <w:rsid w:val="00E40411"/>
    <w:rsid w:val="00E42645"/>
    <w:rsid w:val="00E43CC5"/>
    <w:rsid w:val="00E44FED"/>
    <w:rsid w:val="00E4500D"/>
    <w:rsid w:val="00E451C6"/>
    <w:rsid w:val="00E47FE2"/>
    <w:rsid w:val="00E50C77"/>
    <w:rsid w:val="00E5291B"/>
    <w:rsid w:val="00E55FA7"/>
    <w:rsid w:val="00E575FC"/>
    <w:rsid w:val="00E60F3D"/>
    <w:rsid w:val="00E64B67"/>
    <w:rsid w:val="00E71B4F"/>
    <w:rsid w:val="00E729AD"/>
    <w:rsid w:val="00E72C70"/>
    <w:rsid w:val="00E72CD7"/>
    <w:rsid w:val="00E744E6"/>
    <w:rsid w:val="00E81972"/>
    <w:rsid w:val="00E82EF7"/>
    <w:rsid w:val="00E830FD"/>
    <w:rsid w:val="00E83385"/>
    <w:rsid w:val="00E8507E"/>
    <w:rsid w:val="00E861B5"/>
    <w:rsid w:val="00E875EE"/>
    <w:rsid w:val="00E876EA"/>
    <w:rsid w:val="00E9252A"/>
    <w:rsid w:val="00E93AC4"/>
    <w:rsid w:val="00E94098"/>
    <w:rsid w:val="00EA0F09"/>
    <w:rsid w:val="00EA2DFD"/>
    <w:rsid w:val="00EA3AD2"/>
    <w:rsid w:val="00EA63DF"/>
    <w:rsid w:val="00EB03FF"/>
    <w:rsid w:val="00EB15B3"/>
    <w:rsid w:val="00EB180B"/>
    <w:rsid w:val="00EB198A"/>
    <w:rsid w:val="00EB21E0"/>
    <w:rsid w:val="00EB2C8D"/>
    <w:rsid w:val="00EB390A"/>
    <w:rsid w:val="00EB45E5"/>
    <w:rsid w:val="00EB6004"/>
    <w:rsid w:val="00EC2573"/>
    <w:rsid w:val="00EC29BD"/>
    <w:rsid w:val="00EC2A53"/>
    <w:rsid w:val="00EC487B"/>
    <w:rsid w:val="00EC5846"/>
    <w:rsid w:val="00EC73B1"/>
    <w:rsid w:val="00EC7530"/>
    <w:rsid w:val="00EC7611"/>
    <w:rsid w:val="00EC7ACB"/>
    <w:rsid w:val="00ED054D"/>
    <w:rsid w:val="00ED0B50"/>
    <w:rsid w:val="00ED10DD"/>
    <w:rsid w:val="00ED2113"/>
    <w:rsid w:val="00ED4C81"/>
    <w:rsid w:val="00ED6262"/>
    <w:rsid w:val="00ED63C5"/>
    <w:rsid w:val="00ED672E"/>
    <w:rsid w:val="00ED6D98"/>
    <w:rsid w:val="00ED713D"/>
    <w:rsid w:val="00EE0F73"/>
    <w:rsid w:val="00EE10E5"/>
    <w:rsid w:val="00EE11B2"/>
    <w:rsid w:val="00EE5A03"/>
    <w:rsid w:val="00EE5F76"/>
    <w:rsid w:val="00EE64FD"/>
    <w:rsid w:val="00EF0905"/>
    <w:rsid w:val="00EF396A"/>
    <w:rsid w:val="00EF42D5"/>
    <w:rsid w:val="00EF4B09"/>
    <w:rsid w:val="00EF6272"/>
    <w:rsid w:val="00F001F7"/>
    <w:rsid w:val="00F02A7E"/>
    <w:rsid w:val="00F048CC"/>
    <w:rsid w:val="00F05A44"/>
    <w:rsid w:val="00F06830"/>
    <w:rsid w:val="00F07699"/>
    <w:rsid w:val="00F07D80"/>
    <w:rsid w:val="00F1024C"/>
    <w:rsid w:val="00F112E3"/>
    <w:rsid w:val="00F11D07"/>
    <w:rsid w:val="00F13D5B"/>
    <w:rsid w:val="00F1450E"/>
    <w:rsid w:val="00F1624C"/>
    <w:rsid w:val="00F1695B"/>
    <w:rsid w:val="00F174A1"/>
    <w:rsid w:val="00F2005F"/>
    <w:rsid w:val="00F22E7F"/>
    <w:rsid w:val="00F23F00"/>
    <w:rsid w:val="00F2613F"/>
    <w:rsid w:val="00F312E3"/>
    <w:rsid w:val="00F32571"/>
    <w:rsid w:val="00F33104"/>
    <w:rsid w:val="00F3391F"/>
    <w:rsid w:val="00F34287"/>
    <w:rsid w:val="00F344EE"/>
    <w:rsid w:val="00F37656"/>
    <w:rsid w:val="00F43DCC"/>
    <w:rsid w:val="00F47C3F"/>
    <w:rsid w:val="00F50A2A"/>
    <w:rsid w:val="00F517B9"/>
    <w:rsid w:val="00F52620"/>
    <w:rsid w:val="00F53E22"/>
    <w:rsid w:val="00F5420B"/>
    <w:rsid w:val="00F544A1"/>
    <w:rsid w:val="00F54FFB"/>
    <w:rsid w:val="00F57AF8"/>
    <w:rsid w:val="00F60713"/>
    <w:rsid w:val="00F60BCD"/>
    <w:rsid w:val="00F616DF"/>
    <w:rsid w:val="00F64119"/>
    <w:rsid w:val="00F67949"/>
    <w:rsid w:val="00F67A15"/>
    <w:rsid w:val="00F74016"/>
    <w:rsid w:val="00F74360"/>
    <w:rsid w:val="00F743CF"/>
    <w:rsid w:val="00F75184"/>
    <w:rsid w:val="00F80491"/>
    <w:rsid w:val="00F80602"/>
    <w:rsid w:val="00F80650"/>
    <w:rsid w:val="00F816CB"/>
    <w:rsid w:val="00F83295"/>
    <w:rsid w:val="00F8448C"/>
    <w:rsid w:val="00F850D0"/>
    <w:rsid w:val="00F85443"/>
    <w:rsid w:val="00F86330"/>
    <w:rsid w:val="00F86374"/>
    <w:rsid w:val="00F863DE"/>
    <w:rsid w:val="00F90EB0"/>
    <w:rsid w:val="00F91FBA"/>
    <w:rsid w:val="00F9218D"/>
    <w:rsid w:val="00F9238E"/>
    <w:rsid w:val="00F95C7E"/>
    <w:rsid w:val="00F9602A"/>
    <w:rsid w:val="00F9612C"/>
    <w:rsid w:val="00FA0AB1"/>
    <w:rsid w:val="00FA1A46"/>
    <w:rsid w:val="00FA25E8"/>
    <w:rsid w:val="00FA2B89"/>
    <w:rsid w:val="00FA2CDD"/>
    <w:rsid w:val="00FA33C9"/>
    <w:rsid w:val="00FA4EA5"/>
    <w:rsid w:val="00FA6677"/>
    <w:rsid w:val="00FA72E7"/>
    <w:rsid w:val="00FB083E"/>
    <w:rsid w:val="00FB1B4E"/>
    <w:rsid w:val="00FB2C84"/>
    <w:rsid w:val="00FB518B"/>
    <w:rsid w:val="00FC32C1"/>
    <w:rsid w:val="00FC3ACB"/>
    <w:rsid w:val="00FC4A74"/>
    <w:rsid w:val="00FD01F6"/>
    <w:rsid w:val="00FD1B05"/>
    <w:rsid w:val="00FD2B48"/>
    <w:rsid w:val="00FD362C"/>
    <w:rsid w:val="00FD560B"/>
    <w:rsid w:val="00FD79CA"/>
    <w:rsid w:val="00FD7DA1"/>
    <w:rsid w:val="00FE10A0"/>
    <w:rsid w:val="00FE3402"/>
    <w:rsid w:val="00FE3C23"/>
    <w:rsid w:val="00FE6744"/>
    <w:rsid w:val="00FE6FC4"/>
    <w:rsid w:val="00FF1167"/>
    <w:rsid w:val="00FF1D49"/>
    <w:rsid w:val="00FF2491"/>
    <w:rsid w:val="00FF3E41"/>
    <w:rsid w:val="00FF41E4"/>
    <w:rsid w:val="00FF4A33"/>
    <w:rsid w:val="00FF6B32"/>
    <w:rsid w:val="00FF7012"/>
    <w:rsid w:val="00FF732B"/>
    <w:rsid w:val="00FF7392"/>
    <w:rsid w:val="00FF73A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4964"/>
  <w15:chartTrackingRefBased/>
  <w15:docId w15:val="{48F31275-399C-480D-B80A-E52F5F79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EFD"/>
    <w:pPr>
      <w:spacing w:before="160" w:line="300" w:lineRule="auto"/>
    </w:pPr>
    <w:rPr>
      <w:rFonts w:ascii="Segoe UI" w:hAnsi="Segoe UI"/>
      <w:color w:val="232E36"/>
    </w:rPr>
  </w:style>
  <w:style w:type="paragraph" w:styleId="Heading1">
    <w:name w:val="heading 1"/>
    <w:basedOn w:val="Normal"/>
    <w:next w:val="Normal"/>
    <w:link w:val="Heading1Char"/>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nhideWhenUsed/>
    <w:qFormat/>
    <w:rsid w:val="00243A10"/>
    <w:pPr>
      <w:numPr>
        <w:ilvl w:val="1"/>
      </w:numPr>
      <w:outlineLvl w:val="1"/>
    </w:pPr>
    <w:rPr>
      <w:sz w:val="30"/>
    </w:rPr>
  </w:style>
  <w:style w:type="paragraph" w:styleId="Heading3">
    <w:name w:val="heading 3"/>
    <w:basedOn w:val="Heading2"/>
    <w:next w:val="Normal"/>
    <w:link w:val="Heading3Char"/>
    <w:unhideWhenUsed/>
    <w:qFormat/>
    <w:rsid w:val="00710166"/>
    <w:pPr>
      <w:numPr>
        <w:ilvl w:val="2"/>
      </w:numPr>
      <w:outlineLvl w:val="2"/>
    </w:pPr>
    <w:rPr>
      <w:sz w:val="26"/>
    </w:rPr>
  </w:style>
  <w:style w:type="paragraph" w:styleId="Heading4">
    <w:name w:val="heading 4"/>
    <w:basedOn w:val="Heading3"/>
    <w:next w:val="Normal"/>
    <w:link w:val="Heading4Char"/>
    <w:unhideWhenUsed/>
    <w:qFormat/>
    <w:rsid w:val="00345936"/>
    <w:pPr>
      <w:numPr>
        <w:ilvl w:val="3"/>
      </w:numPr>
      <w:outlineLvl w:val="3"/>
    </w:pPr>
    <w:rPr>
      <w:sz w:val="22"/>
    </w:rPr>
  </w:style>
  <w:style w:type="paragraph" w:styleId="Heading5">
    <w:name w:val="heading 5"/>
    <w:basedOn w:val="Normal"/>
    <w:next w:val="Normal"/>
    <w:link w:val="Heading5Char"/>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Table heading"/>
    <w:basedOn w:val="Normal"/>
    <w:next w:val="Normal"/>
    <w:link w:val="Heading8Char"/>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5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616042"/>
    <w:pPr>
      <w:spacing w:after="100"/>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aliases w:val="Table heading Char"/>
    <w:basedOn w:val="DefaultParagraphFont"/>
    <w:link w:val="Heading8"/>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EE10E5"/>
    <w:pPr>
      <w:keepNext/>
    </w:pPr>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ample-Text">
    <w:name w:val="Example - Text"/>
    <w:basedOn w:val="Normal"/>
    <w:qFormat/>
    <w:rsid w:val="00751C55"/>
    <w:pPr>
      <w:spacing w:before="120" w:after="120" w:line="240" w:lineRule="auto"/>
      <w:jc w:val="both"/>
    </w:pPr>
    <w:rPr>
      <w:rFonts w:ascii="Times New Roman" w:eastAsia="Times New Roman" w:hAnsi="Times New Roman" w:cs="Times New Roman"/>
      <w:color w:val="auto"/>
      <w:sz w:val="20"/>
      <w:szCs w:val="20"/>
      <w:lang w:eastAsia="en-NZ"/>
    </w:rPr>
  </w:style>
  <w:style w:type="paragraph" w:styleId="FootnoteText">
    <w:name w:val="footnote text"/>
    <w:basedOn w:val="Normal"/>
    <w:link w:val="FootnoteTextChar"/>
    <w:uiPriority w:val="99"/>
    <w:semiHidden/>
    <w:rsid w:val="008F31E7"/>
    <w:pPr>
      <w:spacing w:before="40" w:after="0" w:line="240" w:lineRule="auto"/>
      <w:jc w:val="both"/>
    </w:pPr>
    <w:rPr>
      <w:rFonts w:eastAsia="Times New Roman" w:cs="Segoe UI"/>
      <w:color w:val="auto"/>
      <w:sz w:val="20"/>
      <w:szCs w:val="24"/>
      <w:lang w:eastAsia="en-NZ"/>
    </w:rPr>
  </w:style>
  <w:style w:type="character" w:customStyle="1" w:styleId="FootnoteTextChar">
    <w:name w:val="Footnote Text Char"/>
    <w:basedOn w:val="DefaultParagraphFont"/>
    <w:link w:val="FootnoteText"/>
    <w:uiPriority w:val="99"/>
    <w:semiHidden/>
    <w:rsid w:val="008F31E7"/>
    <w:rPr>
      <w:rFonts w:ascii="Segoe UI" w:eastAsia="Times New Roman" w:hAnsi="Segoe UI" w:cs="Segoe UI"/>
      <w:sz w:val="20"/>
      <w:szCs w:val="24"/>
      <w:lang w:eastAsia="en-NZ"/>
    </w:rPr>
  </w:style>
  <w:style w:type="character" w:styleId="FootnoteReference">
    <w:name w:val="footnote reference"/>
    <w:basedOn w:val="DefaultParagraphFont"/>
    <w:uiPriority w:val="99"/>
    <w:semiHidden/>
    <w:rsid w:val="00751C55"/>
    <w:rPr>
      <w:rFonts w:ascii="Times New Roman" w:hAnsi="Times New Roman"/>
      <w:vertAlign w:val="superscript"/>
    </w:rPr>
  </w:style>
  <w:style w:type="paragraph" w:styleId="TOC4">
    <w:name w:val="toc 4"/>
    <w:basedOn w:val="Normal"/>
    <w:next w:val="Normal"/>
    <w:autoRedefine/>
    <w:semiHidden/>
    <w:rsid w:val="00751C55"/>
    <w:pPr>
      <w:spacing w:before="240" w:after="0" w:line="240" w:lineRule="auto"/>
      <w:ind w:left="720"/>
      <w:jc w:val="both"/>
    </w:pPr>
    <w:rPr>
      <w:rFonts w:ascii="Times New Roman" w:eastAsia="Times New Roman" w:hAnsi="Times New Roman" w:cs="Times New Roman"/>
      <w:color w:val="auto"/>
      <w:sz w:val="18"/>
      <w:szCs w:val="24"/>
      <w:lang w:eastAsia="en-NZ"/>
    </w:rPr>
  </w:style>
  <w:style w:type="paragraph" w:styleId="TOC5">
    <w:name w:val="toc 5"/>
    <w:basedOn w:val="Normal"/>
    <w:next w:val="Normal"/>
    <w:autoRedefine/>
    <w:semiHidden/>
    <w:rsid w:val="00751C55"/>
    <w:pPr>
      <w:spacing w:before="240" w:after="0" w:line="240" w:lineRule="auto"/>
      <w:ind w:left="960"/>
      <w:jc w:val="both"/>
    </w:pPr>
    <w:rPr>
      <w:rFonts w:ascii="Times New Roman" w:eastAsia="Times New Roman" w:hAnsi="Times New Roman" w:cs="Times New Roman"/>
      <w:color w:val="auto"/>
      <w:sz w:val="18"/>
      <w:szCs w:val="24"/>
      <w:lang w:eastAsia="en-NZ"/>
    </w:rPr>
  </w:style>
  <w:style w:type="paragraph" w:styleId="TOC6">
    <w:name w:val="toc 6"/>
    <w:basedOn w:val="Normal"/>
    <w:next w:val="Normal"/>
    <w:autoRedefine/>
    <w:semiHidden/>
    <w:rsid w:val="00751C55"/>
    <w:pPr>
      <w:spacing w:before="240" w:after="0" w:line="240" w:lineRule="auto"/>
      <w:ind w:left="1200"/>
      <w:jc w:val="both"/>
    </w:pPr>
    <w:rPr>
      <w:rFonts w:ascii="Times New Roman" w:eastAsia="Times New Roman" w:hAnsi="Times New Roman" w:cs="Times New Roman"/>
      <w:color w:val="auto"/>
      <w:sz w:val="18"/>
      <w:szCs w:val="24"/>
      <w:lang w:eastAsia="en-NZ"/>
    </w:rPr>
  </w:style>
  <w:style w:type="paragraph" w:styleId="TOC7">
    <w:name w:val="toc 7"/>
    <w:basedOn w:val="Normal"/>
    <w:next w:val="Normal"/>
    <w:autoRedefine/>
    <w:semiHidden/>
    <w:rsid w:val="00751C55"/>
    <w:pPr>
      <w:spacing w:before="240" w:after="0" w:line="240" w:lineRule="auto"/>
      <w:ind w:left="1440"/>
      <w:jc w:val="both"/>
    </w:pPr>
    <w:rPr>
      <w:rFonts w:ascii="Times New Roman" w:eastAsia="Times New Roman" w:hAnsi="Times New Roman" w:cs="Times New Roman"/>
      <w:color w:val="auto"/>
      <w:sz w:val="18"/>
      <w:szCs w:val="24"/>
      <w:lang w:eastAsia="en-NZ"/>
    </w:rPr>
  </w:style>
  <w:style w:type="paragraph" w:styleId="TOC8">
    <w:name w:val="toc 8"/>
    <w:basedOn w:val="Normal"/>
    <w:next w:val="Normal"/>
    <w:autoRedefine/>
    <w:semiHidden/>
    <w:rsid w:val="00751C55"/>
    <w:pPr>
      <w:spacing w:before="240" w:after="0" w:line="240" w:lineRule="auto"/>
      <w:ind w:left="1680"/>
      <w:jc w:val="both"/>
    </w:pPr>
    <w:rPr>
      <w:rFonts w:ascii="Times New Roman" w:eastAsia="Times New Roman" w:hAnsi="Times New Roman" w:cs="Times New Roman"/>
      <w:color w:val="auto"/>
      <w:sz w:val="18"/>
      <w:szCs w:val="24"/>
      <w:lang w:eastAsia="en-NZ"/>
    </w:rPr>
  </w:style>
  <w:style w:type="paragraph" w:styleId="TOC9">
    <w:name w:val="toc 9"/>
    <w:basedOn w:val="Normal"/>
    <w:next w:val="Normal"/>
    <w:autoRedefine/>
    <w:semiHidden/>
    <w:rsid w:val="00751C55"/>
    <w:pPr>
      <w:spacing w:before="240" w:after="0" w:line="240" w:lineRule="auto"/>
      <w:ind w:left="1920"/>
      <w:jc w:val="both"/>
    </w:pPr>
    <w:rPr>
      <w:rFonts w:ascii="Times New Roman" w:eastAsia="Times New Roman" w:hAnsi="Times New Roman" w:cs="Times New Roman"/>
      <w:color w:val="auto"/>
      <w:sz w:val="18"/>
      <w:szCs w:val="24"/>
      <w:lang w:eastAsia="en-NZ"/>
    </w:rPr>
  </w:style>
  <w:style w:type="paragraph" w:styleId="Quote">
    <w:name w:val="Quote"/>
    <w:basedOn w:val="Normal"/>
    <w:next w:val="Normal"/>
    <w:link w:val="QuoteChar"/>
    <w:uiPriority w:val="29"/>
    <w:qFormat/>
    <w:rsid w:val="00751C55"/>
    <w:pPr>
      <w:spacing w:before="240" w:after="0" w:line="240" w:lineRule="auto"/>
      <w:ind w:left="851" w:right="567"/>
      <w:jc w:val="both"/>
    </w:pPr>
    <w:rPr>
      <w:rFonts w:ascii="Times New Roman" w:eastAsia="Times New Roman" w:hAnsi="Times New Roman" w:cs="Times New Roman"/>
      <w:iCs/>
      <w:color w:val="404040" w:themeColor="text1" w:themeTint="BF"/>
      <w:sz w:val="24"/>
      <w:szCs w:val="24"/>
      <w:lang w:eastAsia="en-NZ"/>
    </w:rPr>
  </w:style>
  <w:style w:type="character" w:customStyle="1" w:styleId="QuoteChar">
    <w:name w:val="Quote Char"/>
    <w:basedOn w:val="DefaultParagraphFont"/>
    <w:link w:val="Quote"/>
    <w:uiPriority w:val="29"/>
    <w:rsid w:val="00751C55"/>
    <w:rPr>
      <w:rFonts w:ascii="Times New Roman" w:eastAsia="Times New Roman" w:hAnsi="Times New Roman" w:cs="Times New Roman"/>
      <w:iCs/>
      <w:color w:val="404040" w:themeColor="text1" w:themeTint="BF"/>
      <w:sz w:val="24"/>
      <w:szCs w:val="24"/>
      <w:lang w:eastAsia="en-NZ"/>
    </w:rPr>
  </w:style>
  <w:style w:type="paragraph" w:styleId="DocumentMap">
    <w:name w:val="Document Map"/>
    <w:basedOn w:val="Normal"/>
    <w:link w:val="DocumentMapChar"/>
    <w:semiHidden/>
    <w:rsid w:val="00751C55"/>
    <w:pPr>
      <w:shd w:val="clear" w:color="auto" w:fill="000080"/>
      <w:spacing w:before="240" w:after="0" w:line="240" w:lineRule="auto"/>
      <w:jc w:val="both"/>
    </w:pPr>
    <w:rPr>
      <w:rFonts w:ascii="Tahoma" w:eastAsia="Times New Roman" w:hAnsi="Tahoma" w:cs="Times New Roman"/>
      <w:color w:val="auto"/>
      <w:sz w:val="24"/>
      <w:szCs w:val="24"/>
      <w:lang w:eastAsia="en-NZ"/>
    </w:rPr>
  </w:style>
  <w:style w:type="character" w:customStyle="1" w:styleId="DocumentMapChar">
    <w:name w:val="Document Map Char"/>
    <w:basedOn w:val="DefaultParagraphFont"/>
    <w:link w:val="DocumentMap"/>
    <w:semiHidden/>
    <w:rsid w:val="00751C55"/>
    <w:rPr>
      <w:rFonts w:ascii="Tahoma" w:eastAsia="Times New Roman" w:hAnsi="Tahoma" w:cs="Times New Roman"/>
      <w:sz w:val="24"/>
      <w:szCs w:val="24"/>
      <w:shd w:val="clear" w:color="auto" w:fill="000080"/>
      <w:lang w:eastAsia="en-NZ"/>
    </w:rPr>
  </w:style>
  <w:style w:type="paragraph" w:customStyle="1" w:styleId="Example-Heading1">
    <w:name w:val="Example - Heading 1"/>
    <w:basedOn w:val="Example-Text"/>
    <w:next w:val="Example-Text"/>
    <w:qFormat/>
    <w:rsid w:val="00751C55"/>
    <w:pPr>
      <w:spacing w:before="240"/>
      <w:jc w:val="left"/>
    </w:pPr>
    <w:rPr>
      <w:b/>
    </w:rPr>
  </w:style>
  <w:style w:type="paragraph" w:styleId="IntenseQuote">
    <w:name w:val="Intense Quote"/>
    <w:basedOn w:val="Normal"/>
    <w:next w:val="Normal"/>
    <w:link w:val="IntenseQuoteChar"/>
    <w:uiPriority w:val="30"/>
    <w:qFormat/>
    <w:rsid w:val="00751C55"/>
    <w:pPr>
      <w:spacing w:before="240" w:after="0" w:line="240" w:lineRule="auto"/>
      <w:ind w:left="851" w:right="567"/>
      <w:jc w:val="both"/>
    </w:pPr>
    <w:rPr>
      <w:rFonts w:ascii="Times New Roman" w:eastAsia="Times New Roman" w:hAnsi="Times New Roman" w:cs="Times New Roman"/>
      <w:i/>
      <w:iCs/>
      <w:color w:val="auto"/>
      <w:sz w:val="24"/>
      <w:szCs w:val="24"/>
      <w:lang w:eastAsia="en-NZ"/>
    </w:rPr>
  </w:style>
  <w:style w:type="character" w:customStyle="1" w:styleId="IntenseQuoteChar">
    <w:name w:val="Intense Quote Char"/>
    <w:basedOn w:val="DefaultParagraphFont"/>
    <w:link w:val="IntenseQuote"/>
    <w:uiPriority w:val="30"/>
    <w:rsid w:val="00751C55"/>
    <w:rPr>
      <w:rFonts w:ascii="Times New Roman" w:eastAsia="Times New Roman" w:hAnsi="Times New Roman" w:cs="Times New Roman"/>
      <w:i/>
      <w:iCs/>
      <w:sz w:val="24"/>
      <w:szCs w:val="24"/>
      <w:lang w:eastAsia="en-NZ"/>
    </w:rPr>
  </w:style>
  <w:style w:type="paragraph" w:styleId="ListParagraph">
    <w:name w:val="List Paragraph"/>
    <w:basedOn w:val="Normal"/>
    <w:link w:val="ListParagraphChar"/>
    <w:autoRedefine/>
    <w:uiPriority w:val="34"/>
    <w:qFormat/>
    <w:rsid w:val="00751C55"/>
    <w:pPr>
      <w:numPr>
        <w:numId w:val="12"/>
      </w:numPr>
      <w:jc w:val="both"/>
    </w:pPr>
    <w:rPr>
      <w:rFonts w:cs="Segoe UI"/>
      <w:color w:val="auto"/>
    </w:rPr>
  </w:style>
  <w:style w:type="paragraph" w:styleId="Subtitle">
    <w:name w:val="Subtitle"/>
    <w:basedOn w:val="Normal"/>
    <w:next w:val="Normal"/>
    <w:link w:val="SubtitleChar"/>
    <w:uiPriority w:val="11"/>
    <w:rsid w:val="00751C55"/>
    <w:pPr>
      <w:spacing w:before="240" w:after="0" w:line="240" w:lineRule="auto"/>
      <w:jc w:val="both"/>
    </w:pPr>
    <w:rPr>
      <w:rFonts w:ascii="Times New Roman" w:eastAsia="Times New Roman" w:hAnsi="Times New Roman" w:cs="Times New Roman"/>
      <w:i/>
      <w:color w:val="auto"/>
      <w:sz w:val="36"/>
      <w:szCs w:val="36"/>
      <w:lang w:eastAsia="en-NZ"/>
    </w:rPr>
  </w:style>
  <w:style w:type="character" w:customStyle="1" w:styleId="SubtitleChar">
    <w:name w:val="Subtitle Char"/>
    <w:basedOn w:val="DefaultParagraphFont"/>
    <w:link w:val="Subtitle"/>
    <w:uiPriority w:val="11"/>
    <w:rsid w:val="00751C55"/>
    <w:rPr>
      <w:rFonts w:ascii="Times New Roman" w:eastAsia="Times New Roman" w:hAnsi="Times New Roman" w:cs="Times New Roman"/>
      <w:i/>
      <w:sz w:val="36"/>
      <w:szCs w:val="36"/>
      <w:lang w:eastAsia="en-NZ"/>
    </w:rPr>
  </w:style>
  <w:style w:type="paragraph" w:customStyle="1" w:styleId="Clause">
    <w:name w:val="Clause"/>
    <w:basedOn w:val="Normal"/>
    <w:qFormat/>
    <w:rsid w:val="00751C55"/>
    <w:pPr>
      <w:spacing w:before="240" w:after="0" w:line="240" w:lineRule="auto"/>
      <w:jc w:val="both"/>
    </w:pPr>
    <w:rPr>
      <w:rFonts w:ascii="Times New Roman" w:eastAsia="Times New Roman" w:hAnsi="Times New Roman" w:cs="Times New Roman"/>
      <w:b/>
      <w:i/>
      <w:color w:val="auto"/>
      <w:sz w:val="24"/>
      <w:szCs w:val="24"/>
      <w:lang w:eastAsia="en-NZ"/>
    </w:rPr>
  </w:style>
  <w:style w:type="paragraph" w:customStyle="1" w:styleId="Authorname">
    <w:name w:val="Author name"/>
    <w:basedOn w:val="Normal"/>
    <w:next w:val="Normal"/>
    <w:rsid w:val="00751C55"/>
    <w:pPr>
      <w:spacing w:before="240" w:after="0" w:line="240" w:lineRule="auto"/>
    </w:pPr>
    <w:rPr>
      <w:rFonts w:ascii="Times New Roman" w:eastAsia="Times New Roman" w:hAnsi="Times New Roman" w:cs="Times New Roman"/>
      <w:b/>
      <w:color w:val="auto"/>
      <w:sz w:val="28"/>
      <w:szCs w:val="28"/>
      <w:lang w:eastAsia="en-NZ"/>
    </w:rPr>
  </w:style>
  <w:style w:type="paragraph" w:customStyle="1" w:styleId="Authortitle">
    <w:name w:val="Author title"/>
    <w:basedOn w:val="Normal"/>
    <w:rsid w:val="00751C55"/>
    <w:pPr>
      <w:spacing w:before="0" w:after="0" w:line="240" w:lineRule="auto"/>
    </w:pPr>
    <w:rPr>
      <w:rFonts w:ascii="Times New Roman" w:eastAsia="Times New Roman" w:hAnsi="Times New Roman" w:cs="Times New Roman"/>
      <w:color w:val="auto"/>
      <w:sz w:val="28"/>
      <w:szCs w:val="28"/>
      <w:lang w:eastAsia="en-NZ"/>
    </w:rPr>
  </w:style>
  <w:style w:type="paragraph" w:customStyle="1" w:styleId="Copyright">
    <w:name w:val="Copyright"/>
    <w:basedOn w:val="Normal"/>
    <w:rsid w:val="00751C55"/>
    <w:pPr>
      <w:spacing w:before="240" w:after="0" w:line="240" w:lineRule="auto"/>
      <w:jc w:val="both"/>
    </w:pPr>
    <w:rPr>
      <w:rFonts w:ascii="Times New Roman" w:eastAsia="Times New Roman" w:hAnsi="Times New Roman" w:cs="Times New Roman"/>
      <w:color w:val="auto"/>
      <w:sz w:val="20"/>
      <w:szCs w:val="24"/>
      <w:lang w:eastAsia="en-NZ"/>
    </w:rPr>
  </w:style>
  <w:style w:type="character" w:styleId="UnresolvedMention">
    <w:name w:val="Unresolved Mention"/>
    <w:basedOn w:val="DefaultParagraphFont"/>
    <w:uiPriority w:val="99"/>
    <w:unhideWhenUsed/>
    <w:rsid w:val="00751C55"/>
    <w:rPr>
      <w:color w:val="605E5C"/>
      <w:shd w:val="clear" w:color="auto" w:fill="E1DFDD"/>
    </w:rPr>
  </w:style>
  <w:style w:type="paragraph" w:styleId="ListBullet">
    <w:name w:val="List Bullet"/>
    <w:basedOn w:val="ListParagraph"/>
    <w:uiPriority w:val="99"/>
    <w:unhideWhenUsed/>
    <w:qFormat/>
    <w:rsid w:val="00751C55"/>
    <w:pPr>
      <w:numPr>
        <w:numId w:val="0"/>
      </w:numPr>
      <w:ind w:left="567" w:hanging="567"/>
    </w:pPr>
  </w:style>
  <w:style w:type="paragraph" w:customStyle="1" w:styleId="Example-Heading2">
    <w:name w:val="Example - Heading 2"/>
    <w:basedOn w:val="Example-Text"/>
    <w:next w:val="Example-Text"/>
    <w:rsid w:val="00751C55"/>
    <w:pPr>
      <w:jc w:val="left"/>
    </w:pPr>
    <w:rPr>
      <w:b/>
      <w:i/>
    </w:rPr>
  </w:style>
  <w:style w:type="paragraph" w:customStyle="1" w:styleId="Example-Heading3">
    <w:name w:val="Example - Heading 3"/>
    <w:basedOn w:val="Example-Text"/>
    <w:next w:val="Example-Text"/>
    <w:rsid w:val="00751C55"/>
    <w:pPr>
      <w:jc w:val="left"/>
    </w:pPr>
    <w:rPr>
      <w:i/>
    </w:rPr>
  </w:style>
  <w:style w:type="paragraph" w:styleId="Caption">
    <w:name w:val="caption"/>
    <w:basedOn w:val="Normal"/>
    <w:next w:val="Normal"/>
    <w:uiPriority w:val="35"/>
    <w:unhideWhenUsed/>
    <w:qFormat/>
    <w:rsid w:val="00751C55"/>
    <w:pPr>
      <w:keepNext/>
      <w:spacing w:before="240" w:after="120" w:line="240" w:lineRule="auto"/>
      <w:jc w:val="center"/>
    </w:pPr>
    <w:rPr>
      <w:rFonts w:ascii="Times New Roman" w:eastAsia="Times New Roman" w:hAnsi="Times New Roman" w:cs="Times New Roman"/>
      <w:b/>
      <w:color w:val="auto"/>
      <w:lang w:eastAsia="en-NZ"/>
    </w:rPr>
  </w:style>
  <w:style w:type="paragraph" w:customStyle="1" w:styleId="Figure">
    <w:name w:val="Figure"/>
    <w:basedOn w:val="Normal"/>
    <w:next w:val="Normal"/>
    <w:qFormat/>
    <w:rsid w:val="00751C55"/>
    <w:pPr>
      <w:spacing w:before="240" w:after="0" w:line="240" w:lineRule="auto"/>
      <w:jc w:val="center"/>
    </w:pPr>
    <w:rPr>
      <w:rFonts w:ascii="Times New Roman" w:eastAsia="Times New Roman" w:hAnsi="Times New Roman" w:cs="Times New Roman"/>
      <w:color w:val="auto"/>
      <w:sz w:val="24"/>
      <w:szCs w:val="24"/>
      <w:lang w:eastAsia="en-NZ"/>
    </w:rPr>
  </w:style>
  <w:style w:type="numbering" w:customStyle="1" w:styleId="Table-BulletedList">
    <w:name w:val="Table - Bulleted List"/>
    <w:basedOn w:val="NoList"/>
    <w:rsid w:val="00751C55"/>
    <w:pPr>
      <w:numPr>
        <w:numId w:val="9"/>
      </w:numPr>
    </w:pPr>
  </w:style>
  <w:style w:type="paragraph" w:customStyle="1" w:styleId="Example-ListBullet1">
    <w:name w:val="Example - List Bullet 1"/>
    <w:basedOn w:val="Example-Text"/>
    <w:qFormat/>
    <w:rsid w:val="00751C55"/>
    <w:pPr>
      <w:numPr>
        <w:numId w:val="6"/>
      </w:numPr>
      <w:tabs>
        <w:tab w:val="left" w:pos="284"/>
      </w:tabs>
    </w:pPr>
    <w:rPr>
      <w:lang w:eastAsia="en-AU"/>
    </w:rPr>
  </w:style>
  <w:style w:type="character" w:styleId="Strong">
    <w:name w:val="Strong"/>
    <w:basedOn w:val="DefaultParagraphFont"/>
    <w:uiPriority w:val="22"/>
    <w:qFormat/>
    <w:rsid w:val="00751C55"/>
    <w:rPr>
      <w:b/>
      <w:bCs/>
    </w:rPr>
  </w:style>
  <w:style w:type="character" w:styleId="Emphasis">
    <w:name w:val="Emphasis"/>
    <w:basedOn w:val="DefaultParagraphFont"/>
    <w:uiPriority w:val="20"/>
    <w:qFormat/>
    <w:rsid w:val="00751C55"/>
    <w:rPr>
      <w:i/>
      <w:iCs/>
    </w:rPr>
  </w:style>
  <w:style w:type="paragraph" w:styleId="ListBullet2">
    <w:name w:val="List Bullet 2"/>
    <w:basedOn w:val="Normal"/>
    <w:uiPriority w:val="99"/>
    <w:unhideWhenUsed/>
    <w:qFormat/>
    <w:rsid w:val="00751C55"/>
    <w:pPr>
      <w:numPr>
        <w:numId w:val="11"/>
      </w:numPr>
      <w:tabs>
        <w:tab w:val="num" w:pos="643"/>
        <w:tab w:val="left" w:pos="1134"/>
      </w:tabs>
      <w:spacing w:before="120" w:after="0" w:line="240" w:lineRule="auto"/>
      <w:ind w:left="1134" w:hanging="567"/>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51C55"/>
    <w:pPr>
      <w:numPr>
        <w:ilvl w:val="2"/>
        <w:numId w:val="5"/>
      </w:numPr>
      <w:spacing w:before="120" w:after="0" w:line="240" w:lineRule="auto"/>
      <w:jc w:val="both"/>
    </w:pPr>
    <w:rPr>
      <w:rFonts w:ascii="Times New Roman" w:eastAsia="Times New Roman" w:hAnsi="Times New Roman" w:cs="Times New Roman"/>
      <w:color w:val="auto"/>
      <w:sz w:val="24"/>
      <w:szCs w:val="24"/>
      <w:lang w:eastAsia="en-NZ"/>
    </w:rPr>
  </w:style>
  <w:style w:type="paragraph" w:customStyle="1" w:styleId="Table-Text">
    <w:name w:val="Table - Text"/>
    <w:basedOn w:val="Normal"/>
    <w:qFormat/>
    <w:rsid w:val="00751C55"/>
    <w:pPr>
      <w:spacing w:before="80" w:after="80" w:line="240" w:lineRule="auto"/>
      <w:ind w:left="57" w:right="57"/>
    </w:pPr>
    <w:rPr>
      <w:rFonts w:ascii="Times New Roman" w:eastAsia="Times New Roman" w:hAnsi="Times New Roman" w:cs="Times New Roman"/>
      <w:color w:val="auto"/>
      <w:lang w:eastAsia="en-NZ"/>
    </w:rPr>
  </w:style>
  <w:style w:type="paragraph" w:customStyle="1" w:styleId="Table-HeaderRow">
    <w:name w:val="Table - Header Row"/>
    <w:basedOn w:val="Normal"/>
    <w:qFormat/>
    <w:rsid w:val="00751C55"/>
    <w:pPr>
      <w:spacing w:before="80" w:after="80" w:line="240" w:lineRule="auto"/>
      <w:ind w:left="57" w:right="57"/>
    </w:pPr>
    <w:rPr>
      <w:rFonts w:ascii="Times New Roman" w:eastAsia="Times New Roman" w:hAnsi="Times New Roman" w:cs="Times New Roman"/>
      <w:b/>
      <w:color w:val="auto"/>
      <w:lang w:eastAsia="en-NZ"/>
    </w:rPr>
  </w:style>
  <w:style w:type="paragraph" w:styleId="TableofFigures">
    <w:name w:val="table of figures"/>
    <w:basedOn w:val="Normal"/>
    <w:next w:val="Normal"/>
    <w:uiPriority w:val="99"/>
    <w:unhideWhenUsed/>
    <w:rsid w:val="00751C55"/>
    <w:pPr>
      <w:spacing w:before="240" w:after="0" w:line="240" w:lineRule="auto"/>
      <w:jc w:val="both"/>
    </w:pPr>
    <w:rPr>
      <w:rFonts w:ascii="Times New Roman" w:eastAsia="Times New Roman" w:hAnsi="Times New Roman" w:cs="Times New Roman"/>
      <w:color w:val="auto"/>
      <w:sz w:val="24"/>
      <w:szCs w:val="24"/>
      <w:lang w:eastAsia="en-NZ"/>
    </w:rPr>
  </w:style>
  <w:style w:type="paragraph" w:customStyle="1" w:styleId="Example-Figure">
    <w:name w:val="Example - Figure"/>
    <w:basedOn w:val="Figure"/>
    <w:rsid w:val="00751C55"/>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751C55"/>
    <w:pPr>
      <w:numPr>
        <w:numId w:val="7"/>
      </w:numPr>
    </w:pPr>
  </w:style>
  <w:style w:type="paragraph" w:customStyle="1" w:styleId="Example-Caption">
    <w:name w:val="Example - Caption"/>
    <w:basedOn w:val="Example-Text"/>
    <w:rsid w:val="00751C55"/>
    <w:pPr>
      <w:jc w:val="center"/>
    </w:pPr>
    <w:rPr>
      <w:b/>
    </w:rPr>
  </w:style>
  <w:style w:type="numbering" w:customStyle="1" w:styleId="Table-Bullet10pt">
    <w:name w:val="Table - Bullet 10pt"/>
    <w:basedOn w:val="NoList"/>
    <w:rsid w:val="00751C55"/>
    <w:pPr>
      <w:numPr>
        <w:numId w:val="8"/>
      </w:numPr>
    </w:pPr>
  </w:style>
  <w:style w:type="paragraph" w:customStyle="1" w:styleId="Paragraph-Number">
    <w:name w:val="Paragraph - Number"/>
    <w:basedOn w:val="Normal"/>
    <w:link w:val="Paragraph-NumberChar"/>
    <w:rsid w:val="00751C55"/>
    <w:pPr>
      <w:tabs>
        <w:tab w:val="num" w:pos="720"/>
      </w:tabs>
      <w:spacing w:before="0" w:after="240" w:line="240" w:lineRule="auto"/>
      <w:ind w:left="720" w:hanging="720"/>
    </w:pPr>
    <w:rPr>
      <w:rFonts w:ascii="Verdana" w:eastAsia="Times New Roman" w:hAnsi="Verdana" w:cs="Times New Roman"/>
      <w:color w:val="auto"/>
      <w:sz w:val="20"/>
      <w:szCs w:val="24"/>
      <w:lang w:eastAsia="en-NZ"/>
    </w:rPr>
  </w:style>
  <w:style w:type="character" w:customStyle="1" w:styleId="Paragraph-NumberChar">
    <w:name w:val="Paragraph - Number Char"/>
    <w:link w:val="Paragraph-Number"/>
    <w:locked/>
    <w:rsid w:val="00751C55"/>
    <w:rPr>
      <w:rFonts w:ascii="Verdana" w:eastAsia="Times New Roman" w:hAnsi="Verdana" w:cs="Times New Roman"/>
      <w:sz w:val="20"/>
      <w:szCs w:val="24"/>
      <w:lang w:eastAsia="en-NZ"/>
    </w:rPr>
  </w:style>
  <w:style w:type="paragraph" w:customStyle="1" w:styleId="indentedlistbullet">
    <w:name w:val="indented list bullet"/>
    <w:basedOn w:val="ListBullet"/>
    <w:link w:val="indentedlistbulletChar"/>
    <w:qFormat/>
    <w:rsid w:val="00751C55"/>
    <w:pPr>
      <w:numPr>
        <w:numId w:val="10"/>
      </w:numPr>
    </w:pPr>
  </w:style>
  <w:style w:type="character" w:customStyle="1" w:styleId="ListParagraphChar">
    <w:name w:val="List Paragraph Char"/>
    <w:basedOn w:val="DefaultParagraphFont"/>
    <w:link w:val="ListParagraph"/>
    <w:uiPriority w:val="34"/>
    <w:rsid w:val="00751C55"/>
    <w:rPr>
      <w:rFonts w:ascii="Segoe UI" w:hAnsi="Segoe UI" w:cs="Segoe UI"/>
    </w:rPr>
  </w:style>
  <w:style w:type="character" w:customStyle="1" w:styleId="indentedlistbulletChar">
    <w:name w:val="indented list bullet Char"/>
    <w:basedOn w:val="DefaultParagraphFont"/>
    <w:link w:val="indentedlistbullet"/>
    <w:rsid w:val="00751C55"/>
    <w:rPr>
      <w:rFonts w:ascii="Segoe UI" w:hAnsi="Segoe UI" w:cs="Segoe UI"/>
    </w:rPr>
  </w:style>
  <w:style w:type="paragraph" w:customStyle="1" w:styleId="NumberedParagraph">
    <w:name w:val="Numbered Paragraph"/>
    <w:basedOn w:val="Normal"/>
    <w:qFormat/>
    <w:rsid w:val="00751C55"/>
    <w:pPr>
      <w:tabs>
        <w:tab w:val="num" w:pos="851"/>
      </w:tabs>
      <w:spacing w:before="240" w:after="0" w:line="240" w:lineRule="auto"/>
      <w:ind w:left="851" w:hanging="851"/>
      <w:jc w:val="both"/>
    </w:pPr>
    <w:rPr>
      <w:rFonts w:ascii="Times New Roman" w:eastAsia="Times New Roman" w:hAnsi="Times New Roman" w:cs="Times New Roman"/>
      <w:color w:val="auto"/>
      <w:sz w:val="24"/>
      <w:szCs w:val="24"/>
      <w:lang w:eastAsia="en-NZ"/>
    </w:rPr>
  </w:style>
  <w:style w:type="character" w:customStyle="1" w:styleId="normaltextrun">
    <w:name w:val="normaltextrun"/>
    <w:basedOn w:val="DefaultParagraphFont"/>
    <w:rsid w:val="00751C55"/>
  </w:style>
  <w:style w:type="character" w:customStyle="1" w:styleId="eop">
    <w:name w:val="eop"/>
    <w:basedOn w:val="DefaultParagraphFont"/>
    <w:rsid w:val="00751C55"/>
  </w:style>
  <w:style w:type="paragraph" w:styleId="Revision">
    <w:name w:val="Revision"/>
    <w:hidden/>
    <w:uiPriority w:val="99"/>
    <w:semiHidden/>
    <w:rsid w:val="00751C55"/>
    <w:pPr>
      <w:spacing w:after="0" w:line="240" w:lineRule="auto"/>
    </w:pPr>
    <w:rPr>
      <w:rFonts w:ascii="Times New Roman" w:eastAsia="Times New Roman" w:hAnsi="Times New Roman" w:cs="Times New Roman"/>
      <w:sz w:val="24"/>
      <w:szCs w:val="24"/>
      <w:lang w:eastAsia="en-NZ"/>
    </w:rPr>
  </w:style>
  <w:style w:type="character" w:styleId="Mention">
    <w:name w:val="Mention"/>
    <w:basedOn w:val="DefaultParagraphFont"/>
    <w:uiPriority w:val="99"/>
    <w:unhideWhenUsed/>
    <w:rsid w:val="00751C55"/>
    <w:rPr>
      <w:color w:val="2B579A"/>
      <w:shd w:val="clear" w:color="auto" w:fill="E1DFDD"/>
    </w:rPr>
  </w:style>
  <w:style w:type="character" w:styleId="PlaceholderText">
    <w:name w:val="Placeholder Text"/>
    <w:basedOn w:val="DefaultParagraphFont"/>
    <w:uiPriority w:val="99"/>
    <w:semiHidden/>
    <w:rsid w:val="00751C55"/>
    <w:rPr>
      <w:color w:val="808080"/>
    </w:rPr>
  </w:style>
  <w:style w:type="paragraph" w:customStyle="1" w:styleId="paragraph">
    <w:name w:val="paragraph"/>
    <w:basedOn w:val="Normal"/>
    <w:rsid w:val="00751C55"/>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customStyle="1" w:styleId="Caption-Table">
    <w:name w:val="Caption - Table"/>
    <w:basedOn w:val="Normal"/>
    <w:qFormat/>
    <w:rsid w:val="00751C55"/>
    <w:pPr>
      <w:keepNext/>
      <w:spacing w:before="240" w:after="120" w:line="240" w:lineRule="auto"/>
      <w:jc w:val="both"/>
    </w:pPr>
    <w:rPr>
      <w:rFonts w:ascii="Times New Roman" w:hAnsi="Times New Roman"/>
      <w:b/>
      <w:color w:val="auto"/>
    </w:rPr>
  </w:style>
  <w:style w:type="paragraph" w:styleId="NormalWeb">
    <w:name w:val="Normal (Web)"/>
    <w:basedOn w:val="Normal"/>
    <w:uiPriority w:val="99"/>
    <w:semiHidden/>
    <w:unhideWhenUsed/>
    <w:rsid w:val="00751C55"/>
    <w:pPr>
      <w:spacing w:before="100" w:beforeAutospacing="1" w:after="100" w:afterAutospacing="1" w:line="240" w:lineRule="auto"/>
    </w:pPr>
    <w:rPr>
      <w:rFonts w:ascii="Calibri" w:hAnsi="Calibri" w:cs="Calibri"/>
      <w:color w:val="auto"/>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6800</Words>
  <Characters>35496</Characters>
  <Application>Microsoft Office Word</Application>
  <DocSecurity>0</DocSecurity>
  <Lines>1224</Lines>
  <Paragraphs>704</Paragraphs>
  <ScaleCrop>false</ScaleCrop>
  <HeadingPairs>
    <vt:vector size="2" baseType="variant">
      <vt:variant>
        <vt:lpstr>Title</vt:lpstr>
      </vt:variant>
      <vt:variant>
        <vt:i4>1</vt:i4>
      </vt:variant>
    </vt:vector>
  </HeadingPairs>
  <TitlesOfParts>
    <vt:vector size="1" baseType="lpstr">
      <vt:lpstr>Special report - Fair dividend rate foreign currency hedges (April 2022)</vt:lpstr>
    </vt:vector>
  </TitlesOfParts>
  <Company>Inland Revenue</Company>
  <LinksUpToDate>false</LinksUpToDate>
  <CharactersWithSpaces>41592</CharactersWithSpaces>
  <SharedDoc>false</SharedDoc>
  <HLinks>
    <vt:vector size="60" baseType="variant">
      <vt:variant>
        <vt:i4>1966134</vt:i4>
      </vt:variant>
      <vt:variant>
        <vt:i4>50</vt:i4>
      </vt:variant>
      <vt:variant>
        <vt:i4>0</vt:i4>
      </vt:variant>
      <vt:variant>
        <vt:i4>5</vt:i4>
      </vt:variant>
      <vt:variant>
        <vt:lpwstr/>
      </vt:variant>
      <vt:variant>
        <vt:lpwstr>_Toc98932745</vt:lpwstr>
      </vt:variant>
      <vt:variant>
        <vt:i4>2031670</vt:i4>
      </vt:variant>
      <vt:variant>
        <vt:i4>44</vt:i4>
      </vt:variant>
      <vt:variant>
        <vt:i4>0</vt:i4>
      </vt:variant>
      <vt:variant>
        <vt:i4>5</vt:i4>
      </vt:variant>
      <vt:variant>
        <vt:lpwstr/>
      </vt:variant>
      <vt:variant>
        <vt:lpwstr>_Toc98932744</vt:lpwstr>
      </vt:variant>
      <vt:variant>
        <vt:i4>1572918</vt:i4>
      </vt:variant>
      <vt:variant>
        <vt:i4>38</vt:i4>
      </vt:variant>
      <vt:variant>
        <vt:i4>0</vt:i4>
      </vt:variant>
      <vt:variant>
        <vt:i4>5</vt:i4>
      </vt:variant>
      <vt:variant>
        <vt:lpwstr/>
      </vt:variant>
      <vt:variant>
        <vt:lpwstr>_Toc98932743</vt:lpwstr>
      </vt:variant>
      <vt:variant>
        <vt:i4>1638454</vt:i4>
      </vt:variant>
      <vt:variant>
        <vt:i4>32</vt:i4>
      </vt:variant>
      <vt:variant>
        <vt:i4>0</vt:i4>
      </vt:variant>
      <vt:variant>
        <vt:i4>5</vt:i4>
      </vt:variant>
      <vt:variant>
        <vt:lpwstr/>
      </vt:variant>
      <vt:variant>
        <vt:lpwstr>_Toc98932742</vt:lpwstr>
      </vt:variant>
      <vt:variant>
        <vt:i4>1703990</vt:i4>
      </vt:variant>
      <vt:variant>
        <vt:i4>26</vt:i4>
      </vt:variant>
      <vt:variant>
        <vt:i4>0</vt:i4>
      </vt:variant>
      <vt:variant>
        <vt:i4>5</vt:i4>
      </vt:variant>
      <vt:variant>
        <vt:lpwstr/>
      </vt:variant>
      <vt:variant>
        <vt:lpwstr>_Toc98932741</vt:lpwstr>
      </vt:variant>
      <vt:variant>
        <vt:i4>1769526</vt:i4>
      </vt:variant>
      <vt:variant>
        <vt:i4>20</vt:i4>
      </vt:variant>
      <vt:variant>
        <vt:i4>0</vt:i4>
      </vt:variant>
      <vt:variant>
        <vt:i4>5</vt:i4>
      </vt:variant>
      <vt:variant>
        <vt:lpwstr/>
      </vt:variant>
      <vt:variant>
        <vt:lpwstr>_Toc98932740</vt:lpwstr>
      </vt:variant>
      <vt:variant>
        <vt:i4>1179697</vt:i4>
      </vt:variant>
      <vt:variant>
        <vt:i4>14</vt:i4>
      </vt:variant>
      <vt:variant>
        <vt:i4>0</vt:i4>
      </vt:variant>
      <vt:variant>
        <vt:i4>5</vt:i4>
      </vt:variant>
      <vt:variant>
        <vt:lpwstr/>
      </vt:variant>
      <vt:variant>
        <vt:lpwstr>_Toc98932739</vt:lpwstr>
      </vt:variant>
      <vt:variant>
        <vt:i4>1245233</vt:i4>
      </vt:variant>
      <vt:variant>
        <vt:i4>8</vt:i4>
      </vt:variant>
      <vt:variant>
        <vt:i4>0</vt:i4>
      </vt:variant>
      <vt:variant>
        <vt:i4>5</vt:i4>
      </vt:variant>
      <vt:variant>
        <vt:lpwstr/>
      </vt:variant>
      <vt:variant>
        <vt:lpwstr>_Toc98932738</vt:lpwstr>
      </vt:variant>
      <vt:variant>
        <vt:i4>1835057</vt:i4>
      </vt:variant>
      <vt:variant>
        <vt:i4>2</vt:i4>
      </vt:variant>
      <vt:variant>
        <vt:i4>0</vt:i4>
      </vt:variant>
      <vt:variant>
        <vt:i4>5</vt:i4>
      </vt:variant>
      <vt:variant>
        <vt:lpwstr/>
      </vt:variant>
      <vt:variant>
        <vt:lpwstr>_Toc98932737</vt:lpwstr>
      </vt:variant>
      <vt:variant>
        <vt:i4>3932182</vt:i4>
      </vt:variant>
      <vt:variant>
        <vt:i4>0</vt:i4>
      </vt:variant>
      <vt:variant>
        <vt:i4>0</vt:i4>
      </vt:variant>
      <vt:variant>
        <vt:i4>5</vt:i4>
      </vt:variant>
      <vt:variant>
        <vt:lpwstr>mailto:Haydn.Clark@ird.govt.nz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 Fair dividend rate foreign currency hedges (April 2022)</dc:title>
  <dc:subject/>
  <dc:creator>Policy and Regulatory Stewardship</dc:creator>
  <cp:keywords/>
  <dc:description/>
  <dcterms:created xsi:type="dcterms:W3CDTF">2022-04-28T05:10:00Z</dcterms:created>
  <dcterms:modified xsi:type="dcterms:W3CDTF">2022-04-28T05:11:00Z</dcterms:modified>
</cp:coreProperties>
</file>