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D1E7" w14:textId="69DAE599" w:rsidR="00011F57" w:rsidRDefault="00011F57" w:rsidP="009C34EC">
      <w:pPr>
        <w:spacing w:before="0" w:line="259" w:lineRule="auto"/>
        <w:rPr>
          <w:rFonts w:ascii="Segoe UI Light" w:hAnsi="Segoe UI Light"/>
          <w:b/>
          <w:sz w:val="28"/>
        </w:rPr>
      </w:pPr>
    </w:p>
    <w:p w14:paraId="0DA6FC52"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69875266" w14:textId="573EAB12" w:rsidR="00282ECC" w:rsidRDefault="00282ECC" w:rsidP="009C34EC">
          <w:pPr>
            <w:spacing w:before="0" w:line="259" w:lineRule="auto"/>
            <w:rPr>
              <w:rStyle w:val="TitleChar"/>
              <w:sz w:val="24"/>
              <w:szCs w:val="24"/>
            </w:rPr>
          </w:pPr>
        </w:p>
        <w:p w14:paraId="0770F7D6" w14:textId="0CE7F4BC"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594B20">
            <w:t xml:space="preserve">ORDER IN COUNCIL &gt; </w:t>
          </w:r>
          <w:r w:rsidR="004B1242" w:rsidRPr="004B1242">
            <w:rPr>
              <w:b w:val="0"/>
              <w:bCs/>
            </w:rPr>
            <w:t>SPECIAL REPORT</w:t>
          </w:r>
        </w:p>
        <w:p w14:paraId="13E08BFC" w14:textId="2266DDB4" w:rsidR="00A4149F" w:rsidRPr="00A4149F" w:rsidRDefault="009D1747" w:rsidP="00A4149F">
          <w:pPr>
            <w:spacing w:before="0" w:after="0" w:line="240" w:lineRule="auto"/>
            <w:contextualSpacing/>
            <w:rPr>
              <w:rFonts w:ascii="Segoe UI Black" w:eastAsiaTheme="majorEastAsia" w:hAnsi="Segoe UI Black" w:cstheme="majorBidi"/>
              <w:color w:val="auto"/>
              <w:spacing w:val="-10"/>
              <w:kern w:val="28"/>
              <w:sz w:val="44"/>
              <w:szCs w:val="56"/>
            </w:rPr>
          </w:pPr>
          <w:r w:rsidRPr="009D1747">
            <w:rPr>
              <w:rFonts w:ascii="Segoe UI Black" w:eastAsiaTheme="majorEastAsia" w:hAnsi="Segoe UI Black" w:cstheme="majorBidi"/>
              <w:color w:val="auto"/>
              <w:spacing w:val="-10"/>
              <w:kern w:val="28"/>
              <w:sz w:val="44"/>
              <w:szCs w:val="56"/>
            </w:rPr>
            <w:t xml:space="preserve">Taxation </w:t>
          </w:r>
          <w:r w:rsidR="00E57792">
            <w:rPr>
              <w:rFonts w:ascii="Segoe UI Black" w:eastAsiaTheme="majorEastAsia" w:hAnsi="Segoe UI Black" w:cstheme="majorBidi"/>
              <w:color w:val="auto"/>
              <w:spacing w:val="-10"/>
              <w:kern w:val="28"/>
              <w:sz w:val="44"/>
              <w:szCs w:val="56"/>
            </w:rPr>
            <w:t xml:space="preserve">Administration </w:t>
          </w:r>
          <w:r w:rsidR="00E57792" w:rsidRPr="00290098">
            <w:rPr>
              <w:rFonts w:ascii="Segoe UI Black" w:eastAsiaTheme="majorEastAsia" w:hAnsi="Segoe UI Black" w:cstheme="majorBidi"/>
              <w:color w:val="auto"/>
              <w:spacing w:val="-10"/>
              <w:kern w:val="28"/>
              <w:sz w:val="44"/>
              <w:szCs w:val="56"/>
            </w:rPr>
            <w:t>(</w:t>
          </w:r>
          <w:r w:rsidR="00E57792">
            <w:rPr>
              <w:rFonts w:ascii="Segoe UI Black" w:eastAsiaTheme="majorEastAsia" w:hAnsi="Segoe UI Black" w:cstheme="majorBidi"/>
              <w:color w:val="auto"/>
              <w:spacing w:val="-10"/>
              <w:kern w:val="28"/>
              <w:sz w:val="44"/>
              <w:szCs w:val="56"/>
            </w:rPr>
            <w:t>Financial Statements—Domestic Trusts</w:t>
          </w:r>
          <w:r w:rsidR="00E57792" w:rsidRPr="00290098">
            <w:rPr>
              <w:rFonts w:ascii="Segoe UI Black" w:eastAsiaTheme="majorEastAsia" w:hAnsi="Segoe UI Black" w:cstheme="majorBidi"/>
              <w:color w:val="auto"/>
              <w:spacing w:val="-10"/>
              <w:kern w:val="28"/>
              <w:sz w:val="44"/>
              <w:szCs w:val="56"/>
            </w:rPr>
            <w:t>) Order 20</w:t>
          </w:r>
          <w:r w:rsidR="00E57792">
            <w:rPr>
              <w:rFonts w:ascii="Segoe UI Black" w:eastAsiaTheme="majorEastAsia" w:hAnsi="Segoe UI Black" w:cstheme="majorBidi"/>
              <w:color w:val="auto"/>
              <w:spacing w:val="-10"/>
              <w:kern w:val="28"/>
              <w:sz w:val="44"/>
              <w:szCs w:val="56"/>
            </w:rPr>
            <w:t>22</w:t>
          </w:r>
          <w:r w:rsidR="00E57792" w:rsidRPr="009D1747">
            <w:rPr>
              <w:rFonts w:ascii="Segoe UI Black" w:eastAsiaTheme="majorEastAsia" w:hAnsi="Segoe UI Black" w:cstheme="majorBidi"/>
              <w:color w:val="auto"/>
              <w:spacing w:val="-10"/>
              <w:kern w:val="28"/>
              <w:sz w:val="44"/>
              <w:szCs w:val="56"/>
            </w:rPr>
            <w:t xml:space="preserve"> </w:t>
          </w:r>
        </w:p>
        <w:p w14:paraId="591D5B67" w14:textId="7B5F5C23" w:rsidR="00902E79" w:rsidRPr="00A4149F" w:rsidRDefault="00FD1626" w:rsidP="00902E79">
          <w:pPr>
            <w:pStyle w:val="DocumentDate"/>
          </w:pPr>
          <w:r w:rsidRPr="00A4149F">
            <w:t xml:space="preserve">Issued: </w:t>
          </w:r>
          <w:r>
            <w:t>11 March 2022</w:t>
          </w:r>
        </w:p>
        <w:tbl>
          <w:tblPr>
            <w:tblStyle w:val="IR-ShoulderNumberTable"/>
            <w:tblW w:w="0" w:type="auto"/>
            <w:tblLook w:val="04A0" w:firstRow="1" w:lastRow="0" w:firstColumn="1" w:lastColumn="0" w:noHBand="0" w:noVBand="1"/>
          </w:tblPr>
          <w:tblGrid>
            <w:gridCol w:w="1701"/>
          </w:tblGrid>
          <w:tr w:rsidR="00902E79" w:rsidRPr="00A4149F" w14:paraId="2F57DA32" w14:textId="77777777" w:rsidTr="00AC7440">
            <w:tc>
              <w:tcPr>
                <w:tcW w:w="1701" w:type="dxa"/>
              </w:tcPr>
              <w:p w14:paraId="564850FD" w14:textId="3BE1298E" w:rsidR="00902E79" w:rsidRPr="00DE7CEF" w:rsidRDefault="00E57792" w:rsidP="00AD4B8B">
                <w:pPr>
                  <w:pStyle w:val="PublicationNumber"/>
                </w:pPr>
                <w:bookmarkStart w:id="1" w:name="_Hlk14700370"/>
                <w:r>
                  <w:t>LI 2022/56</w:t>
                </w:r>
              </w:p>
            </w:tc>
          </w:tr>
          <w:bookmarkEnd w:id="0"/>
          <w:bookmarkEnd w:id="1"/>
        </w:tbl>
        <w:p w14:paraId="21D7995A" w14:textId="1E823C81" w:rsidR="00282ECC" w:rsidRDefault="00282ECC" w:rsidP="002546C5">
          <w:pPr>
            <w:pStyle w:val="DocumentDate"/>
          </w:pPr>
        </w:p>
        <w:p w14:paraId="6722D128" w14:textId="3B36E36A" w:rsidR="00C96A21" w:rsidRDefault="00DA3A71" w:rsidP="00313168">
          <w:pPr>
            <w:pStyle w:val="CoverPageSummary"/>
          </w:pPr>
          <w:r>
            <w:t xml:space="preserve">This special report provides early information about minimum standards for financial statements prepared by domestic trusts ahead of an upcoming edition of the </w:t>
          </w:r>
          <w:r w:rsidRPr="00B13DC7">
            <w:rPr>
              <w:i/>
              <w:iCs/>
            </w:rPr>
            <w:t>Tax Information Bulletin</w:t>
          </w:r>
          <w:r>
            <w:t>.</w:t>
          </w:r>
        </w:p>
        <w:p w14:paraId="5F8906ED"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2C290311" w14:textId="626D4899" w:rsidR="00B303D9" w:rsidRDefault="00B303D9" w:rsidP="00B303D9">
          <w:pPr>
            <w:pStyle w:val="TOCHeader"/>
          </w:pPr>
          <w:r>
            <w:t>Table of Contents</w:t>
          </w:r>
        </w:p>
        <w:p w14:paraId="57458B7D" w14:textId="01970C01" w:rsidR="00227987"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97895770" w:history="1">
            <w:r w:rsidR="00227987" w:rsidRPr="00074AD1">
              <w:rPr>
                <w:rStyle w:val="Hyperlink"/>
                <w:noProof/>
              </w:rPr>
              <w:t>Overview</w:t>
            </w:r>
            <w:r w:rsidR="00227987">
              <w:rPr>
                <w:noProof/>
                <w:webHidden/>
              </w:rPr>
              <w:tab/>
            </w:r>
            <w:r w:rsidR="00227987">
              <w:rPr>
                <w:noProof/>
                <w:webHidden/>
              </w:rPr>
              <w:fldChar w:fldCharType="begin"/>
            </w:r>
            <w:r w:rsidR="00227987">
              <w:rPr>
                <w:noProof/>
                <w:webHidden/>
              </w:rPr>
              <w:instrText xml:space="preserve"> PAGEREF _Toc97895770 \h </w:instrText>
            </w:r>
            <w:r w:rsidR="00227987">
              <w:rPr>
                <w:noProof/>
                <w:webHidden/>
              </w:rPr>
            </w:r>
            <w:r w:rsidR="00227987">
              <w:rPr>
                <w:noProof/>
                <w:webHidden/>
              </w:rPr>
              <w:fldChar w:fldCharType="separate"/>
            </w:r>
            <w:r w:rsidR="0036345B">
              <w:rPr>
                <w:noProof/>
                <w:webHidden/>
              </w:rPr>
              <w:t>3</w:t>
            </w:r>
            <w:r w:rsidR="00227987">
              <w:rPr>
                <w:noProof/>
                <w:webHidden/>
              </w:rPr>
              <w:fldChar w:fldCharType="end"/>
            </w:r>
          </w:hyperlink>
        </w:p>
        <w:p w14:paraId="22052F73" w14:textId="17B717FD" w:rsidR="00227987" w:rsidRDefault="00963498">
          <w:pPr>
            <w:pStyle w:val="TOC2"/>
            <w:tabs>
              <w:tab w:val="right" w:leader="dot" w:pos="9016"/>
            </w:tabs>
            <w:rPr>
              <w:rFonts w:asciiTheme="minorHAnsi" w:eastAsiaTheme="minorEastAsia" w:hAnsiTheme="minorHAnsi"/>
              <w:noProof/>
              <w:color w:val="auto"/>
              <w:lang w:eastAsia="en-NZ"/>
            </w:rPr>
          </w:pPr>
          <w:hyperlink w:anchor="_Toc97895771" w:history="1">
            <w:r w:rsidR="00227987" w:rsidRPr="00074AD1">
              <w:rPr>
                <w:rStyle w:val="Hyperlink"/>
                <w:noProof/>
              </w:rPr>
              <w:t>Application date</w:t>
            </w:r>
            <w:r w:rsidR="00227987">
              <w:rPr>
                <w:noProof/>
                <w:webHidden/>
              </w:rPr>
              <w:tab/>
            </w:r>
            <w:r w:rsidR="00227987">
              <w:rPr>
                <w:noProof/>
                <w:webHidden/>
              </w:rPr>
              <w:fldChar w:fldCharType="begin"/>
            </w:r>
            <w:r w:rsidR="00227987">
              <w:rPr>
                <w:noProof/>
                <w:webHidden/>
              </w:rPr>
              <w:instrText xml:space="preserve"> PAGEREF _Toc97895771 \h </w:instrText>
            </w:r>
            <w:r w:rsidR="00227987">
              <w:rPr>
                <w:noProof/>
                <w:webHidden/>
              </w:rPr>
            </w:r>
            <w:r w:rsidR="00227987">
              <w:rPr>
                <w:noProof/>
                <w:webHidden/>
              </w:rPr>
              <w:fldChar w:fldCharType="separate"/>
            </w:r>
            <w:r w:rsidR="0036345B">
              <w:rPr>
                <w:noProof/>
                <w:webHidden/>
              </w:rPr>
              <w:t>3</w:t>
            </w:r>
            <w:r w:rsidR="00227987">
              <w:rPr>
                <w:noProof/>
                <w:webHidden/>
              </w:rPr>
              <w:fldChar w:fldCharType="end"/>
            </w:r>
          </w:hyperlink>
        </w:p>
        <w:p w14:paraId="3BFA1DFA" w14:textId="26A61C22" w:rsidR="00227987" w:rsidRDefault="00963498">
          <w:pPr>
            <w:pStyle w:val="TOC2"/>
            <w:tabs>
              <w:tab w:val="right" w:leader="dot" w:pos="9016"/>
            </w:tabs>
            <w:rPr>
              <w:rFonts w:asciiTheme="minorHAnsi" w:eastAsiaTheme="minorEastAsia" w:hAnsiTheme="minorHAnsi"/>
              <w:noProof/>
              <w:color w:val="auto"/>
              <w:lang w:eastAsia="en-NZ"/>
            </w:rPr>
          </w:pPr>
          <w:hyperlink w:anchor="_Toc97895772" w:history="1">
            <w:r w:rsidR="00227987" w:rsidRPr="00074AD1">
              <w:rPr>
                <w:rStyle w:val="Hyperlink"/>
                <w:noProof/>
              </w:rPr>
              <w:t>Background</w:t>
            </w:r>
            <w:r w:rsidR="00227987">
              <w:rPr>
                <w:noProof/>
                <w:webHidden/>
              </w:rPr>
              <w:tab/>
            </w:r>
            <w:r w:rsidR="00227987">
              <w:rPr>
                <w:noProof/>
                <w:webHidden/>
              </w:rPr>
              <w:fldChar w:fldCharType="begin"/>
            </w:r>
            <w:r w:rsidR="00227987">
              <w:rPr>
                <w:noProof/>
                <w:webHidden/>
              </w:rPr>
              <w:instrText xml:space="preserve"> PAGEREF _Toc97895772 \h </w:instrText>
            </w:r>
            <w:r w:rsidR="00227987">
              <w:rPr>
                <w:noProof/>
                <w:webHidden/>
              </w:rPr>
            </w:r>
            <w:r w:rsidR="00227987">
              <w:rPr>
                <w:noProof/>
                <w:webHidden/>
              </w:rPr>
              <w:fldChar w:fldCharType="separate"/>
            </w:r>
            <w:r w:rsidR="0036345B">
              <w:rPr>
                <w:noProof/>
                <w:webHidden/>
              </w:rPr>
              <w:t>3</w:t>
            </w:r>
            <w:r w:rsidR="00227987">
              <w:rPr>
                <w:noProof/>
                <w:webHidden/>
              </w:rPr>
              <w:fldChar w:fldCharType="end"/>
            </w:r>
          </w:hyperlink>
        </w:p>
        <w:p w14:paraId="055CD970" w14:textId="4D48DE25" w:rsidR="00227987" w:rsidRDefault="00963498">
          <w:pPr>
            <w:pStyle w:val="TOC1"/>
            <w:tabs>
              <w:tab w:val="right" w:leader="dot" w:pos="9016"/>
            </w:tabs>
            <w:rPr>
              <w:rFonts w:asciiTheme="minorHAnsi" w:eastAsiaTheme="minorEastAsia" w:hAnsiTheme="minorHAnsi"/>
              <w:noProof/>
              <w:color w:val="auto"/>
              <w:lang w:eastAsia="en-NZ"/>
            </w:rPr>
          </w:pPr>
          <w:hyperlink w:anchor="_Toc97895773" w:history="1">
            <w:r w:rsidR="00227987" w:rsidRPr="00074AD1">
              <w:rPr>
                <w:rStyle w:val="Hyperlink"/>
                <w:noProof/>
              </w:rPr>
              <w:t xml:space="preserve">Overview of the Tax Administration (Financial Statements—Domestic Trusts) </w:t>
            </w:r>
            <w:r w:rsidR="00227987">
              <w:rPr>
                <w:rStyle w:val="Hyperlink"/>
                <w:noProof/>
              </w:rPr>
              <w:br/>
            </w:r>
            <w:r w:rsidR="00227987" w:rsidRPr="00074AD1">
              <w:rPr>
                <w:rStyle w:val="Hyperlink"/>
                <w:noProof/>
              </w:rPr>
              <w:t>Order 2022</w:t>
            </w:r>
            <w:r w:rsidR="00227987">
              <w:rPr>
                <w:noProof/>
                <w:webHidden/>
              </w:rPr>
              <w:tab/>
            </w:r>
            <w:r w:rsidR="00227987">
              <w:rPr>
                <w:noProof/>
                <w:webHidden/>
              </w:rPr>
              <w:fldChar w:fldCharType="begin"/>
            </w:r>
            <w:r w:rsidR="00227987">
              <w:rPr>
                <w:noProof/>
                <w:webHidden/>
              </w:rPr>
              <w:instrText xml:space="preserve"> PAGEREF _Toc97895773 \h </w:instrText>
            </w:r>
            <w:r w:rsidR="00227987">
              <w:rPr>
                <w:noProof/>
                <w:webHidden/>
              </w:rPr>
            </w:r>
            <w:r w:rsidR="00227987">
              <w:rPr>
                <w:noProof/>
                <w:webHidden/>
              </w:rPr>
              <w:fldChar w:fldCharType="separate"/>
            </w:r>
            <w:r w:rsidR="0036345B">
              <w:rPr>
                <w:noProof/>
                <w:webHidden/>
              </w:rPr>
              <w:t>4</w:t>
            </w:r>
            <w:r w:rsidR="00227987">
              <w:rPr>
                <w:noProof/>
                <w:webHidden/>
              </w:rPr>
              <w:fldChar w:fldCharType="end"/>
            </w:r>
          </w:hyperlink>
        </w:p>
        <w:p w14:paraId="560E5A74" w14:textId="6EFB2C50" w:rsidR="00227987" w:rsidRDefault="00963498">
          <w:pPr>
            <w:pStyle w:val="TOC2"/>
            <w:tabs>
              <w:tab w:val="right" w:leader="dot" w:pos="9016"/>
            </w:tabs>
            <w:rPr>
              <w:rFonts w:asciiTheme="minorHAnsi" w:eastAsiaTheme="minorEastAsia" w:hAnsiTheme="minorHAnsi"/>
              <w:noProof/>
              <w:color w:val="auto"/>
              <w:lang w:eastAsia="en-NZ"/>
            </w:rPr>
          </w:pPr>
          <w:hyperlink w:anchor="_Toc97895774" w:history="1">
            <w:r w:rsidR="00227987" w:rsidRPr="00074AD1">
              <w:rPr>
                <w:rStyle w:val="Hyperlink"/>
                <w:noProof/>
              </w:rPr>
              <w:t>General features</w:t>
            </w:r>
            <w:r w:rsidR="00227987">
              <w:rPr>
                <w:noProof/>
                <w:webHidden/>
              </w:rPr>
              <w:tab/>
            </w:r>
            <w:r w:rsidR="00227987">
              <w:rPr>
                <w:noProof/>
                <w:webHidden/>
              </w:rPr>
              <w:fldChar w:fldCharType="begin"/>
            </w:r>
            <w:r w:rsidR="00227987">
              <w:rPr>
                <w:noProof/>
                <w:webHidden/>
              </w:rPr>
              <w:instrText xml:space="preserve"> PAGEREF _Toc97895774 \h </w:instrText>
            </w:r>
            <w:r w:rsidR="00227987">
              <w:rPr>
                <w:noProof/>
                <w:webHidden/>
              </w:rPr>
            </w:r>
            <w:r w:rsidR="00227987">
              <w:rPr>
                <w:noProof/>
                <w:webHidden/>
              </w:rPr>
              <w:fldChar w:fldCharType="separate"/>
            </w:r>
            <w:r w:rsidR="0036345B">
              <w:rPr>
                <w:noProof/>
                <w:webHidden/>
              </w:rPr>
              <w:t>4</w:t>
            </w:r>
            <w:r w:rsidR="00227987">
              <w:rPr>
                <w:noProof/>
                <w:webHidden/>
              </w:rPr>
              <w:fldChar w:fldCharType="end"/>
            </w:r>
          </w:hyperlink>
        </w:p>
        <w:p w14:paraId="7FB0F9E4" w14:textId="12C75D7B" w:rsidR="00227987" w:rsidRDefault="00963498">
          <w:pPr>
            <w:pStyle w:val="TOC2"/>
            <w:tabs>
              <w:tab w:val="right" w:leader="dot" w:pos="9016"/>
            </w:tabs>
            <w:rPr>
              <w:rFonts w:asciiTheme="minorHAnsi" w:eastAsiaTheme="minorEastAsia" w:hAnsiTheme="minorHAnsi"/>
              <w:noProof/>
              <w:color w:val="auto"/>
              <w:lang w:eastAsia="en-NZ"/>
            </w:rPr>
          </w:pPr>
          <w:hyperlink w:anchor="_Toc97895775" w:history="1">
            <w:r w:rsidR="00227987" w:rsidRPr="00074AD1">
              <w:rPr>
                <w:rStyle w:val="Hyperlink"/>
                <w:noProof/>
              </w:rPr>
              <w:t>Trusts with non-standard balance dates</w:t>
            </w:r>
            <w:r w:rsidR="00227987">
              <w:rPr>
                <w:noProof/>
                <w:webHidden/>
              </w:rPr>
              <w:tab/>
            </w:r>
            <w:r w:rsidR="00227987">
              <w:rPr>
                <w:noProof/>
                <w:webHidden/>
              </w:rPr>
              <w:fldChar w:fldCharType="begin"/>
            </w:r>
            <w:r w:rsidR="00227987">
              <w:rPr>
                <w:noProof/>
                <w:webHidden/>
              </w:rPr>
              <w:instrText xml:space="preserve"> PAGEREF _Toc97895775 \h </w:instrText>
            </w:r>
            <w:r w:rsidR="00227987">
              <w:rPr>
                <w:noProof/>
                <w:webHidden/>
              </w:rPr>
            </w:r>
            <w:r w:rsidR="00227987">
              <w:rPr>
                <w:noProof/>
                <w:webHidden/>
              </w:rPr>
              <w:fldChar w:fldCharType="separate"/>
            </w:r>
            <w:r w:rsidR="0036345B">
              <w:rPr>
                <w:noProof/>
                <w:webHidden/>
              </w:rPr>
              <w:t>4</w:t>
            </w:r>
            <w:r w:rsidR="00227987">
              <w:rPr>
                <w:noProof/>
                <w:webHidden/>
              </w:rPr>
              <w:fldChar w:fldCharType="end"/>
            </w:r>
          </w:hyperlink>
        </w:p>
        <w:p w14:paraId="436F934B" w14:textId="0A99B87D" w:rsidR="00227987" w:rsidRDefault="00963498">
          <w:pPr>
            <w:pStyle w:val="TOC2"/>
            <w:tabs>
              <w:tab w:val="right" w:leader="dot" w:pos="9016"/>
            </w:tabs>
            <w:rPr>
              <w:rFonts w:asciiTheme="minorHAnsi" w:eastAsiaTheme="minorEastAsia" w:hAnsiTheme="minorHAnsi"/>
              <w:noProof/>
              <w:color w:val="auto"/>
              <w:lang w:eastAsia="en-NZ"/>
            </w:rPr>
          </w:pPr>
          <w:hyperlink w:anchor="_Toc97895776" w:history="1">
            <w:r w:rsidR="00227987" w:rsidRPr="00074AD1">
              <w:rPr>
                <w:rStyle w:val="Hyperlink"/>
                <w:noProof/>
              </w:rPr>
              <w:t>Trusts with early balance dates</w:t>
            </w:r>
            <w:r w:rsidR="00227987">
              <w:rPr>
                <w:noProof/>
                <w:webHidden/>
              </w:rPr>
              <w:tab/>
            </w:r>
            <w:r w:rsidR="00227987">
              <w:rPr>
                <w:noProof/>
                <w:webHidden/>
              </w:rPr>
              <w:fldChar w:fldCharType="begin"/>
            </w:r>
            <w:r w:rsidR="00227987">
              <w:rPr>
                <w:noProof/>
                <w:webHidden/>
              </w:rPr>
              <w:instrText xml:space="preserve"> PAGEREF _Toc97895776 \h </w:instrText>
            </w:r>
            <w:r w:rsidR="00227987">
              <w:rPr>
                <w:noProof/>
                <w:webHidden/>
              </w:rPr>
            </w:r>
            <w:r w:rsidR="00227987">
              <w:rPr>
                <w:noProof/>
                <w:webHidden/>
              </w:rPr>
              <w:fldChar w:fldCharType="separate"/>
            </w:r>
            <w:r w:rsidR="0036345B">
              <w:rPr>
                <w:noProof/>
                <w:webHidden/>
              </w:rPr>
              <w:t>5</w:t>
            </w:r>
            <w:r w:rsidR="00227987">
              <w:rPr>
                <w:noProof/>
                <w:webHidden/>
              </w:rPr>
              <w:fldChar w:fldCharType="end"/>
            </w:r>
          </w:hyperlink>
        </w:p>
        <w:p w14:paraId="2A727AA4" w14:textId="6034A814" w:rsidR="00227987" w:rsidRDefault="00963498">
          <w:pPr>
            <w:pStyle w:val="TOC2"/>
            <w:tabs>
              <w:tab w:val="right" w:leader="dot" w:pos="9016"/>
            </w:tabs>
            <w:rPr>
              <w:rFonts w:asciiTheme="minorHAnsi" w:eastAsiaTheme="minorEastAsia" w:hAnsiTheme="minorHAnsi"/>
              <w:noProof/>
              <w:color w:val="auto"/>
              <w:lang w:eastAsia="en-NZ"/>
            </w:rPr>
          </w:pPr>
          <w:hyperlink w:anchor="_Toc97895777" w:history="1">
            <w:r w:rsidR="00227987" w:rsidRPr="00074AD1">
              <w:rPr>
                <w:rStyle w:val="Hyperlink"/>
                <w:noProof/>
              </w:rPr>
              <w:t>Valuation</w:t>
            </w:r>
            <w:r w:rsidR="00227987">
              <w:rPr>
                <w:noProof/>
                <w:webHidden/>
              </w:rPr>
              <w:tab/>
            </w:r>
            <w:r w:rsidR="00227987">
              <w:rPr>
                <w:noProof/>
                <w:webHidden/>
              </w:rPr>
              <w:fldChar w:fldCharType="begin"/>
            </w:r>
            <w:r w:rsidR="00227987">
              <w:rPr>
                <w:noProof/>
                <w:webHidden/>
              </w:rPr>
              <w:instrText xml:space="preserve"> PAGEREF _Toc97895777 \h </w:instrText>
            </w:r>
            <w:r w:rsidR="00227987">
              <w:rPr>
                <w:noProof/>
                <w:webHidden/>
              </w:rPr>
            </w:r>
            <w:r w:rsidR="00227987">
              <w:rPr>
                <w:noProof/>
                <w:webHidden/>
              </w:rPr>
              <w:fldChar w:fldCharType="separate"/>
            </w:r>
            <w:r w:rsidR="0036345B">
              <w:rPr>
                <w:noProof/>
                <w:webHidden/>
              </w:rPr>
              <w:t>5</w:t>
            </w:r>
            <w:r w:rsidR="00227987">
              <w:rPr>
                <w:noProof/>
                <w:webHidden/>
              </w:rPr>
              <w:fldChar w:fldCharType="end"/>
            </w:r>
          </w:hyperlink>
        </w:p>
        <w:p w14:paraId="04D7A99E" w14:textId="3E66C0F6" w:rsidR="00227987" w:rsidRDefault="00963498">
          <w:pPr>
            <w:pStyle w:val="TOC2"/>
            <w:tabs>
              <w:tab w:val="right" w:leader="dot" w:pos="9016"/>
            </w:tabs>
            <w:rPr>
              <w:rFonts w:asciiTheme="minorHAnsi" w:eastAsiaTheme="minorEastAsia" w:hAnsiTheme="minorHAnsi"/>
              <w:noProof/>
              <w:color w:val="auto"/>
              <w:lang w:eastAsia="en-NZ"/>
            </w:rPr>
          </w:pPr>
          <w:hyperlink w:anchor="_Toc97895778" w:history="1">
            <w:r w:rsidR="00227987" w:rsidRPr="00074AD1">
              <w:rPr>
                <w:rStyle w:val="Hyperlink"/>
                <w:noProof/>
              </w:rPr>
              <w:t>Core requirements for all trusts</w:t>
            </w:r>
            <w:r w:rsidR="00227987">
              <w:rPr>
                <w:noProof/>
                <w:webHidden/>
              </w:rPr>
              <w:tab/>
            </w:r>
            <w:r w:rsidR="00227987">
              <w:rPr>
                <w:noProof/>
                <w:webHidden/>
              </w:rPr>
              <w:fldChar w:fldCharType="begin"/>
            </w:r>
            <w:r w:rsidR="00227987">
              <w:rPr>
                <w:noProof/>
                <w:webHidden/>
              </w:rPr>
              <w:instrText xml:space="preserve"> PAGEREF _Toc97895778 \h </w:instrText>
            </w:r>
            <w:r w:rsidR="00227987">
              <w:rPr>
                <w:noProof/>
                <w:webHidden/>
              </w:rPr>
            </w:r>
            <w:r w:rsidR="00227987">
              <w:rPr>
                <w:noProof/>
                <w:webHidden/>
              </w:rPr>
              <w:fldChar w:fldCharType="separate"/>
            </w:r>
            <w:r w:rsidR="0036345B">
              <w:rPr>
                <w:noProof/>
                <w:webHidden/>
              </w:rPr>
              <w:t>5</w:t>
            </w:r>
            <w:r w:rsidR="00227987">
              <w:rPr>
                <w:noProof/>
                <w:webHidden/>
              </w:rPr>
              <w:fldChar w:fldCharType="end"/>
            </w:r>
          </w:hyperlink>
        </w:p>
        <w:p w14:paraId="6092C32D" w14:textId="45A873D3" w:rsidR="00227987" w:rsidRDefault="00963498">
          <w:pPr>
            <w:pStyle w:val="TOC2"/>
            <w:tabs>
              <w:tab w:val="right" w:leader="dot" w:pos="9016"/>
            </w:tabs>
            <w:rPr>
              <w:rFonts w:asciiTheme="minorHAnsi" w:eastAsiaTheme="minorEastAsia" w:hAnsiTheme="minorHAnsi"/>
              <w:noProof/>
              <w:color w:val="auto"/>
              <w:lang w:eastAsia="en-NZ"/>
            </w:rPr>
          </w:pPr>
          <w:hyperlink w:anchor="_Toc97895779" w:history="1">
            <w:r w:rsidR="00227987" w:rsidRPr="00074AD1">
              <w:rPr>
                <w:rStyle w:val="Hyperlink"/>
                <w:noProof/>
              </w:rPr>
              <w:t>Simplified reporting trusts</w:t>
            </w:r>
            <w:r w:rsidR="00227987">
              <w:rPr>
                <w:noProof/>
                <w:webHidden/>
              </w:rPr>
              <w:tab/>
            </w:r>
            <w:r w:rsidR="00227987">
              <w:rPr>
                <w:noProof/>
                <w:webHidden/>
              </w:rPr>
              <w:fldChar w:fldCharType="begin"/>
            </w:r>
            <w:r w:rsidR="00227987">
              <w:rPr>
                <w:noProof/>
                <w:webHidden/>
              </w:rPr>
              <w:instrText xml:space="preserve"> PAGEREF _Toc97895779 \h </w:instrText>
            </w:r>
            <w:r w:rsidR="00227987">
              <w:rPr>
                <w:noProof/>
                <w:webHidden/>
              </w:rPr>
            </w:r>
            <w:r w:rsidR="00227987">
              <w:rPr>
                <w:noProof/>
                <w:webHidden/>
              </w:rPr>
              <w:fldChar w:fldCharType="separate"/>
            </w:r>
            <w:r w:rsidR="0036345B">
              <w:rPr>
                <w:noProof/>
                <w:webHidden/>
              </w:rPr>
              <w:t>6</w:t>
            </w:r>
            <w:r w:rsidR="00227987">
              <w:rPr>
                <w:noProof/>
                <w:webHidden/>
              </w:rPr>
              <w:fldChar w:fldCharType="end"/>
            </w:r>
          </w:hyperlink>
        </w:p>
        <w:p w14:paraId="795678B3" w14:textId="2C08762C" w:rsidR="00227987" w:rsidRDefault="00963498">
          <w:pPr>
            <w:pStyle w:val="TOC2"/>
            <w:tabs>
              <w:tab w:val="right" w:leader="dot" w:pos="9016"/>
            </w:tabs>
            <w:rPr>
              <w:rFonts w:asciiTheme="minorHAnsi" w:eastAsiaTheme="minorEastAsia" w:hAnsiTheme="minorHAnsi"/>
              <w:noProof/>
              <w:color w:val="auto"/>
              <w:lang w:eastAsia="en-NZ"/>
            </w:rPr>
          </w:pPr>
          <w:hyperlink w:anchor="_Toc97895780" w:history="1">
            <w:r w:rsidR="00227987" w:rsidRPr="00074AD1">
              <w:rPr>
                <w:rStyle w:val="Hyperlink"/>
                <w:noProof/>
              </w:rPr>
              <w:t>Additional requirements for trusts that are not “simplified reporting trusts”</w:t>
            </w:r>
            <w:r w:rsidR="00227987">
              <w:rPr>
                <w:noProof/>
                <w:webHidden/>
              </w:rPr>
              <w:tab/>
            </w:r>
            <w:r w:rsidR="00227987">
              <w:rPr>
                <w:noProof/>
                <w:webHidden/>
              </w:rPr>
              <w:fldChar w:fldCharType="begin"/>
            </w:r>
            <w:r w:rsidR="00227987">
              <w:rPr>
                <w:noProof/>
                <w:webHidden/>
              </w:rPr>
              <w:instrText xml:space="preserve"> PAGEREF _Toc97895780 \h </w:instrText>
            </w:r>
            <w:r w:rsidR="00227987">
              <w:rPr>
                <w:noProof/>
                <w:webHidden/>
              </w:rPr>
            </w:r>
            <w:r w:rsidR="00227987">
              <w:rPr>
                <w:noProof/>
                <w:webHidden/>
              </w:rPr>
              <w:fldChar w:fldCharType="separate"/>
            </w:r>
            <w:r w:rsidR="0036345B">
              <w:rPr>
                <w:noProof/>
                <w:webHidden/>
              </w:rPr>
              <w:t>6</w:t>
            </w:r>
            <w:r w:rsidR="00227987">
              <w:rPr>
                <w:noProof/>
                <w:webHidden/>
              </w:rPr>
              <w:fldChar w:fldCharType="end"/>
            </w:r>
          </w:hyperlink>
        </w:p>
        <w:p w14:paraId="056165B0" w14:textId="4D250C40" w:rsidR="00227987" w:rsidRDefault="00963498">
          <w:pPr>
            <w:pStyle w:val="TOC1"/>
            <w:tabs>
              <w:tab w:val="right" w:leader="dot" w:pos="9016"/>
            </w:tabs>
            <w:rPr>
              <w:rFonts w:asciiTheme="minorHAnsi" w:eastAsiaTheme="minorEastAsia" w:hAnsiTheme="minorHAnsi"/>
              <w:noProof/>
              <w:color w:val="auto"/>
              <w:lang w:eastAsia="en-NZ"/>
            </w:rPr>
          </w:pPr>
          <w:hyperlink w:anchor="_Toc97895781" w:history="1">
            <w:r w:rsidR="00227987" w:rsidRPr="00074AD1">
              <w:rPr>
                <w:rStyle w:val="Hyperlink"/>
                <w:noProof/>
              </w:rPr>
              <w:t>Further information</w:t>
            </w:r>
            <w:r w:rsidR="00227987">
              <w:rPr>
                <w:noProof/>
                <w:webHidden/>
              </w:rPr>
              <w:tab/>
            </w:r>
            <w:r w:rsidR="00227987">
              <w:rPr>
                <w:noProof/>
                <w:webHidden/>
              </w:rPr>
              <w:fldChar w:fldCharType="begin"/>
            </w:r>
            <w:r w:rsidR="00227987">
              <w:rPr>
                <w:noProof/>
                <w:webHidden/>
              </w:rPr>
              <w:instrText xml:space="preserve"> PAGEREF _Toc97895781 \h </w:instrText>
            </w:r>
            <w:r w:rsidR="00227987">
              <w:rPr>
                <w:noProof/>
                <w:webHidden/>
              </w:rPr>
            </w:r>
            <w:r w:rsidR="00227987">
              <w:rPr>
                <w:noProof/>
                <w:webHidden/>
              </w:rPr>
              <w:fldChar w:fldCharType="separate"/>
            </w:r>
            <w:r w:rsidR="0036345B">
              <w:rPr>
                <w:noProof/>
                <w:webHidden/>
              </w:rPr>
              <w:t>7</w:t>
            </w:r>
            <w:r w:rsidR="00227987">
              <w:rPr>
                <w:noProof/>
                <w:webHidden/>
              </w:rPr>
              <w:fldChar w:fldCharType="end"/>
            </w:r>
          </w:hyperlink>
        </w:p>
        <w:p w14:paraId="0486D1C1" w14:textId="1D39047B" w:rsidR="00227987" w:rsidRDefault="00963498">
          <w:pPr>
            <w:pStyle w:val="TOC1"/>
            <w:tabs>
              <w:tab w:val="right" w:leader="dot" w:pos="9016"/>
            </w:tabs>
            <w:rPr>
              <w:rFonts w:asciiTheme="minorHAnsi" w:eastAsiaTheme="minorEastAsia" w:hAnsiTheme="minorHAnsi"/>
              <w:noProof/>
              <w:color w:val="auto"/>
              <w:lang w:eastAsia="en-NZ"/>
            </w:rPr>
          </w:pPr>
          <w:hyperlink w:anchor="_Toc97895782" w:history="1">
            <w:r w:rsidR="00227987" w:rsidRPr="00074AD1">
              <w:rPr>
                <w:rStyle w:val="Hyperlink"/>
                <w:noProof/>
              </w:rPr>
              <w:t>About this document</w:t>
            </w:r>
            <w:r w:rsidR="00227987">
              <w:rPr>
                <w:noProof/>
                <w:webHidden/>
              </w:rPr>
              <w:tab/>
            </w:r>
            <w:r w:rsidR="00227987">
              <w:rPr>
                <w:noProof/>
                <w:webHidden/>
              </w:rPr>
              <w:fldChar w:fldCharType="begin"/>
            </w:r>
            <w:r w:rsidR="00227987">
              <w:rPr>
                <w:noProof/>
                <w:webHidden/>
              </w:rPr>
              <w:instrText xml:space="preserve"> PAGEREF _Toc97895782 \h </w:instrText>
            </w:r>
            <w:r w:rsidR="00227987">
              <w:rPr>
                <w:noProof/>
                <w:webHidden/>
              </w:rPr>
            </w:r>
            <w:r w:rsidR="00227987">
              <w:rPr>
                <w:noProof/>
                <w:webHidden/>
              </w:rPr>
              <w:fldChar w:fldCharType="separate"/>
            </w:r>
            <w:r w:rsidR="0036345B">
              <w:rPr>
                <w:noProof/>
                <w:webHidden/>
              </w:rPr>
              <w:t>7</w:t>
            </w:r>
            <w:r w:rsidR="00227987">
              <w:rPr>
                <w:noProof/>
                <w:webHidden/>
              </w:rPr>
              <w:fldChar w:fldCharType="end"/>
            </w:r>
          </w:hyperlink>
        </w:p>
        <w:p w14:paraId="3C677CB7" w14:textId="43299129" w:rsidR="00B303D9" w:rsidRDefault="00B303D9">
          <w:r>
            <w:rPr>
              <w:b/>
              <w:bCs/>
              <w:noProof/>
            </w:rPr>
            <w:fldChar w:fldCharType="end"/>
          </w:r>
        </w:p>
      </w:sdtContent>
    </w:sdt>
    <w:p w14:paraId="4ABDEA3B" w14:textId="05D376A7" w:rsidR="00B65C4B" w:rsidRDefault="00B65C4B" w:rsidP="000E1426">
      <w:r>
        <w:br w:type="page"/>
      </w:r>
    </w:p>
    <w:p w14:paraId="253685DF" w14:textId="77777777" w:rsidR="000654C4" w:rsidRPr="00D67439" w:rsidRDefault="000654C4" w:rsidP="00AD150B">
      <w:pPr>
        <w:pStyle w:val="NoNumberHeading1"/>
      </w:pPr>
      <w:bookmarkStart w:id="2" w:name="_Toc97894759"/>
      <w:bookmarkStart w:id="3" w:name="_Toc97895770"/>
      <w:r w:rsidRPr="00D67439">
        <w:lastRenderedPageBreak/>
        <w:t>Overview</w:t>
      </w:r>
      <w:bookmarkEnd w:id="2"/>
      <w:bookmarkEnd w:id="3"/>
    </w:p>
    <w:p w14:paraId="45A3FB8B" w14:textId="77777777" w:rsidR="008C27A6" w:rsidRDefault="008C27A6" w:rsidP="008C27A6">
      <w:pPr>
        <w:jc w:val="both"/>
      </w:pPr>
      <w:r>
        <w:t>Trusts with assessable income have increased disclosure requirements for the 2021–22 and later income years. This includes the requirement to prepare a statement of profit or loss and a statement of financial position.</w:t>
      </w:r>
    </w:p>
    <w:p w14:paraId="7803D234" w14:textId="188D6A98" w:rsidR="008C27A6" w:rsidRDefault="008C27A6" w:rsidP="008C27A6">
      <w:r>
        <w:t>The Tax Administration (Financial Statements</w:t>
      </w:r>
      <w:r w:rsidRPr="00124655">
        <w:t>—</w:t>
      </w:r>
      <w:r>
        <w:t>Domestic Trusts) Order 2022 (the Order) was made on 7 March 2022. This Order sets minimum standards for financial statements prepared by trusts subject to these new disclosure rules.</w:t>
      </w:r>
    </w:p>
    <w:p w14:paraId="47EF90E8" w14:textId="77777777" w:rsidR="00F66CAB" w:rsidRDefault="00F66CAB" w:rsidP="00BF700A">
      <w:pPr>
        <w:pStyle w:val="NoNumberHeading2"/>
      </w:pPr>
      <w:bookmarkStart w:id="4" w:name="_Toc97895771"/>
      <w:bookmarkStart w:id="5" w:name="_Toc64637535"/>
      <w:bookmarkStart w:id="6" w:name="_Toc64976845"/>
      <w:r>
        <w:t>Application date</w:t>
      </w:r>
      <w:bookmarkEnd w:id="4"/>
    </w:p>
    <w:p w14:paraId="0C95DC48" w14:textId="77777777" w:rsidR="0049296F" w:rsidRDefault="0049296F" w:rsidP="0049296F">
      <w:pPr>
        <w:jc w:val="both"/>
      </w:pPr>
      <w:r>
        <w:t>The Order applies for income years ending on or after 31 March 2022.</w:t>
      </w:r>
    </w:p>
    <w:p w14:paraId="06145C58" w14:textId="4C9700DA" w:rsidR="00BF700A" w:rsidRDefault="00BF700A" w:rsidP="00BF700A">
      <w:pPr>
        <w:pStyle w:val="NoNumberHeading2"/>
      </w:pPr>
      <w:bookmarkStart w:id="7" w:name="_Toc97895772"/>
      <w:r>
        <w:t>Background</w:t>
      </w:r>
      <w:bookmarkEnd w:id="5"/>
      <w:bookmarkEnd w:id="6"/>
      <w:bookmarkEnd w:id="7"/>
    </w:p>
    <w:p w14:paraId="372F2726" w14:textId="77777777" w:rsidR="00FC0178" w:rsidRDefault="00FC0178" w:rsidP="00FC0178">
      <w:pPr>
        <w:jc w:val="both"/>
      </w:pPr>
      <w:bookmarkStart w:id="8" w:name="_Toc64637536"/>
      <w:bookmarkStart w:id="9" w:name="_Toc64976846"/>
      <w:r w:rsidRPr="000A3FC1">
        <w:t xml:space="preserve">The Taxation (Income Tax Rate and Other Matters) Act 2020 was enacted on 7 December 2020 and introduced </w:t>
      </w:r>
      <w:r>
        <w:t>a</w:t>
      </w:r>
      <w:r w:rsidRPr="000A3FC1">
        <w:t xml:space="preserve"> new top personal tax rate of 39% and increased disclosure requirements for trusts for the 2021–22 and later income years.</w:t>
      </w:r>
      <w:r>
        <w:t xml:space="preserve"> The disclosure rules are contained in section 59BA of the Tax Administration Act 1994 (TAA) and</w:t>
      </w:r>
      <w:r w:rsidRPr="001314E4">
        <w:t xml:space="preserve"> support the Commissioner</w:t>
      </w:r>
      <w:r>
        <w:t xml:space="preserve"> of Inland Revenue</w:t>
      </w:r>
      <w:r w:rsidRPr="001314E4">
        <w:t>’s ability to assess compliance with the new 39% personal income tax rate and assist the Commissioner in understanding and monitoring the use of structures and entities by trustees.</w:t>
      </w:r>
    </w:p>
    <w:p w14:paraId="26FDACAE" w14:textId="07B88590" w:rsidR="00FC0178" w:rsidRDefault="00FC0178" w:rsidP="00FC0178">
      <w:pPr>
        <w:jc w:val="both"/>
      </w:pPr>
      <w:r>
        <w:t>These disclosure rules apply to trustees of trusts that derive assessable income in a tax year.  The following are excluded from the requirement</w:t>
      </w:r>
      <w:r w:rsidR="000C71F5">
        <w:t>s</w:t>
      </w:r>
      <w:r>
        <w:t>:</w:t>
      </w:r>
    </w:p>
    <w:p w14:paraId="6CD65AD0" w14:textId="77777777" w:rsidR="00FC0178" w:rsidRDefault="00FC0178" w:rsidP="00FC0178">
      <w:pPr>
        <w:pStyle w:val="Bullets"/>
        <w:ind w:left="851"/>
        <w:jc w:val="both"/>
        <w:rPr>
          <w:rFonts w:ascii="Verdana" w:hAnsi="Verdana"/>
          <w:sz w:val="20"/>
          <w:szCs w:val="20"/>
        </w:rPr>
      </w:pPr>
      <w:r>
        <w:rPr>
          <w:rFonts w:ascii="Verdana" w:hAnsi="Verdana"/>
          <w:sz w:val="20"/>
          <w:szCs w:val="20"/>
        </w:rPr>
        <w:t>non-active trusts</w:t>
      </w:r>
    </w:p>
    <w:p w14:paraId="7666C1F7" w14:textId="77777777" w:rsidR="00FC0178" w:rsidRDefault="00FC0178" w:rsidP="00FC0178">
      <w:pPr>
        <w:pStyle w:val="Bullets"/>
        <w:ind w:left="851"/>
        <w:jc w:val="both"/>
        <w:rPr>
          <w:rFonts w:ascii="Verdana" w:hAnsi="Verdana"/>
          <w:sz w:val="20"/>
          <w:szCs w:val="20"/>
        </w:rPr>
      </w:pPr>
      <w:r>
        <w:rPr>
          <w:rFonts w:ascii="Verdana" w:hAnsi="Verdana"/>
          <w:sz w:val="20"/>
          <w:szCs w:val="20"/>
        </w:rPr>
        <w:t>foreign trusts</w:t>
      </w:r>
    </w:p>
    <w:p w14:paraId="5F2C09DA" w14:textId="77777777" w:rsidR="00FC0178" w:rsidRDefault="00FC0178" w:rsidP="00FC0178">
      <w:pPr>
        <w:pStyle w:val="Bullets"/>
        <w:ind w:left="851"/>
        <w:jc w:val="both"/>
        <w:rPr>
          <w:rFonts w:ascii="Verdana" w:hAnsi="Verdana"/>
          <w:sz w:val="20"/>
          <w:szCs w:val="20"/>
        </w:rPr>
      </w:pPr>
      <w:r>
        <w:rPr>
          <w:rFonts w:ascii="Verdana" w:hAnsi="Verdana"/>
          <w:sz w:val="20"/>
          <w:szCs w:val="20"/>
        </w:rPr>
        <w:t>trusts incorporated under the Charitable Trusts Act 1957</w:t>
      </w:r>
    </w:p>
    <w:p w14:paraId="3782EA67" w14:textId="77777777" w:rsidR="00FC0178" w:rsidRDefault="00FC0178" w:rsidP="00FC0178">
      <w:pPr>
        <w:pStyle w:val="Bullets"/>
        <w:ind w:left="851"/>
        <w:jc w:val="both"/>
        <w:rPr>
          <w:rFonts w:ascii="Verdana" w:hAnsi="Verdana"/>
          <w:sz w:val="20"/>
          <w:szCs w:val="20"/>
        </w:rPr>
      </w:pPr>
      <w:r>
        <w:rPr>
          <w:rFonts w:ascii="Verdana" w:hAnsi="Verdana"/>
          <w:sz w:val="20"/>
          <w:szCs w:val="20"/>
        </w:rPr>
        <w:t>charitable trusts registered under the Charities Act 2005</w:t>
      </w:r>
    </w:p>
    <w:p w14:paraId="34675513" w14:textId="77777777" w:rsidR="00FC0178" w:rsidRDefault="00FC0178" w:rsidP="00FC0178">
      <w:pPr>
        <w:pStyle w:val="Bullets"/>
        <w:ind w:left="851"/>
        <w:jc w:val="both"/>
        <w:rPr>
          <w:rFonts w:ascii="Verdana" w:hAnsi="Verdana"/>
          <w:sz w:val="20"/>
          <w:szCs w:val="20"/>
        </w:rPr>
      </w:pPr>
      <w:r>
        <w:rPr>
          <w:rFonts w:ascii="Verdana" w:hAnsi="Verdana"/>
          <w:sz w:val="20"/>
          <w:szCs w:val="20"/>
        </w:rPr>
        <w:t>trusts eligible to be Māori authorities</w:t>
      </w:r>
    </w:p>
    <w:p w14:paraId="7B3783B4" w14:textId="77777777" w:rsidR="00FC0178" w:rsidRDefault="00FC0178" w:rsidP="00FC0178">
      <w:pPr>
        <w:pStyle w:val="Bullets"/>
        <w:ind w:left="851"/>
        <w:jc w:val="both"/>
        <w:rPr>
          <w:rFonts w:ascii="Verdana" w:hAnsi="Verdana"/>
          <w:sz w:val="20"/>
          <w:szCs w:val="20"/>
        </w:rPr>
      </w:pPr>
      <w:r>
        <w:rPr>
          <w:rFonts w:ascii="Verdana" w:hAnsi="Verdana"/>
          <w:sz w:val="20"/>
          <w:szCs w:val="20"/>
        </w:rPr>
        <w:t>trusts that are widely-held superannuation funds</w:t>
      </w:r>
    </w:p>
    <w:p w14:paraId="1BC48D60" w14:textId="77777777" w:rsidR="00FC0178" w:rsidRDefault="00FC0178" w:rsidP="00FC0178">
      <w:pPr>
        <w:pStyle w:val="Bullets"/>
        <w:ind w:left="851"/>
        <w:jc w:val="both"/>
        <w:rPr>
          <w:rFonts w:ascii="Verdana" w:hAnsi="Verdana"/>
          <w:sz w:val="20"/>
          <w:szCs w:val="20"/>
        </w:rPr>
      </w:pPr>
      <w:r>
        <w:rPr>
          <w:rFonts w:ascii="Verdana" w:hAnsi="Verdana"/>
          <w:sz w:val="20"/>
          <w:szCs w:val="20"/>
        </w:rPr>
        <w:t>trusts that are employee share schemes</w:t>
      </w:r>
    </w:p>
    <w:p w14:paraId="5E704E73" w14:textId="5742972B" w:rsidR="00FC0178" w:rsidRDefault="00FC0178" w:rsidP="00FC0178">
      <w:pPr>
        <w:pStyle w:val="Bullets"/>
        <w:ind w:left="851"/>
        <w:jc w:val="both"/>
        <w:rPr>
          <w:rFonts w:ascii="Verdana" w:hAnsi="Verdana"/>
          <w:sz w:val="20"/>
          <w:szCs w:val="20"/>
        </w:rPr>
      </w:pPr>
      <w:r>
        <w:rPr>
          <w:rFonts w:ascii="Verdana" w:hAnsi="Verdana"/>
          <w:sz w:val="20"/>
          <w:szCs w:val="20"/>
        </w:rPr>
        <w:t xml:space="preserve">trusts that are debt funding special purpose vehicles </w:t>
      </w:r>
    </w:p>
    <w:p w14:paraId="157E82EC" w14:textId="30AE2F87" w:rsidR="00FC0178" w:rsidRPr="00150433" w:rsidRDefault="00FC0178" w:rsidP="00FC0178">
      <w:pPr>
        <w:pStyle w:val="Bullets"/>
        <w:ind w:left="851"/>
        <w:jc w:val="both"/>
        <w:rPr>
          <w:rFonts w:ascii="Verdana" w:hAnsi="Verdana"/>
          <w:sz w:val="20"/>
          <w:szCs w:val="20"/>
        </w:rPr>
      </w:pPr>
      <w:r w:rsidRPr="13D8D972">
        <w:rPr>
          <w:rFonts w:ascii="Verdana" w:hAnsi="Verdana"/>
          <w:sz w:val="20"/>
          <w:szCs w:val="20"/>
        </w:rPr>
        <w:t>lines trusts established under the Energy Companies Act 1992</w:t>
      </w:r>
    </w:p>
    <w:p w14:paraId="317155DA" w14:textId="77777777" w:rsidR="00FC0178" w:rsidRDefault="00FC0178" w:rsidP="00FC0178">
      <w:pPr>
        <w:jc w:val="both"/>
      </w:pPr>
      <w:r>
        <w:lastRenderedPageBreak/>
        <w:t xml:space="preserve">The rules apply for the </w:t>
      </w:r>
      <w:r w:rsidRPr="00E901ED">
        <w:t>2021</w:t>
      </w:r>
      <w:r w:rsidRPr="00673CB0">
        <w:t>–2</w:t>
      </w:r>
      <w:r>
        <w:t>2 and later income years and require trustees to prepare a statement of profit or loss and a statement of financial position. Trustees must also disclose the following information in the form prescribed by the Commissioner.</w:t>
      </w:r>
    </w:p>
    <w:p w14:paraId="63F755EC" w14:textId="77777777" w:rsidR="00FC0178" w:rsidRPr="00E901ED" w:rsidRDefault="00FC0178" w:rsidP="00FC0178">
      <w:pPr>
        <w:pStyle w:val="Bullets"/>
        <w:ind w:left="851"/>
        <w:jc w:val="both"/>
        <w:rPr>
          <w:rFonts w:ascii="Verdana" w:hAnsi="Verdana"/>
          <w:sz w:val="20"/>
          <w:szCs w:val="20"/>
        </w:rPr>
      </w:pPr>
      <w:r w:rsidRPr="00191046">
        <w:rPr>
          <w:rFonts w:ascii="Verdana" w:hAnsi="Verdana"/>
          <w:sz w:val="20"/>
          <w:szCs w:val="20"/>
        </w:rPr>
        <w:t xml:space="preserve">The amount and nature of settlements received (settlements do not need to be disclosed if they are minor services incidental to the activities of the trust </w:t>
      </w:r>
      <w:r w:rsidRPr="00E901ED">
        <w:rPr>
          <w:rFonts w:ascii="Verdana" w:hAnsi="Verdana"/>
          <w:sz w:val="20"/>
          <w:szCs w:val="20"/>
        </w:rPr>
        <w:t>and are</w:t>
      </w:r>
      <w:r w:rsidRPr="00B60CE9">
        <w:rPr>
          <w:rFonts w:ascii="Verdana" w:hAnsi="Verdana"/>
          <w:sz w:val="20"/>
          <w:szCs w:val="20"/>
        </w:rPr>
        <w:t xml:space="preserve"> provided to the trustee at less than market value)</w:t>
      </w:r>
      <w:r>
        <w:rPr>
          <w:rFonts w:ascii="Verdana" w:hAnsi="Verdana"/>
          <w:sz w:val="20"/>
          <w:szCs w:val="20"/>
        </w:rPr>
        <w:t>.</w:t>
      </w:r>
    </w:p>
    <w:p w14:paraId="22A834C0" w14:textId="77777777" w:rsidR="00FC0178" w:rsidRPr="00191046" w:rsidRDefault="00FC0178" w:rsidP="00FC0178">
      <w:pPr>
        <w:pStyle w:val="Bullets"/>
        <w:ind w:left="851"/>
        <w:jc w:val="both"/>
        <w:rPr>
          <w:rFonts w:ascii="Verdana" w:hAnsi="Verdana"/>
          <w:sz w:val="20"/>
          <w:szCs w:val="20"/>
        </w:rPr>
      </w:pPr>
      <w:r w:rsidRPr="00191046">
        <w:rPr>
          <w:rFonts w:ascii="Verdana" w:hAnsi="Verdana"/>
          <w:sz w:val="20"/>
          <w:szCs w:val="20"/>
        </w:rPr>
        <w:t>Settlor details, including details of previous settlors if not previously supplied to the Commissioner</w:t>
      </w:r>
      <w:r>
        <w:rPr>
          <w:rFonts w:ascii="Verdana" w:hAnsi="Verdana"/>
          <w:sz w:val="20"/>
          <w:szCs w:val="20"/>
        </w:rPr>
        <w:t>.</w:t>
      </w:r>
    </w:p>
    <w:p w14:paraId="29FC6073" w14:textId="25621EE4" w:rsidR="00FC0178" w:rsidRDefault="00FC0178" w:rsidP="00FC0178">
      <w:pPr>
        <w:pStyle w:val="Bullets"/>
        <w:ind w:left="851"/>
        <w:jc w:val="both"/>
        <w:rPr>
          <w:rFonts w:ascii="Verdana" w:hAnsi="Verdana"/>
          <w:sz w:val="20"/>
          <w:szCs w:val="20"/>
        </w:rPr>
      </w:pPr>
      <w:r w:rsidRPr="00191046">
        <w:rPr>
          <w:rFonts w:ascii="Verdana" w:hAnsi="Verdana"/>
          <w:sz w:val="20"/>
          <w:szCs w:val="20"/>
        </w:rPr>
        <w:t>The amount and nature of distributions made</w:t>
      </w:r>
      <w:r>
        <w:rPr>
          <w:rFonts w:ascii="Verdana" w:hAnsi="Verdana"/>
          <w:sz w:val="20"/>
          <w:szCs w:val="20"/>
        </w:rPr>
        <w:t xml:space="preserve"> (</w:t>
      </w:r>
      <w:r w:rsidR="000C71F5">
        <w:rPr>
          <w:rFonts w:ascii="Verdana" w:hAnsi="Verdana"/>
          <w:sz w:val="20"/>
          <w:szCs w:val="20"/>
        </w:rPr>
        <w:t xml:space="preserve">an amendment to exclude </w:t>
      </w:r>
      <w:r>
        <w:rPr>
          <w:rFonts w:ascii="Verdana" w:hAnsi="Verdana"/>
          <w:sz w:val="20"/>
          <w:szCs w:val="20"/>
        </w:rPr>
        <w:t xml:space="preserve">distributions </w:t>
      </w:r>
      <w:r w:rsidR="000C71F5">
        <w:rPr>
          <w:rFonts w:ascii="Verdana" w:hAnsi="Verdana"/>
          <w:sz w:val="20"/>
          <w:szCs w:val="20"/>
        </w:rPr>
        <w:t>that</w:t>
      </w:r>
      <w:r>
        <w:rPr>
          <w:rFonts w:ascii="Verdana" w:hAnsi="Verdana"/>
          <w:sz w:val="20"/>
          <w:szCs w:val="20"/>
        </w:rPr>
        <w:t xml:space="preserve"> are minor and incidental to the activities of the trust and are other than of money</w:t>
      </w:r>
      <w:r w:rsidR="000C71F5">
        <w:rPr>
          <w:rFonts w:ascii="Verdana" w:hAnsi="Verdana"/>
          <w:sz w:val="20"/>
          <w:szCs w:val="20"/>
        </w:rPr>
        <w:t xml:space="preserve"> is included in the Taxation (Annual Rates for 2021-22, GST, and Remedial Matters) Bill</w:t>
      </w:r>
      <w:r>
        <w:rPr>
          <w:rFonts w:ascii="Verdana" w:hAnsi="Verdana"/>
          <w:sz w:val="20"/>
          <w:szCs w:val="20"/>
        </w:rPr>
        <w:t>).</w:t>
      </w:r>
    </w:p>
    <w:p w14:paraId="520CE62E" w14:textId="77777777" w:rsidR="00FC0178" w:rsidRPr="00191046" w:rsidRDefault="00FC0178" w:rsidP="00FC0178">
      <w:pPr>
        <w:pStyle w:val="Bullets"/>
        <w:ind w:left="851"/>
        <w:jc w:val="both"/>
        <w:rPr>
          <w:rFonts w:ascii="Verdana" w:hAnsi="Verdana"/>
          <w:sz w:val="20"/>
          <w:szCs w:val="20"/>
        </w:rPr>
      </w:pPr>
      <w:r>
        <w:rPr>
          <w:rFonts w:ascii="Verdana" w:hAnsi="Verdana"/>
          <w:sz w:val="20"/>
          <w:szCs w:val="20"/>
        </w:rPr>
        <w:t>D</w:t>
      </w:r>
      <w:r w:rsidRPr="00191046">
        <w:rPr>
          <w:rFonts w:ascii="Verdana" w:hAnsi="Verdana"/>
          <w:sz w:val="20"/>
          <w:szCs w:val="20"/>
        </w:rPr>
        <w:t>etails of beneficiaries who received the distributions</w:t>
      </w:r>
      <w:r>
        <w:rPr>
          <w:rFonts w:ascii="Verdana" w:hAnsi="Verdana"/>
          <w:sz w:val="20"/>
          <w:szCs w:val="20"/>
        </w:rPr>
        <w:t>.</w:t>
      </w:r>
    </w:p>
    <w:p w14:paraId="53E75AB6" w14:textId="77777777" w:rsidR="00FC0178" w:rsidRPr="00191046" w:rsidRDefault="00FC0178" w:rsidP="00FC0178">
      <w:pPr>
        <w:pStyle w:val="Bullets"/>
        <w:ind w:left="851"/>
        <w:jc w:val="both"/>
        <w:rPr>
          <w:rFonts w:ascii="Verdana" w:hAnsi="Verdana"/>
          <w:sz w:val="20"/>
          <w:szCs w:val="20"/>
        </w:rPr>
      </w:pPr>
      <w:r w:rsidRPr="00191046">
        <w:rPr>
          <w:rFonts w:ascii="Verdana" w:hAnsi="Verdana"/>
          <w:sz w:val="20"/>
          <w:szCs w:val="20"/>
        </w:rPr>
        <w:t>Appointer details.</w:t>
      </w:r>
    </w:p>
    <w:p w14:paraId="6D8FD673" w14:textId="77777777" w:rsidR="00FC0178" w:rsidRDefault="00FC0178" w:rsidP="00FC0178">
      <w:pPr>
        <w:pStyle w:val="NoNumberHeading1"/>
      </w:pPr>
      <w:bookmarkStart w:id="10" w:name="_Toc97818903"/>
      <w:bookmarkStart w:id="11" w:name="_Toc97894760"/>
      <w:bookmarkStart w:id="12" w:name="_Toc97895773"/>
      <w:r>
        <w:t>Overview of the Tax Administration (Financial Statements—Domestic Trusts) Order 2022</w:t>
      </w:r>
      <w:bookmarkEnd w:id="10"/>
      <w:bookmarkEnd w:id="11"/>
      <w:bookmarkEnd w:id="12"/>
    </w:p>
    <w:p w14:paraId="510E18D3" w14:textId="577A5431" w:rsidR="00FC0178" w:rsidRPr="00191046" w:rsidRDefault="00FC0178" w:rsidP="00FC0178">
      <w:pPr>
        <w:jc w:val="both"/>
      </w:pPr>
      <w:r w:rsidRPr="00191046">
        <w:t xml:space="preserve">The Order </w:t>
      </w:r>
      <w:r w:rsidR="00485A67">
        <w:t xml:space="preserve">sets minimum standards for financial statements prepared by trusts and </w:t>
      </w:r>
      <w:r w:rsidRPr="00191046">
        <w:t>applies to all trusts subject to the disclosure rules in section 59BA of the TAA</w:t>
      </w:r>
      <w:r>
        <w:t xml:space="preserve"> for income years ending on or after 31 March 2022</w:t>
      </w:r>
      <w:r w:rsidRPr="00191046">
        <w:t>.</w:t>
      </w:r>
    </w:p>
    <w:p w14:paraId="24DB494B" w14:textId="77777777" w:rsidR="00FC0178" w:rsidRPr="002F6E16" w:rsidRDefault="00FC0178" w:rsidP="00FC0178">
      <w:pPr>
        <w:pStyle w:val="NoNumberHeading2"/>
      </w:pPr>
      <w:bookmarkStart w:id="13" w:name="_Toc97818904"/>
      <w:bookmarkStart w:id="14" w:name="_Toc97895774"/>
      <w:r>
        <w:t>General features</w:t>
      </w:r>
      <w:bookmarkEnd w:id="13"/>
      <w:bookmarkEnd w:id="14"/>
    </w:p>
    <w:p w14:paraId="0B9798A4" w14:textId="77777777" w:rsidR="00FC0178" w:rsidRDefault="00FC0178" w:rsidP="00FC0178">
      <w:pPr>
        <w:jc w:val="both"/>
      </w:pPr>
      <w:r>
        <w:t>For the purposes of the Order, “financial statements” includes any notes and other supporting material forming part of the financial statements.</w:t>
      </w:r>
    </w:p>
    <w:p w14:paraId="51C78F9D" w14:textId="77777777" w:rsidR="00FC0178" w:rsidRDefault="00FC0178" w:rsidP="00FC0178">
      <w:pPr>
        <w:jc w:val="both"/>
      </w:pPr>
      <w:r>
        <w:t>The standards set out in the Order are “minimum” standards. Financial statements may be prepared to any level above these requirements.</w:t>
      </w:r>
    </w:p>
    <w:p w14:paraId="6FDD512D" w14:textId="77777777" w:rsidR="00FC0178" w:rsidRPr="002F6E16" w:rsidRDefault="00FC0178" w:rsidP="00FC0178">
      <w:pPr>
        <w:pStyle w:val="NoNumberHeading2"/>
      </w:pPr>
      <w:bookmarkStart w:id="15" w:name="_Toc97818905"/>
      <w:bookmarkStart w:id="16" w:name="_Toc97895775"/>
      <w:r>
        <w:t>Trusts with non-standard balance dates</w:t>
      </w:r>
      <w:bookmarkEnd w:id="15"/>
      <w:bookmarkEnd w:id="16"/>
    </w:p>
    <w:p w14:paraId="18800EB5" w14:textId="77777777" w:rsidR="00FC0178" w:rsidRDefault="00FC0178" w:rsidP="00FC0178">
      <w:pPr>
        <w:jc w:val="both"/>
      </w:pPr>
      <w:r>
        <w:t>Financial statements may be prepared to a non-standard balance date (for example, a balance date that is not 31 March) used for accounting purposes, provided that the trust does not derive business income (which would require approval from the Commissioner of Inland Revenue for non-standard balance date reporting under section 38 of the TAA).</w:t>
      </w:r>
    </w:p>
    <w:p w14:paraId="03C0E3D7" w14:textId="77777777" w:rsidR="00FC0178" w:rsidRPr="002F6E16" w:rsidRDefault="00FC0178" w:rsidP="00FC0178">
      <w:pPr>
        <w:pStyle w:val="NoNumberHeading2"/>
      </w:pPr>
      <w:bookmarkStart w:id="17" w:name="_Toc97818906"/>
      <w:bookmarkStart w:id="18" w:name="_Toc97895776"/>
      <w:r>
        <w:lastRenderedPageBreak/>
        <w:t>Trusts with early balance dates</w:t>
      </w:r>
      <w:bookmarkEnd w:id="17"/>
      <w:bookmarkEnd w:id="18"/>
    </w:p>
    <w:p w14:paraId="19F1576B" w14:textId="77777777" w:rsidR="00FC0178" w:rsidRPr="007E6C0F" w:rsidRDefault="00FC0178" w:rsidP="00FC0178">
      <w:pPr>
        <w:jc w:val="both"/>
        <w:rPr>
          <w:highlight w:val="yellow"/>
        </w:rPr>
      </w:pPr>
      <w:r>
        <w:t>The Order applies for income years ending on or after 31 March 2022. This means that for trusts with a balance date before 31 March 2022, the minimum requirements will apply for the 2022–23 and later income years.</w:t>
      </w:r>
    </w:p>
    <w:p w14:paraId="5AB37312" w14:textId="6820E963" w:rsidR="00FC0178" w:rsidRDefault="00FC0178" w:rsidP="00FC0178">
      <w:pPr>
        <w:jc w:val="both"/>
      </w:pPr>
      <w:r>
        <w:t xml:space="preserve">For trusts with standard and late balance dates, the minimum requirements apply for </w:t>
      </w:r>
      <w:r w:rsidR="00696481">
        <w:t>the </w:t>
      </w:r>
      <w:r>
        <w:t>2021–22 and later income years.</w:t>
      </w:r>
    </w:p>
    <w:p w14:paraId="31525328" w14:textId="77777777" w:rsidR="00FC0178" w:rsidRPr="002F6E16" w:rsidRDefault="00FC0178" w:rsidP="003F71B7">
      <w:pPr>
        <w:pStyle w:val="NoNumberHeading2"/>
      </w:pPr>
      <w:bookmarkStart w:id="19" w:name="_Toc97818907"/>
      <w:bookmarkStart w:id="20" w:name="_Toc97895777"/>
      <w:r>
        <w:t>Valuation</w:t>
      </w:r>
      <w:bookmarkEnd w:id="19"/>
      <w:bookmarkEnd w:id="20"/>
    </w:p>
    <w:p w14:paraId="3E4CE24C" w14:textId="77777777" w:rsidR="00FC0178" w:rsidRDefault="00FC0178" w:rsidP="00FC0178">
      <w:pPr>
        <w:jc w:val="both"/>
      </w:pPr>
      <w:r>
        <w:t xml:space="preserve">Valuation of assets and liabilities can be either at market value, </w:t>
      </w:r>
      <w:proofErr w:type="gramStart"/>
      <w:r>
        <w:t>cost</w:t>
      </w:r>
      <w:proofErr w:type="gramEnd"/>
      <w:r>
        <w:t xml:space="preserve"> or tax adjusted value, at the discretion of the trustee. Tax value may only be used in relation to assets that produce assessable income (including income derived on the sale of the asset).</w:t>
      </w:r>
    </w:p>
    <w:p w14:paraId="2692635D" w14:textId="77777777" w:rsidR="00FC0178" w:rsidRPr="002F6E16" w:rsidRDefault="00FC0178" w:rsidP="00D36771">
      <w:pPr>
        <w:pStyle w:val="NoNumberHeading2"/>
      </w:pPr>
      <w:bookmarkStart w:id="21" w:name="_Toc97818908"/>
      <w:bookmarkStart w:id="22" w:name="_Toc97895778"/>
      <w:r>
        <w:t>Core requirements for all trusts</w:t>
      </w:r>
      <w:bookmarkEnd w:id="21"/>
      <w:bookmarkEnd w:id="22"/>
    </w:p>
    <w:p w14:paraId="58FAB3E3" w14:textId="51A65F25" w:rsidR="00FC0178" w:rsidRDefault="00FC0178" w:rsidP="00FC0178">
      <w:pPr>
        <w:jc w:val="both"/>
      </w:pPr>
      <w:r>
        <w:t xml:space="preserve">The following minimum standards apply to all trusts subject to the disclosure rules in </w:t>
      </w:r>
      <w:r w:rsidR="005766E4">
        <w:t>section </w:t>
      </w:r>
      <w:r>
        <w:t>59BA of the TAA:</w:t>
      </w:r>
    </w:p>
    <w:p w14:paraId="24D3E1C9" w14:textId="77777777" w:rsidR="00FC0178" w:rsidRPr="00191046" w:rsidRDefault="00FC0178" w:rsidP="00FC0178">
      <w:pPr>
        <w:pStyle w:val="Bullets"/>
        <w:ind w:left="851"/>
        <w:jc w:val="both"/>
        <w:rPr>
          <w:rFonts w:ascii="Verdana" w:hAnsi="Verdana"/>
          <w:sz w:val="20"/>
          <w:szCs w:val="20"/>
        </w:rPr>
      </w:pPr>
      <w:r w:rsidRPr="00191046">
        <w:rPr>
          <w:rFonts w:ascii="Verdana" w:hAnsi="Verdana"/>
          <w:sz w:val="20"/>
          <w:szCs w:val="20"/>
        </w:rPr>
        <w:t>The financial statements must consist of</w:t>
      </w:r>
      <w:r>
        <w:rPr>
          <w:rFonts w:ascii="Verdana" w:hAnsi="Verdana"/>
          <w:sz w:val="20"/>
          <w:szCs w:val="20"/>
        </w:rPr>
        <w:t xml:space="preserve"> a</w:t>
      </w:r>
      <w:r w:rsidRPr="00191046">
        <w:rPr>
          <w:rFonts w:ascii="Verdana" w:hAnsi="Verdana"/>
          <w:sz w:val="20"/>
          <w:szCs w:val="20"/>
        </w:rPr>
        <w:t>:</w:t>
      </w:r>
    </w:p>
    <w:p w14:paraId="6F899915" w14:textId="77777777" w:rsidR="00FC0178" w:rsidRPr="00191046" w:rsidRDefault="00FC0178" w:rsidP="00FC0178">
      <w:pPr>
        <w:pStyle w:val="Bullets"/>
        <w:numPr>
          <w:ilvl w:val="1"/>
          <w:numId w:val="16"/>
        </w:numPr>
        <w:jc w:val="both"/>
        <w:rPr>
          <w:rFonts w:ascii="Verdana" w:hAnsi="Verdana"/>
          <w:sz w:val="20"/>
          <w:szCs w:val="20"/>
        </w:rPr>
      </w:pPr>
      <w:r w:rsidRPr="00191046">
        <w:rPr>
          <w:rFonts w:ascii="Verdana" w:hAnsi="Verdana"/>
          <w:sz w:val="20"/>
          <w:szCs w:val="20"/>
        </w:rPr>
        <w:t>statement of financial position setting out the assets, liabilities, and net assets of the trust as at the end of the return year</w:t>
      </w:r>
      <w:r>
        <w:rPr>
          <w:rFonts w:ascii="Verdana" w:hAnsi="Verdana"/>
          <w:sz w:val="20"/>
          <w:szCs w:val="20"/>
        </w:rPr>
        <w:t>,</w:t>
      </w:r>
      <w:r w:rsidRPr="00191046">
        <w:rPr>
          <w:rFonts w:ascii="Verdana" w:hAnsi="Verdana"/>
          <w:sz w:val="20"/>
          <w:szCs w:val="20"/>
        </w:rPr>
        <w:t xml:space="preserve"> and</w:t>
      </w:r>
    </w:p>
    <w:p w14:paraId="0CC2BC42" w14:textId="77777777" w:rsidR="00FC0178" w:rsidRPr="00191046" w:rsidRDefault="00FC0178" w:rsidP="00FC0178">
      <w:pPr>
        <w:pStyle w:val="Bullets"/>
        <w:numPr>
          <w:ilvl w:val="1"/>
          <w:numId w:val="16"/>
        </w:numPr>
        <w:jc w:val="both"/>
        <w:rPr>
          <w:rFonts w:ascii="Verdana" w:hAnsi="Verdana"/>
          <w:sz w:val="20"/>
          <w:szCs w:val="20"/>
        </w:rPr>
      </w:pPr>
      <w:r w:rsidRPr="13D8D972">
        <w:rPr>
          <w:rFonts w:ascii="Verdana" w:hAnsi="Verdana"/>
          <w:sz w:val="20"/>
          <w:szCs w:val="20"/>
        </w:rPr>
        <w:t>statement of profit or loss showing income derived, and expenditure incurred, by the trust during the return year.</w:t>
      </w:r>
    </w:p>
    <w:p w14:paraId="25BCECBF" w14:textId="77777777" w:rsidR="00FC0178" w:rsidRPr="00191046" w:rsidRDefault="00FC0178" w:rsidP="00FC0178">
      <w:pPr>
        <w:pStyle w:val="Bullets"/>
        <w:ind w:left="851"/>
        <w:jc w:val="both"/>
        <w:rPr>
          <w:rFonts w:ascii="Verdana" w:hAnsi="Verdana"/>
          <w:sz w:val="20"/>
          <w:szCs w:val="20"/>
        </w:rPr>
      </w:pPr>
      <w:r w:rsidRPr="00191046">
        <w:rPr>
          <w:rFonts w:ascii="Verdana" w:hAnsi="Verdana"/>
          <w:sz w:val="20"/>
          <w:szCs w:val="20"/>
        </w:rPr>
        <w:t>Financial statements must be prepared using the double-entry method of recording financial transactions.</w:t>
      </w:r>
    </w:p>
    <w:p w14:paraId="5BD31AC6" w14:textId="77777777" w:rsidR="00FC0178" w:rsidRPr="00191046" w:rsidRDefault="00FC0178" w:rsidP="00FC0178">
      <w:pPr>
        <w:pStyle w:val="Bullets"/>
        <w:ind w:left="851"/>
        <w:jc w:val="both"/>
        <w:rPr>
          <w:rFonts w:ascii="Verdana" w:hAnsi="Verdana"/>
          <w:sz w:val="20"/>
          <w:szCs w:val="20"/>
        </w:rPr>
      </w:pPr>
      <w:r w:rsidRPr="00191046">
        <w:rPr>
          <w:rFonts w:ascii="Verdana" w:hAnsi="Verdana"/>
          <w:sz w:val="20"/>
          <w:szCs w:val="20"/>
        </w:rPr>
        <w:t>Financial statements must use the prescribed valuation principles (set out above) and disclose the valuation method adopted for land, buildings, and shares/ownership interests. A trustee can choose to adopt a different valuation method for each of these categories.</w:t>
      </w:r>
    </w:p>
    <w:p w14:paraId="4CB71165" w14:textId="77777777" w:rsidR="00FC0178" w:rsidRPr="00191046" w:rsidRDefault="00FC0178" w:rsidP="00FC0178">
      <w:pPr>
        <w:pStyle w:val="Bullets"/>
        <w:ind w:left="851"/>
        <w:jc w:val="both"/>
        <w:rPr>
          <w:rFonts w:ascii="Verdana" w:hAnsi="Verdana"/>
          <w:sz w:val="20"/>
          <w:szCs w:val="20"/>
        </w:rPr>
      </w:pPr>
      <w:r>
        <w:rPr>
          <w:rFonts w:ascii="Verdana" w:hAnsi="Verdana"/>
          <w:sz w:val="20"/>
          <w:szCs w:val="20"/>
        </w:rPr>
        <w:t xml:space="preserve">If the Commissioner has </w:t>
      </w:r>
      <w:r w:rsidRPr="00191046">
        <w:rPr>
          <w:rFonts w:ascii="Verdana" w:hAnsi="Verdana"/>
          <w:sz w:val="20"/>
          <w:szCs w:val="20"/>
        </w:rPr>
        <w:t xml:space="preserve">prescribed under section 35 of the TAA </w:t>
      </w:r>
      <w:r>
        <w:rPr>
          <w:rFonts w:ascii="Verdana" w:hAnsi="Verdana"/>
          <w:sz w:val="20"/>
          <w:szCs w:val="20"/>
        </w:rPr>
        <w:t xml:space="preserve">a form that </w:t>
      </w:r>
      <w:r w:rsidRPr="00191046">
        <w:rPr>
          <w:rFonts w:ascii="Verdana" w:hAnsi="Verdana"/>
          <w:sz w:val="20"/>
          <w:szCs w:val="20"/>
        </w:rPr>
        <w:t>require</w:t>
      </w:r>
      <w:r>
        <w:rPr>
          <w:rFonts w:ascii="Verdana" w:hAnsi="Verdana"/>
          <w:sz w:val="20"/>
          <w:szCs w:val="20"/>
        </w:rPr>
        <w:t>s</w:t>
      </w:r>
      <w:r w:rsidRPr="00191046">
        <w:rPr>
          <w:rFonts w:ascii="Verdana" w:hAnsi="Verdana"/>
          <w:sz w:val="20"/>
          <w:szCs w:val="20"/>
        </w:rPr>
        <w:t xml:space="preserve"> </w:t>
      </w:r>
      <w:r>
        <w:rPr>
          <w:rFonts w:ascii="Verdana" w:hAnsi="Verdana"/>
          <w:sz w:val="20"/>
          <w:szCs w:val="20"/>
        </w:rPr>
        <w:t xml:space="preserve">amounts </w:t>
      </w:r>
      <w:r w:rsidRPr="00191046">
        <w:rPr>
          <w:rFonts w:ascii="Verdana" w:hAnsi="Verdana"/>
          <w:sz w:val="20"/>
          <w:szCs w:val="20"/>
        </w:rPr>
        <w:t xml:space="preserve">to be copied from the trust’s financial statements (for example, the IR10 form – </w:t>
      </w:r>
      <w:r w:rsidRPr="00191046">
        <w:rPr>
          <w:rFonts w:ascii="Verdana" w:hAnsi="Verdana"/>
          <w:i/>
          <w:iCs/>
          <w:sz w:val="20"/>
          <w:szCs w:val="20"/>
        </w:rPr>
        <w:t>financial statements summary</w:t>
      </w:r>
      <w:r w:rsidRPr="00191046">
        <w:rPr>
          <w:rFonts w:ascii="Verdana" w:hAnsi="Verdana"/>
          <w:sz w:val="20"/>
          <w:szCs w:val="20"/>
        </w:rPr>
        <w:t>)</w:t>
      </w:r>
      <w:r>
        <w:rPr>
          <w:rFonts w:ascii="Verdana" w:hAnsi="Verdana"/>
          <w:sz w:val="20"/>
          <w:szCs w:val="20"/>
        </w:rPr>
        <w:t>, the</w:t>
      </w:r>
      <w:r w:rsidRPr="00594402">
        <w:rPr>
          <w:rFonts w:ascii="Verdana" w:hAnsi="Verdana"/>
          <w:sz w:val="20"/>
          <w:szCs w:val="20"/>
        </w:rPr>
        <w:t xml:space="preserve"> </w:t>
      </w:r>
      <w:r>
        <w:rPr>
          <w:rFonts w:ascii="Verdana" w:hAnsi="Verdana"/>
          <w:sz w:val="20"/>
          <w:szCs w:val="20"/>
        </w:rPr>
        <w:t>f</w:t>
      </w:r>
      <w:r w:rsidRPr="00191046">
        <w:rPr>
          <w:rFonts w:ascii="Verdana" w:hAnsi="Verdana"/>
          <w:sz w:val="20"/>
          <w:szCs w:val="20"/>
        </w:rPr>
        <w:t xml:space="preserve">inancial statements must contain </w:t>
      </w:r>
      <w:r>
        <w:rPr>
          <w:rFonts w:ascii="Verdana" w:hAnsi="Verdana"/>
          <w:sz w:val="20"/>
          <w:szCs w:val="20"/>
        </w:rPr>
        <w:t>those</w:t>
      </w:r>
      <w:r w:rsidRPr="00191046">
        <w:rPr>
          <w:rFonts w:ascii="Verdana" w:hAnsi="Verdana"/>
          <w:sz w:val="20"/>
          <w:szCs w:val="20"/>
        </w:rPr>
        <w:t xml:space="preserve"> relevant amounts</w:t>
      </w:r>
      <w:r>
        <w:rPr>
          <w:rFonts w:ascii="Verdana" w:hAnsi="Verdana"/>
          <w:sz w:val="20"/>
          <w:szCs w:val="20"/>
        </w:rPr>
        <w:t>.</w:t>
      </w:r>
    </w:p>
    <w:p w14:paraId="39DF73CC" w14:textId="77777777" w:rsidR="00BA59BE" w:rsidRPr="00E8181C" w:rsidRDefault="00BA59BE" w:rsidP="00E8181C">
      <w:bookmarkStart w:id="23" w:name="_Toc97818909"/>
      <w:bookmarkStart w:id="24" w:name="_Toc97895779"/>
      <w:r w:rsidRPr="005766E4">
        <w:br w:type="page"/>
      </w:r>
    </w:p>
    <w:p w14:paraId="26232603" w14:textId="59E824FA" w:rsidR="00FC0178" w:rsidRPr="002F6E16" w:rsidRDefault="00FC0178" w:rsidP="00D36771">
      <w:pPr>
        <w:pStyle w:val="NoNumberHeading2"/>
      </w:pPr>
      <w:r>
        <w:lastRenderedPageBreak/>
        <w:t>Simplified reporting trusts</w:t>
      </w:r>
      <w:bookmarkEnd w:id="23"/>
      <w:bookmarkEnd w:id="24"/>
    </w:p>
    <w:p w14:paraId="2D75FE28" w14:textId="77777777" w:rsidR="00FC0178" w:rsidRDefault="00FC0178" w:rsidP="00FC0178">
      <w:pPr>
        <w:jc w:val="both"/>
      </w:pPr>
      <w:r>
        <w:t>A trust qualifies for simplified reporting requirements for a relevant income year if the trustee reports:</w:t>
      </w:r>
    </w:p>
    <w:p w14:paraId="22A41FCC" w14:textId="769CE2A8" w:rsidR="00FC0178" w:rsidRDefault="00FC0178" w:rsidP="00FC0178">
      <w:pPr>
        <w:pStyle w:val="Bullets"/>
        <w:ind w:left="851"/>
        <w:jc w:val="both"/>
        <w:rPr>
          <w:rFonts w:ascii="Verdana" w:hAnsi="Verdana"/>
          <w:sz w:val="20"/>
          <w:szCs w:val="20"/>
        </w:rPr>
      </w:pPr>
      <w:r>
        <w:rPr>
          <w:rFonts w:ascii="Verdana" w:hAnsi="Verdana"/>
          <w:sz w:val="20"/>
          <w:szCs w:val="20"/>
        </w:rPr>
        <w:t>less than $100,000 assessable income</w:t>
      </w:r>
    </w:p>
    <w:p w14:paraId="0D6491BB" w14:textId="77777777" w:rsidR="00FC0178" w:rsidRDefault="00FC0178" w:rsidP="00FC0178">
      <w:pPr>
        <w:pStyle w:val="Bullets"/>
        <w:ind w:left="851"/>
        <w:jc w:val="both"/>
        <w:rPr>
          <w:rFonts w:ascii="Verdana" w:hAnsi="Verdana"/>
          <w:sz w:val="20"/>
          <w:szCs w:val="20"/>
        </w:rPr>
      </w:pPr>
      <w:r>
        <w:rPr>
          <w:rFonts w:ascii="Verdana" w:hAnsi="Verdana"/>
          <w:sz w:val="20"/>
          <w:szCs w:val="20"/>
        </w:rPr>
        <w:t>less than $100,000 deductible expenditure, and</w:t>
      </w:r>
    </w:p>
    <w:p w14:paraId="66376462" w14:textId="77777777" w:rsidR="00FC0178" w:rsidRPr="00191046" w:rsidRDefault="00FC0178" w:rsidP="00FC0178">
      <w:pPr>
        <w:pStyle w:val="Bullets"/>
        <w:ind w:left="851"/>
        <w:jc w:val="both"/>
      </w:pPr>
      <w:r>
        <w:rPr>
          <w:rFonts w:ascii="Verdana" w:hAnsi="Verdana"/>
          <w:sz w:val="20"/>
          <w:szCs w:val="20"/>
        </w:rPr>
        <w:t>total assets in the statement of financial position (including both private and income producing assets) valued at less than $5 million as at balance date.</w:t>
      </w:r>
    </w:p>
    <w:p w14:paraId="7612FF4E" w14:textId="77777777" w:rsidR="00FC0178" w:rsidRDefault="00FC0178" w:rsidP="00FC0178">
      <w:pPr>
        <w:pStyle w:val="Bullets"/>
        <w:numPr>
          <w:ilvl w:val="0"/>
          <w:numId w:val="0"/>
        </w:numPr>
        <w:jc w:val="both"/>
        <w:rPr>
          <w:rFonts w:ascii="Verdana" w:hAnsi="Verdana"/>
          <w:sz w:val="20"/>
          <w:szCs w:val="20"/>
        </w:rPr>
      </w:pPr>
      <w:r>
        <w:rPr>
          <w:rFonts w:ascii="Verdana" w:hAnsi="Verdana"/>
          <w:sz w:val="20"/>
          <w:szCs w:val="20"/>
        </w:rPr>
        <w:t>The assessable income and deductible expenditure thresholds in this test do not include income assessed under section CB 6A of the Income Tax Act 2007 (residential property bright-line rules) or related deductible expenditure.</w:t>
      </w:r>
    </w:p>
    <w:p w14:paraId="51D94F44" w14:textId="77777777" w:rsidR="00FC0178" w:rsidRDefault="00FC0178" w:rsidP="00FC0178">
      <w:pPr>
        <w:pStyle w:val="Bullets"/>
        <w:numPr>
          <w:ilvl w:val="0"/>
          <w:numId w:val="0"/>
        </w:numPr>
        <w:jc w:val="both"/>
      </w:pPr>
      <w:r>
        <w:rPr>
          <w:rFonts w:ascii="Verdana" w:hAnsi="Verdana"/>
          <w:sz w:val="20"/>
          <w:szCs w:val="20"/>
        </w:rPr>
        <w:t>Assets must be valued using the valuation principles set out above.</w:t>
      </w:r>
    </w:p>
    <w:p w14:paraId="18C2CE54" w14:textId="77777777" w:rsidR="00FC0178" w:rsidRPr="002F6E16" w:rsidRDefault="00FC0178" w:rsidP="00D36771">
      <w:pPr>
        <w:pStyle w:val="NoNumberHeading2"/>
      </w:pPr>
      <w:bookmarkStart w:id="25" w:name="_Toc97818910"/>
      <w:bookmarkStart w:id="26" w:name="_Toc97895780"/>
      <w:r>
        <w:t>Additional requirements for trusts that are not “simplified reporting trusts”</w:t>
      </w:r>
      <w:bookmarkEnd w:id="25"/>
      <w:bookmarkEnd w:id="26"/>
    </w:p>
    <w:p w14:paraId="04723234" w14:textId="77777777" w:rsidR="00FC0178" w:rsidRPr="00191046" w:rsidRDefault="00FC0178" w:rsidP="00FC0178">
      <w:pPr>
        <w:jc w:val="both"/>
      </w:pPr>
      <w:r w:rsidRPr="00191046">
        <w:t>For trusts that do not qualify for simplified reporting for an income year, the financial statements must:</w:t>
      </w:r>
    </w:p>
    <w:p w14:paraId="2BFCA585" w14:textId="77777777" w:rsidR="00FC0178" w:rsidRPr="00191046" w:rsidRDefault="00FC0178" w:rsidP="00FC0178">
      <w:pPr>
        <w:pStyle w:val="Bullets"/>
        <w:ind w:left="851"/>
        <w:jc w:val="both"/>
        <w:rPr>
          <w:rFonts w:ascii="Verdana" w:hAnsi="Verdana"/>
          <w:sz w:val="20"/>
          <w:szCs w:val="20"/>
        </w:rPr>
      </w:pPr>
      <w:r>
        <w:rPr>
          <w:rFonts w:ascii="Verdana" w:hAnsi="Verdana"/>
          <w:sz w:val="20"/>
          <w:szCs w:val="20"/>
        </w:rPr>
        <w:t>B</w:t>
      </w:r>
      <w:r w:rsidRPr="00191046">
        <w:rPr>
          <w:rFonts w:ascii="Verdana" w:hAnsi="Verdana"/>
          <w:sz w:val="20"/>
          <w:szCs w:val="20"/>
        </w:rPr>
        <w:t>e prepared applying the principles of accrual accounting</w:t>
      </w:r>
      <w:r>
        <w:rPr>
          <w:rFonts w:ascii="Verdana" w:hAnsi="Verdana"/>
          <w:sz w:val="20"/>
          <w:szCs w:val="20"/>
        </w:rPr>
        <w:t>.</w:t>
      </w:r>
    </w:p>
    <w:p w14:paraId="1666B4BD" w14:textId="77777777" w:rsidR="00FC0178" w:rsidRPr="00191046" w:rsidRDefault="00FC0178" w:rsidP="00FC0178">
      <w:pPr>
        <w:pStyle w:val="Bullets"/>
        <w:ind w:left="851"/>
        <w:jc w:val="both"/>
        <w:rPr>
          <w:rFonts w:ascii="Verdana" w:hAnsi="Verdana"/>
          <w:sz w:val="20"/>
          <w:szCs w:val="20"/>
        </w:rPr>
      </w:pPr>
      <w:r>
        <w:rPr>
          <w:rFonts w:ascii="Verdana" w:hAnsi="Verdana"/>
          <w:sz w:val="20"/>
          <w:szCs w:val="20"/>
        </w:rPr>
        <w:t>I</w:t>
      </w:r>
      <w:r w:rsidRPr="00191046">
        <w:rPr>
          <w:rFonts w:ascii="Verdana" w:hAnsi="Verdana"/>
          <w:sz w:val="20"/>
          <w:szCs w:val="20"/>
        </w:rPr>
        <w:t>nclude a statement of accounting policies</w:t>
      </w:r>
      <w:r>
        <w:rPr>
          <w:rFonts w:ascii="Verdana" w:hAnsi="Verdana"/>
          <w:sz w:val="20"/>
          <w:szCs w:val="20"/>
        </w:rPr>
        <w:t>.</w:t>
      </w:r>
    </w:p>
    <w:p w14:paraId="7D306CD4" w14:textId="77777777" w:rsidR="00FC0178" w:rsidRPr="00191046" w:rsidRDefault="00FC0178" w:rsidP="00FC0178">
      <w:pPr>
        <w:pStyle w:val="Bullets"/>
        <w:ind w:left="851"/>
        <w:jc w:val="both"/>
        <w:rPr>
          <w:rFonts w:ascii="Verdana" w:hAnsi="Verdana"/>
          <w:sz w:val="20"/>
          <w:szCs w:val="20"/>
        </w:rPr>
      </w:pPr>
      <w:r>
        <w:rPr>
          <w:rFonts w:ascii="Verdana" w:hAnsi="Verdana"/>
          <w:sz w:val="20"/>
          <w:szCs w:val="20"/>
        </w:rPr>
        <w:t>D</w:t>
      </w:r>
      <w:r w:rsidRPr="00191046">
        <w:rPr>
          <w:rFonts w:ascii="Verdana" w:hAnsi="Verdana"/>
          <w:sz w:val="20"/>
          <w:szCs w:val="20"/>
        </w:rPr>
        <w:t>isclose comparable figures for the previous income year to the extent that the trustee has that information</w:t>
      </w:r>
      <w:r>
        <w:rPr>
          <w:rFonts w:ascii="Verdana" w:hAnsi="Verdana"/>
          <w:sz w:val="20"/>
          <w:szCs w:val="20"/>
        </w:rPr>
        <w:t>.</w:t>
      </w:r>
    </w:p>
    <w:p w14:paraId="45CC0DBB" w14:textId="77777777" w:rsidR="00FC0178" w:rsidRPr="00191046" w:rsidRDefault="00FC0178" w:rsidP="00FC0178">
      <w:pPr>
        <w:pStyle w:val="Bullets"/>
        <w:ind w:left="851"/>
        <w:jc w:val="both"/>
        <w:rPr>
          <w:rFonts w:ascii="Verdana" w:hAnsi="Verdana"/>
          <w:sz w:val="20"/>
          <w:szCs w:val="20"/>
        </w:rPr>
      </w:pPr>
      <w:r w:rsidRPr="00191046">
        <w:rPr>
          <w:rFonts w:ascii="Verdana" w:hAnsi="Verdana"/>
          <w:sz w:val="20"/>
          <w:szCs w:val="20"/>
        </w:rPr>
        <w:t>Disclose several specific items:</w:t>
      </w:r>
    </w:p>
    <w:p w14:paraId="40379D91" w14:textId="77777777" w:rsidR="00FC0178" w:rsidRPr="00191046" w:rsidRDefault="00FC0178" w:rsidP="00FC0178">
      <w:pPr>
        <w:pStyle w:val="Bullets"/>
        <w:numPr>
          <w:ilvl w:val="1"/>
          <w:numId w:val="13"/>
        </w:numPr>
        <w:jc w:val="both"/>
        <w:rPr>
          <w:rFonts w:ascii="Verdana" w:hAnsi="Verdana"/>
          <w:sz w:val="20"/>
          <w:szCs w:val="20"/>
        </w:rPr>
      </w:pPr>
      <w:r w:rsidRPr="00191046">
        <w:rPr>
          <w:rFonts w:ascii="Verdana" w:hAnsi="Verdana"/>
          <w:sz w:val="20"/>
          <w:szCs w:val="20"/>
        </w:rPr>
        <w:t>A reconciliation between the profit or loss in the statement of profit or loss to taxable income</w:t>
      </w:r>
      <w:r>
        <w:rPr>
          <w:rFonts w:ascii="Verdana" w:hAnsi="Verdana"/>
          <w:sz w:val="20"/>
          <w:szCs w:val="20"/>
        </w:rPr>
        <w:t>.</w:t>
      </w:r>
    </w:p>
    <w:p w14:paraId="30A4AD53" w14:textId="77777777" w:rsidR="00FC0178" w:rsidRPr="00191046" w:rsidRDefault="00FC0178" w:rsidP="00FC0178">
      <w:pPr>
        <w:pStyle w:val="Bullets"/>
        <w:numPr>
          <w:ilvl w:val="1"/>
          <w:numId w:val="13"/>
        </w:numPr>
        <w:jc w:val="both"/>
        <w:rPr>
          <w:rFonts w:ascii="Verdana" w:hAnsi="Verdana"/>
          <w:sz w:val="20"/>
          <w:szCs w:val="20"/>
        </w:rPr>
      </w:pPr>
      <w:r w:rsidRPr="00191046">
        <w:rPr>
          <w:rFonts w:ascii="Verdana" w:hAnsi="Verdana"/>
          <w:sz w:val="20"/>
          <w:szCs w:val="20"/>
        </w:rPr>
        <w:t>An appropriately detailed schedule of the trust’s fixed assets and depreciable property used for tax purposes</w:t>
      </w:r>
      <w:r>
        <w:rPr>
          <w:rFonts w:ascii="Verdana" w:hAnsi="Verdana"/>
          <w:sz w:val="20"/>
          <w:szCs w:val="20"/>
        </w:rPr>
        <w:t>.</w:t>
      </w:r>
    </w:p>
    <w:p w14:paraId="389A2757" w14:textId="77777777" w:rsidR="00FC0178" w:rsidRPr="00191046" w:rsidRDefault="00FC0178" w:rsidP="00FC0178">
      <w:pPr>
        <w:pStyle w:val="Bullets"/>
        <w:numPr>
          <w:ilvl w:val="1"/>
          <w:numId w:val="13"/>
        </w:numPr>
        <w:jc w:val="both"/>
        <w:rPr>
          <w:rFonts w:ascii="Verdana" w:hAnsi="Verdana"/>
          <w:sz w:val="20"/>
          <w:szCs w:val="20"/>
        </w:rPr>
      </w:pPr>
      <w:r w:rsidRPr="00191046">
        <w:rPr>
          <w:rFonts w:ascii="Verdana" w:hAnsi="Verdana"/>
          <w:sz w:val="20"/>
          <w:szCs w:val="20"/>
        </w:rPr>
        <w:t>Matters relating to trusts with forestry and livestock businesses:</w:t>
      </w:r>
    </w:p>
    <w:p w14:paraId="0CE3F473" w14:textId="77777777" w:rsidR="00FC0178" w:rsidRPr="00191046" w:rsidRDefault="00FC0178" w:rsidP="00FC0178">
      <w:pPr>
        <w:pStyle w:val="Bullets"/>
        <w:numPr>
          <w:ilvl w:val="2"/>
          <w:numId w:val="14"/>
        </w:numPr>
        <w:jc w:val="both"/>
        <w:rPr>
          <w:rFonts w:ascii="Verdana" w:hAnsi="Verdana"/>
          <w:sz w:val="20"/>
          <w:szCs w:val="20"/>
        </w:rPr>
      </w:pPr>
      <w:r>
        <w:rPr>
          <w:rFonts w:ascii="Verdana" w:hAnsi="Verdana"/>
          <w:sz w:val="20"/>
          <w:szCs w:val="20"/>
        </w:rPr>
        <w:t>i</w:t>
      </w:r>
      <w:r w:rsidRPr="00191046">
        <w:rPr>
          <w:rFonts w:ascii="Verdana" w:hAnsi="Verdana"/>
          <w:sz w:val="20"/>
          <w:szCs w:val="20"/>
        </w:rPr>
        <w:t>nformation about the cost of timber as at the end of the income year and a reconciliation of movements in the cost of timber during the income year</w:t>
      </w:r>
      <w:r>
        <w:rPr>
          <w:rFonts w:ascii="Verdana" w:hAnsi="Verdana"/>
          <w:sz w:val="20"/>
          <w:szCs w:val="20"/>
        </w:rPr>
        <w:t>, and</w:t>
      </w:r>
    </w:p>
    <w:p w14:paraId="202589F7" w14:textId="77777777" w:rsidR="00FC0178" w:rsidRPr="00191046" w:rsidRDefault="00FC0178" w:rsidP="00FC0178">
      <w:pPr>
        <w:pStyle w:val="Bullets"/>
        <w:numPr>
          <w:ilvl w:val="2"/>
          <w:numId w:val="14"/>
        </w:numPr>
        <w:jc w:val="both"/>
        <w:rPr>
          <w:rFonts w:ascii="Verdana" w:hAnsi="Verdana"/>
          <w:sz w:val="20"/>
          <w:szCs w:val="20"/>
        </w:rPr>
      </w:pPr>
      <w:r>
        <w:rPr>
          <w:rFonts w:ascii="Verdana" w:hAnsi="Verdana"/>
          <w:sz w:val="20"/>
          <w:szCs w:val="20"/>
        </w:rPr>
        <w:t>i</w:t>
      </w:r>
      <w:r w:rsidRPr="00191046">
        <w:rPr>
          <w:rFonts w:ascii="Verdana" w:hAnsi="Verdana"/>
          <w:sz w:val="20"/>
          <w:szCs w:val="20"/>
        </w:rPr>
        <w:t>f the trust is a specified livestock owner, details of livestock valuation methods, valuations, and calculations for tax purposes.</w:t>
      </w:r>
    </w:p>
    <w:p w14:paraId="5B2A8652" w14:textId="77777777" w:rsidR="00FC0178" w:rsidRPr="00191046" w:rsidRDefault="00FC0178" w:rsidP="00FC0178">
      <w:pPr>
        <w:pStyle w:val="Bullets"/>
        <w:numPr>
          <w:ilvl w:val="1"/>
          <w:numId w:val="15"/>
        </w:numPr>
        <w:jc w:val="both"/>
        <w:rPr>
          <w:rFonts w:ascii="Verdana" w:hAnsi="Verdana"/>
          <w:sz w:val="20"/>
          <w:szCs w:val="20"/>
        </w:rPr>
      </w:pPr>
      <w:r w:rsidRPr="00191046">
        <w:rPr>
          <w:rFonts w:ascii="Verdana" w:hAnsi="Verdana"/>
          <w:sz w:val="20"/>
          <w:szCs w:val="20"/>
        </w:rPr>
        <w:t>Details of transactions between the trust and any associat</w:t>
      </w:r>
      <w:r>
        <w:rPr>
          <w:rFonts w:ascii="Verdana" w:hAnsi="Verdana"/>
          <w:sz w:val="20"/>
          <w:szCs w:val="20"/>
        </w:rPr>
        <w:t>ed</w:t>
      </w:r>
      <w:r w:rsidRPr="00191046">
        <w:rPr>
          <w:rFonts w:ascii="Verdana" w:hAnsi="Verdana"/>
          <w:sz w:val="20"/>
          <w:szCs w:val="20"/>
        </w:rPr>
        <w:t xml:space="preserve"> person of the </w:t>
      </w:r>
      <w:proofErr w:type="gramStart"/>
      <w:r w:rsidRPr="00191046">
        <w:rPr>
          <w:rFonts w:ascii="Verdana" w:hAnsi="Verdana"/>
          <w:sz w:val="20"/>
          <w:szCs w:val="20"/>
        </w:rPr>
        <w:t>trustee, unless</w:t>
      </w:r>
      <w:proofErr w:type="gramEnd"/>
      <w:r w:rsidRPr="00191046">
        <w:rPr>
          <w:rFonts w:ascii="Verdana" w:hAnsi="Verdana"/>
          <w:sz w:val="20"/>
          <w:szCs w:val="20"/>
        </w:rPr>
        <w:t xml:space="preserve"> the transaction is minor and incidental to the activities of the trust.</w:t>
      </w:r>
    </w:p>
    <w:p w14:paraId="096FDD78" w14:textId="77777777" w:rsidR="00FC0178" w:rsidRPr="00191046" w:rsidRDefault="00FC0178" w:rsidP="00FC0178">
      <w:pPr>
        <w:pStyle w:val="Bullets"/>
        <w:numPr>
          <w:ilvl w:val="1"/>
          <w:numId w:val="15"/>
        </w:numPr>
        <w:jc w:val="both"/>
        <w:rPr>
          <w:rFonts w:ascii="Verdana" w:hAnsi="Verdana"/>
          <w:sz w:val="20"/>
          <w:szCs w:val="20"/>
        </w:rPr>
      </w:pPr>
      <w:r>
        <w:rPr>
          <w:rFonts w:ascii="Verdana" w:hAnsi="Verdana"/>
          <w:sz w:val="20"/>
          <w:szCs w:val="20"/>
        </w:rPr>
        <w:lastRenderedPageBreak/>
        <w:t>T</w:t>
      </w:r>
      <w:r w:rsidRPr="00191046">
        <w:rPr>
          <w:rFonts w:ascii="Verdana" w:hAnsi="Verdana"/>
          <w:sz w:val="20"/>
          <w:szCs w:val="20"/>
        </w:rPr>
        <w:t>ransaction details include the names of associated persons, the nature of the association, the nature of the transactions and the amounts involved.</w:t>
      </w:r>
    </w:p>
    <w:p w14:paraId="23900ABB" w14:textId="77777777" w:rsidR="00FC0178" w:rsidRPr="00191046" w:rsidRDefault="00FC0178" w:rsidP="00FC0178">
      <w:pPr>
        <w:pStyle w:val="Bullets"/>
        <w:numPr>
          <w:ilvl w:val="1"/>
          <w:numId w:val="15"/>
        </w:numPr>
        <w:jc w:val="both"/>
        <w:rPr>
          <w:rFonts w:ascii="Verdana" w:hAnsi="Verdana"/>
          <w:sz w:val="20"/>
          <w:szCs w:val="20"/>
        </w:rPr>
      </w:pPr>
      <w:r>
        <w:rPr>
          <w:rFonts w:ascii="Verdana" w:hAnsi="Verdana"/>
          <w:sz w:val="20"/>
          <w:szCs w:val="20"/>
        </w:rPr>
        <w:t>D</w:t>
      </w:r>
      <w:r w:rsidRPr="00191046">
        <w:rPr>
          <w:rFonts w:ascii="Verdana" w:hAnsi="Verdana"/>
          <w:sz w:val="20"/>
          <w:szCs w:val="20"/>
        </w:rPr>
        <w:t>isclosure is not required if the transaction is at a market rate.</w:t>
      </w:r>
    </w:p>
    <w:p w14:paraId="67F85C02" w14:textId="77777777" w:rsidR="00FC0178" w:rsidRPr="00191046" w:rsidRDefault="00FC0178" w:rsidP="00FC0178">
      <w:pPr>
        <w:pStyle w:val="Bullets"/>
        <w:numPr>
          <w:ilvl w:val="0"/>
          <w:numId w:val="0"/>
        </w:numPr>
        <w:jc w:val="both"/>
        <w:rPr>
          <w:rFonts w:ascii="Verdana" w:hAnsi="Verdana"/>
          <w:sz w:val="20"/>
          <w:szCs w:val="20"/>
        </w:rPr>
      </w:pPr>
      <w:r w:rsidRPr="00191046">
        <w:rPr>
          <w:rFonts w:ascii="Verdana" w:hAnsi="Verdana"/>
          <w:sz w:val="20"/>
          <w:szCs w:val="20"/>
        </w:rPr>
        <w:t>If associated person disclosures have been made separately in any forms prescribed by the Commissioner of Inland Revenue, this information does not need to be duplicated in the financial statements.</w:t>
      </w:r>
    </w:p>
    <w:p w14:paraId="3DEE9BC8" w14:textId="77777777" w:rsidR="00FC0178" w:rsidRPr="002F6E16" w:rsidRDefault="00FC0178" w:rsidP="006A79DB">
      <w:pPr>
        <w:pStyle w:val="NoNumberHeading1"/>
      </w:pPr>
      <w:bookmarkStart w:id="27" w:name="_Toc97818911"/>
      <w:bookmarkStart w:id="28" w:name="_Toc97895781"/>
      <w:r>
        <w:t>Further information</w:t>
      </w:r>
      <w:bookmarkEnd w:id="27"/>
      <w:bookmarkEnd w:id="28"/>
    </w:p>
    <w:p w14:paraId="05DB2672" w14:textId="7BB04D86" w:rsidR="00FC0178" w:rsidRDefault="00FC0178" w:rsidP="00FC0178">
      <w:pPr>
        <w:spacing w:after="0" w:line="240" w:lineRule="auto"/>
        <w:jc w:val="both"/>
        <w:rPr>
          <w:i/>
          <w:iCs/>
        </w:rPr>
      </w:pPr>
      <w:r>
        <w:t xml:space="preserve">A webinar on the trust disclosure requirements is available at </w:t>
      </w:r>
      <w:hyperlink r:id="rId7" w:history="1">
        <w:r w:rsidRPr="0046680F">
          <w:rPr>
            <w:rStyle w:val="Hyperlink"/>
          </w:rPr>
          <w:t>www.ird.govt.nz/about-us/videos/webinars/2022-changes/trusts</w:t>
        </w:r>
      </w:hyperlink>
    </w:p>
    <w:p w14:paraId="435E8E46" w14:textId="359B0FAE" w:rsidR="00FC0178" w:rsidRPr="00BC7E32" w:rsidRDefault="00FC0178" w:rsidP="00FC0178">
      <w:pPr>
        <w:spacing w:after="0" w:line="240" w:lineRule="auto"/>
        <w:jc w:val="both"/>
      </w:pPr>
      <w:r w:rsidRPr="007E6C0F">
        <w:t xml:space="preserve">More information about disclosure requirements for trusts </w:t>
      </w:r>
      <w:r>
        <w:t xml:space="preserve">will be available in April at </w:t>
      </w:r>
      <w:bookmarkStart w:id="29" w:name="_Hlk97824546"/>
      <w:r>
        <w:fldChar w:fldCharType="begin"/>
      </w:r>
      <w:r>
        <w:instrText xml:space="preserve"> HYPERLINK "http://www.ird.govt.nz/trusts" </w:instrText>
      </w:r>
      <w:r>
        <w:fldChar w:fldCharType="separate"/>
      </w:r>
      <w:r w:rsidRPr="00BC7E32">
        <w:rPr>
          <w:rStyle w:val="Hyperlink"/>
        </w:rPr>
        <w:t>www.ird.govt.nz/trusts</w:t>
      </w:r>
      <w:r>
        <w:rPr>
          <w:rStyle w:val="Hyperlink"/>
        </w:rPr>
        <w:fldChar w:fldCharType="end"/>
      </w:r>
      <w:bookmarkEnd w:id="29"/>
    </w:p>
    <w:p w14:paraId="54CE5EB7" w14:textId="77777777" w:rsidR="00804A54" w:rsidRDefault="00CA7E72" w:rsidP="00AC5F18">
      <w:pPr>
        <w:pStyle w:val="NoNumberHeading1"/>
      </w:pPr>
      <w:bookmarkStart w:id="30" w:name="_Toc97894761"/>
      <w:bookmarkStart w:id="31" w:name="_Toc97895782"/>
      <w:bookmarkEnd w:id="8"/>
      <w:bookmarkEnd w:id="9"/>
      <w:r w:rsidRPr="00E2715F">
        <w:t>About this d</w:t>
      </w:r>
      <w:r>
        <w:t>ocument</w:t>
      </w:r>
      <w:bookmarkEnd w:id="30"/>
      <w:bookmarkEnd w:id="31"/>
    </w:p>
    <w:p w14:paraId="0C146FC5" w14:textId="58C2E220" w:rsidR="00BE6392" w:rsidRDefault="002239AF" w:rsidP="00BA59BE">
      <w:pPr>
        <w:jc w:val="both"/>
      </w:pPr>
      <w:r w:rsidRPr="002239AF">
        <w:t xml:space="preserve">Special reports are published shortly after </w:t>
      </w:r>
      <w:r w:rsidR="004D47B7">
        <w:t xml:space="preserve">new legislation </w:t>
      </w:r>
      <w:r w:rsidRPr="002239AF">
        <w:t xml:space="preserve">is enacted </w:t>
      </w:r>
      <w:r w:rsidR="00422661">
        <w:t xml:space="preserve">or Orders in Council </w:t>
      </w:r>
      <w:r w:rsidR="002B6737">
        <w:t xml:space="preserve">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p>
    <w:sectPr w:rsidR="00BE6392" w:rsidSect="0016577A">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34F9" w14:textId="77777777" w:rsidR="00963498" w:rsidRDefault="00963498" w:rsidP="00FE3402">
      <w:pPr>
        <w:spacing w:before="0" w:after="0" w:line="240" w:lineRule="auto"/>
      </w:pPr>
      <w:r>
        <w:separator/>
      </w:r>
    </w:p>
    <w:p w14:paraId="68F7F7BE" w14:textId="77777777" w:rsidR="00963498" w:rsidRDefault="00963498"/>
    <w:p w14:paraId="0BE81236" w14:textId="77777777" w:rsidR="00963498" w:rsidRDefault="00963498"/>
  </w:endnote>
  <w:endnote w:type="continuationSeparator" w:id="0">
    <w:p w14:paraId="261A960E" w14:textId="77777777" w:rsidR="00963498" w:rsidRDefault="00963498" w:rsidP="00FE3402">
      <w:pPr>
        <w:spacing w:before="0" w:after="0" w:line="240" w:lineRule="auto"/>
      </w:pPr>
      <w:r>
        <w:continuationSeparator/>
      </w:r>
    </w:p>
    <w:p w14:paraId="64FB54AD" w14:textId="77777777" w:rsidR="00963498" w:rsidRDefault="00963498"/>
    <w:p w14:paraId="18EC5687" w14:textId="77777777" w:rsidR="00963498" w:rsidRDefault="00963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6C48" w14:textId="77777777" w:rsidR="008708F5" w:rsidRDefault="008708F5">
    <w:pPr>
      <w:pStyle w:val="Footer"/>
    </w:pPr>
  </w:p>
  <w:p w14:paraId="7CCAFAF7" w14:textId="77777777" w:rsidR="008708F5" w:rsidRDefault="008708F5"/>
  <w:p w14:paraId="120ADCD4"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29526A08" w14:textId="77777777" w:rsidTr="002368DE">
      <w:tc>
        <w:tcPr>
          <w:tcW w:w="3005" w:type="dxa"/>
        </w:tcPr>
        <w:p w14:paraId="69E9E656" w14:textId="77777777" w:rsidR="008708F5" w:rsidRDefault="008708F5" w:rsidP="002368DE">
          <w:pPr>
            <w:pStyle w:val="Footer"/>
          </w:pPr>
        </w:p>
      </w:tc>
      <w:tc>
        <w:tcPr>
          <w:tcW w:w="3005" w:type="dxa"/>
        </w:tcPr>
        <w:p w14:paraId="4D365DD0" w14:textId="77777777" w:rsidR="008708F5" w:rsidRDefault="008708F5" w:rsidP="002368DE">
          <w:pPr>
            <w:pStyle w:val="Footer"/>
            <w:jc w:val="center"/>
          </w:pPr>
        </w:p>
      </w:tc>
      <w:tc>
        <w:tcPr>
          <w:tcW w:w="3006" w:type="dxa"/>
        </w:tcPr>
        <w:p w14:paraId="39B9D5F8" w14:textId="77777777" w:rsidR="008708F5" w:rsidRPr="00B0626E" w:rsidRDefault="008708F5"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r w:rsidR="00963498">
            <w:fldChar w:fldCharType="begin"/>
          </w:r>
          <w:r w:rsidR="00963498">
            <w:instrText xml:space="preserve"> NUMPAGES  \* Arabic  \* MERGEFORMAT </w:instrText>
          </w:r>
          <w:r w:rsidR="00963498">
            <w:fldChar w:fldCharType="separate"/>
          </w:r>
          <w:r w:rsidRPr="00B0626E">
            <w:t>2</w:t>
          </w:r>
          <w:r w:rsidR="00963498">
            <w:fldChar w:fldCharType="end"/>
          </w:r>
        </w:p>
      </w:tc>
    </w:tr>
  </w:tbl>
  <w:p w14:paraId="600F6017"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64C930D2" w14:textId="77777777" w:rsidTr="00234CCE">
      <w:tc>
        <w:tcPr>
          <w:tcW w:w="3005" w:type="dxa"/>
        </w:tcPr>
        <w:p w14:paraId="0E2ED5B5" w14:textId="77777777" w:rsidR="008708F5" w:rsidRDefault="008708F5" w:rsidP="004A27B6">
          <w:pPr>
            <w:pStyle w:val="Footer"/>
          </w:pPr>
        </w:p>
      </w:tc>
      <w:tc>
        <w:tcPr>
          <w:tcW w:w="3005" w:type="dxa"/>
        </w:tcPr>
        <w:p w14:paraId="35C9326F" w14:textId="07241C4B" w:rsidR="008708F5" w:rsidRDefault="008708F5" w:rsidP="004A27B6">
          <w:pPr>
            <w:pStyle w:val="Footer"/>
            <w:jc w:val="center"/>
          </w:pPr>
        </w:p>
      </w:tc>
      <w:tc>
        <w:tcPr>
          <w:tcW w:w="3006" w:type="dxa"/>
        </w:tcPr>
        <w:p w14:paraId="02A09037" w14:textId="076345CE" w:rsidR="008708F5" w:rsidRDefault="008708F5" w:rsidP="004A27B6">
          <w:pPr>
            <w:pStyle w:val="Footer"/>
            <w:jc w:val="right"/>
          </w:pPr>
          <w:r>
            <w:rPr>
              <w:color w:val="auto"/>
            </w:rPr>
            <w:t xml:space="preserve">   </w:t>
          </w:r>
        </w:p>
      </w:tc>
    </w:tr>
  </w:tbl>
  <w:p w14:paraId="1562D3E4" w14:textId="35C7C452"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5E85" w14:textId="77777777" w:rsidR="00963498" w:rsidRDefault="00963498" w:rsidP="00FE3402">
      <w:pPr>
        <w:spacing w:before="0" w:after="0" w:line="240" w:lineRule="auto"/>
      </w:pPr>
      <w:r>
        <w:separator/>
      </w:r>
    </w:p>
    <w:p w14:paraId="780F00F6" w14:textId="77777777" w:rsidR="00963498" w:rsidRDefault="00963498"/>
    <w:p w14:paraId="72A4C5E4" w14:textId="77777777" w:rsidR="00963498" w:rsidRDefault="00963498"/>
  </w:footnote>
  <w:footnote w:type="continuationSeparator" w:id="0">
    <w:p w14:paraId="1BE17901" w14:textId="77777777" w:rsidR="00963498" w:rsidRDefault="00963498" w:rsidP="00FE3402">
      <w:pPr>
        <w:spacing w:before="0" w:after="0" w:line="240" w:lineRule="auto"/>
      </w:pPr>
      <w:r>
        <w:continuationSeparator/>
      </w:r>
    </w:p>
    <w:p w14:paraId="33EBE924" w14:textId="77777777" w:rsidR="00963498" w:rsidRDefault="00963498"/>
    <w:p w14:paraId="7C5BD261" w14:textId="77777777" w:rsidR="00963498" w:rsidRDefault="009634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2F0E" w14:textId="33C70761" w:rsidR="008708F5" w:rsidRDefault="00155B83">
    <w:r>
      <w:rPr>
        <w:noProof/>
      </w:rPr>
      <mc:AlternateContent>
        <mc:Choice Requires="wps">
          <w:drawing>
            <wp:anchor distT="0" distB="0" distL="0" distR="0" simplePos="0" relativeHeight="251662336" behindDoc="0" locked="0" layoutInCell="1" allowOverlap="1" wp14:anchorId="7572E874" wp14:editId="64F89F3F">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8EE2A8" w14:textId="6A9A0A3D"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72E874"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DAbGgKKgIAAEwEAAAOAAAAAAAAAAAAAAAAAC4CAABkcnMvZTJvRG9jLnht&#10;bFBLAQItABQABgAIAAAAIQCEsNMo1gAAAAMBAAAPAAAAAAAAAAAAAAAAAIQEAABkcnMvZG93bnJl&#10;di54bWxQSwUGAAAAAAQABADzAAAAhwUAAAAA&#10;" filled="f" stroked="f">
              <v:fill o:detectmouseclick="t"/>
              <v:textbox style="mso-fit-shape-to-text:t" inset="0,0,0,0">
                <w:txbxContent>
                  <w:p w14:paraId="1E8EE2A8" w14:textId="6A9A0A3D"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0CFC14B0" w14:textId="77777777" w:rsidR="008708F5" w:rsidRDefault="008708F5"/>
  <w:p w14:paraId="3DB26D4B"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392E" w14:textId="3A30DD49" w:rsidR="008708F5" w:rsidRDefault="00AF2DAD">
    <w:r>
      <w:rPr>
        <w:noProof/>
      </w:rPr>
      <mc:AlternateContent>
        <mc:Choice Requires="wps">
          <w:drawing>
            <wp:anchor distT="0" distB="0" distL="114300" distR="114300" simplePos="0" relativeHeight="251658240" behindDoc="0" locked="0" layoutInCell="1" allowOverlap="1" wp14:anchorId="7D5620A9" wp14:editId="7FA61381">
              <wp:simplePos x="0" y="0"/>
              <wp:positionH relativeFrom="margin">
                <wp:posOffset>3524250</wp:posOffset>
              </wp:positionH>
              <wp:positionV relativeFrom="paragraph">
                <wp:posOffset>-240030</wp:posOffset>
              </wp:positionV>
              <wp:extent cx="29337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33700" cy="521970"/>
                      </a:xfrm>
                      <a:prstGeom prst="rect">
                        <a:avLst/>
                      </a:prstGeom>
                      <a:noFill/>
                      <a:ln w="6350">
                        <a:noFill/>
                      </a:ln>
                    </wps:spPr>
                    <wps:txbx>
                      <w:txbxContent>
                        <w:p w14:paraId="6599B1C5" w14:textId="07528819"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for </w:t>
                          </w:r>
                          <w:r w:rsidR="00AC7440">
                            <w:rPr>
                              <w:rFonts w:cs="Segoe UI"/>
                              <w:b/>
                              <w:bCs/>
                              <w:color w:val="FFFFFF" w:themeColor="background1"/>
                              <w:sz w:val="20"/>
                              <w:szCs w:val="20"/>
                            </w:rPr>
                            <w:t>LI 2022/56</w:t>
                          </w:r>
                          <w:r w:rsidR="00244539">
                            <w:rPr>
                              <w:rFonts w:cs="Segoe UI"/>
                              <w:b/>
                              <w:bCs/>
                              <w:color w:val="FFFFFF" w:themeColor="background1"/>
                              <w:sz w:val="20"/>
                              <w:szCs w:val="20"/>
                            </w:rPr>
                            <w:t xml:space="preserve">  </w:t>
                          </w:r>
                          <w:r w:rsidR="00244539" w:rsidRPr="00C368FC">
                            <w:rPr>
                              <w:rFonts w:ascii="Segoe UI Light" w:hAnsi="Segoe UI Light" w:cs="Segoe UI Light"/>
                              <w:color w:val="FFFFFF" w:themeColor="background1"/>
                              <w:sz w:val="20"/>
                              <w:szCs w:val="20"/>
                            </w:rPr>
                            <w:t>|</w:t>
                          </w:r>
                          <w:r w:rsidR="00D720C7">
                            <w:rPr>
                              <w:rFonts w:cs="Segoe UI"/>
                              <w:b/>
                              <w:bCs/>
                              <w:color w:val="FFFFFF" w:themeColor="background1"/>
                              <w:sz w:val="20"/>
                              <w:szCs w:val="20"/>
                            </w:rPr>
                            <w:t xml:space="preserve">  </w:t>
                          </w:r>
                          <w:r w:rsidR="00485A67">
                            <w:rPr>
                              <w:rFonts w:cs="Segoe UI"/>
                              <w:color w:val="FFFFFF" w:themeColor="background1"/>
                              <w:sz w:val="20"/>
                              <w:szCs w:val="20"/>
                            </w:rPr>
                            <w:t>11</w:t>
                          </w:r>
                          <w:r w:rsidR="00AC7440">
                            <w:rPr>
                              <w:rFonts w:cs="Segoe UI"/>
                              <w:color w:val="FFFFFF" w:themeColor="background1"/>
                              <w:sz w:val="20"/>
                              <w:szCs w:val="20"/>
                            </w:rPr>
                            <w:t xml:space="preserve"> March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620A9" id="_x0000_t202" coordsize="21600,21600" o:spt="202" path="m,l,21600r21600,l21600,xe">
              <v:stroke joinstyle="miter"/>
              <v:path gradientshapeok="t" o:connecttype="rect"/>
            </v:shapetype>
            <v:shape id="Text Box 3" o:spid="_x0000_s1027" type="#_x0000_t202" style="position:absolute;margin-left:277.5pt;margin-top:-18.9pt;width:231pt;height:4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" filled="f" stroked="f" strokeweight=".5pt">
              <v:textbox>
                <w:txbxContent>
                  <w:p w14:paraId="6599B1C5" w14:textId="07528819"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for </w:t>
                    </w:r>
                    <w:r w:rsidR="00AC7440">
                      <w:rPr>
                        <w:rFonts w:cs="Segoe UI"/>
                        <w:b/>
                        <w:bCs/>
                        <w:color w:val="FFFFFF" w:themeColor="background1"/>
                        <w:sz w:val="20"/>
                        <w:szCs w:val="20"/>
                      </w:rPr>
                      <w:t>LI 2022/56</w:t>
                    </w:r>
                    <w:r w:rsidR="00244539">
                      <w:rPr>
                        <w:rFonts w:cs="Segoe UI"/>
                        <w:b/>
                        <w:bCs/>
                        <w:color w:val="FFFFFF" w:themeColor="background1"/>
                        <w:sz w:val="20"/>
                        <w:szCs w:val="20"/>
                      </w:rPr>
                      <w:t xml:space="preserve">  </w:t>
                    </w:r>
                    <w:r w:rsidR="00244539" w:rsidRPr="00C368FC">
                      <w:rPr>
                        <w:rFonts w:ascii="Segoe UI Light" w:hAnsi="Segoe UI Light" w:cs="Segoe UI Light"/>
                        <w:color w:val="FFFFFF" w:themeColor="background1"/>
                        <w:sz w:val="20"/>
                        <w:szCs w:val="20"/>
                      </w:rPr>
                      <w:t>|</w:t>
                    </w:r>
                    <w:r w:rsidR="00D720C7">
                      <w:rPr>
                        <w:rFonts w:cs="Segoe UI"/>
                        <w:b/>
                        <w:bCs/>
                        <w:color w:val="FFFFFF" w:themeColor="background1"/>
                        <w:sz w:val="20"/>
                        <w:szCs w:val="20"/>
                      </w:rPr>
                      <w:t xml:space="preserve">  </w:t>
                    </w:r>
                    <w:r w:rsidR="00485A67">
                      <w:rPr>
                        <w:rFonts w:cs="Segoe UI"/>
                        <w:color w:val="FFFFFF" w:themeColor="background1"/>
                        <w:sz w:val="20"/>
                        <w:szCs w:val="20"/>
                      </w:rPr>
                      <w:t>11</w:t>
                    </w:r>
                    <w:r w:rsidR="00AC7440">
                      <w:rPr>
                        <w:rFonts w:cs="Segoe UI"/>
                        <w:color w:val="FFFFFF" w:themeColor="background1"/>
                        <w:sz w:val="20"/>
                        <w:szCs w:val="20"/>
                      </w:rPr>
                      <w:t xml:space="preserve"> March 2022</w:t>
                    </w:r>
                  </w:p>
                </w:txbxContent>
              </v:textbox>
              <w10:wrap anchorx="margin"/>
            </v:shape>
          </w:pict>
        </mc:Fallback>
      </mc:AlternateContent>
    </w:r>
    <w:r w:rsidR="008708F5">
      <w:rPr>
        <w:noProof/>
      </w:rPr>
      <w:drawing>
        <wp:anchor distT="0" distB="0" distL="114300" distR="114300" simplePos="0" relativeHeight="251660288" behindDoc="0" locked="0" layoutInCell="1" allowOverlap="1" wp14:anchorId="420F0ABC" wp14:editId="467ACCE9">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6192" behindDoc="1" locked="0" layoutInCell="1" allowOverlap="1" wp14:anchorId="05D7CF63" wp14:editId="433BB09A">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D6779" id="Rectangle 1" o:spid="_x0000_s1026" alt="&quot;&quot;" style="position:absolute;margin-left:.55pt;margin-top:-35.4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3C8F1E17" w14:textId="77777777" w:rsidTr="00EA3AD2">
      <w:tc>
        <w:tcPr>
          <w:tcW w:w="4508" w:type="dxa"/>
        </w:tcPr>
        <w:p w14:paraId="434E13E9" w14:textId="66A8F185" w:rsidR="008708F5" w:rsidRPr="009679B1" w:rsidRDefault="008708F5" w:rsidP="009679B1">
          <w:pPr>
            <w:tabs>
              <w:tab w:val="center" w:pos="4513"/>
              <w:tab w:val="right" w:pos="9026"/>
            </w:tabs>
            <w:spacing w:before="0" w:line="240" w:lineRule="auto"/>
          </w:pPr>
          <w:r w:rsidRPr="009679B1">
            <w:rPr>
              <w:noProof/>
            </w:rPr>
            <w:drawing>
              <wp:inline distT="0" distB="0" distL="0" distR="0" wp14:anchorId="63F2E127" wp14:editId="7A46633D">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255EAFE8" w14:textId="4B687E72" w:rsidR="008708F5" w:rsidRPr="009679B1" w:rsidRDefault="008708F5" w:rsidP="009679B1">
          <w:pPr>
            <w:tabs>
              <w:tab w:val="center" w:pos="4513"/>
              <w:tab w:val="right" w:pos="9026"/>
            </w:tabs>
            <w:spacing w:before="0" w:line="240" w:lineRule="auto"/>
          </w:pPr>
        </w:p>
      </w:tc>
    </w:tr>
  </w:tbl>
  <w:p w14:paraId="598224C8" w14:textId="15B258DB"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5"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13"/>
  </w:num>
  <w:num w:numId="2">
    <w:abstractNumId w:val="0"/>
  </w:num>
  <w:num w:numId="3">
    <w:abstractNumId w:val="4"/>
  </w:num>
  <w:num w:numId="4">
    <w:abstractNumId w:val="7"/>
  </w:num>
  <w:num w:numId="5">
    <w:abstractNumId w:val="5"/>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6"/>
  </w:num>
  <w:num w:numId="10">
    <w:abstractNumId w:val="2"/>
  </w:num>
  <w:num w:numId="11">
    <w:abstractNumId w:val="3"/>
  </w:num>
  <w:num w:numId="12">
    <w:abstractNumId w:val="11"/>
  </w:num>
  <w:num w:numId="13">
    <w:abstractNumId w:val="12"/>
  </w:num>
  <w:num w:numId="14">
    <w:abstractNumId w:val="9"/>
  </w:num>
  <w:num w:numId="15">
    <w:abstractNumId w:val="1"/>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C78"/>
    <w:rsid w:val="00011F57"/>
    <w:rsid w:val="00023388"/>
    <w:rsid w:val="00024EC2"/>
    <w:rsid w:val="00030978"/>
    <w:rsid w:val="00034795"/>
    <w:rsid w:val="00041AF2"/>
    <w:rsid w:val="0004314A"/>
    <w:rsid w:val="00046253"/>
    <w:rsid w:val="0004779F"/>
    <w:rsid w:val="0004790D"/>
    <w:rsid w:val="00060779"/>
    <w:rsid w:val="000654C4"/>
    <w:rsid w:val="00066DAC"/>
    <w:rsid w:val="00071A16"/>
    <w:rsid w:val="000770B9"/>
    <w:rsid w:val="00081E2A"/>
    <w:rsid w:val="0008201D"/>
    <w:rsid w:val="00083261"/>
    <w:rsid w:val="000834F6"/>
    <w:rsid w:val="0008506A"/>
    <w:rsid w:val="0008665F"/>
    <w:rsid w:val="00086DC7"/>
    <w:rsid w:val="00090BA1"/>
    <w:rsid w:val="00092548"/>
    <w:rsid w:val="0009433B"/>
    <w:rsid w:val="00096577"/>
    <w:rsid w:val="0009679E"/>
    <w:rsid w:val="000A3E69"/>
    <w:rsid w:val="000A5C64"/>
    <w:rsid w:val="000B0147"/>
    <w:rsid w:val="000B1C2F"/>
    <w:rsid w:val="000B4FCE"/>
    <w:rsid w:val="000C1ED6"/>
    <w:rsid w:val="000C3A61"/>
    <w:rsid w:val="000C5042"/>
    <w:rsid w:val="000C71F5"/>
    <w:rsid w:val="000D4990"/>
    <w:rsid w:val="000D561A"/>
    <w:rsid w:val="000D64E4"/>
    <w:rsid w:val="000D7A49"/>
    <w:rsid w:val="000E1426"/>
    <w:rsid w:val="000E470E"/>
    <w:rsid w:val="000E68F5"/>
    <w:rsid w:val="000F3562"/>
    <w:rsid w:val="001035C3"/>
    <w:rsid w:val="00111307"/>
    <w:rsid w:val="00113C91"/>
    <w:rsid w:val="00113DAA"/>
    <w:rsid w:val="00114A3B"/>
    <w:rsid w:val="001204EE"/>
    <w:rsid w:val="0012244A"/>
    <w:rsid w:val="001224C5"/>
    <w:rsid w:val="00127593"/>
    <w:rsid w:val="00127C6F"/>
    <w:rsid w:val="001302C2"/>
    <w:rsid w:val="001308E4"/>
    <w:rsid w:val="00130AA5"/>
    <w:rsid w:val="00130CCE"/>
    <w:rsid w:val="0013196E"/>
    <w:rsid w:val="00131EED"/>
    <w:rsid w:val="00132BE2"/>
    <w:rsid w:val="001333C4"/>
    <w:rsid w:val="00142B10"/>
    <w:rsid w:val="00143C53"/>
    <w:rsid w:val="001502E1"/>
    <w:rsid w:val="0015083B"/>
    <w:rsid w:val="00150CEB"/>
    <w:rsid w:val="00153267"/>
    <w:rsid w:val="00155708"/>
    <w:rsid w:val="00155B83"/>
    <w:rsid w:val="001623C3"/>
    <w:rsid w:val="00162DAF"/>
    <w:rsid w:val="0016577A"/>
    <w:rsid w:val="00172C77"/>
    <w:rsid w:val="001751D0"/>
    <w:rsid w:val="00175D7F"/>
    <w:rsid w:val="00182BE9"/>
    <w:rsid w:val="001835BA"/>
    <w:rsid w:val="00190282"/>
    <w:rsid w:val="0019157E"/>
    <w:rsid w:val="00192918"/>
    <w:rsid w:val="00196B91"/>
    <w:rsid w:val="00197F2D"/>
    <w:rsid w:val="001A1FE0"/>
    <w:rsid w:val="001A7C8A"/>
    <w:rsid w:val="001B1271"/>
    <w:rsid w:val="001B1747"/>
    <w:rsid w:val="001B1FF0"/>
    <w:rsid w:val="001B75BC"/>
    <w:rsid w:val="001C1031"/>
    <w:rsid w:val="001C17E7"/>
    <w:rsid w:val="001C255F"/>
    <w:rsid w:val="001C4B0B"/>
    <w:rsid w:val="001C5B02"/>
    <w:rsid w:val="001D3DC1"/>
    <w:rsid w:val="001D7765"/>
    <w:rsid w:val="001E36D6"/>
    <w:rsid w:val="001E4E00"/>
    <w:rsid w:val="001E5942"/>
    <w:rsid w:val="001E6666"/>
    <w:rsid w:val="001E6768"/>
    <w:rsid w:val="001E7216"/>
    <w:rsid w:val="001E7ACC"/>
    <w:rsid w:val="001F7AB0"/>
    <w:rsid w:val="0020027D"/>
    <w:rsid w:val="00210B78"/>
    <w:rsid w:val="00211401"/>
    <w:rsid w:val="00211DB8"/>
    <w:rsid w:val="00213828"/>
    <w:rsid w:val="002239AF"/>
    <w:rsid w:val="00225EA0"/>
    <w:rsid w:val="002276CA"/>
    <w:rsid w:val="00227987"/>
    <w:rsid w:val="00231528"/>
    <w:rsid w:val="00232E1F"/>
    <w:rsid w:val="00234CCE"/>
    <w:rsid w:val="0023610C"/>
    <w:rsid w:val="002368DE"/>
    <w:rsid w:val="00240073"/>
    <w:rsid w:val="00240A2B"/>
    <w:rsid w:val="00240DEA"/>
    <w:rsid w:val="00243A10"/>
    <w:rsid w:val="00244539"/>
    <w:rsid w:val="002448FE"/>
    <w:rsid w:val="00244DE0"/>
    <w:rsid w:val="00251EB6"/>
    <w:rsid w:val="002546C5"/>
    <w:rsid w:val="002643BD"/>
    <w:rsid w:val="00266C85"/>
    <w:rsid w:val="0027157F"/>
    <w:rsid w:val="00271C36"/>
    <w:rsid w:val="002726B2"/>
    <w:rsid w:val="00280312"/>
    <w:rsid w:val="00282ECC"/>
    <w:rsid w:val="0028301D"/>
    <w:rsid w:val="00285C72"/>
    <w:rsid w:val="002906B3"/>
    <w:rsid w:val="0029696F"/>
    <w:rsid w:val="002A2E62"/>
    <w:rsid w:val="002A6C4F"/>
    <w:rsid w:val="002B04FF"/>
    <w:rsid w:val="002B5363"/>
    <w:rsid w:val="002B6737"/>
    <w:rsid w:val="002C3307"/>
    <w:rsid w:val="002C41C0"/>
    <w:rsid w:val="002C6695"/>
    <w:rsid w:val="002C676A"/>
    <w:rsid w:val="002C7752"/>
    <w:rsid w:val="002E23D0"/>
    <w:rsid w:val="002E2A63"/>
    <w:rsid w:val="002E2C9A"/>
    <w:rsid w:val="002E4C59"/>
    <w:rsid w:val="002E5DA1"/>
    <w:rsid w:val="002F451C"/>
    <w:rsid w:val="002F4BB6"/>
    <w:rsid w:val="002F5613"/>
    <w:rsid w:val="002F643A"/>
    <w:rsid w:val="00304B27"/>
    <w:rsid w:val="00307939"/>
    <w:rsid w:val="00312E07"/>
    <w:rsid w:val="00313168"/>
    <w:rsid w:val="0031354F"/>
    <w:rsid w:val="0032113E"/>
    <w:rsid w:val="00321643"/>
    <w:rsid w:val="003267D8"/>
    <w:rsid w:val="00326F7B"/>
    <w:rsid w:val="003321AF"/>
    <w:rsid w:val="00333351"/>
    <w:rsid w:val="003344C2"/>
    <w:rsid w:val="00335993"/>
    <w:rsid w:val="00340FFA"/>
    <w:rsid w:val="00341BAC"/>
    <w:rsid w:val="00345936"/>
    <w:rsid w:val="0035081C"/>
    <w:rsid w:val="003534F3"/>
    <w:rsid w:val="0036345B"/>
    <w:rsid w:val="003647E6"/>
    <w:rsid w:val="00365D58"/>
    <w:rsid w:val="00367800"/>
    <w:rsid w:val="00371267"/>
    <w:rsid w:val="003717B7"/>
    <w:rsid w:val="003718CE"/>
    <w:rsid w:val="00371936"/>
    <w:rsid w:val="00371E89"/>
    <w:rsid w:val="00374AFC"/>
    <w:rsid w:val="00380345"/>
    <w:rsid w:val="003832D7"/>
    <w:rsid w:val="00390D4A"/>
    <w:rsid w:val="003926A6"/>
    <w:rsid w:val="003A010C"/>
    <w:rsid w:val="003A3CB7"/>
    <w:rsid w:val="003B26DA"/>
    <w:rsid w:val="003B30F4"/>
    <w:rsid w:val="003B5C0C"/>
    <w:rsid w:val="003C38EB"/>
    <w:rsid w:val="003D13BA"/>
    <w:rsid w:val="003D5EFA"/>
    <w:rsid w:val="003E230D"/>
    <w:rsid w:val="003E45BA"/>
    <w:rsid w:val="003F2662"/>
    <w:rsid w:val="003F5588"/>
    <w:rsid w:val="003F71B7"/>
    <w:rsid w:val="00402896"/>
    <w:rsid w:val="004061F1"/>
    <w:rsid w:val="00406596"/>
    <w:rsid w:val="0040763C"/>
    <w:rsid w:val="00410A62"/>
    <w:rsid w:val="00415268"/>
    <w:rsid w:val="00415636"/>
    <w:rsid w:val="0041570A"/>
    <w:rsid w:val="00421B97"/>
    <w:rsid w:val="004223D5"/>
    <w:rsid w:val="00422661"/>
    <w:rsid w:val="004271A5"/>
    <w:rsid w:val="0042790E"/>
    <w:rsid w:val="0043072B"/>
    <w:rsid w:val="00432106"/>
    <w:rsid w:val="0045281F"/>
    <w:rsid w:val="00453EDF"/>
    <w:rsid w:val="00456F1F"/>
    <w:rsid w:val="0046163F"/>
    <w:rsid w:val="004761EF"/>
    <w:rsid w:val="004841F6"/>
    <w:rsid w:val="00485575"/>
    <w:rsid w:val="00485A67"/>
    <w:rsid w:val="004905B2"/>
    <w:rsid w:val="0049296F"/>
    <w:rsid w:val="00492D1D"/>
    <w:rsid w:val="00492FF6"/>
    <w:rsid w:val="00497C1D"/>
    <w:rsid w:val="004A06B9"/>
    <w:rsid w:val="004A1A2E"/>
    <w:rsid w:val="004A27B6"/>
    <w:rsid w:val="004A447C"/>
    <w:rsid w:val="004A7563"/>
    <w:rsid w:val="004A7AE1"/>
    <w:rsid w:val="004B1242"/>
    <w:rsid w:val="004B1923"/>
    <w:rsid w:val="004B2B75"/>
    <w:rsid w:val="004B74D7"/>
    <w:rsid w:val="004C0CCD"/>
    <w:rsid w:val="004C0DE6"/>
    <w:rsid w:val="004C4475"/>
    <w:rsid w:val="004C5CFE"/>
    <w:rsid w:val="004D096A"/>
    <w:rsid w:val="004D0BC7"/>
    <w:rsid w:val="004D1548"/>
    <w:rsid w:val="004D47B7"/>
    <w:rsid w:val="004D4E9D"/>
    <w:rsid w:val="004D6B50"/>
    <w:rsid w:val="004D6C5B"/>
    <w:rsid w:val="004D7DB2"/>
    <w:rsid w:val="004E1D4E"/>
    <w:rsid w:val="004E253E"/>
    <w:rsid w:val="004E2D01"/>
    <w:rsid w:val="004E5B2C"/>
    <w:rsid w:val="004F119C"/>
    <w:rsid w:val="004F26C5"/>
    <w:rsid w:val="004F3B21"/>
    <w:rsid w:val="00504A1B"/>
    <w:rsid w:val="0050752A"/>
    <w:rsid w:val="00507574"/>
    <w:rsid w:val="00512E4F"/>
    <w:rsid w:val="005136FB"/>
    <w:rsid w:val="00515339"/>
    <w:rsid w:val="00515B1B"/>
    <w:rsid w:val="00515E84"/>
    <w:rsid w:val="00515E8B"/>
    <w:rsid w:val="00516E57"/>
    <w:rsid w:val="00521CD6"/>
    <w:rsid w:val="00523F3D"/>
    <w:rsid w:val="0052620C"/>
    <w:rsid w:val="00530FE2"/>
    <w:rsid w:val="00531142"/>
    <w:rsid w:val="00533854"/>
    <w:rsid w:val="00541AA1"/>
    <w:rsid w:val="00542085"/>
    <w:rsid w:val="005533B7"/>
    <w:rsid w:val="00553797"/>
    <w:rsid w:val="005538CF"/>
    <w:rsid w:val="00556B71"/>
    <w:rsid w:val="00557387"/>
    <w:rsid w:val="00563188"/>
    <w:rsid w:val="0057160C"/>
    <w:rsid w:val="00572C3B"/>
    <w:rsid w:val="005766E4"/>
    <w:rsid w:val="005807D3"/>
    <w:rsid w:val="0058204D"/>
    <w:rsid w:val="00583AF6"/>
    <w:rsid w:val="00585B1C"/>
    <w:rsid w:val="0059117C"/>
    <w:rsid w:val="00594B20"/>
    <w:rsid w:val="0059530D"/>
    <w:rsid w:val="00595813"/>
    <w:rsid w:val="005A0978"/>
    <w:rsid w:val="005A16D0"/>
    <w:rsid w:val="005A17A6"/>
    <w:rsid w:val="005A569D"/>
    <w:rsid w:val="005B16C3"/>
    <w:rsid w:val="005B2CD8"/>
    <w:rsid w:val="005B633B"/>
    <w:rsid w:val="005C18B0"/>
    <w:rsid w:val="005C2595"/>
    <w:rsid w:val="005C4150"/>
    <w:rsid w:val="005C54CF"/>
    <w:rsid w:val="005C6333"/>
    <w:rsid w:val="005C6409"/>
    <w:rsid w:val="005E1D01"/>
    <w:rsid w:val="005E6156"/>
    <w:rsid w:val="005E6AF2"/>
    <w:rsid w:val="005F19AD"/>
    <w:rsid w:val="005F38DD"/>
    <w:rsid w:val="005F6612"/>
    <w:rsid w:val="00604277"/>
    <w:rsid w:val="006051A4"/>
    <w:rsid w:val="006150ED"/>
    <w:rsid w:val="00616042"/>
    <w:rsid w:val="00617070"/>
    <w:rsid w:val="00623070"/>
    <w:rsid w:val="006235A9"/>
    <w:rsid w:val="00637746"/>
    <w:rsid w:val="00640A5C"/>
    <w:rsid w:val="00645C42"/>
    <w:rsid w:val="0065335A"/>
    <w:rsid w:val="00653998"/>
    <w:rsid w:val="00654F5B"/>
    <w:rsid w:val="00661060"/>
    <w:rsid w:val="006611E0"/>
    <w:rsid w:val="006612E9"/>
    <w:rsid w:val="00665250"/>
    <w:rsid w:val="006749F5"/>
    <w:rsid w:val="006763B7"/>
    <w:rsid w:val="00683D7F"/>
    <w:rsid w:val="00683EE6"/>
    <w:rsid w:val="006871CC"/>
    <w:rsid w:val="006952E4"/>
    <w:rsid w:val="00696481"/>
    <w:rsid w:val="006973B8"/>
    <w:rsid w:val="006A5FD5"/>
    <w:rsid w:val="006A79DB"/>
    <w:rsid w:val="006B115E"/>
    <w:rsid w:val="006B3EE5"/>
    <w:rsid w:val="006B4F20"/>
    <w:rsid w:val="006C2308"/>
    <w:rsid w:val="006C263E"/>
    <w:rsid w:val="006C5D86"/>
    <w:rsid w:val="006C7EB0"/>
    <w:rsid w:val="006D10D6"/>
    <w:rsid w:val="006D782F"/>
    <w:rsid w:val="006E0DF5"/>
    <w:rsid w:val="006F2E52"/>
    <w:rsid w:val="0070098C"/>
    <w:rsid w:val="00710166"/>
    <w:rsid w:val="007125B0"/>
    <w:rsid w:val="0072136E"/>
    <w:rsid w:val="0072279A"/>
    <w:rsid w:val="00727A7E"/>
    <w:rsid w:val="0073114D"/>
    <w:rsid w:val="00731EE2"/>
    <w:rsid w:val="00742E07"/>
    <w:rsid w:val="00753AED"/>
    <w:rsid w:val="00753D45"/>
    <w:rsid w:val="007550F8"/>
    <w:rsid w:val="00755E62"/>
    <w:rsid w:val="00755FFA"/>
    <w:rsid w:val="007565C5"/>
    <w:rsid w:val="00756629"/>
    <w:rsid w:val="00760741"/>
    <w:rsid w:val="0076075B"/>
    <w:rsid w:val="00761704"/>
    <w:rsid w:val="00774AF4"/>
    <w:rsid w:val="0078049E"/>
    <w:rsid w:val="00780705"/>
    <w:rsid w:val="007809AB"/>
    <w:rsid w:val="00781B5F"/>
    <w:rsid w:val="00782694"/>
    <w:rsid w:val="0079288E"/>
    <w:rsid w:val="007956B9"/>
    <w:rsid w:val="007A071C"/>
    <w:rsid w:val="007A1B1F"/>
    <w:rsid w:val="007A67B0"/>
    <w:rsid w:val="007B0C47"/>
    <w:rsid w:val="007B27B6"/>
    <w:rsid w:val="007B42A1"/>
    <w:rsid w:val="007C0A2F"/>
    <w:rsid w:val="007C5849"/>
    <w:rsid w:val="007C5EF8"/>
    <w:rsid w:val="007C7A8A"/>
    <w:rsid w:val="007D08DC"/>
    <w:rsid w:val="007D14A2"/>
    <w:rsid w:val="007D1F25"/>
    <w:rsid w:val="007D5E4A"/>
    <w:rsid w:val="007E191E"/>
    <w:rsid w:val="007E45B0"/>
    <w:rsid w:val="007E5F40"/>
    <w:rsid w:val="007F0259"/>
    <w:rsid w:val="007F34E4"/>
    <w:rsid w:val="007F75B1"/>
    <w:rsid w:val="007F7D49"/>
    <w:rsid w:val="008000F6"/>
    <w:rsid w:val="00804A54"/>
    <w:rsid w:val="008072BC"/>
    <w:rsid w:val="00811D11"/>
    <w:rsid w:val="00811EAD"/>
    <w:rsid w:val="00813620"/>
    <w:rsid w:val="00813677"/>
    <w:rsid w:val="0081386B"/>
    <w:rsid w:val="00820F28"/>
    <w:rsid w:val="008300CD"/>
    <w:rsid w:val="008345C8"/>
    <w:rsid w:val="008351E7"/>
    <w:rsid w:val="00842432"/>
    <w:rsid w:val="0084290E"/>
    <w:rsid w:val="00843C5F"/>
    <w:rsid w:val="0086134C"/>
    <w:rsid w:val="00863454"/>
    <w:rsid w:val="008667E3"/>
    <w:rsid w:val="00867C78"/>
    <w:rsid w:val="008708F5"/>
    <w:rsid w:val="00870D60"/>
    <w:rsid w:val="00871E8B"/>
    <w:rsid w:val="008752AC"/>
    <w:rsid w:val="00875F85"/>
    <w:rsid w:val="00877A70"/>
    <w:rsid w:val="008811E2"/>
    <w:rsid w:val="00891778"/>
    <w:rsid w:val="00895F4C"/>
    <w:rsid w:val="008A243D"/>
    <w:rsid w:val="008A5914"/>
    <w:rsid w:val="008B3DD8"/>
    <w:rsid w:val="008B53BA"/>
    <w:rsid w:val="008C0980"/>
    <w:rsid w:val="008C27A6"/>
    <w:rsid w:val="008C4217"/>
    <w:rsid w:val="008C483C"/>
    <w:rsid w:val="008D0B82"/>
    <w:rsid w:val="008D1E5F"/>
    <w:rsid w:val="008D7A07"/>
    <w:rsid w:val="008E297B"/>
    <w:rsid w:val="008F0CD8"/>
    <w:rsid w:val="008F28C1"/>
    <w:rsid w:val="008F2D4F"/>
    <w:rsid w:val="008F52BA"/>
    <w:rsid w:val="00901D3B"/>
    <w:rsid w:val="00902E79"/>
    <w:rsid w:val="00904137"/>
    <w:rsid w:val="00907FC9"/>
    <w:rsid w:val="00907FF5"/>
    <w:rsid w:val="009137DB"/>
    <w:rsid w:val="00921CD6"/>
    <w:rsid w:val="0093022B"/>
    <w:rsid w:val="00932A83"/>
    <w:rsid w:val="0093337E"/>
    <w:rsid w:val="0093366F"/>
    <w:rsid w:val="00937AC3"/>
    <w:rsid w:val="00937F98"/>
    <w:rsid w:val="00941BF3"/>
    <w:rsid w:val="00943FBD"/>
    <w:rsid w:val="0095059E"/>
    <w:rsid w:val="00954C95"/>
    <w:rsid w:val="0096228D"/>
    <w:rsid w:val="0096339C"/>
    <w:rsid w:val="00963498"/>
    <w:rsid w:val="00964DD7"/>
    <w:rsid w:val="009658C0"/>
    <w:rsid w:val="00966FBE"/>
    <w:rsid w:val="00967140"/>
    <w:rsid w:val="009679B1"/>
    <w:rsid w:val="00972C62"/>
    <w:rsid w:val="00974081"/>
    <w:rsid w:val="00975F95"/>
    <w:rsid w:val="00975FE3"/>
    <w:rsid w:val="0098008F"/>
    <w:rsid w:val="00984222"/>
    <w:rsid w:val="00985950"/>
    <w:rsid w:val="009865E4"/>
    <w:rsid w:val="00997B5A"/>
    <w:rsid w:val="009B4F3B"/>
    <w:rsid w:val="009C0766"/>
    <w:rsid w:val="009C34EC"/>
    <w:rsid w:val="009D1747"/>
    <w:rsid w:val="009D310B"/>
    <w:rsid w:val="009E17F9"/>
    <w:rsid w:val="009E39AB"/>
    <w:rsid w:val="009E3A6F"/>
    <w:rsid w:val="009F07D6"/>
    <w:rsid w:val="009F5859"/>
    <w:rsid w:val="009F6C9F"/>
    <w:rsid w:val="00A02BEF"/>
    <w:rsid w:val="00A02CDA"/>
    <w:rsid w:val="00A0777C"/>
    <w:rsid w:val="00A10AC6"/>
    <w:rsid w:val="00A1699A"/>
    <w:rsid w:val="00A22873"/>
    <w:rsid w:val="00A27381"/>
    <w:rsid w:val="00A304BE"/>
    <w:rsid w:val="00A30B78"/>
    <w:rsid w:val="00A36A1B"/>
    <w:rsid w:val="00A4149F"/>
    <w:rsid w:val="00A457DF"/>
    <w:rsid w:val="00A56C84"/>
    <w:rsid w:val="00A64E32"/>
    <w:rsid w:val="00A7553E"/>
    <w:rsid w:val="00A7688E"/>
    <w:rsid w:val="00A779D9"/>
    <w:rsid w:val="00A83397"/>
    <w:rsid w:val="00A86A2C"/>
    <w:rsid w:val="00A91592"/>
    <w:rsid w:val="00A920E9"/>
    <w:rsid w:val="00A94ACC"/>
    <w:rsid w:val="00AA2946"/>
    <w:rsid w:val="00AA7760"/>
    <w:rsid w:val="00AB1E5B"/>
    <w:rsid w:val="00AB293E"/>
    <w:rsid w:val="00AB726A"/>
    <w:rsid w:val="00AC5F18"/>
    <w:rsid w:val="00AC7440"/>
    <w:rsid w:val="00AD150B"/>
    <w:rsid w:val="00AE12C5"/>
    <w:rsid w:val="00AE3FF2"/>
    <w:rsid w:val="00AE4ACB"/>
    <w:rsid w:val="00AE51BC"/>
    <w:rsid w:val="00AE5679"/>
    <w:rsid w:val="00AE7CB3"/>
    <w:rsid w:val="00AF1DD8"/>
    <w:rsid w:val="00AF2DAD"/>
    <w:rsid w:val="00AF4A67"/>
    <w:rsid w:val="00AF4D9D"/>
    <w:rsid w:val="00AF503F"/>
    <w:rsid w:val="00AF5210"/>
    <w:rsid w:val="00B00172"/>
    <w:rsid w:val="00B0626E"/>
    <w:rsid w:val="00B11187"/>
    <w:rsid w:val="00B1466B"/>
    <w:rsid w:val="00B1624F"/>
    <w:rsid w:val="00B22D6D"/>
    <w:rsid w:val="00B24E49"/>
    <w:rsid w:val="00B303D9"/>
    <w:rsid w:val="00B30DE1"/>
    <w:rsid w:val="00B32754"/>
    <w:rsid w:val="00B3373D"/>
    <w:rsid w:val="00B33DEE"/>
    <w:rsid w:val="00B414A9"/>
    <w:rsid w:val="00B527B4"/>
    <w:rsid w:val="00B53FCF"/>
    <w:rsid w:val="00B55DE3"/>
    <w:rsid w:val="00B55E66"/>
    <w:rsid w:val="00B56A86"/>
    <w:rsid w:val="00B60DE6"/>
    <w:rsid w:val="00B6292A"/>
    <w:rsid w:val="00B65C4B"/>
    <w:rsid w:val="00B736DC"/>
    <w:rsid w:val="00B75BA7"/>
    <w:rsid w:val="00B82E8C"/>
    <w:rsid w:val="00B84760"/>
    <w:rsid w:val="00B8692E"/>
    <w:rsid w:val="00B90E30"/>
    <w:rsid w:val="00BA2297"/>
    <w:rsid w:val="00BA59BE"/>
    <w:rsid w:val="00BA7BB2"/>
    <w:rsid w:val="00BB05FA"/>
    <w:rsid w:val="00BC0A6B"/>
    <w:rsid w:val="00BC31AA"/>
    <w:rsid w:val="00BC652B"/>
    <w:rsid w:val="00BD1FAF"/>
    <w:rsid w:val="00BD60D8"/>
    <w:rsid w:val="00BE0AC9"/>
    <w:rsid w:val="00BE2861"/>
    <w:rsid w:val="00BE54D2"/>
    <w:rsid w:val="00BE6392"/>
    <w:rsid w:val="00BF05B8"/>
    <w:rsid w:val="00BF0DE5"/>
    <w:rsid w:val="00BF2A85"/>
    <w:rsid w:val="00BF497E"/>
    <w:rsid w:val="00BF700A"/>
    <w:rsid w:val="00C054CA"/>
    <w:rsid w:val="00C06C09"/>
    <w:rsid w:val="00C0769A"/>
    <w:rsid w:val="00C165BB"/>
    <w:rsid w:val="00C17AE5"/>
    <w:rsid w:val="00C23B9E"/>
    <w:rsid w:val="00C27BE6"/>
    <w:rsid w:val="00C368FC"/>
    <w:rsid w:val="00C36C8D"/>
    <w:rsid w:val="00C41D35"/>
    <w:rsid w:val="00C442FE"/>
    <w:rsid w:val="00C466F2"/>
    <w:rsid w:val="00C500CA"/>
    <w:rsid w:val="00C50BB3"/>
    <w:rsid w:val="00C53F2D"/>
    <w:rsid w:val="00C64C09"/>
    <w:rsid w:val="00C64C63"/>
    <w:rsid w:val="00C832A4"/>
    <w:rsid w:val="00C92763"/>
    <w:rsid w:val="00C94E79"/>
    <w:rsid w:val="00C968CC"/>
    <w:rsid w:val="00C96A21"/>
    <w:rsid w:val="00C9760E"/>
    <w:rsid w:val="00CA1EA4"/>
    <w:rsid w:val="00CA7E72"/>
    <w:rsid w:val="00CB3D06"/>
    <w:rsid w:val="00CB4BF5"/>
    <w:rsid w:val="00CC434F"/>
    <w:rsid w:val="00CC5B03"/>
    <w:rsid w:val="00CE063C"/>
    <w:rsid w:val="00CE08FC"/>
    <w:rsid w:val="00CE2B0A"/>
    <w:rsid w:val="00CE72E6"/>
    <w:rsid w:val="00CE7875"/>
    <w:rsid w:val="00CF0AE2"/>
    <w:rsid w:val="00CF1361"/>
    <w:rsid w:val="00D02E94"/>
    <w:rsid w:val="00D068CA"/>
    <w:rsid w:val="00D07EC0"/>
    <w:rsid w:val="00D12241"/>
    <w:rsid w:val="00D13F66"/>
    <w:rsid w:val="00D14E05"/>
    <w:rsid w:val="00D178E4"/>
    <w:rsid w:val="00D2421B"/>
    <w:rsid w:val="00D31306"/>
    <w:rsid w:val="00D32E8D"/>
    <w:rsid w:val="00D36771"/>
    <w:rsid w:val="00D41165"/>
    <w:rsid w:val="00D42D31"/>
    <w:rsid w:val="00D439CD"/>
    <w:rsid w:val="00D47C0A"/>
    <w:rsid w:val="00D608B0"/>
    <w:rsid w:val="00D62DA9"/>
    <w:rsid w:val="00D64BC6"/>
    <w:rsid w:val="00D65715"/>
    <w:rsid w:val="00D67439"/>
    <w:rsid w:val="00D70256"/>
    <w:rsid w:val="00D706F1"/>
    <w:rsid w:val="00D720C7"/>
    <w:rsid w:val="00D85810"/>
    <w:rsid w:val="00D8760F"/>
    <w:rsid w:val="00D91502"/>
    <w:rsid w:val="00D92427"/>
    <w:rsid w:val="00D9292F"/>
    <w:rsid w:val="00D95804"/>
    <w:rsid w:val="00DA26F3"/>
    <w:rsid w:val="00DA3A71"/>
    <w:rsid w:val="00DA4CF0"/>
    <w:rsid w:val="00DB10EC"/>
    <w:rsid w:val="00DB1DF5"/>
    <w:rsid w:val="00DB3D55"/>
    <w:rsid w:val="00DB43AA"/>
    <w:rsid w:val="00DC2C31"/>
    <w:rsid w:val="00DC74FD"/>
    <w:rsid w:val="00DD60EA"/>
    <w:rsid w:val="00DE7CEF"/>
    <w:rsid w:val="00DF2FEB"/>
    <w:rsid w:val="00DF41F2"/>
    <w:rsid w:val="00DF64FD"/>
    <w:rsid w:val="00DF6DA5"/>
    <w:rsid w:val="00E046C0"/>
    <w:rsid w:val="00E07CEA"/>
    <w:rsid w:val="00E11E4D"/>
    <w:rsid w:val="00E12B72"/>
    <w:rsid w:val="00E15E6F"/>
    <w:rsid w:val="00E24DED"/>
    <w:rsid w:val="00E24F7E"/>
    <w:rsid w:val="00E2715F"/>
    <w:rsid w:val="00E30428"/>
    <w:rsid w:val="00E3672D"/>
    <w:rsid w:val="00E3768B"/>
    <w:rsid w:val="00E40414"/>
    <w:rsid w:val="00E4227E"/>
    <w:rsid w:val="00E42645"/>
    <w:rsid w:val="00E5291B"/>
    <w:rsid w:val="00E5465F"/>
    <w:rsid w:val="00E54BF2"/>
    <w:rsid w:val="00E57792"/>
    <w:rsid w:val="00E60B20"/>
    <w:rsid w:val="00E60F3D"/>
    <w:rsid w:val="00E61F15"/>
    <w:rsid w:val="00E71823"/>
    <w:rsid w:val="00E72C70"/>
    <w:rsid w:val="00E814A6"/>
    <w:rsid w:val="00E8181C"/>
    <w:rsid w:val="00E82EF7"/>
    <w:rsid w:val="00E830FD"/>
    <w:rsid w:val="00E8507E"/>
    <w:rsid w:val="00E86A9E"/>
    <w:rsid w:val="00E90034"/>
    <w:rsid w:val="00E938B7"/>
    <w:rsid w:val="00E96EDC"/>
    <w:rsid w:val="00EA0C89"/>
    <w:rsid w:val="00EA3AD2"/>
    <w:rsid w:val="00EA4509"/>
    <w:rsid w:val="00EA528F"/>
    <w:rsid w:val="00EB09BC"/>
    <w:rsid w:val="00EB3DCA"/>
    <w:rsid w:val="00EB4A45"/>
    <w:rsid w:val="00EB4EC0"/>
    <w:rsid w:val="00EC173F"/>
    <w:rsid w:val="00EC304A"/>
    <w:rsid w:val="00EC6AF3"/>
    <w:rsid w:val="00EC71B0"/>
    <w:rsid w:val="00EC73B1"/>
    <w:rsid w:val="00ED04FD"/>
    <w:rsid w:val="00ED2113"/>
    <w:rsid w:val="00ED65D1"/>
    <w:rsid w:val="00EE0673"/>
    <w:rsid w:val="00EE1F1C"/>
    <w:rsid w:val="00EE64FD"/>
    <w:rsid w:val="00EF0905"/>
    <w:rsid w:val="00EF10C1"/>
    <w:rsid w:val="00EF3AC8"/>
    <w:rsid w:val="00F04A6F"/>
    <w:rsid w:val="00F1695B"/>
    <w:rsid w:val="00F2005F"/>
    <w:rsid w:val="00F22E7F"/>
    <w:rsid w:val="00F24068"/>
    <w:rsid w:val="00F2476A"/>
    <w:rsid w:val="00F2613F"/>
    <w:rsid w:val="00F33104"/>
    <w:rsid w:val="00F52B5C"/>
    <w:rsid w:val="00F534CC"/>
    <w:rsid w:val="00F53E22"/>
    <w:rsid w:val="00F562D5"/>
    <w:rsid w:val="00F57AF8"/>
    <w:rsid w:val="00F6085E"/>
    <w:rsid w:val="00F66CAB"/>
    <w:rsid w:val="00F67A15"/>
    <w:rsid w:val="00F73E87"/>
    <w:rsid w:val="00F759C9"/>
    <w:rsid w:val="00F80650"/>
    <w:rsid w:val="00F80967"/>
    <w:rsid w:val="00F941F1"/>
    <w:rsid w:val="00FA25E8"/>
    <w:rsid w:val="00FA2B89"/>
    <w:rsid w:val="00FA33C9"/>
    <w:rsid w:val="00FA4B98"/>
    <w:rsid w:val="00FB2C84"/>
    <w:rsid w:val="00FB326A"/>
    <w:rsid w:val="00FC0178"/>
    <w:rsid w:val="00FC214E"/>
    <w:rsid w:val="00FC3ACB"/>
    <w:rsid w:val="00FD1626"/>
    <w:rsid w:val="00FD2B48"/>
    <w:rsid w:val="00FD362C"/>
    <w:rsid w:val="00FD560B"/>
    <w:rsid w:val="00FD707B"/>
    <w:rsid w:val="00FD79CA"/>
    <w:rsid w:val="00FE10A0"/>
    <w:rsid w:val="00FE28B1"/>
    <w:rsid w:val="00FE3402"/>
    <w:rsid w:val="00FE79EA"/>
    <w:rsid w:val="00FF24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683B"/>
  <w15:chartTrackingRefBased/>
  <w15:docId w15:val="{0CC50D50-4907-4F8C-B18E-1B36E15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qFormat/>
    <w:rsid w:val="00FF2491"/>
    <w:pPr>
      <w:numPr>
        <w:ilvl w:val="0"/>
        <w:numId w:val="0"/>
      </w:numPr>
    </w:pPr>
  </w:style>
  <w:style w:type="paragraph" w:customStyle="1" w:styleId="NoNumberHeading3">
    <w:name w:val="No Number Heading 3"/>
    <w:basedOn w:val="Heading3"/>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B736DC"/>
    <w:rPr>
      <w:i/>
      <w:color w:val="808080" w:themeColor="background1" w:themeShade="80"/>
      <w:sz w:val="18"/>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us01.safelinks.protection.outlook.com/?url=http%3A%2F%2Fwww.ird.govt.nz%2Fabout-us%2Fvideos%2Fwebinars%2F2022-changes%2Ftrusts&amp;data=04%7C01%7CCarl.Harris%40ird.govt.nz%7C70e8120c56794ab2dab908da025ae798%7Cfb39e3e923a9404e93a2b42a87d94f35%7C1%7C0%7C637824886696091435%7CUnknown%7CTWFpbGZsb3d8eyJWIjoiMC4wLjAwMDAiLCJQIjoiV2luMzIiLCJBTiI6Ik1haWwiLCJXVCI6Mn0%3D%7C3000&amp;sdata=iwPAYTD9ASjhEdocoMu9f%2FkiG1hSMf0vqIiSQyqXGak%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1584</Words>
  <Characters>8573</Characters>
  <Application>Microsoft Office Word</Application>
  <DocSecurity>0</DocSecurity>
  <Lines>190</Lines>
  <Paragraphs>120</Paragraphs>
  <ScaleCrop>false</ScaleCrop>
  <HeadingPairs>
    <vt:vector size="2" baseType="variant">
      <vt:variant>
        <vt:lpstr>Title</vt:lpstr>
      </vt:variant>
      <vt:variant>
        <vt:i4>1</vt:i4>
      </vt:variant>
    </vt:vector>
  </HeadingPairs>
  <TitlesOfParts>
    <vt:vector size="1" baseType="lpstr">
      <vt:lpstr>Tax Administration (Financial Statements—Domestic Trusts) Order 2022 - special report (March)</vt:lpstr>
    </vt:vector>
  </TitlesOfParts>
  <Company>Inland Revenue</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Administration (Financial Statements—Domestic Trusts) Order 2022 - special report (March)</dc:title>
  <dc:subject/>
  <dc:creator>Policy and Regulatory Stewardship</dc:creator>
  <cp:keywords/>
  <dc:description/>
  <dcterms:created xsi:type="dcterms:W3CDTF">2022-03-11T02:35:00Z</dcterms:created>
  <dcterms:modified xsi:type="dcterms:W3CDTF">2022-03-11T02:35:00Z</dcterms:modified>
  <cp:contentStatus/>
</cp:coreProperties>
</file>