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1E7" w14:textId="69DAE599" w:rsidR="00011F57" w:rsidRDefault="00011F57" w:rsidP="009C34EC">
      <w:pPr>
        <w:spacing w:before="0" w:line="259" w:lineRule="auto"/>
        <w:rPr>
          <w:rFonts w:ascii="Segoe UI Light" w:hAnsi="Segoe UI Light"/>
          <w:b/>
          <w:sz w:val="28"/>
        </w:rPr>
      </w:pPr>
    </w:p>
    <w:p w14:paraId="0DA6FC52"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9875266" w14:textId="573EAB12" w:rsidR="00282ECC" w:rsidRDefault="00282ECC" w:rsidP="009C34EC">
          <w:pPr>
            <w:spacing w:before="0" w:line="259" w:lineRule="auto"/>
            <w:rPr>
              <w:rStyle w:val="TitleChar"/>
              <w:sz w:val="24"/>
              <w:szCs w:val="24"/>
            </w:rPr>
          </w:pPr>
        </w:p>
        <w:p w14:paraId="0770F7D6" w14:textId="40FAE05A"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4B1242" w:rsidRPr="004B1242">
            <w:rPr>
              <w:b w:val="0"/>
              <w:bCs/>
            </w:rPr>
            <w:t>SPECIAL REPORT</w:t>
          </w:r>
        </w:p>
        <w:p w14:paraId="13E08BFC" w14:textId="7C30B227" w:rsidR="00A4149F" w:rsidRPr="00A4149F" w:rsidRDefault="009D1747" w:rsidP="00A4149F">
          <w:pPr>
            <w:spacing w:before="0" w:after="0" w:line="240" w:lineRule="auto"/>
            <w:contextualSpacing/>
            <w:rPr>
              <w:rFonts w:ascii="Segoe UI Black" w:eastAsiaTheme="majorEastAsia" w:hAnsi="Segoe UI Black" w:cstheme="majorBidi"/>
              <w:color w:val="auto"/>
              <w:spacing w:val="-10"/>
              <w:kern w:val="28"/>
              <w:sz w:val="44"/>
              <w:szCs w:val="56"/>
            </w:rPr>
          </w:pPr>
          <w:r w:rsidRPr="009D1747">
            <w:rPr>
              <w:rFonts w:ascii="Segoe UI Black" w:eastAsiaTheme="majorEastAsia" w:hAnsi="Segoe UI Black" w:cstheme="majorBidi"/>
              <w:color w:val="auto"/>
              <w:spacing w:val="-10"/>
              <w:kern w:val="28"/>
              <w:sz w:val="44"/>
              <w:szCs w:val="56"/>
            </w:rPr>
            <w:t>Taxation (</w:t>
          </w:r>
          <w:r w:rsidR="00E7337F">
            <w:rPr>
              <w:rFonts w:ascii="Segoe UI Black" w:eastAsiaTheme="majorEastAsia" w:hAnsi="Segoe UI Black" w:cstheme="majorBidi"/>
              <w:color w:val="auto"/>
              <w:spacing w:val="-10"/>
              <w:kern w:val="28"/>
              <w:sz w:val="44"/>
              <w:szCs w:val="56"/>
            </w:rPr>
            <w:t>Cost of Living Payments</w:t>
          </w:r>
          <w:r w:rsidRPr="009D1747">
            <w:rPr>
              <w:rFonts w:ascii="Segoe UI Black" w:eastAsiaTheme="majorEastAsia" w:hAnsi="Segoe UI Black" w:cstheme="majorBidi"/>
              <w:color w:val="auto"/>
              <w:spacing w:val="-10"/>
              <w:kern w:val="28"/>
              <w:sz w:val="44"/>
              <w:szCs w:val="56"/>
            </w:rPr>
            <w:t>) Act 20</w:t>
          </w:r>
          <w:r w:rsidR="00941BF3">
            <w:rPr>
              <w:rFonts w:ascii="Segoe UI Black" w:eastAsiaTheme="majorEastAsia" w:hAnsi="Segoe UI Black" w:cstheme="majorBidi"/>
              <w:color w:val="auto"/>
              <w:spacing w:val="-10"/>
              <w:kern w:val="28"/>
              <w:sz w:val="44"/>
              <w:szCs w:val="56"/>
            </w:rPr>
            <w:t>2</w:t>
          </w:r>
          <w:r w:rsidR="00893290">
            <w:rPr>
              <w:rFonts w:ascii="Segoe UI Black" w:eastAsiaTheme="majorEastAsia" w:hAnsi="Segoe UI Black" w:cstheme="majorBidi"/>
              <w:color w:val="auto"/>
              <w:spacing w:val="-10"/>
              <w:kern w:val="28"/>
              <w:sz w:val="44"/>
              <w:szCs w:val="56"/>
            </w:rPr>
            <w:t>2</w:t>
          </w:r>
        </w:p>
        <w:p w14:paraId="591D5B67" w14:textId="77777777" w:rsidR="00902E79" w:rsidRPr="00A4149F" w:rsidRDefault="00902E79" w:rsidP="00902E79">
          <w:pPr>
            <w:pStyle w:val="DocumentDate"/>
          </w:pPr>
        </w:p>
        <w:tbl>
          <w:tblPr>
            <w:tblStyle w:val="IR-ShoulderNumberTable"/>
            <w:tblW w:w="0" w:type="auto"/>
            <w:tblLook w:val="04A0" w:firstRow="1" w:lastRow="0" w:firstColumn="1" w:lastColumn="0" w:noHBand="0" w:noVBand="1"/>
          </w:tblPr>
          <w:tblGrid>
            <w:gridCol w:w="3544"/>
          </w:tblGrid>
          <w:tr w:rsidR="00902E79" w:rsidRPr="00A4149F" w14:paraId="2F57DA32" w14:textId="77777777" w:rsidTr="00D16545">
            <w:tc>
              <w:tcPr>
                <w:tcW w:w="3544" w:type="dxa"/>
              </w:tcPr>
              <w:p w14:paraId="564850FD" w14:textId="53E231E1" w:rsidR="00902E79" w:rsidRPr="00DE7CEF" w:rsidRDefault="00902E79" w:rsidP="00D16545">
                <w:pPr>
                  <w:pStyle w:val="PublicationNumber"/>
                </w:pPr>
                <w:bookmarkStart w:id="1" w:name="_Hlk14700370"/>
                <w:r w:rsidRPr="009D1747">
                  <w:t xml:space="preserve">Public </w:t>
                </w:r>
                <w:r>
                  <w:t xml:space="preserve">Act </w:t>
                </w:r>
                <w:r w:rsidR="00DD2E9F">
                  <w:t xml:space="preserve">2022 </w:t>
                </w:r>
                <w:r w:rsidR="009A13A5">
                  <w:t xml:space="preserve">No </w:t>
                </w:r>
                <w:r w:rsidR="00E1533F">
                  <w:t>25</w:t>
                </w:r>
              </w:p>
            </w:tc>
          </w:tr>
          <w:bookmarkEnd w:id="1"/>
        </w:tbl>
        <w:p w14:paraId="585A734C" w14:textId="77777777" w:rsidR="00902E79" w:rsidRDefault="00902E79" w:rsidP="00902E79"/>
        <w:p w14:paraId="21D7995A" w14:textId="443A6097" w:rsidR="00282ECC" w:rsidRDefault="00A4149F" w:rsidP="002546C5">
          <w:pPr>
            <w:pStyle w:val="DocumentDate"/>
          </w:pPr>
          <w:r w:rsidRPr="00A4149F">
            <w:t xml:space="preserve">Issued: </w:t>
          </w:r>
          <w:bookmarkEnd w:id="0"/>
          <w:r w:rsidR="00B41531">
            <w:t>22</w:t>
          </w:r>
          <w:r w:rsidR="00D3651D">
            <w:t xml:space="preserve"> July</w:t>
          </w:r>
          <w:r w:rsidR="00E7337F">
            <w:t xml:space="preserve"> </w:t>
          </w:r>
          <w:r w:rsidR="002546C5">
            <w:t>202</w:t>
          </w:r>
          <w:r w:rsidR="00E7337F">
            <w:t>2</w:t>
          </w:r>
        </w:p>
        <w:p w14:paraId="6722D128" w14:textId="38946FEB" w:rsidR="00C96A21" w:rsidRDefault="009D1747" w:rsidP="0CD9BEC9">
          <w:pPr>
            <w:pStyle w:val="CoverPageSummary"/>
            <w:rPr>
              <w:highlight w:val="yellow"/>
            </w:rPr>
          </w:pPr>
          <w:r>
            <w:t xml:space="preserve">The new legislation allows </w:t>
          </w:r>
          <w:r w:rsidR="002A2E62">
            <w:t xml:space="preserve">the Commissioner of Inland Revenue to make payments to eligible individuals </w:t>
          </w:r>
          <w:r w:rsidR="00C054CA">
            <w:t xml:space="preserve">under the </w:t>
          </w:r>
          <w:proofErr w:type="gramStart"/>
          <w:r w:rsidR="00C054CA">
            <w:t>Cost of Living</w:t>
          </w:r>
          <w:proofErr w:type="gramEnd"/>
          <w:r w:rsidR="00C054CA">
            <w:t xml:space="preserve"> Payments</w:t>
          </w:r>
          <w:r w:rsidR="006A5FD5">
            <w:t xml:space="preserve"> Scheme </w:t>
          </w:r>
          <w:r w:rsidR="00321643">
            <w:t xml:space="preserve">and to administer the scheme </w:t>
          </w:r>
          <w:r w:rsidR="00C23B9E">
            <w:t>on behalf of the Government</w:t>
          </w:r>
          <w:r>
            <w:t>.</w:t>
          </w:r>
          <w:r w:rsidR="00243F3D">
            <w:t xml:space="preserve"> This </w:t>
          </w:r>
          <w:r w:rsidR="00B41531">
            <w:t>s</w:t>
          </w:r>
          <w:r w:rsidR="00DC7639">
            <w:t>pecia</w:t>
          </w:r>
          <w:r w:rsidR="009E7760">
            <w:t>l</w:t>
          </w:r>
          <w:r w:rsidR="00DC7639">
            <w:t xml:space="preserve"> </w:t>
          </w:r>
          <w:r w:rsidR="00B41531">
            <w:t>r</w:t>
          </w:r>
          <w:r w:rsidR="00DC7639">
            <w:t xml:space="preserve">eport provides a detailed overview of the scheme, </w:t>
          </w:r>
          <w:r w:rsidR="003673F6">
            <w:t xml:space="preserve">including eligibility criteria, </w:t>
          </w:r>
          <w:r w:rsidR="00DC7639">
            <w:t>followed by a detailed analysis of the legislative amendment</w:t>
          </w:r>
          <w:r w:rsidR="009E7760">
            <w:t>.</w:t>
          </w:r>
        </w:p>
        <w:p w14:paraId="5F8906ED" w14:textId="77777777" w:rsidR="00DA4CF0" w:rsidRPr="00DA4CF0" w:rsidRDefault="00C96A21" w:rsidP="009D1747">
          <w:pPr>
            <w:spacing w:before="0" w:line="259" w:lineRule="auto"/>
          </w:pPr>
          <w:r>
            <w:br w:type="page"/>
          </w:r>
        </w:p>
      </w:sdtContent>
    </w:sdt>
    <w:p w14:paraId="26DB95E7" w14:textId="77777777" w:rsidR="00A4149F" w:rsidRPr="00C96A21" w:rsidRDefault="00A4149F" w:rsidP="00C96A21">
      <w:pPr>
        <w:pStyle w:val="TOCHeader"/>
      </w:pPr>
      <w:r>
        <w:lastRenderedPageBreak/>
        <w:t>Table of Contents</w:t>
      </w:r>
    </w:p>
    <w:p w14:paraId="64D91B83" w14:textId="3AF6FC3A" w:rsidR="009966A3" w:rsidRDefault="0CD9BEC9">
      <w:pPr>
        <w:pStyle w:val="TOC1"/>
        <w:rPr>
          <w:rFonts w:asciiTheme="minorHAnsi" w:eastAsiaTheme="minorEastAsia" w:hAnsiTheme="minorHAnsi"/>
          <w:noProof/>
          <w:color w:val="auto"/>
          <w:lang w:eastAsia="en-NZ"/>
        </w:rPr>
      </w:pPr>
      <w:r>
        <w:fldChar w:fldCharType="begin"/>
      </w:r>
      <w:r w:rsidR="000E1426">
        <w:instrText>TOC \o "1-1" \h \z \u</w:instrText>
      </w:r>
      <w:r>
        <w:fldChar w:fldCharType="separate"/>
      </w:r>
      <w:hyperlink w:anchor="_Toc109392575" w:history="1">
        <w:r w:rsidR="009966A3" w:rsidRPr="00023F94">
          <w:rPr>
            <w:rStyle w:val="Hyperlink"/>
            <w:noProof/>
          </w:rPr>
          <w:t>Overview of the payments scheme</w:t>
        </w:r>
        <w:r w:rsidR="009966A3">
          <w:rPr>
            <w:noProof/>
            <w:webHidden/>
          </w:rPr>
          <w:tab/>
        </w:r>
        <w:r w:rsidR="009966A3">
          <w:rPr>
            <w:noProof/>
            <w:webHidden/>
          </w:rPr>
          <w:fldChar w:fldCharType="begin"/>
        </w:r>
        <w:r w:rsidR="009966A3">
          <w:rPr>
            <w:noProof/>
            <w:webHidden/>
          </w:rPr>
          <w:instrText xml:space="preserve"> PAGEREF _Toc109392575 \h </w:instrText>
        </w:r>
        <w:r w:rsidR="009966A3">
          <w:rPr>
            <w:noProof/>
            <w:webHidden/>
          </w:rPr>
        </w:r>
        <w:r w:rsidR="009966A3">
          <w:rPr>
            <w:noProof/>
            <w:webHidden/>
          </w:rPr>
          <w:fldChar w:fldCharType="separate"/>
        </w:r>
        <w:r w:rsidR="009966A3">
          <w:rPr>
            <w:noProof/>
            <w:webHidden/>
          </w:rPr>
          <w:t>2</w:t>
        </w:r>
        <w:r w:rsidR="009966A3">
          <w:rPr>
            <w:noProof/>
            <w:webHidden/>
          </w:rPr>
          <w:fldChar w:fldCharType="end"/>
        </w:r>
      </w:hyperlink>
    </w:p>
    <w:p w14:paraId="78014C00" w14:textId="32F327DF" w:rsidR="009966A3" w:rsidRDefault="0017698E">
      <w:pPr>
        <w:pStyle w:val="TOC1"/>
        <w:rPr>
          <w:rFonts w:asciiTheme="minorHAnsi" w:eastAsiaTheme="minorEastAsia" w:hAnsiTheme="minorHAnsi"/>
          <w:noProof/>
          <w:color w:val="auto"/>
          <w:lang w:eastAsia="en-NZ"/>
        </w:rPr>
      </w:pPr>
      <w:hyperlink w:anchor="_Toc109392576" w:history="1">
        <w:r w:rsidR="009966A3" w:rsidRPr="00023F94">
          <w:rPr>
            <w:rStyle w:val="Hyperlink"/>
            <w:noProof/>
          </w:rPr>
          <w:t>Eligibility</w:t>
        </w:r>
        <w:r w:rsidR="009966A3">
          <w:rPr>
            <w:noProof/>
            <w:webHidden/>
          </w:rPr>
          <w:tab/>
        </w:r>
        <w:r w:rsidR="009966A3">
          <w:rPr>
            <w:noProof/>
            <w:webHidden/>
          </w:rPr>
          <w:fldChar w:fldCharType="begin"/>
        </w:r>
        <w:r w:rsidR="009966A3">
          <w:rPr>
            <w:noProof/>
            <w:webHidden/>
          </w:rPr>
          <w:instrText xml:space="preserve"> PAGEREF _Toc109392576 \h </w:instrText>
        </w:r>
        <w:r w:rsidR="009966A3">
          <w:rPr>
            <w:noProof/>
            <w:webHidden/>
          </w:rPr>
        </w:r>
        <w:r w:rsidR="009966A3">
          <w:rPr>
            <w:noProof/>
            <w:webHidden/>
          </w:rPr>
          <w:fldChar w:fldCharType="separate"/>
        </w:r>
        <w:r w:rsidR="009966A3">
          <w:rPr>
            <w:noProof/>
            <w:webHidden/>
          </w:rPr>
          <w:t>2</w:t>
        </w:r>
        <w:r w:rsidR="009966A3">
          <w:rPr>
            <w:noProof/>
            <w:webHidden/>
          </w:rPr>
          <w:fldChar w:fldCharType="end"/>
        </w:r>
      </w:hyperlink>
    </w:p>
    <w:p w14:paraId="64CD8CEA" w14:textId="5D5F582E" w:rsidR="009966A3" w:rsidRDefault="0017698E">
      <w:pPr>
        <w:pStyle w:val="TOC1"/>
        <w:rPr>
          <w:rFonts w:asciiTheme="minorHAnsi" w:eastAsiaTheme="minorEastAsia" w:hAnsiTheme="minorHAnsi"/>
          <w:noProof/>
          <w:color w:val="auto"/>
          <w:lang w:eastAsia="en-NZ"/>
        </w:rPr>
      </w:pPr>
      <w:hyperlink w:anchor="_Toc109392577" w:history="1">
        <w:r w:rsidR="009966A3" w:rsidRPr="00023F94">
          <w:rPr>
            <w:rStyle w:val="Hyperlink"/>
            <w:noProof/>
          </w:rPr>
          <w:t>Tax and social policy treatment</w:t>
        </w:r>
        <w:r w:rsidR="009966A3">
          <w:rPr>
            <w:noProof/>
            <w:webHidden/>
          </w:rPr>
          <w:tab/>
        </w:r>
        <w:r w:rsidR="009966A3">
          <w:rPr>
            <w:noProof/>
            <w:webHidden/>
          </w:rPr>
          <w:fldChar w:fldCharType="begin"/>
        </w:r>
        <w:r w:rsidR="009966A3">
          <w:rPr>
            <w:noProof/>
            <w:webHidden/>
          </w:rPr>
          <w:instrText xml:space="preserve"> PAGEREF _Toc109392577 \h </w:instrText>
        </w:r>
        <w:r w:rsidR="009966A3">
          <w:rPr>
            <w:noProof/>
            <w:webHidden/>
          </w:rPr>
        </w:r>
        <w:r w:rsidR="009966A3">
          <w:rPr>
            <w:noProof/>
            <w:webHidden/>
          </w:rPr>
          <w:fldChar w:fldCharType="separate"/>
        </w:r>
        <w:r w:rsidR="009966A3">
          <w:rPr>
            <w:noProof/>
            <w:webHidden/>
          </w:rPr>
          <w:t>4</w:t>
        </w:r>
        <w:r w:rsidR="009966A3">
          <w:rPr>
            <w:noProof/>
            <w:webHidden/>
          </w:rPr>
          <w:fldChar w:fldCharType="end"/>
        </w:r>
      </w:hyperlink>
    </w:p>
    <w:p w14:paraId="3CA3E305" w14:textId="4F594962" w:rsidR="009966A3" w:rsidRDefault="0017698E">
      <w:pPr>
        <w:pStyle w:val="TOC1"/>
        <w:rPr>
          <w:rFonts w:asciiTheme="minorHAnsi" w:eastAsiaTheme="minorEastAsia" w:hAnsiTheme="minorHAnsi"/>
          <w:noProof/>
          <w:color w:val="auto"/>
          <w:lang w:eastAsia="en-NZ"/>
        </w:rPr>
      </w:pPr>
      <w:hyperlink w:anchor="_Toc109392578" w:history="1">
        <w:r w:rsidR="009966A3" w:rsidRPr="00023F94">
          <w:rPr>
            <w:rStyle w:val="Hyperlink"/>
            <w:noProof/>
          </w:rPr>
          <w:t>Criteria in more detail</w:t>
        </w:r>
        <w:r w:rsidR="009966A3">
          <w:rPr>
            <w:noProof/>
            <w:webHidden/>
          </w:rPr>
          <w:tab/>
        </w:r>
        <w:r w:rsidR="009966A3">
          <w:rPr>
            <w:noProof/>
            <w:webHidden/>
          </w:rPr>
          <w:fldChar w:fldCharType="begin"/>
        </w:r>
        <w:r w:rsidR="009966A3">
          <w:rPr>
            <w:noProof/>
            <w:webHidden/>
          </w:rPr>
          <w:instrText xml:space="preserve"> PAGEREF _Toc109392578 \h </w:instrText>
        </w:r>
        <w:r w:rsidR="009966A3">
          <w:rPr>
            <w:noProof/>
            <w:webHidden/>
          </w:rPr>
        </w:r>
        <w:r w:rsidR="009966A3">
          <w:rPr>
            <w:noProof/>
            <w:webHidden/>
          </w:rPr>
          <w:fldChar w:fldCharType="separate"/>
        </w:r>
        <w:r w:rsidR="009966A3">
          <w:rPr>
            <w:noProof/>
            <w:webHidden/>
          </w:rPr>
          <w:t>4</w:t>
        </w:r>
        <w:r w:rsidR="009966A3">
          <w:rPr>
            <w:noProof/>
            <w:webHidden/>
          </w:rPr>
          <w:fldChar w:fldCharType="end"/>
        </w:r>
      </w:hyperlink>
    </w:p>
    <w:p w14:paraId="764913E0" w14:textId="24466B8F" w:rsidR="009966A3" w:rsidRDefault="0017698E">
      <w:pPr>
        <w:pStyle w:val="TOC1"/>
        <w:rPr>
          <w:rFonts w:asciiTheme="minorHAnsi" w:eastAsiaTheme="minorEastAsia" w:hAnsiTheme="minorHAnsi"/>
          <w:noProof/>
          <w:color w:val="auto"/>
          <w:lang w:eastAsia="en-NZ"/>
        </w:rPr>
      </w:pPr>
      <w:hyperlink w:anchor="_Toc109392579" w:history="1">
        <w:r w:rsidR="009966A3" w:rsidRPr="00023F94">
          <w:rPr>
            <w:rStyle w:val="Hyperlink"/>
            <w:noProof/>
          </w:rPr>
          <w:t>Overview of the legislative change</w:t>
        </w:r>
        <w:r w:rsidR="009966A3">
          <w:rPr>
            <w:noProof/>
            <w:webHidden/>
          </w:rPr>
          <w:tab/>
        </w:r>
        <w:r w:rsidR="009966A3">
          <w:rPr>
            <w:noProof/>
            <w:webHidden/>
          </w:rPr>
          <w:fldChar w:fldCharType="begin"/>
        </w:r>
        <w:r w:rsidR="009966A3">
          <w:rPr>
            <w:noProof/>
            <w:webHidden/>
          </w:rPr>
          <w:instrText xml:space="preserve"> PAGEREF _Toc109392579 \h </w:instrText>
        </w:r>
        <w:r w:rsidR="009966A3">
          <w:rPr>
            <w:noProof/>
            <w:webHidden/>
          </w:rPr>
        </w:r>
        <w:r w:rsidR="009966A3">
          <w:rPr>
            <w:noProof/>
            <w:webHidden/>
          </w:rPr>
          <w:fldChar w:fldCharType="separate"/>
        </w:r>
        <w:r w:rsidR="009966A3">
          <w:rPr>
            <w:noProof/>
            <w:webHidden/>
          </w:rPr>
          <w:t>9</w:t>
        </w:r>
        <w:r w:rsidR="009966A3">
          <w:rPr>
            <w:noProof/>
            <w:webHidden/>
          </w:rPr>
          <w:fldChar w:fldCharType="end"/>
        </w:r>
      </w:hyperlink>
    </w:p>
    <w:p w14:paraId="6C8C6924" w14:textId="5B536B3E" w:rsidR="009966A3" w:rsidRDefault="0017698E">
      <w:pPr>
        <w:pStyle w:val="TOC1"/>
        <w:rPr>
          <w:rFonts w:asciiTheme="minorHAnsi" w:eastAsiaTheme="minorEastAsia" w:hAnsiTheme="minorHAnsi"/>
          <w:noProof/>
          <w:color w:val="auto"/>
          <w:lang w:eastAsia="en-NZ"/>
        </w:rPr>
      </w:pPr>
      <w:hyperlink w:anchor="_Toc109392580" w:history="1">
        <w:r w:rsidR="009966A3" w:rsidRPr="00023F94">
          <w:rPr>
            <w:rStyle w:val="Hyperlink"/>
            <w:noProof/>
          </w:rPr>
          <w:t>Cost of Living Payments Scheme</w:t>
        </w:r>
        <w:r w:rsidR="009966A3">
          <w:rPr>
            <w:noProof/>
            <w:webHidden/>
          </w:rPr>
          <w:tab/>
        </w:r>
        <w:r w:rsidR="009966A3">
          <w:rPr>
            <w:noProof/>
            <w:webHidden/>
          </w:rPr>
          <w:fldChar w:fldCharType="begin"/>
        </w:r>
        <w:r w:rsidR="009966A3">
          <w:rPr>
            <w:noProof/>
            <w:webHidden/>
          </w:rPr>
          <w:instrText xml:space="preserve"> PAGEREF _Toc109392580 \h </w:instrText>
        </w:r>
        <w:r w:rsidR="009966A3">
          <w:rPr>
            <w:noProof/>
            <w:webHidden/>
          </w:rPr>
        </w:r>
        <w:r w:rsidR="009966A3">
          <w:rPr>
            <w:noProof/>
            <w:webHidden/>
          </w:rPr>
          <w:fldChar w:fldCharType="separate"/>
        </w:r>
        <w:r w:rsidR="009966A3">
          <w:rPr>
            <w:noProof/>
            <w:webHidden/>
          </w:rPr>
          <w:t>9</w:t>
        </w:r>
        <w:r w:rsidR="009966A3">
          <w:rPr>
            <w:noProof/>
            <w:webHidden/>
          </w:rPr>
          <w:fldChar w:fldCharType="end"/>
        </w:r>
      </w:hyperlink>
    </w:p>
    <w:p w14:paraId="61AA7227" w14:textId="5692F3FF" w:rsidR="009966A3" w:rsidRDefault="0017698E">
      <w:pPr>
        <w:pStyle w:val="TOC1"/>
        <w:rPr>
          <w:rFonts w:asciiTheme="minorHAnsi" w:eastAsiaTheme="minorEastAsia" w:hAnsiTheme="minorHAnsi"/>
          <w:noProof/>
          <w:color w:val="auto"/>
          <w:lang w:eastAsia="en-NZ"/>
        </w:rPr>
      </w:pPr>
      <w:hyperlink w:anchor="_Toc109392581" w:history="1">
        <w:r w:rsidR="009966A3" w:rsidRPr="00023F94">
          <w:rPr>
            <w:rStyle w:val="Hyperlink"/>
            <w:noProof/>
          </w:rPr>
          <w:t>References</w:t>
        </w:r>
        <w:r w:rsidR="009966A3">
          <w:rPr>
            <w:noProof/>
            <w:webHidden/>
          </w:rPr>
          <w:tab/>
        </w:r>
        <w:r w:rsidR="009966A3">
          <w:rPr>
            <w:noProof/>
            <w:webHidden/>
          </w:rPr>
          <w:fldChar w:fldCharType="begin"/>
        </w:r>
        <w:r w:rsidR="009966A3">
          <w:rPr>
            <w:noProof/>
            <w:webHidden/>
          </w:rPr>
          <w:instrText xml:space="preserve"> PAGEREF _Toc109392581 \h </w:instrText>
        </w:r>
        <w:r w:rsidR="009966A3">
          <w:rPr>
            <w:noProof/>
            <w:webHidden/>
          </w:rPr>
        </w:r>
        <w:r w:rsidR="009966A3">
          <w:rPr>
            <w:noProof/>
            <w:webHidden/>
          </w:rPr>
          <w:fldChar w:fldCharType="separate"/>
        </w:r>
        <w:r w:rsidR="009966A3">
          <w:rPr>
            <w:noProof/>
            <w:webHidden/>
          </w:rPr>
          <w:t>14</w:t>
        </w:r>
        <w:r w:rsidR="009966A3">
          <w:rPr>
            <w:noProof/>
            <w:webHidden/>
          </w:rPr>
          <w:fldChar w:fldCharType="end"/>
        </w:r>
      </w:hyperlink>
    </w:p>
    <w:p w14:paraId="62EA278B" w14:textId="4B04B784" w:rsidR="009966A3" w:rsidRDefault="0017698E">
      <w:pPr>
        <w:pStyle w:val="TOC1"/>
        <w:rPr>
          <w:rFonts w:asciiTheme="minorHAnsi" w:eastAsiaTheme="minorEastAsia" w:hAnsiTheme="minorHAnsi"/>
          <w:noProof/>
          <w:color w:val="auto"/>
          <w:lang w:eastAsia="en-NZ"/>
        </w:rPr>
      </w:pPr>
      <w:hyperlink w:anchor="_Toc109392582" w:history="1">
        <w:r w:rsidR="009966A3" w:rsidRPr="00023F94">
          <w:rPr>
            <w:rStyle w:val="Hyperlink"/>
            <w:noProof/>
          </w:rPr>
          <w:t>About this document</w:t>
        </w:r>
        <w:r w:rsidR="009966A3">
          <w:rPr>
            <w:noProof/>
            <w:webHidden/>
          </w:rPr>
          <w:tab/>
        </w:r>
        <w:r w:rsidR="009966A3">
          <w:rPr>
            <w:noProof/>
            <w:webHidden/>
          </w:rPr>
          <w:fldChar w:fldCharType="begin"/>
        </w:r>
        <w:r w:rsidR="009966A3">
          <w:rPr>
            <w:noProof/>
            <w:webHidden/>
          </w:rPr>
          <w:instrText xml:space="preserve"> PAGEREF _Toc109392582 \h </w:instrText>
        </w:r>
        <w:r w:rsidR="009966A3">
          <w:rPr>
            <w:noProof/>
            <w:webHidden/>
          </w:rPr>
        </w:r>
        <w:r w:rsidR="009966A3">
          <w:rPr>
            <w:noProof/>
            <w:webHidden/>
          </w:rPr>
          <w:fldChar w:fldCharType="separate"/>
        </w:r>
        <w:r w:rsidR="009966A3">
          <w:rPr>
            <w:noProof/>
            <w:webHidden/>
          </w:rPr>
          <w:t>14</w:t>
        </w:r>
        <w:r w:rsidR="009966A3">
          <w:rPr>
            <w:noProof/>
            <w:webHidden/>
          </w:rPr>
          <w:fldChar w:fldCharType="end"/>
        </w:r>
      </w:hyperlink>
    </w:p>
    <w:p w14:paraId="2BC5541A" w14:textId="4BFBF67B" w:rsidR="0CD9BEC9" w:rsidRDefault="0CD9BEC9" w:rsidP="0CD9BEC9">
      <w:pPr>
        <w:pStyle w:val="TOC1"/>
        <w:tabs>
          <w:tab w:val="clear" w:pos="9016"/>
          <w:tab w:val="right" w:leader="dot" w:pos="9015"/>
        </w:tabs>
        <w:rPr>
          <w:rFonts w:eastAsia="Calibri"/>
        </w:rPr>
      </w:pPr>
      <w:r>
        <w:fldChar w:fldCharType="end"/>
      </w:r>
    </w:p>
    <w:p w14:paraId="4ABDEA3B" w14:textId="50A03295" w:rsidR="00B65C4B" w:rsidRDefault="000E1426" w:rsidP="000E1426">
      <w:r>
        <w:br w:type="page"/>
      </w:r>
    </w:p>
    <w:p w14:paraId="0F4E2C60" w14:textId="5E00BF31" w:rsidR="00CC13B4" w:rsidRDefault="000654C4" w:rsidP="0CD9BEC9">
      <w:pPr>
        <w:pStyle w:val="NoNumberHeading1"/>
      </w:pPr>
      <w:bookmarkStart w:id="2" w:name="_Toc109392575"/>
      <w:r>
        <w:lastRenderedPageBreak/>
        <w:t>Overview</w:t>
      </w:r>
      <w:r w:rsidR="00C666A2">
        <w:t xml:space="preserve"> </w:t>
      </w:r>
      <w:r w:rsidR="00CC13B4">
        <w:t>of the payments scheme</w:t>
      </w:r>
      <w:bookmarkEnd w:id="2"/>
    </w:p>
    <w:p w14:paraId="40BC23FB" w14:textId="051CB20F" w:rsidR="00416ED5" w:rsidRDefault="008225F2" w:rsidP="004075D1">
      <w:r w:rsidRPr="003D4971">
        <w:t xml:space="preserve">The </w:t>
      </w:r>
      <w:r>
        <w:t>Government’s Cost of Living payment is aimed at low to middle income New Zealanders</w:t>
      </w:r>
      <w:r w:rsidR="002E5B0D">
        <w:t xml:space="preserve"> to help them with the increased cost of living. </w:t>
      </w:r>
      <w:r w:rsidR="008031D4">
        <w:t>It is a</w:t>
      </w:r>
      <w:r>
        <w:t xml:space="preserve"> temporary </w:t>
      </w:r>
      <w:r w:rsidR="008031D4">
        <w:t>payment</w:t>
      </w:r>
      <w:r w:rsidR="00077200">
        <w:t xml:space="preserve"> </w:t>
      </w:r>
      <w:r w:rsidR="00266C67" w:rsidRPr="00266C67">
        <w:t xml:space="preserve">of $350 in total, spread over August, </w:t>
      </w:r>
      <w:proofErr w:type="gramStart"/>
      <w:r w:rsidR="00266C67" w:rsidRPr="00266C67">
        <w:t>September</w:t>
      </w:r>
      <w:proofErr w:type="gramEnd"/>
      <w:r w:rsidR="00266C67" w:rsidRPr="00266C67">
        <w:t xml:space="preserve"> </w:t>
      </w:r>
      <w:r w:rsidR="00C56C2C">
        <w:t>an</w:t>
      </w:r>
      <w:r w:rsidR="005E37C7">
        <w:t xml:space="preserve">d </w:t>
      </w:r>
      <w:r w:rsidR="00266C67" w:rsidRPr="00266C67">
        <w:t>October.</w:t>
      </w:r>
      <w:r w:rsidR="00266C67">
        <w:t xml:space="preserve"> </w:t>
      </w:r>
      <w:r w:rsidR="00B04CB2">
        <w:t>It</w:t>
      </w:r>
      <w:r w:rsidR="005E37C7">
        <w:t xml:space="preserve"> </w:t>
      </w:r>
      <w:r w:rsidR="00C56C2C">
        <w:t xml:space="preserve">will be paid by </w:t>
      </w:r>
      <w:r w:rsidR="00E01A45">
        <w:t xml:space="preserve">Inland Revenue </w:t>
      </w:r>
      <w:r w:rsidR="00EE10BC">
        <w:t xml:space="preserve">automatically </w:t>
      </w:r>
      <w:r w:rsidR="00E01A45">
        <w:t xml:space="preserve">to eligible individuals with no need to apply </w:t>
      </w:r>
      <w:r w:rsidR="00077200">
        <w:t>for the payment.</w:t>
      </w:r>
    </w:p>
    <w:p w14:paraId="0EABFC51" w14:textId="66D12547" w:rsidR="0082463D" w:rsidRPr="003D4971" w:rsidRDefault="006F4974" w:rsidP="004075D1">
      <w:r>
        <w:t>T</w:t>
      </w:r>
      <w:r w:rsidR="0082463D">
        <w:t xml:space="preserve">he </w:t>
      </w:r>
      <w:r w:rsidR="004749DC">
        <w:t>objective</w:t>
      </w:r>
      <w:r w:rsidR="0082463D">
        <w:t xml:space="preserve"> is to quickly </w:t>
      </w:r>
      <w:r w:rsidR="00CD76F3" w:rsidRPr="0082463D">
        <w:t xml:space="preserve">address the impacts of cost-of-living increases </w:t>
      </w:r>
      <w:r w:rsidR="00CD76F3">
        <w:t>on</w:t>
      </w:r>
      <w:r w:rsidR="0082463D" w:rsidRPr="0082463D">
        <w:t xml:space="preserve"> low-to middle-income</w:t>
      </w:r>
      <w:r w:rsidR="005E238B">
        <w:t xml:space="preserve"> individuals and</w:t>
      </w:r>
      <w:r w:rsidR="0082463D" w:rsidRPr="0082463D">
        <w:t xml:space="preserve"> households</w:t>
      </w:r>
      <w:r w:rsidR="003D747D">
        <w:t xml:space="preserve">. In </w:t>
      </w:r>
      <w:r w:rsidR="004749DC">
        <w:t xml:space="preserve">recognising that costs </w:t>
      </w:r>
      <w:r w:rsidR="0026678D">
        <w:t>are</w:t>
      </w:r>
      <w:r w:rsidR="004749DC">
        <w:t xml:space="preserve"> </w:t>
      </w:r>
      <w:r w:rsidR="00F53EAE">
        <w:t xml:space="preserve">expected to </w:t>
      </w:r>
      <w:r w:rsidR="004749DC">
        <w:t>increas</w:t>
      </w:r>
      <w:r w:rsidR="00F53EAE">
        <w:t>e</w:t>
      </w:r>
      <w:r w:rsidR="004749DC">
        <w:t xml:space="preserve"> </w:t>
      </w:r>
      <w:r w:rsidR="00F53EAE">
        <w:t>more</w:t>
      </w:r>
      <w:r w:rsidR="004749DC">
        <w:t xml:space="preserve"> than incomes on average</w:t>
      </w:r>
      <w:r w:rsidR="00DC1B6A">
        <w:t xml:space="preserve"> this year</w:t>
      </w:r>
      <w:r w:rsidR="00191DBC">
        <w:t xml:space="preserve">, </w:t>
      </w:r>
      <w:r w:rsidR="003D747D">
        <w:t xml:space="preserve">a </w:t>
      </w:r>
      <w:r w:rsidR="0050307F">
        <w:t xml:space="preserve">payment </w:t>
      </w:r>
      <w:r w:rsidR="00C15975">
        <w:t>i</w:t>
      </w:r>
      <w:r w:rsidR="0050307F">
        <w:t>s required in the short term</w:t>
      </w:r>
      <w:r w:rsidR="001321A2">
        <w:t>. Th</w:t>
      </w:r>
      <w:r w:rsidR="00C15975">
        <w:t>e intention i</w:t>
      </w:r>
      <w:r w:rsidR="001321A2">
        <w:t>s</w:t>
      </w:r>
      <w:r w:rsidR="00C15975">
        <w:t xml:space="preserve"> for it to be</w:t>
      </w:r>
      <w:r w:rsidR="001750E0">
        <w:t xml:space="preserve"> paid </w:t>
      </w:r>
      <w:r w:rsidR="00451711">
        <w:t>at a similar time to other supports such as the winter energy payment</w:t>
      </w:r>
      <w:r w:rsidR="0026678D">
        <w:t xml:space="preserve"> and transport initiatives</w:t>
      </w:r>
      <w:r w:rsidR="0050307F">
        <w:t>. T</w:t>
      </w:r>
      <w:r w:rsidR="00191DBC">
        <w:t xml:space="preserve">his </w:t>
      </w:r>
      <w:r w:rsidR="001321A2">
        <w:t>requirement for a broad payment to supplement low</w:t>
      </w:r>
      <w:r w:rsidR="00EB10A2" w:rsidRPr="0082463D">
        <w:t>-to middle-</w:t>
      </w:r>
      <w:r w:rsidR="001321A2">
        <w:t xml:space="preserve"> incomes</w:t>
      </w:r>
      <w:r w:rsidR="009341DA">
        <w:t xml:space="preserve"> in the short term</w:t>
      </w:r>
      <w:r w:rsidR="001321A2">
        <w:t xml:space="preserve"> </w:t>
      </w:r>
      <w:r w:rsidR="00191DBC">
        <w:t>informed the eligibility criteria.</w:t>
      </w:r>
    </w:p>
    <w:p w14:paraId="72782AAE" w14:textId="2BF507F4" w:rsidR="00CC13B4" w:rsidRDefault="00CC13B4" w:rsidP="009336D9">
      <w:pPr>
        <w:pStyle w:val="NoNumberHeading1"/>
      </w:pPr>
      <w:bookmarkStart w:id="3" w:name="_Toc109392576"/>
      <w:r>
        <w:t>Eligibility</w:t>
      </w:r>
      <w:bookmarkEnd w:id="3"/>
    </w:p>
    <w:p w14:paraId="070A42FC" w14:textId="723EF075" w:rsidR="00CC13B4" w:rsidRPr="00C637D5" w:rsidRDefault="00CF4182" w:rsidP="00CC13B4">
      <w:pPr>
        <w:rPr>
          <w:rFonts w:eastAsia="Calibri"/>
        </w:rPr>
      </w:pPr>
      <w:r>
        <w:rPr>
          <w:rFonts w:eastAsia="Calibri"/>
        </w:rPr>
        <w:t>A person might be eligible</w:t>
      </w:r>
      <w:r w:rsidR="00CC13B4">
        <w:rPr>
          <w:rFonts w:eastAsia="Calibri"/>
        </w:rPr>
        <w:t xml:space="preserve"> </w:t>
      </w:r>
      <w:r w:rsidR="00E433BF">
        <w:rPr>
          <w:rFonts w:eastAsia="Calibri"/>
        </w:rPr>
        <w:t>to</w:t>
      </w:r>
      <w:r w:rsidR="00CC13B4">
        <w:rPr>
          <w:rFonts w:eastAsia="Calibri"/>
        </w:rPr>
        <w:t xml:space="preserve"> receiv</w:t>
      </w:r>
      <w:r w:rsidR="00E433BF">
        <w:rPr>
          <w:rFonts w:eastAsia="Calibri"/>
        </w:rPr>
        <w:t>e</w:t>
      </w:r>
      <w:r w:rsidR="00CC13B4">
        <w:rPr>
          <w:rFonts w:eastAsia="Calibri"/>
        </w:rPr>
        <w:t xml:space="preserve"> the payments </w:t>
      </w:r>
      <w:r w:rsidR="00FF1EF7">
        <w:rPr>
          <w:rFonts w:eastAsia="Calibri"/>
        </w:rPr>
        <w:t>if</w:t>
      </w:r>
      <w:r w:rsidR="00A51E94">
        <w:rPr>
          <w:rFonts w:eastAsia="Calibri"/>
        </w:rPr>
        <w:t xml:space="preserve"> they</w:t>
      </w:r>
      <w:r w:rsidR="00CC13B4">
        <w:rPr>
          <w:rFonts w:eastAsia="Calibri"/>
        </w:rPr>
        <w:t>:</w:t>
      </w:r>
    </w:p>
    <w:p w14:paraId="2FB87512" w14:textId="739BAA04" w:rsidR="00CC13B4" w:rsidRDefault="00A51E94" w:rsidP="00CC13B4">
      <w:pPr>
        <w:pStyle w:val="Bullets"/>
      </w:pPr>
      <w:r>
        <w:t>had</w:t>
      </w:r>
      <w:r w:rsidR="00FF1EF7">
        <w:t xml:space="preserve"> </w:t>
      </w:r>
      <w:r w:rsidR="00CC13B4">
        <w:t xml:space="preserve">net income </w:t>
      </w:r>
      <w:r w:rsidR="0094309C">
        <w:t>during</w:t>
      </w:r>
      <w:r w:rsidR="00CC13B4">
        <w:t xml:space="preserve"> the </w:t>
      </w:r>
      <w:r w:rsidR="00EF7683">
        <w:t xml:space="preserve">period </w:t>
      </w:r>
      <w:r w:rsidR="0094309C">
        <w:t xml:space="preserve">1 April 2021 to 31 </w:t>
      </w:r>
      <w:r w:rsidR="00FF1EF7">
        <w:t>M</w:t>
      </w:r>
      <w:r w:rsidR="0094309C">
        <w:t xml:space="preserve">arch </w:t>
      </w:r>
      <w:r w:rsidR="00CC13B4">
        <w:t>2022</w:t>
      </w:r>
      <w:r w:rsidR="00FF1EF7">
        <w:t xml:space="preserve"> </w:t>
      </w:r>
      <w:r>
        <w:t>of</w:t>
      </w:r>
      <w:r w:rsidR="00FF1EF7">
        <w:t xml:space="preserve"> $70,000 or less</w:t>
      </w:r>
    </w:p>
    <w:p w14:paraId="526FFDDE" w14:textId="6B4F1B5E" w:rsidR="00CC13B4" w:rsidRDefault="006F0D51" w:rsidP="00CC13B4">
      <w:pPr>
        <w:pStyle w:val="Bullets"/>
      </w:pPr>
      <w:r>
        <w:t xml:space="preserve">are </w:t>
      </w:r>
      <w:r w:rsidR="00CC13B4">
        <w:t xml:space="preserve">not eligible to receive a qualifying benefit for the </w:t>
      </w:r>
      <w:r w:rsidR="00913722">
        <w:t>Winter Energy Payment (</w:t>
      </w:r>
      <w:r w:rsidR="00CC13B4">
        <w:t>WEP</w:t>
      </w:r>
      <w:r w:rsidR="00913722">
        <w:t>)</w:t>
      </w:r>
      <w:r w:rsidR="00CC13B4">
        <w:t xml:space="preserve"> (sole parent support, supported living payment, jobseeker support, jobseeker support student hardship, emergency benefit, emergency maintenance allowance, youth payment, young parent payment, New Zealand superannuation, or veteran’s pension) during the payment period for each </w:t>
      </w:r>
      <w:r w:rsidR="00817E6B">
        <w:t xml:space="preserve">of the </w:t>
      </w:r>
      <w:proofErr w:type="gramStart"/>
      <w:r w:rsidR="00817E6B">
        <w:t>three monthly</w:t>
      </w:r>
      <w:proofErr w:type="gramEnd"/>
      <w:r w:rsidR="00817E6B">
        <w:t xml:space="preserve"> </w:t>
      </w:r>
      <w:r w:rsidR="00CC13B4">
        <w:t>instalment</w:t>
      </w:r>
      <w:r w:rsidR="00817E6B">
        <w:t>s</w:t>
      </w:r>
    </w:p>
    <w:p w14:paraId="2D6B0EAF" w14:textId="51A0E6DD" w:rsidR="00CC13B4" w:rsidRDefault="006F0D51" w:rsidP="00CC13B4">
      <w:pPr>
        <w:pStyle w:val="Bullets"/>
      </w:pPr>
      <w:r>
        <w:t xml:space="preserve">are </w:t>
      </w:r>
      <w:r w:rsidR="00CC13B4">
        <w:t>aged 18 or over</w:t>
      </w:r>
    </w:p>
    <w:p w14:paraId="7F1F0BAA" w14:textId="4894CCD9" w:rsidR="00CC13B4" w:rsidRDefault="006F0D51" w:rsidP="00CC13B4">
      <w:pPr>
        <w:pStyle w:val="Bullets"/>
      </w:pPr>
      <w:r>
        <w:t xml:space="preserve">are </w:t>
      </w:r>
      <w:r w:rsidR="00CC13B4">
        <w:t>both New Zealand tax resident and present in New Zealand; and</w:t>
      </w:r>
    </w:p>
    <w:p w14:paraId="650F6C85" w14:textId="0F838550" w:rsidR="00CC13B4" w:rsidRDefault="00CC13B4" w:rsidP="00CC13B4">
      <w:pPr>
        <w:pStyle w:val="Bullets"/>
      </w:pPr>
      <w:r>
        <w:t>not in prison.</w:t>
      </w:r>
    </w:p>
    <w:p w14:paraId="1BC31C96" w14:textId="5A004345" w:rsidR="00CC13B4" w:rsidRDefault="00CC13B4" w:rsidP="00CC13B4">
      <w:r>
        <w:t xml:space="preserve">The payment is not intended to be paid to those </w:t>
      </w:r>
      <w:r w:rsidR="004F206C">
        <w:t xml:space="preserve">who </w:t>
      </w:r>
      <w:r>
        <w:t>are deceased.</w:t>
      </w:r>
    </w:p>
    <w:p w14:paraId="272C5A0B" w14:textId="546C8B86" w:rsidR="00CC13B4" w:rsidRDefault="00CC13B4" w:rsidP="00CC13B4">
      <w:r>
        <w:t xml:space="preserve">There </w:t>
      </w:r>
      <w:r w:rsidR="003B53CC">
        <w:t>is</w:t>
      </w:r>
      <w:r>
        <w:t xml:space="preserve"> no application process for the payment. Inland Revenue will determine eligibility based on information it holds and will make the payment into the person’s New Zealand bank account.</w:t>
      </w:r>
    </w:p>
    <w:p w14:paraId="6B8730A2" w14:textId="77777777" w:rsidR="00CC13B4" w:rsidRDefault="00CC13B4" w:rsidP="009336D9">
      <w:pPr>
        <w:pStyle w:val="NoNumberHeading2"/>
      </w:pPr>
      <w:r>
        <w:t>Amount</w:t>
      </w:r>
    </w:p>
    <w:p w14:paraId="3C61B27C" w14:textId="63317EE6" w:rsidR="00CC13B4" w:rsidRDefault="00CC13B4" w:rsidP="00CC13B4">
      <w:r>
        <w:t xml:space="preserve">The </w:t>
      </w:r>
      <w:proofErr w:type="gramStart"/>
      <w:r>
        <w:t>Cost of Living</w:t>
      </w:r>
      <w:proofErr w:type="gramEnd"/>
      <w:r>
        <w:t xml:space="preserve"> payments total $350. This will be paid in monthly instalments over three months and will be made at a flat rate. Payments won’t be paid for part of a month – if an </w:t>
      </w:r>
      <w:r>
        <w:lastRenderedPageBreak/>
        <w:t>individual is determined to be eligible at the point Inland Revenue checks eligibility, they will get the full payment for that month.</w:t>
      </w:r>
    </w:p>
    <w:p w14:paraId="0B090DCD" w14:textId="77777777" w:rsidR="00CC13B4" w:rsidRDefault="00CC13B4" w:rsidP="009336D9">
      <w:pPr>
        <w:pStyle w:val="NoNumberHeading2"/>
      </w:pPr>
      <w:r>
        <w:t>Timing</w:t>
      </w:r>
    </w:p>
    <w:p w14:paraId="75632146" w14:textId="775ECDC8" w:rsidR="00CC13B4" w:rsidRDefault="00CC13B4" w:rsidP="00CC13B4">
      <w:r>
        <w:t>The main payment period is from August to October</w:t>
      </w:r>
      <w:r w:rsidR="00932048">
        <w:t xml:space="preserve"> 2022</w:t>
      </w:r>
      <w:r>
        <w:t xml:space="preserve">, with the </w:t>
      </w:r>
      <w:proofErr w:type="gramStart"/>
      <w:r>
        <w:t xml:space="preserve">first of the three </w:t>
      </w:r>
      <w:r w:rsidR="00855314">
        <w:t>monthly</w:t>
      </w:r>
      <w:proofErr w:type="gramEnd"/>
      <w:r w:rsidR="00EA7753">
        <w:t xml:space="preserve"> </w:t>
      </w:r>
      <w:r>
        <w:t>payments being made on 1 August 2022</w:t>
      </w:r>
      <w:r w:rsidR="00CF2538">
        <w:t>.</w:t>
      </w:r>
      <w:r>
        <w:t xml:space="preserve"> </w:t>
      </w:r>
      <w:r w:rsidR="00CF2538">
        <w:t>S</w:t>
      </w:r>
      <w:r>
        <w:t xml:space="preserve">ubsequent </w:t>
      </w:r>
      <w:r w:rsidR="008326E1">
        <w:t>monthly</w:t>
      </w:r>
      <w:r w:rsidR="000E2BE9">
        <w:t xml:space="preserve"> </w:t>
      </w:r>
      <w:r>
        <w:t xml:space="preserve">payments </w:t>
      </w:r>
      <w:r w:rsidR="004075D1">
        <w:t>w</w:t>
      </w:r>
      <w:r w:rsidR="00CF2538">
        <w:t>ill be made on 1</w:t>
      </w:r>
      <w:r w:rsidR="00EA1E67">
        <w:t> </w:t>
      </w:r>
      <w:r w:rsidR="00CF2538">
        <w:t>September and 3 October (3 October being the first business day following 1 October).</w:t>
      </w:r>
    </w:p>
    <w:p w14:paraId="77007648" w14:textId="52ABE243" w:rsidR="00CC13B4" w:rsidRDefault="00CC13B4" w:rsidP="00CC13B4">
      <w:r>
        <w:t xml:space="preserve">Some people who file an IR3 tax return or who use a tax agent may not have their income tax assessment finalised or filed by 1 August, or within the main payment period. This could be because the person’s tax return isn’t due until a later date because they have </w:t>
      </w:r>
      <w:r w:rsidR="00D81A87">
        <w:t xml:space="preserve">a </w:t>
      </w:r>
      <w:r>
        <w:t>tax agent, or because Inland Revenue needs more information before an assessment can be finalised.</w:t>
      </w:r>
    </w:p>
    <w:p w14:paraId="67C6B219" w14:textId="48956793" w:rsidR="00CC13B4" w:rsidRDefault="00CC13B4" w:rsidP="00CC13B4">
      <w:r>
        <w:t>As long as they are eligible, they will receive their payment once their assessment has been finalised. This means some people will not receive their payment until after 31 March 2023 (this is the final date to file tax returns for those with tax agents who have an extension of time).</w:t>
      </w:r>
    </w:p>
    <w:p w14:paraId="4CAB525B" w14:textId="5C993EB7" w:rsidR="00CC13B4" w:rsidRDefault="00CC13B4" w:rsidP="00CC13B4">
      <w:r>
        <w:t xml:space="preserve">Eligibility </w:t>
      </w:r>
      <w:r w:rsidR="00084E15">
        <w:t xml:space="preserve">for this group </w:t>
      </w:r>
      <w:r w:rsidR="005F578F">
        <w:t xml:space="preserve">of </w:t>
      </w:r>
      <w:r w:rsidR="00724732">
        <w:t xml:space="preserve">filers </w:t>
      </w:r>
      <w:r>
        <w:t xml:space="preserve">will be based on the person’s circumstances assessed </w:t>
      </w:r>
      <w:r w:rsidR="00346665">
        <w:t xml:space="preserve">close to the </w:t>
      </w:r>
      <w:r w:rsidR="00EC4366">
        <w:t>beginning of</w:t>
      </w:r>
      <w:r>
        <w:t xml:space="preserve"> August, </w:t>
      </w:r>
      <w:proofErr w:type="gramStart"/>
      <w:r>
        <w:t>September</w:t>
      </w:r>
      <w:proofErr w:type="gramEnd"/>
      <w:r>
        <w:t xml:space="preserve"> and October. This means their eligibility will be determined in the same way as those who received the three instalments from 1 August.</w:t>
      </w:r>
    </w:p>
    <w:p w14:paraId="63834EC3" w14:textId="583E327E" w:rsidR="00CC13B4" w:rsidRDefault="00CC13B4" w:rsidP="00CC13B4">
      <w:r>
        <w:t>Before each monthly payment, Inland Revenue will check each individual’s eligibility for the payment. This could mean that someone who did not receive the first payment (for instance because they were under 18 or receiving a main benefit) could receive one or both of the following payments, if they meet the eligibility criteria.</w:t>
      </w:r>
    </w:p>
    <w:p w14:paraId="3F7189A6" w14:textId="7B51ADDC" w:rsidR="00CC13B4" w:rsidRDefault="00CC13B4" w:rsidP="00CC13B4">
      <w:r>
        <w:t>To make sure all eligible people receive their payments on time, Inland Revenue will run regular checks to identify and make payments to eligible recipients who have since completed their income tax assessments for 2021</w:t>
      </w:r>
      <w:r w:rsidR="00B606D2">
        <w:t>–</w:t>
      </w:r>
      <w:r>
        <w:t>22 and those whose information has been updated.</w:t>
      </w:r>
    </w:p>
    <w:p w14:paraId="01BA73FC" w14:textId="77777777" w:rsidR="00CC13B4" w:rsidRDefault="00CC13B4" w:rsidP="009336D9">
      <w:pPr>
        <w:pStyle w:val="NoNumberHeading2"/>
      </w:pPr>
      <w:r>
        <w:t>Payments made to New Zealand bank accounts</w:t>
      </w:r>
    </w:p>
    <w:p w14:paraId="69003361" w14:textId="5D13DBC2" w:rsidR="00CC13B4" w:rsidRDefault="00CC13B4" w:rsidP="00CC13B4">
      <w:r>
        <w:t xml:space="preserve">The </w:t>
      </w:r>
      <w:proofErr w:type="gramStart"/>
      <w:r>
        <w:t>Cost of Living</w:t>
      </w:r>
      <w:proofErr w:type="gramEnd"/>
      <w:r>
        <w:t xml:space="preserve"> payment will be paid directly into the bank account Inland Revenue has on file for the individual.</w:t>
      </w:r>
    </w:p>
    <w:p w14:paraId="47C01038" w14:textId="77777777" w:rsidR="00CC13B4" w:rsidRPr="00191388" w:rsidRDefault="00CC13B4" w:rsidP="00CC13B4">
      <w:r>
        <w:t>Payments will only be paid into a New Zealand bank account. Payments cannot be made to overseas bank accounts.</w:t>
      </w:r>
    </w:p>
    <w:p w14:paraId="2E3B081D" w14:textId="5DE296E3" w:rsidR="00CC13B4" w:rsidRPr="00191388" w:rsidRDefault="00CC13B4" w:rsidP="00CC13B4">
      <w:r>
        <w:lastRenderedPageBreak/>
        <w:t>If an individual is an undischarged bankrupt</w:t>
      </w:r>
      <w:r w:rsidR="00FA230D">
        <w:t>,</w:t>
      </w:r>
      <w:r>
        <w:t xml:space="preserve"> the payment will go directly to that individual, rather than to the Official Assignee.</w:t>
      </w:r>
    </w:p>
    <w:p w14:paraId="15E33818" w14:textId="77777777" w:rsidR="00BF4006" w:rsidRDefault="00BF4006" w:rsidP="00BF4006">
      <w:pPr>
        <w:pStyle w:val="NoNumberHeading2"/>
      </w:pPr>
      <w:r>
        <w:t>No application required</w:t>
      </w:r>
    </w:p>
    <w:p w14:paraId="48EBA5D8" w14:textId="77777777" w:rsidR="00BF4006" w:rsidRDefault="00BF4006" w:rsidP="00BF4006">
      <w:r>
        <w:t>There is no application process for the payment. Inland Revenue will determine eligibility based on information it holds and will make the payment into the person’s New Zealand bank account. Payment cannot be made to overseas bank accounts.</w:t>
      </w:r>
    </w:p>
    <w:p w14:paraId="29B31D39" w14:textId="77777777" w:rsidR="00CC13B4" w:rsidRDefault="00CC13B4" w:rsidP="009336D9">
      <w:pPr>
        <w:pStyle w:val="NoNumberHeading1"/>
      </w:pPr>
      <w:bookmarkStart w:id="4" w:name="_Toc109392577"/>
      <w:r>
        <w:t>Tax and social policy treatment</w:t>
      </w:r>
      <w:bookmarkEnd w:id="4"/>
    </w:p>
    <w:p w14:paraId="5774E1A2" w14:textId="77777777" w:rsidR="00CC13B4" w:rsidRDefault="00CC13B4" w:rsidP="00CC13B4">
      <w:r>
        <w:t xml:space="preserve">The </w:t>
      </w:r>
      <w:proofErr w:type="gramStart"/>
      <w:r>
        <w:t>Cost of Living</w:t>
      </w:r>
      <w:proofErr w:type="gramEnd"/>
      <w:r>
        <w:t xml:space="preserve"> payment is tax exempt, so will not be included in a person’s income tax assessment. The payment will also not be included as income for Working for Families tax credits, child support, student loan repayments, student allowances or other welfare support.</w:t>
      </w:r>
    </w:p>
    <w:p w14:paraId="4DBBA72E" w14:textId="29F1C083" w:rsidR="00CC13B4" w:rsidRPr="00BB5BFC" w:rsidRDefault="00CC13B4" w:rsidP="00CC13B4">
      <w:r>
        <w:t xml:space="preserve">The </w:t>
      </w:r>
      <w:proofErr w:type="gramStart"/>
      <w:r>
        <w:t>Cost of Living</w:t>
      </w:r>
      <w:proofErr w:type="gramEnd"/>
      <w:r>
        <w:t xml:space="preserve"> payment will not be used to pay off any debt or overdue money owed to Inland Revenue. Individuals will not be able to request the payments be transferred to pay an existing debt with Inland Revenue, or other social policy obligation. The payments must be paid directly to the individual.</w:t>
      </w:r>
    </w:p>
    <w:p w14:paraId="3F18A25C" w14:textId="77777777" w:rsidR="00CC13B4" w:rsidRDefault="00CC13B4" w:rsidP="00CC13B4">
      <w:pPr>
        <w:pStyle w:val="NoNumberHeading1"/>
      </w:pPr>
      <w:bookmarkStart w:id="5" w:name="_Toc109392578"/>
      <w:r>
        <w:t>Criteria in more detail</w:t>
      </w:r>
      <w:bookmarkEnd w:id="5"/>
    </w:p>
    <w:p w14:paraId="7EFB8F9D" w14:textId="77777777" w:rsidR="00CC13B4" w:rsidRDefault="00CC13B4" w:rsidP="00CC13B4">
      <w:pPr>
        <w:pStyle w:val="NoNumberHeading2"/>
      </w:pPr>
      <w:r>
        <w:t>Income cap of $70,000</w:t>
      </w:r>
    </w:p>
    <w:p w14:paraId="13C17273" w14:textId="4D2CBFF5" w:rsidR="00CC13B4" w:rsidRDefault="00CC13B4" w:rsidP="00CC13B4">
      <w:r>
        <w:t>The maximum income to be eligible for the payment is $70,000 net income for the period 1</w:t>
      </w:r>
      <w:r w:rsidR="00FC1A90">
        <w:t> </w:t>
      </w:r>
      <w:r>
        <w:t>April 2021 to 31 March 2022.</w:t>
      </w:r>
    </w:p>
    <w:p w14:paraId="7F50555A" w14:textId="759DB334" w:rsidR="00CC13B4" w:rsidRDefault="00CC13B4" w:rsidP="00CC13B4">
      <w:r>
        <w:t>For people who earn their income from a job</w:t>
      </w:r>
      <w:r w:rsidRPr="00E1495D">
        <w:t xml:space="preserve">, net income is usually the same as their gross income because there are limited types of </w:t>
      </w:r>
      <w:r>
        <w:t>expenses they can claim</w:t>
      </w:r>
      <w:r w:rsidR="002265FC">
        <w:t>.</w:t>
      </w:r>
      <w:r w:rsidRPr="2FC7BF4E">
        <w:rPr>
          <w:rStyle w:val="FootnoteReference"/>
        </w:rPr>
        <w:footnoteReference w:id="2"/>
      </w:r>
      <w:r>
        <w:t xml:space="preserve"> For business owners, net income is the person’s gross income for the year, minus any business expenses for the year, but before any losses from earlier years are </w:t>
      </w:r>
      <w:proofErr w:type="gramStart"/>
      <w:r w:rsidRPr="00E1495D">
        <w:t>taken into account</w:t>
      </w:r>
      <w:proofErr w:type="gramEnd"/>
      <w:r w:rsidRPr="00E1495D">
        <w:t>.</w:t>
      </w:r>
    </w:p>
    <w:p w14:paraId="47E76B03" w14:textId="37EB8A91" w:rsidR="00CC13B4" w:rsidRDefault="00CC13B4" w:rsidP="00CC13B4">
      <w:pPr>
        <w:pStyle w:val="NoNumberHeading2"/>
      </w:pPr>
      <w:r>
        <w:lastRenderedPageBreak/>
        <w:t>Based on assessed income for the 2021</w:t>
      </w:r>
      <w:r w:rsidR="00431EF4">
        <w:t>–</w:t>
      </w:r>
      <w:r>
        <w:t>22 tax year</w:t>
      </w:r>
    </w:p>
    <w:p w14:paraId="14011BBF" w14:textId="0D44C68B" w:rsidR="00CC13B4" w:rsidRDefault="00CC13B4" w:rsidP="00CC13B4">
      <w:r>
        <w:t>The income eligibility will be based on the income in the person’s 2021</w:t>
      </w:r>
      <w:r w:rsidR="00F16321">
        <w:t>–</w:t>
      </w:r>
      <w:r>
        <w:t>22 finalised individual income tax assessment. This means that:</w:t>
      </w:r>
    </w:p>
    <w:p w14:paraId="09923712" w14:textId="22817B72" w:rsidR="00CC13B4" w:rsidRDefault="00CC13B4" w:rsidP="00CC13B4">
      <w:pPr>
        <w:pStyle w:val="Bullets"/>
        <w:rPr>
          <w:rFonts w:asciiTheme="minorHAnsi" w:eastAsiaTheme="minorEastAsia" w:hAnsiTheme="minorHAnsi"/>
        </w:rPr>
      </w:pPr>
      <w:r>
        <w:t>a person has received their assessment from Inland Revenue, or</w:t>
      </w:r>
    </w:p>
    <w:p w14:paraId="4957685C" w14:textId="0159254F" w:rsidR="00CC13B4" w:rsidRDefault="00CC13B4" w:rsidP="00CC13B4">
      <w:pPr>
        <w:pStyle w:val="Bullets"/>
      </w:pPr>
      <w:r>
        <w:t xml:space="preserve">a person </w:t>
      </w:r>
      <w:r w:rsidR="00CA03E8">
        <w:t xml:space="preserve">has </w:t>
      </w:r>
      <w:r>
        <w:t xml:space="preserve">been asked by Inland Revenue to provide more information or to confirm details on their assessment, they have done </w:t>
      </w:r>
      <w:proofErr w:type="gramStart"/>
      <w:r>
        <w:t>so</w:t>
      </w:r>
      <w:proofErr w:type="gramEnd"/>
      <w:r>
        <w:t xml:space="preserve"> and this has been confirmed by Inland Revenue, or</w:t>
      </w:r>
    </w:p>
    <w:p w14:paraId="394B5B74" w14:textId="77777777" w:rsidR="00CC13B4" w:rsidRDefault="00CC13B4" w:rsidP="00CC13B4">
      <w:pPr>
        <w:pStyle w:val="Bullets"/>
      </w:pPr>
      <w:r>
        <w:t>if a person is required to file an IR3 tax return, that it has been filed before the cut off date of 31 March 2023 and has been processed by Inland Revenue.</w:t>
      </w:r>
    </w:p>
    <w:p w14:paraId="1B00364D" w14:textId="77777777" w:rsidR="00CC13B4" w:rsidRDefault="00CC13B4" w:rsidP="00CC13B4">
      <w:r>
        <w:t>For most people, assessments will have been finalised before payments begin.</w:t>
      </w:r>
    </w:p>
    <w:p w14:paraId="722FF48C" w14:textId="77777777" w:rsidR="00CC13B4" w:rsidRDefault="00CC13B4" w:rsidP="009336D9">
      <w:pPr>
        <w:pStyle w:val="NoNumberHeading3"/>
      </w:pPr>
      <w:r>
        <w:t>Exclusion: Portfolio Investment Entity (PIE) income only</w:t>
      </w:r>
    </w:p>
    <w:p w14:paraId="34C59120" w14:textId="759439DC" w:rsidR="00CC13B4" w:rsidRDefault="00CC13B4" w:rsidP="00CC13B4">
      <w:r>
        <w:t xml:space="preserve">Individuals who have PIE income (such as KiwiSaver) only and no net income will not be eligible for the </w:t>
      </w:r>
      <w:proofErr w:type="gramStart"/>
      <w:r>
        <w:t>Cost of Living</w:t>
      </w:r>
      <w:proofErr w:type="gramEnd"/>
      <w:r>
        <w:t xml:space="preserve"> </w:t>
      </w:r>
      <w:r w:rsidR="00CC53E9">
        <w:t>p</w:t>
      </w:r>
      <w:r>
        <w:t>ayment.</w:t>
      </w:r>
    </w:p>
    <w:p w14:paraId="1A5D529E" w14:textId="77777777" w:rsidR="00CC13B4" w:rsidRDefault="00CC13B4" w:rsidP="00CC13B4">
      <w:r>
        <w:t>PIE income is not included in an individual’s net income for the year and is taxed separately according to a person’s Prescribed Investor Rate (PIR). The individual income tax assessments are a mechanism used to determine if the person had applied the correct PIR rate to their PIE income and to determine if there is a PIE tax debit or refund owing.</w:t>
      </w:r>
    </w:p>
    <w:p w14:paraId="093730A6" w14:textId="3CA1AAD0" w:rsidR="00CC13B4" w:rsidRPr="001E1D6D" w:rsidRDefault="00CC13B4" w:rsidP="00CC13B4">
      <w:r>
        <w:t xml:space="preserve">This exclusion is </w:t>
      </w:r>
      <w:r w:rsidRPr="00FB27CF">
        <w:t>broadly consistent with the treatment f</w:t>
      </w:r>
      <w:r>
        <w:t>or those who have no net income and no required assessment</w:t>
      </w:r>
      <w:r w:rsidRPr="00FB27CF">
        <w:t xml:space="preserve">. </w:t>
      </w:r>
      <w:r>
        <w:t>That is, t</w:t>
      </w:r>
      <w:r w:rsidRPr="001E1D6D">
        <w:t>hese individuals only have an income tax assessment because of the PIE income assessment and otherwise would not have an income tax assessment as they have no net income to report.</w:t>
      </w:r>
    </w:p>
    <w:p w14:paraId="2551FB17" w14:textId="77777777" w:rsidR="00CC13B4" w:rsidRDefault="00CC13B4" w:rsidP="009336D9">
      <w:pPr>
        <w:pStyle w:val="NoNumberHeading3"/>
      </w:pPr>
      <w:r>
        <w:t>Exclusion: Unnecessary assessments with nil income</w:t>
      </w:r>
    </w:p>
    <w:p w14:paraId="551A7054" w14:textId="2122CD06" w:rsidR="00CC13B4" w:rsidRDefault="00CC13B4" w:rsidP="00CC13B4">
      <w:r>
        <w:t xml:space="preserve">Individuals </w:t>
      </w:r>
      <w:r w:rsidRPr="003D484F">
        <w:t xml:space="preserve">who are not required to request, </w:t>
      </w:r>
      <w:proofErr w:type="gramStart"/>
      <w:r w:rsidRPr="003D484F">
        <w:t>confirm</w:t>
      </w:r>
      <w:proofErr w:type="gramEnd"/>
      <w:r w:rsidRPr="003D484F">
        <w:t xml:space="preserve"> or file an income tax assessment for any reason and who have no income, </w:t>
      </w:r>
      <w:r>
        <w:t xml:space="preserve">will not </w:t>
      </w:r>
      <w:r w:rsidRPr="003D484F">
        <w:t>be eligible for the payment if they request or file an assessment that contains no assessable income.</w:t>
      </w:r>
    </w:p>
    <w:p w14:paraId="72543196" w14:textId="375E4A1F" w:rsidR="00CC13B4" w:rsidRPr="003D484F" w:rsidRDefault="00CC13B4" w:rsidP="00CC13B4">
      <w:r w:rsidRPr="003D484F">
        <w:t xml:space="preserve">This </w:t>
      </w:r>
      <w:r>
        <w:t xml:space="preserve">exclusion does </w:t>
      </w:r>
      <w:r w:rsidRPr="003D484F">
        <w:t>not affect stay at home parents who have no other income but receive Working for Families</w:t>
      </w:r>
      <w:r>
        <w:t xml:space="preserve"> (WFF) </w:t>
      </w:r>
      <w:r w:rsidRPr="003D484F">
        <w:t xml:space="preserve">tax credits. This is because </w:t>
      </w:r>
      <w:r>
        <w:t xml:space="preserve">WFF recipients </w:t>
      </w:r>
      <w:r w:rsidR="007111F4">
        <w:t>are required to</w:t>
      </w:r>
      <w:r w:rsidR="007111F4" w:rsidRPr="003D484F">
        <w:t xml:space="preserve"> </w:t>
      </w:r>
      <w:r w:rsidRPr="003D484F">
        <w:t>have an income tax assessment to determine their WFF entitlement, even if they have no income. The WFF calculation forms part of their individual income tax assessment along with the income tax assessment of any spouse or partner.</w:t>
      </w:r>
    </w:p>
    <w:p w14:paraId="22FF36FD" w14:textId="1CF0F779" w:rsidR="00CC13B4" w:rsidRPr="003D484F" w:rsidRDefault="00CC13B4" w:rsidP="00CC13B4">
      <w:r>
        <w:lastRenderedPageBreak/>
        <w:t xml:space="preserve">This exclusion </w:t>
      </w:r>
      <w:r w:rsidR="003A44E3">
        <w:t xml:space="preserve">also </w:t>
      </w:r>
      <w:r>
        <w:t>does</w:t>
      </w:r>
      <w:r w:rsidRPr="003D484F">
        <w:t xml:space="preserve"> not affect those who need to file an income tax assessment but have zero net income, such as self-employed people whose allowable deductions reduce their income to zero.</w:t>
      </w:r>
    </w:p>
    <w:p w14:paraId="33ED462D" w14:textId="77777777" w:rsidR="00CC13B4" w:rsidRDefault="00CC13B4" w:rsidP="00CC13B4">
      <w:pPr>
        <w:pStyle w:val="NoNumberHeading2"/>
      </w:pPr>
      <w:r>
        <w:t>Time limits for determining eligibility and making payments</w:t>
      </w:r>
    </w:p>
    <w:p w14:paraId="30AA0404" w14:textId="44C88F7E" w:rsidR="00CC13B4" w:rsidRDefault="00CC13B4" w:rsidP="00CC13B4">
      <w:r>
        <w:t>The final payment approval date for eligibility will be 31 March 2023, which is the last date for tax agents to file individual tax returns for their clients for the 2021</w:t>
      </w:r>
      <w:r w:rsidR="00A01FE7">
        <w:t>–</w:t>
      </w:r>
      <w:r>
        <w:t xml:space="preserve">22 tax year. Inland Revenue will not check eligibility for the </w:t>
      </w:r>
      <w:proofErr w:type="gramStart"/>
      <w:r>
        <w:t>Cost of Living</w:t>
      </w:r>
      <w:proofErr w:type="gramEnd"/>
      <w:r>
        <w:t xml:space="preserve"> payment for anyone who has not filed their tax return by 31 March 2023, or had their tax assessment generated by this date. This means that if a person files their tax return or requests an assessment after 31 March 2023 they will not be eligible for the </w:t>
      </w:r>
      <w:proofErr w:type="gramStart"/>
      <w:r>
        <w:t>Cost of Living</w:t>
      </w:r>
      <w:proofErr w:type="gramEnd"/>
      <w:r>
        <w:t xml:space="preserve"> payment. This 31 March 2023 deadline also applies to clients of tax agents who have </w:t>
      </w:r>
      <w:r w:rsidR="00171702">
        <w:t>‘</w:t>
      </w:r>
      <w:r>
        <w:t>Deferred</w:t>
      </w:r>
      <w:r w:rsidR="00171702">
        <w:t>’</w:t>
      </w:r>
      <w:r>
        <w:t xml:space="preserve"> status.</w:t>
      </w:r>
      <w:r>
        <w:rPr>
          <w:rStyle w:val="FootnoteReference"/>
        </w:rPr>
        <w:footnoteReference w:id="3"/>
      </w:r>
    </w:p>
    <w:p w14:paraId="0568D4DD" w14:textId="166343A0" w:rsidR="00CC13B4" w:rsidRDefault="00CC13B4" w:rsidP="00CC13B4">
      <w:r>
        <w:t xml:space="preserve">Eligibility will still be checked for those whose returns have been filed or assessments have </w:t>
      </w:r>
      <w:r w:rsidR="00B23F31">
        <w:t xml:space="preserve">been </w:t>
      </w:r>
      <w:r>
        <w:t>generated on or before 31 March 2023 but have not been finalised. For example, if a tax agent files their client’s tax return on 3</w:t>
      </w:r>
      <w:r w:rsidR="00B23F31">
        <w:t>0</w:t>
      </w:r>
      <w:r>
        <w:t xml:space="preserve"> March 2023 and the return is processed on 15</w:t>
      </w:r>
      <w:r w:rsidR="00E81DBE">
        <w:t> </w:t>
      </w:r>
      <w:r>
        <w:t xml:space="preserve">April 2023, Inland Revenue will still check whether that person is eligible for the </w:t>
      </w:r>
      <w:proofErr w:type="gramStart"/>
      <w:r>
        <w:t>Cost of Living</w:t>
      </w:r>
      <w:proofErr w:type="gramEnd"/>
      <w:r>
        <w:t xml:space="preserve"> payment.</w:t>
      </w:r>
    </w:p>
    <w:p w14:paraId="21BAD9BC" w14:textId="5DD05874" w:rsidR="00CC13B4" w:rsidRDefault="00CC13B4" w:rsidP="00CC13B4">
      <w:r>
        <w:t>The final date for issuing payments will be 31 March 2024. This will be the last date that eligible individuals would be able to supply bank account details. Any amounts that have been approved but haven’t been able to be paid out (</w:t>
      </w:r>
      <w:r w:rsidR="00B17347">
        <w:t xml:space="preserve">for example, </w:t>
      </w:r>
      <w:r>
        <w:t>because the person has not supplied bank account details) will be returned to the Crown after 31 March 2024.</w:t>
      </w:r>
    </w:p>
    <w:p w14:paraId="183FC4A9" w14:textId="77777777" w:rsidR="00CC13B4" w:rsidRDefault="00CC13B4" w:rsidP="00CC13B4">
      <w:pPr>
        <w:pStyle w:val="NoNumberHeading2"/>
      </w:pPr>
      <w:r>
        <w:t>Those eligible to receive the Winter Energy Payment (WEP) do not qualify</w:t>
      </w:r>
    </w:p>
    <w:p w14:paraId="6168462F" w14:textId="7D713986" w:rsidR="00CC13B4" w:rsidRDefault="00CC13B4" w:rsidP="00CC13B4">
      <w:r w:rsidRPr="157A22EF">
        <w:t xml:space="preserve">The payment will not be paid to individuals who are receiving a </w:t>
      </w:r>
      <w:r w:rsidRPr="4DF0722D">
        <w:t>qualifying benefit</w:t>
      </w:r>
      <w:r w:rsidRPr="7BA8EE79">
        <w:rPr>
          <w:rStyle w:val="FootnoteReference"/>
        </w:rPr>
        <w:footnoteReference w:id="4"/>
      </w:r>
      <w:r w:rsidRPr="4DF0722D">
        <w:t xml:space="preserve"> </w:t>
      </w:r>
      <w:r w:rsidRPr="017CF2AD">
        <w:t>(</w:t>
      </w:r>
      <w:r w:rsidRPr="6CF8D21E">
        <w:t>such as</w:t>
      </w:r>
      <w:r>
        <w:t xml:space="preserve"> a </w:t>
      </w:r>
      <w:r w:rsidRPr="157A22EF">
        <w:t>main benefit, New Zealand Superannuation or Veteran’s Pension</w:t>
      </w:r>
      <w:r>
        <w:t>)</w:t>
      </w:r>
      <w:r w:rsidRPr="157A22EF">
        <w:t xml:space="preserve"> </w:t>
      </w:r>
      <w:r>
        <w:t>at the point in the month that Inland Revenue checks for eligibility for the payment</w:t>
      </w:r>
      <w:r w:rsidRPr="157A22EF">
        <w:t xml:space="preserve">. This is because these individuals </w:t>
      </w:r>
      <w:r>
        <w:t>are eligible to</w:t>
      </w:r>
      <w:r w:rsidRPr="157A22EF">
        <w:t xml:space="preserve"> receiv</w:t>
      </w:r>
      <w:r>
        <w:t>e</w:t>
      </w:r>
      <w:r w:rsidRPr="157A22EF">
        <w:t xml:space="preserve"> the WEP. </w:t>
      </w:r>
      <w:r w:rsidR="007B5532">
        <w:t xml:space="preserve">The </w:t>
      </w:r>
      <w:proofErr w:type="gramStart"/>
      <w:r w:rsidR="007B5532">
        <w:t>Cost of Living</w:t>
      </w:r>
      <w:proofErr w:type="gramEnd"/>
      <w:r w:rsidR="007B5532">
        <w:t xml:space="preserve"> payment</w:t>
      </w:r>
      <w:r w:rsidR="00252C52">
        <w:t xml:space="preserve"> is half the couple rate for the WEP</w:t>
      </w:r>
      <w:r w:rsidR="007B5532">
        <w:t>.</w:t>
      </w:r>
    </w:p>
    <w:p w14:paraId="78595B27" w14:textId="29EF7645" w:rsidR="00CC13B4" w:rsidRDefault="00CC13B4" w:rsidP="00CC13B4">
      <w:r>
        <w:t xml:space="preserve">Before each monthly payment, Inland Revenue will check eligibility for the payment, including whether or not </w:t>
      </w:r>
      <w:r w:rsidR="0085153F">
        <w:t>the individual</w:t>
      </w:r>
      <w:r>
        <w:t xml:space="preserve"> </w:t>
      </w:r>
      <w:r w:rsidR="00DB4AD9">
        <w:t>is</w:t>
      </w:r>
      <w:r>
        <w:t xml:space="preserve"> receiving a qualifying benefit or </w:t>
      </w:r>
      <w:r>
        <w:lastRenderedPageBreak/>
        <w:t>NZ</w:t>
      </w:r>
      <w:r w:rsidR="00E514DC">
        <w:t> </w:t>
      </w:r>
      <w:r>
        <w:t>Superannuation. Changes in circumstances, such as coming off a benefit</w:t>
      </w:r>
      <w:r w:rsidR="006938C1">
        <w:t>,</w:t>
      </w:r>
      <w:r>
        <w:t xml:space="preserve"> will be </w:t>
      </w:r>
      <w:proofErr w:type="gramStart"/>
      <w:r>
        <w:t>taken into account</w:t>
      </w:r>
      <w:proofErr w:type="gramEnd"/>
      <w:r>
        <w:t xml:space="preserve"> during the main payment period from August to October.</w:t>
      </w:r>
    </w:p>
    <w:p w14:paraId="170ADE75" w14:textId="77777777" w:rsidR="00CC13B4" w:rsidRPr="00BD7289" w:rsidRDefault="00CC13B4" w:rsidP="00CC13B4">
      <w:r w:rsidRPr="00BD7289">
        <w:t>This means that people who are moving on or off benefit during a month may:</w:t>
      </w:r>
    </w:p>
    <w:p w14:paraId="1704E893" w14:textId="67011653" w:rsidR="00CC13B4" w:rsidRPr="00BD7289" w:rsidRDefault="00CC13B4" w:rsidP="00CC13B4">
      <w:pPr>
        <w:pStyle w:val="Bullets"/>
      </w:pPr>
      <w:r w:rsidRPr="00BD7289">
        <w:t xml:space="preserve">receive some WEP as well as the </w:t>
      </w:r>
      <w:proofErr w:type="gramStart"/>
      <w:r>
        <w:t>Cost of Living</w:t>
      </w:r>
      <w:proofErr w:type="gramEnd"/>
      <w:r>
        <w:t xml:space="preserve"> </w:t>
      </w:r>
      <w:r w:rsidRPr="00BD7289">
        <w:t>payment (</w:t>
      </w:r>
      <w:r w:rsidR="00AC097A">
        <w:t xml:space="preserve">for example, </w:t>
      </w:r>
      <w:r w:rsidRPr="00BD7289">
        <w:t>individuals who cease benefit partway through the month would show as not in receipt of a benefit at the monthly check); or</w:t>
      </w:r>
    </w:p>
    <w:p w14:paraId="325B207A" w14:textId="5E55650B" w:rsidR="00CC13B4" w:rsidRPr="00BD7289" w:rsidRDefault="00CC13B4" w:rsidP="00CC13B4">
      <w:pPr>
        <w:pStyle w:val="Bullets"/>
      </w:pPr>
      <w:r w:rsidRPr="00BD7289">
        <w:t xml:space="preserve">receive WEP for part of the month but no </w:t>
      </w:r>
      <w:proofErr w:type="gramStart"/>
      <w:r>
        <w:t>Cost of Living</w:t>
      </w:r>
      <w:proofErr w:type="gramEnd"/>
      <w:r>
        <w:t xml:space="preserve"> </w:t>
      </w:r>
      <w:r w:rsidRPr="00BD7289">
        <w:t>payment (</w:t>
      </w:r>
      <w:r w:rsidR="005665D8">
        <w:t>for example,</w:t>
      </w:r>
      <w:r w:rsidRPr="00BD7289">
        <w:t xml:space="preserve"> start benefit near the end of the month so would show as in receipt of benefit at the monthly check).</w:t>
      </w:r>
    </w:p>
    <w:p w14:paraId="6CF9B053" w14:textId="77777777" w:rsidR="00CC13B4" w:rsidRPr="00554B39" w:rsidRDefault="00CC13B4" w:rsidP="00CC13B4">
      <w:r w:rsidRPr="00554B39">
        <w:t>Figures 1 and 2 below illustrate these scenarios.</w:t>
      </w:r>
    </w:p>
    <w:p w14:paraId="41EE4F59" w14:textId="59C78DBD" w:rsidR="00CC13B4" w:rsidRPr="00554B39" w:rsidRDefault="00CC13B4" w:rsidP="00CC13B4">
      <w:pPr>
        <w:ind w:left="567"/>
      </w:pPr>
      <w:r w:rsidRPr="00554B39">
        <w:rPr>
          <w:b/>
          <w:bCs/>
        </w:rPr>
        <w:t>Figure 1</w:t>
      </w:r>
      <w:r w:rsidR="003D572C">
        <w:rPr>
          <w:b/>
          <w:bCs/>
        </w:rPr>
        <w:t>:</w:t>
      </w:r>
      <w:r w:rsidRPr="00554B39">
        <w:t xml:space="preserve"> Effect of ceasing a benefit during a month</w:t>
      </w:r>
    </w:p>
    <w:p w14:paraId="6E66D216" w14:textId="77777777" w:rsidR="00CC13B4" w:rsidRPr="00554B39" w:rsidRDefault="00CC13B4" w:rsidP="00CC13B4">
      <w:pPr>
        <w:ind w:left="567"/>
      </w:pPr>
      <w:r w:rsidRPr="00554B39">
        <w:rPr>
          <w:noProof/>
          <w:color w:val="2B579A"/>
          <w:shd w:val="clear" w:color="auto" w:fill="E6E6E6"/>
        </w:rPr>
        <w:drawing>
          <wp:inline distT="0" distB="0" distL="0" distR="0" wp14:anchorId="388A3EEF" wp14:editId="2A9D1C46">
            <wp:extent cx="5760085" cy="144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445260"/>
                    </a:xfrm>
                    <a:prstGeom prst="rect">
                      <a:avLst/>
                    </a:prstGeom>
                    <a:noFill/>
                    <a:ln>
                      <a:noFill/>
                    </a:ln>
                  </pic:spPr>
                </pic:pic>
              </a:graphicData>
            </a:graphic>
          </wp:inline>
        </w:drawing>
      </w:r>
    </w:p>
    <w:p w14:paraId="1D721780" w14:textId="1C660E84" w:rsidR="00CC13B4" w:rsidRPr="00554B39" w:rsidRDefault="00353CA8" w:rsidP="00CC13B4">
      <w:pPr>
        <w:ind w:left="567"/>
      </w:pPr>
      <w:r w:rsidRPr="00554B39">
        <w:rPr>
          <w:noProof/>
          <w:color w:val="2B579A"/>
          <w:shd w:val="clear" w:color="auto" w:fill="E6E6E6"/>
        </w:rPr>
        <w:drawing>
          <wp:anchor distT="0" distB="0" distL="114300" distR="114300" simplePos="0" relativeHeight="251658240" behindDoc="0" locked="0" layoutInCell="1" allowOverlap="1" wp14:anchorId="68528298" wp14:editId="6B367E33">
            <wp:simplePos x="0" y="0"/>
            <wp:positionH relativeFrom="column">
              <wp:posOffset>383284</wp:posOffset>
            </wp:positionH>
            <wp:positionV relativeFrom="paragraph">
              <wp:posOffset>393114</wp:posOffset>
            </wp:positionV>
            <wp:extent cx="5738495" cy="1400175"/>
            <wp:effectExtent l="19050" t="19050" r="14605" b="285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8495" cy="1400175"/>
                    </a:xfrm>
                    <a:prstGeom prst="rect">
                      <a:avLst/>
                    </a:prstGeom>
                    <a:noFill/>
                    <a:ln>
                      <a:solidFill>
                        <a:schemeClr val="dk1"/>
                      </a:solidFill>
                    </a:ln>
                  </pic:spPr>
                </pic:pic>
              </a:graphicData>
            </a:graphic>
            <wp14:sizeRelH relativeFrom="margin">
              <wp14:pctWidth>0</wp14:pctWidth>
            </wp14:sizeRelH>
            <wp14:sizeRelV relativeFrom="margin">
              <wp14:pctHeight>0</wp14:pctHeight>
            </wp14:sizeRelV>
          </wp:anchor>
        </w:drawing>
      </w:r>
      <w:r w:rsidR="00CC13B4" w:rsidRPr="00554B39">
        <w:rPr>
          <w:b/>
          <w:bCs/>
        </w:rPr>
        <w:t>Figure 2</w:t>
      </w:r>
      <w:r w:rsidR="00972DE5">
        <w:rPr>
          <w:b/>
          <w:bCs/>
        </w:rPr>
        <w:t>:</w:t>
      </w:r>
      <w:r w:rsidR="00CC13B4" w:rsidRPr="00554B39">
        <w:t xml:space="preserve"> Effect of starting </w:t>
      </w:r>
      <w:r w:rsidR="000E0FB4">
        <w:t xml:space="preserve">a </w:t>
      </w:r>
      <w:r w:rsidR="00CC13B4" w:rsidRPr="00554B39">
        <w:t>benefit in a month</w:t>
      </w:r>
    </w:p>
    <w:p w14:paraId="2DDE3F2C" w14:textId="1387AD10" w:rsidR="00DB2FC1" w:rsidRPr="00357E92" w:rsidRDefault="00DB2FC1" w:rsidP="00357E92"/>
    <w:p w14:paraId="388A5D24" w14:textId="7AD3E3FC" w:rsidR="00CC13B4" w:rsidRDefault="00CC13B4" w:rsidP="00CC13B4">
      <w:pPr>
        <w:pStyle w:val="NoNumberHeading2"/>
      </w:pPr>
      <w:r>
        <w:t>Minimum age requirement</w:t>
      </w:r>
    </w:p>
    <w:p w14:paraId="2F24085E" w14:textId="77777777" w:rsidR="00CC13B4" w:rsidRDefault="00CC13B4" w:rsidP="00CC13B4">
      <w:r>
        <w:t>Individuals must be aged 18 years or over to qualify for the payment. Eligibility will be checked ahead of each monthly instalment date, so that if a person turns 18 during the August to October payment period they will qualify for one or more payments, depending on when they turn 18.</w:t>
      </w:r>
    </w:p>
    <w:tbl>
      <w:tblPr>
        <w:tblStyle w:val="IR-Table-ParagraphHighlightStyle2"/>
        <w:tblW w:w="0" w:type="auto"/>
        <w:tblLook w:val="04A0" w:firstRow="1" w:lastRow="0" w:firstColumn="1" w:lastColumn="0" w:noHBand="0" w:noVBand="1"/>
      </w:tblPr>
      <w:tblGrid>
        <w:gridCol w:w="9016"/>
      </w:tblGrid>
      <w:tr w:rsidR="00972DE5" w14:paraId="694FEA2F" w14:textId="77777777" w:rsidTr="00972DE5">
        <w:tc>
          <w:tcPr>
            <w:tcW w:w="9016" w:type="dxa"/>
          </w:tcPr>
          <w:p w14:paraId="0AEA04E7" w14:textId="77777777" w:rsidR="00972DE5" w:rsidRPr="00B125AD" w:rsidRDefault="00972DE5" w:rsidP="00CC13B4">
            <w:pPr>
              <w:rPr>
                <w:b/>
                <w:bCs/>
              </w:rPr>
            </w:pPr>
            <w:r w:rsidRPr="00B125AD">
              <w:rPr>
                <w:b/>
                <w:bCs/>
              </w:rPr>
              <w:lastRenderedPageBreak/>
              <w:t>Example 1</w:t>
            </w:r>
          </w:p>
          <w:p w14:paraId="1B355D7B" w14:textId="5A4BEDDC" w:rsidR="00B125AD" w:rsidRDefault="00B125AD" w:rsidP="00CC13B4">
            <w:r>
              <w:t>Kahu turns 18 on 25 August 2022. She meets all of the other criteria for the payment. She won’t qualify for the August payment but will qualify for the payments in September and October. Kahu will be eligible for two of the three payments.</w:t>
            </w:r>
          </w:p>
        </w:tc>
      </w:tr>
    </w:tbl>
    <w:p w14:paraId="1461D345" w14:textId="73FCF1DD" w:rsidR="00CC13B4" w:rsidRDefault="03EF5716" w:rsidP="630AD1CD">
      <w:pPr>
        <w:pStyle w:val="NoNumberHeading2"/>
      </w:pPr>
      <w:r>
        <w:t>Must be present in New Zealand and tax resident in New</w:t>
      </w:r>
      <w:r w:rsidR="007D7670">
        <w:t> </w:t>
      </w:r>
      <w:r>
        <w:t>Zealand</w:t>
      </w:r>
    </w:p>
    <w:p w14:paraId="07F2BEBC" w14:textId="39ABE6F8" w:rsidR="00CC13B4" w:rsidRDefault="00CC13B4" w:rsidP="00CC13B4">
      <w:r>
        <w:t xml:space="preserve">A person must be present in New Zealand and a New Zealand tax resident to be eligible for the payment. Inland Revenue will determine this based on the information it holds, such as tax residency status, </w:t>
      </w:r>
      <w:proofErr w:type="gramStart"/>
      <w:r>
        <w:t>address</w:t>
      </w:r>
      <w:proofErr w:type="gramEnd"/>
      <w:r>
        <w:t xml:space="preserve"> and bank account information.</w:t>
      </w:r>
    </w:p>
    <w:p w14:paraId="068BDC69" w14:textId="77777777" w:rsidR="00CC13B4" w:rsidRDefault="00CC13B4" w:rsidP="00CC13B4">
      <w:pPr>
        <w:pStyle w:val="NoNumberHeading2"/>
      </w:pPr>
      <w:r>
        <w:t>People in prison do not qualify</w:t>
      </w:r>
    </w:p>
    <w:p w14:paraId="3E935EC5" w14:textId="77777777" w:rsidR="00CC13B4" w:rsidRDefault="00CC13B4" w:rsidP="00CC13B4">
      <w:r>
        <w:t xml:space="preserve">A person in prison will not qualify for the payment. In prison includes those on remand but does not include those on home detention. This means that individuals on home detention may qualify for the </w:t>
      </w:r>
      <w:proofErr w:type="gramStart"/>
      <w:r>
        <w:t>Cost of Living</w:t>
      </w:r>
      <w:proofErr w:type="gramEnd"/>
      <w:r>
        <w:t xml:space="preserve"> payment. This is because they are still responsible for their own living costs.</w:t>
      </w:r>
    </w:p>
    <w:p w14:paraId="36A76F01" w14:textId="72CFFC6D" w:rsidR="00CC13B4" w:rsidRPr="002A70AF" w:rsidRDefault="00CC13B4" w:rsidP="00CC13B4">
      <w:r>
        <w:t>Inland Revenue will use the information is holds to determine whether a person is in prison ahead of each monthly payment.</w:t>
      </w:r>
    </w:p>
    <w:p w14:paraId="505A3F1F" w14:textId="77777777" w:rsidR="00CC13B4" w:rsidRDefault="00CC13B4" w:rsidP="00CC13B4">
      <w:pPr>
        <w:pStyle w:val="NoNumberHeading2"/>
      </w:pPr>
      <w:r>
        <w:t>Payment made to people who are ineligible</w:t>
      </w:r>
    </w:p>
    <w:p w14:paraId="31346639" w14:textId="12BED0E2" w:rsidR="00CC13B4" w:rsidRDefault="00CC13B4" w:rsidP="00CC13B4">
      <w:r>
        <w:t>It is possible that the information that Inland Revenue has been provided to determine eligibility, could be incorrect. The correct information may show that a person is not eligible. For example, a person may be recorded as 27 when they are actually 17 years old.</w:t>
      </w:r>
    </w:p>
    <w:p w14:paraId="42426A01" w14:textId="2B7D9D2D" w:rsidR="00CC13B4" w:rsidRDefault="00CC13B4" w:rsidP="00CC13B4">
      <w:r>
        <w:t>However, Inland Revenue will only apply resources</w:t>
      </w:r>
      <w:r w:rsidR="004A6E16">
        <w:t xml:space="preserve"> </w:t>
      </w:r>
      <w:r>
        <w:t>to identify such cases, and to recover payments, when there has been fraudulent or wilfully misleading information provided. Inland Revenue will be able to use its usual debt recovery options, such as deductions from a person’s salary and wages, or their bank account.</w:t>
      </w:r>
    </w:p>
    <w:p w14:paraId="08E98547" w14:textId="77777777" w:rsidR="00CC13B4" w:rsidRDefault="00CC13B4" w:rsidP="00CC13B4">
      <w:pPr>
        <w:pStyle w:val="NoNumberHeading2"/>
      </w:pPr>
      <w:r>
        <w:t>Opting out of the scheme</w:t>
      </w:r>
    </w:p>
    <w:p w14:paraId="01AAB144" w14:textId="77777777" w:rsidR="00CC13B4" w:rsidRDefault="00CC13B4" w:rsidP="00CC13B4">
      <w:r>
        <w:t xml:space="preserve">If an individual does not want to receive the </w:t>
      </w:r>
      <w:proofErr w:type="gramStart"/>
      <w:r>
        <w:t>Cost of Living</w:t>
      </w:r>
      <w:proofErr w:type="gramEnd"/>
      <w:r>
        <w:t xml:space="preserve"> payment, they can opt out of the scheme. They can do this by calling Inland Revenue or, from the end of July, through their secure online services account in myIR.</w:t>
      </w:r>
    </w:p>
    <w:p w14:paraId="0C5F2139" w14:textId="1DA48A72" w:rsidR="00CC13B4" w:rsidRDefault="00CC13B4" w:rsidP="00CC13B4">
      <w:r>
        <w:lastRenderedPageBreak/>
        <w:t xml:space="preserve">The decision to opt </w:t>
      </w:r>
      <w:r w:rsidR="00C91BBF">
        <w:t xml:space="preserve">out </w:t>
      </w:r>
      <w:r>
        <w:t>is final. Once an individual has opted out, they will not be able to change their mind and receive payments.</w:t>
      </w:r>
    </w:p>
    <w:p w14:paraId="253685DF" w14:textId="10FF080D" w:rsidR="000654C4" w:rsidRPr="00D67439" w:rsidRDefault="00CC13B4" w:rsidP="0CD9BEC9">
      <w:pPr>
        <w:pStyle w:val="NoNumberHeading1"/>
      </w:pPr>
      <w:bookmarkStart w:id="6" w:name="_Toc109392579"/>
      <w:r>
        <w:t xml:space="preserve">Overview </w:t>
      </w:r>
      <w:r w:rsidR="00C666A2">
        <w:t>of the legislative change</w:t>
      </w:r>
      <w:bookmarkEnd w:id="6"/>
    </w:p>
    <w:p w14:paraId="37BA8AE9" w14:textId="48BE90BB" w:rsidR="009D1747" w:rsidRDefault="009D1747" w:rsidP="009D1747">
      <w:r>
        <w:t xml:space="preserve">The Taxation (Cost of Living Payments) Bill was </w:t>
      </w:r>
      <w:r w:rsidR="00A91592">
        <w:t xml:space="preserve">passed under urgency </w:t>
      </w:r>
      <w:r>
        <w:t xml:space="preserve">on </w:t>
      </w:r>
      <w:r w:rsidR="00E1533F">
        <w:t>19</w:t>
      </w:r>
      <w:r w:rsidR="00231528">
        <w:t xml:space="preserve"> </w:t>
      </w:r>
      <w:r>
        <w:t>May</w:t>
      </w:r>
      <w:r w:rsidR="00B8692E">
        <w:t xml:space="preserve"> </w:t>
      </w:r>
      <w:r>
        <w:t>20</w:t>
      </w:r>
      <w:r w:rsidR="00B8692E">
        <w:t>22</w:t>
      </w:r>
      <w:r>
        <w:t>. The new Act received Royal assent on</w:t>
      </w:r>
      <w:r w:rsidR="00421B97">
        <w:t xml:space="preserve"> </w:t>
      </w:r>
      <w:r w:rsidR="004B66F3">
        <w:t>24</w:t>
      </w:r>
      <w:r w:rsidR="002534DE">
        <w:t xml:space="preserve"> </w:t>
      </w:r>
      <w:r w:rsidR="00421B97">
        <w:t>May</w:t>
      </w:r>
      <w:r w:rsidR="00504A1B">
        <w:t xml:space="preserve"> 2022</w:t>
      </w:r>
      <w:r>
        <w:t xml:space="preserve">. It amends the </w:t>
      </w:r>
      <w:r w:rsidR="00504A1B">
        <w:t xml:space="preserve">Tax Administration Act 1994 </w:t>
      </w:r>
      <w:r>
        <w:t>and the Income Tax Act 2007.</w:t>
      </w:r>
    </w:p>
    <w:p w14:paraId="0A6FF0C1" w14:textId="0C4158EB" w:rsidR="009D1747" w:rsidRDefault="002C41C0" w:rsidP="002C41C0">
      <w:r>
        <w:t>The new legislation allows the Commissioner of Inland Revenue to</w:t>
      </w:r>
      <w:r w:rsidR="00421A21">
        <w:t xml:space="preserve"> administer the </w:t>
      </w:r>
      <w:proofErr w:type="gramStart"/>
      <w:r w:rsidR="00421A21">
        <w:t>Cost of Living</w:t>
      </w:r>
      <w:proofErr w:type="gramEnd"/>
      <w:r w:rsidR="00421A21">
        <w:t xml:space="preserve"> Payments Scheme (the scheme)</w:t>
      </w:r>
      <w:r>
        <w:t>.</w:t>
      </w:r>
    </w:p>
    <w:p w14:paraId="0B0CBB42" w14:textId="7EB07407" w:rsidR="000654C4" w:rsidRPr="00345936" w:rsidRDefault="004F0D56" w:rsidP="0CD9BEC9">
      <w:pPr>
        <w:pStyle w:val="NoNumberHeading1"/>
      </w:pPr>
      <w:bookmarkStart w:id="7" w:name="_Toc109392580"/>
      <w:r>
        <w:t>Cost of Living</w:t>
      </w:r>
      <w:r w:rsidR="00AE51BC">
        <w:t xml:space="preserve"> Payments Scheme</w:t>
      </w:r>
      <w:bookmarkEnd w:id="7"/>
    </w:p>
    <w:p w14:paraId="027887CE" w14:textId="6FB3605A" w:rsidR="00BF700A" w:rsidRPr="000E1426" w:rsidRDefault="007A67B0" w:rsidP="00BF700A">
      <w:pPr>
        <w:rPr>
          <w:b/>
          <w:bCs/>
          <w:i/>
          <w:iCs/>
        </w:rPr>
      </w:pPr>
      <w:r w:rsidRPr="000E1426">
        <w:rPr>
          <w:b/>
          <w:bCs/>
          <w:i/>
          <w:iCs/>
        </w:rPr>
        <w:t>Section</w:t>
      </w:r>
      <w:r w:rsidR="00AB293E" w:rsidRPr="000E1426">
        <w:rPr>
          <w:b/>
          <w:bCs/>
          <w:i/>
          <w:iCs/>
        </w:rPr>
        <w:t xml:space="preserve">s </w:t>
      </w:r>
      <w:r w:rsidR="005644AF">
        <w:rPr>
          <w:b/>
          <w:bCs/>
          <w:i/>
          <w:iCs/>
        </w:rPr>
        <w:t>3</w:t>
      </w:r>
      <w:r w:rsidR="004F0D56">
        <w:rPr>
          <w:b/>
          <w:bCs/>
          <w:i/>
          <w:iCs/>
        </w:rPr>
        <w:t xml:space="preserve">, </w:t>
      </w:r>
      <w:r w:rsidR="005644AF">
        <w:rPr>
          <w:b/>
          <w:bCs/>
          <w:i/>
          <w:iCs/>
        </w:rPr>
        <w:t>7AAA, and 157</w:t>
      </w:r>
      <w:r w:rsidR="004F0D56">
        <w:rPr>
          <w:b/>
          <w:bCs/>
          <w:i/>
          <w:iCs/>
        </w:rPr>
        <w:t xml:space="preserve"> </w:t>
      </w:r>
      <w:r w:rsidR="004F0D56" w:rsidRPr="000E1426">
        <w:rPr>
          <w:b/>
          <w:bCs/>
          <w:i/>
          <w:iCs/>
        </w:rPr>
        <w:t>of</w:t>
      </w:r>
      <w:r w:rsidRPr="000E1426">
        <w:rPr>
          <w:b/>
          <w:bCs/>
          <w:i/>
          <w:iCs/>
        </w:rPr>
        <w:t xml:space="preserve"> the Tax Administration Act 1994</w:t>
      </w:r>
      <w:r w:rsidR="00AB293E" w:rsidRPr="000E1426">
        <w:rPr>
          <w:b/>
          <w:bCs/>
          <w:i/>
          <w:iCs/>
        </w:rPr>
        <w:t>;</w:t>
      </w:r>
      <w:r w:rsidR="00162DAF" w:rsidRPr="000E1426">
        <w:rPr>
          <w:b/>
          <w:bCs/>
          <w:i/>
          <w:iCs/>
        </w:rPr>
        <w:t xml:space="preserve"> </w:t>
      </w:r>
      <w:r w:rsidR="00842432" w:rsidRPr="000E1426">
        <w:rPr>
          <w:b/>
          <w:bCs/>
          <w:i/>
          <w:iCs/>
        </w:rPr>
        <w:t>s</w:t>
      </w:r>
      <w:r w:rsidR="00162DAF" w:rsidRPr="000E1426">
        <w:rPr>
          <w:b/>
          <w:bCs/>
          <w:i/>
          <w:iCs/>
        </w:rPr>
        <w:t>ection</w:t>
      </w:r>
      <w:r w:rsidR="001D7765" w:rsidRPr="000E1426">
        <w:rPr>
          <w:b/>
          <w:bCs/>
          <w:i/>
          <w:iCs/>
        </w:rPr>
        <w:t>s</w:t>
      </w:r>
      <w:r w:rsidR="00162DAF" w:rsidRPr="000E1426">
        <w:rPr>
          <w:b/>
          <w:bCs/>
          <w:i/>
          <w:iCs/>
        </w:rPr>
        <w:t xml:space="preserve"> </w:t>
      </w:r>
      <w:r w:rsidR="005644AF">
        <w:rPr>
          <w:b/>
          <w:bCs/>
          <w:i/>
          <w:iCs/>
        </w:rPr>
        <w:t xml:space="preserve">CW 33 and </w:t>
      </w:r>
      <w:r w:rsidR="00162DAF" w:rsidRPr="000E1426">
        <w:rPr>
          <w:b/>
          <w:bCs/>
          <w:i/>
          <w:iCs/>
        </w:rPr>
        <w:t>MB</w:t>
      </w:r>
      <w:r w:rsidR="008F52BA" w:rsidRPr="000E1426">
        <w:rPr>
          <w:b/>
          <w:bCs/>
          <w:i/>
          <w:iCs/>
        </w:rPr>
        <w:t> </w:t>
      </w:r>
      <w:r w:rsidR="00162DAF" w:rsidRPr="000E1426">
        <w:rPr>
          <w:b/>
          <w:bCs/>
          <w:i/>
          <w:iCs/>
        </w:rPr>
        <w:t>13</w:t>
      </w:r>
      <w:r w:rsidR="001D7765" w:rsidRPr="000E1426">
        <w:rPr>
          <w:b/>
          <w:bCs/>
          <w:i/>
          <w:iCs/>
        </w:rPr>
        <w:t xml:space="preserve"> </w:t>
      </w:r>
      <w:r w:rsidR="00162DAF" w:rsidRPr="000E1426">
        <w:rPr>
          <w:b/>
          <w:bCs/>
          <w:i/>
          <w:iCs/>
        </w:rPr>
        <w:t>of the Income Tax Act 2007</w:t>
      </w:r>
    </w:p>
    <w:p w14:paraId="60A84648" w14:textId="09348BE9" w:rsidR="00A920E9" w:rsidRDefault="00BF700A" w:rsidP="00BF700A">
      <w:r>
        <w:t xml:space="preserve">The Act </w:t>
      </w:r>
      <w:r w:rsidR="00C054CA">
        <w:t>provide</w:t>
      </w:r>
      <w:r w:rsidR="006A5FD5">
        <w:t>s</w:t>
      </w:r>
      <w:r w:rsidR="00C054CA">
        <w:t xml:space="preserve"> authorisation for the Commissioner of Inland Revenue to make payments </w:t>
      </w:r>
      <w:r w:rsidR="005136FB">
        <w:t xml:space="preserve">to eligible individuals </w:t>
      </w:r>
      <w:r w:rsidR="00C054CA">
        <w:t xml:space="preserve">under the </w:t>
      </w:r>
      <w:proofErr w:type="gramStart"/>
      <w:r w:rsidR="00C054CA">
        <w:t>Cost of Living</w:t>
      </w:r>
      <w:proofErr w:type="gramEnd"/>
      <w:r w:rsidR="00C054CA">
        <w:t xml:space="preserve"> Payments</w:t>
      </w:r>
      <w:r w:rsidR="006A5FD5">
        <w:t xml:space="preserve"> Scheme (</w:t>
      </w:r>
      <w:r w:rsidR="00943FBD">
        <w:t>the scheme</w:t>
      </w:r>
      <w:r w:rsidR="00321643">
        <w:t xml:space="preserve">) and to administer the scheme </w:t>
      </w:r>
      <w:r w:rsidR="00C23B9E">
        <w:t>on behalf of the Government</w:t>
      </w:r>
      <w:r w:rsidR="00A920E9">
        <w:t>.</w:t>
      </w:r>
    </w:p>
    <w:p w14:paraId="06145C58" w14:textId="77777777" w:rsidR="00BF700A" w:rsidRDefault="00BF700A" w:rsidP="00BF700A">
      <w:pPr>
        <w:pStyle w:val="NoNumberHeading2"/>
      </w:pPr>
      <w:bookmarkStart w:id="8" w:name="_Toc64637535"/>
      <w:bookmarkStart w:id="9" w:name="_Toc64976845"/>
      <w:r>
        <w:t>Background</w:t>
      </w:r>
      <w:bookmarkEnd w:id="8"/>
      <w:bookmarkEnd w:id="9"/>
    </w:p>
    <w:p w14:paraId="750CAC88" w14:textId="03E06E1E" w:rsidR="000D01E1" w:rsidRDefault="00211401" w:rsidP="00BF700A">
      <w:r>
        <w:t>The Act co</w:t>
      </w:r>
      <w:r w:rsidR="001E6768">
        <w:t xml:space="preserve">ntains several amendments to support the </w:t>
      </w:r>
      <w:r w:rsidR="00943FBD">
        <w:t>scheme</w:t>
      </w:r>
      <w:r w:rsidR="001E6768">
        <w:t xml:space="preserve"> to </w:t>
      </w:r>
      <w:r w:rsidR="43224EA1">
        <w:t xml:space="preserve">provide temporary financial support to eligible low-to middle-income individuals facing increased cost-of-living pressures because of the recent spike in inflation. </w:t>
      </w:r>
      <w:r w:rsidR="006B4F20">
        <w:t xml:space="preserve">The </w:t>
      </w:r>
      <w:r w:rsidR="00943FBD">
        <w:t>scheme</w:t>
      </w:r>
      <w:r w:rsidR="006B4F20">
        <w:t xml:space="preserve"> will be administered by Inland Revenue.</w:t>
      </w:r>
    </w:p>
    <w:p w14:paraId="0B18B6F8" w14:textId="1DFD2F2A" w:rsidR="000D01E1" w:rsidRDefault="677488DE" w:rsidP="000D01E1">
      <w:r>
        <w:t>Under the scheme, cost of living payments totalling $350 will provide short-term support for low-to middle-income individuals earning up to $70,000 in the 2021–22 tax year and who are not eligible for the WEP.</w:t>
      </w:r>
    </w:p>
    <w:p w14:paraId="4E2FF99F" w14:textId="51D005C3" w:rsidR="000D01E1" w:rsidRDefault="677488DE" w:rsidP="000D01E1">
      <w:r>
        <w:t xml:space="preserve">The payments will be made in </w:t>
      </w:r>
      <w:r w:rsidR="00F8108B">
        <w:t xml:space="preserve">three </w:t>
      </w:r>
      <w:r>
        <w:t>monthly instalments from 1 August 2022 and will be made at a flat rate with no apportionment. Eligibility will be assessed for each instalment separately.</w:t>
      </w:r>
    </w:p>
    <w:p w14:paraId="54B00366" w14:textId="45E37C12" w:rsidR="00FD5DFD" w:rsidRDefault="00FD5DFD" w:rsidP="00FD5DFD">
      <w:r>
        <w:t>The main eligibility criteria for receiving the payments are:</w:t>
      </w:r>
    </w:p>
    <w:p w14:paraId="7F7F49B3" w14:textId="431B8798" w:rsidR="00FD5DFD" w:rsidRDefault="00FD5DFD" w:rsidP="00FD5DFD">
      <w:pPr>
        <w:pStyle w:val="Bullets"/>
      </w:pPr>
      <w:r>
        <w:t>net income of $70,000 or less in the period 1 April 2021 to 31 March 2022</w:t>
      </w:r>
    </w:p>
    <w:p w14:paraId="513B5C93" w14:textId="4BC3FD83" w:rsidR="00FD5DFD" w:rsidRDefault="00FD5DFD" w:rsidP="00FD5DFD">
      <w:pPr>
        <w:pStyle w:val="Bullets"/>
      </w:pPr>
      <w:r>
        <w:t>a finalised income tax assessment for the period 1 April 2021 to 31 March 2022</w:t>
      </w:r>
    </w:p>
    <w:p w14:paraId="6D5B59AD" w14:textId="7DC12686" w:rsidR="00FD5DFD" w:rsidRDefault="00FD5DFD" w:rsidP="00FD5DFD">
      <w:pPr>
        <w:pStyle w:val="Bullets"/>
      </w:pPr>
      <w:r>
        <w:lastRenderedPageBreak/>
        <w:t>not receiving a qualifying benefit for the WEP (Sole Parent Support, Supported Living Payment, Jobseeker Support, Jobseeker Support Student Hardship, Emergency Benefit, Emergency Maintenance Allowance, Youth Payment, Young Parent Payment, New Zealand Superannuation, or Veteran’s Pension) on the date eligibility is assessed</w:t>
      </w:r>
    </w:p>
    <w:p w14:paraId="648C3FBA" w14:textId="0C0E4A3D" w:rsidR="00FD5DFD" w:rsidRDefault="00FD5DFD" w:rsidP="00FD5DFD">
      <w:pPr>
        <w:pStyle w:val="Bullets"/>
      </w:pPr>
      <w:r>
        <w:t>aged 18 or over</w:t>
      </w:r>
    </w:p>
    <w:p w14:paraId="7375A267" w14:textId="0FE1D22B" w:rsidR="00FD5DFD" w:rsidRDefault="00FD5DFD" w:rsidP="00FD5DFD">
      <w:pPr>
        <w:pStyle w:val="Bullets"/>
      </w:pPr>
      <w:r>
        <w:t>both New Zealand tax resident and present in New Zealand</w:t>
      </w:r>
      <w:r w:rsidR="007255C1">
        <w:t xml:space="preserve"> and</w:t>
      </w:r>
    </w:p>
    <w:p w14:paraId="34BF04EA" w14:textId="699376FD" w:rsidR="00FD5DFD" w:rsidRDefault="00FD5DFD" w:rsidP="00FA2045">
      <w:pPr>
        <w:pStyle w:val="Bullets"/>
      </w:pPr>
      <w:r>
        <w:t>not in prison</w:t>
      </w:r>
      <w:r w:rsidR="0046063C">
        <w:t>.</w:t>
      </w:r>
    </w:p>
    <w:p w14:paraId="2A5E9B47" w14:textId="02E040D9" w:rsidR="007255C1" w:rsidRDefault="5A8A3726" w:rsidP="0014155C">
      <w:r>
        <w:t xml:space="preserve">The payment is not intended to be paid to </w:t>
      </w:r>
      <w:r w:rsidR="299BC730">
        <w:t>those who are deceased.</w:t>
      </w:r>
    </w:p>
    <w:p w14:paraId="4E8BCF1A" w14:textId="0BD4590D" w:rsidR="005E6AF2" w:rsidRDefault="006B4F20" w:rsidP="00BF700A">
      <w:r>
        <w:t xml:space="preserve">More detailed information on the operation of the </w:t>
      </w:r>
      <w:r w:rsidR="00365D58">
        <w:t>scheme</w:t>
      </w:r>
      <w:r>
        <w:t xml:space="preserve"> is available on Inland Revenue’s website at: </w:t>
      </w:r>
      <w:hyperlink r:id="rId9" w:history="1">
        <w:r w:rsidR="00E455B5" w:rsidRPr="00CD223B">
          <w:rPr>
            <w:rStyle w:val="Hyperlink"/>
          </w:rPr>
          <w:t>https://www.ird.govt.nz/cost-of-living-payment</w:t>
        </w:r>
      </w:hyperlink>
      <w:r w:rsidR="00A62ED8">
        <w:t>.</w:t>
      </w:r>
    </w:p>
    <w:p w14:paraId="00C79805" w14:textId="77777777" w:rsidR="00BF700A" w:rsidRDefault="00BF700A" w:rsidP="000B1C2F">
      <w:pPr>
        <w:pStyle w:val="NoNumberHeading2"/>
      </w:pPr>
      <w:bookmarkStart w:id="10" w:name="_Toc64637536"/>
      <w:bookmarkStart w:id="11" w:name="_Toc64976846"/>
      <w:r>
        <w:t>Key features</w:t>
      </w:r>
      <w:bookmarkEnd w:id="10"/>
      <w:bookmarkEnd w:id="11"/>
    </w:p>
    <w:p w14:paraId="24FD8363" w14:textId="1BF050C3" w:rsidR="00F52B5C" w:rsidRDefault="00F52B5C" w:rsidP="00F52B5C">
      <w:pPr>
        <w:pStyle w:val="Bullets"/>
        <w:numPr>
          <w:ilvl w:val="0"/>
          <w:numId w:val="0"/>
        </w:numPr>
      </w:pPr>
      <w:r>
        <w:t xml:space="preserve">The </w:t>
      </w:r>
      <w:r w:rsidR="00A30B78">
        <w:t xml:space="preserve">new </w:t>
      </w:r>
      <w:r>
        <w:t>Act</w:t>
      </w:r>
      <w:r w:rsidR="00A30B78">
        <w:t xml:space="preserve"> makes the following changes to the Tax Administration Act </w:t>
      </w:r>
      <w:r w:rsidR="00966FBE">
        <w:t xml:space="preserve">1994 </w:t>
      </w:r>
      <w:r w:rsidR="002C7752">
        <w:t>(TAA):</w:t>
      </w:r>
    </w:p>
    <w:p w14:paraId="54E32730" w14:textId="3771E42F" w:rsidR="43224EA1" w:rsidRDefault="43224EA1" w:rsidP="43224EA1">
      <w:pPr>
        <w:pStyle w:val="Bullets"/>
      </w:pPr>
      <w:r w:rsidRPr="43224EA1">
        <w:rPr>
          <w:rFonts w:eastAsia="Calibri"/>
        </w:rPr>
        <w:t>Inserting the definition of the ‘Cost of Living Payments Scheme’ in section 3 of the TAA for the purpose of administering the scheme.</w:t>
      </w:r>
    </w:p>
    <w:p w14:paraId="4D499394" w14:textId="046E079F" w:rsidR="00BF497E" w:rsidRDefault="43224EA1" w:rsidP="43224EA1">
      <w:pPr>
        <w:pStyle w:val="Bullets"/>
        <w:rPr>
          <w:rFonts w:asciiTheme="minorHAnsi" w:eastAsiaTheme="minorEastAsia" w:hAnsiTheme="minorHAnsi"/>
        </w:rPr>
      </w:pPr>
      <w:r w:rsidRPr="43224EA1">
        <w:rPr>
          <w:rFonts w:eastAsia="Calibri"/>
        </w:rPr>
        <w:t xml:space="preserve">Amending the definition of </w:t>
      </w:r>
      <w:r w:rsidR="00C8711C">
        <w:rPr>
          <w:rFonts w:eastAsia="Calibri"/>
        </w:rPr>
        <w:t>‘</w:t>
      </w:r>
      <w:r w:rsidRPr="43224EA1">
        <w:rPr>
          <w:rFonts w:eastAsia="Calibri"/>
        </w:rPr>
        <w:t>disputable decision’ in section 3 of the TAA to exclude a decision to make, or to decline to make, a payment under the scheme.</w:t>
      </w:r>
    </w:p>
    <w:p w14:paraId="61E36FDA" w14:textId="474FFB1B" w:rsidR="00BF497E" w:rsidRDefault="00BF497E" w:rsidP="00BF700A">
      <w:pPr>
        <w:pStyle w:val="Bullets"/>
      </w:pPr>
      <w:r>
        <w:t>Amend</w:t>
      </w:r>
      <w:r w:rsidR="00A30B78">
        <w:t>ing</w:t>
      </w:r>
      <w:r>
        <w:t xml:space="preserve"> the definition of </w:t>
      </w:r>
      <w:r w:rsidR="00B64E10">
        <w:t>‘</w:t>
      </w:r>
      <w:r>
        <w:t>tax</w:t>
      </w:r>
      <w:r w:rsidR="00B64E10">
        <w:t>’</w:t>
      </w:r>
      <w:r>
        <w:t xml:space="preserve"> in </w:t>
      </w:r>
      <w:r w:rsidR="001E4E00">
        <w:t>s</w:t>
      </w:r>
      <w:r>
        <w:t>ection 3</w:t>
      </w:r>
      <w:r w:rsidR="007D1F25">
        <w:t xml:space="preserve"> of the </w:t>
      </w:r>
      <w:r w:rsidR="002C7752">
        <w:t>TAA</w:t>
      </w:r>
      <w:r w:rsidR="007D1F25">
        <w:t xml:space="preserve"> to allow Inland Revenue to use its existing debt management and care and management powers to administer the </w:t>
      </w:r>
      <w:r w:rsidR="00365D58">
        <w:t>scheme</w:t>
      </w:r>
      <w:r w:rsidR="007D1F25">
        <w:t>.</w:t>
      </w:r>
    </w:p>
    <w:p w14:paraId="51C297C1" w14:textId="5658ADF6" w:rsidR="43224EA1" w:rsidRDefault="43224EA1" w:rsidP="43224EA1">
      <w:pPr>
        <w:pStyle w:val="Bullets"/>
      </w:pPr>
      <w:r w:rsidRPr="43224EA1">
        <w:rPr>
          <w:rFonts w:eastAsia="Calibri"/>
        </w:rPr>
        <w:t>Inserting new section 7AAA to the TAA to enable the Commissioner of Inland Revenue to administer the scheme.</w:t>
      </w:r>
    </w:p>
    <w:p w14:paraId="26F50BD2" w14:textId="3B342D96" w:rsidR="43224EA1" w:rsidRDefault="43224EA1" w:rsidP="43224EA1">
      <w:pPr>
        <w:pStyle w:val="Bullets"/>
      </w:pPr>
      <w:r w:rsidRPr="43224EA1">
        <w:rPr>
          <w:rFonts w:eastAsia="Calibri"/>
        </w:rPr>
        <w:t>Amending section 157 of the TAA to include payments made under the scheme.</w:t>
      </w:r>
    </w:p>
    <w:p w14:paraId="20C2080A" w14:textId="5AD13B86" w:rsidR="009B5F96" w:rsidRDefault="009B5F96" w:rsidP="004D440A">
      <w:pPr>
        <w:pStyle w:val="Bullets"/>
        <w:numPr>
          <w:ilvl w:val="0"/>
          <w:numId w:val="0"/>
        </w:numPr>
        <w:spacing w:before="240"/>
        <w:ind w:left="714" w:hanging="357"/>
      </w:pPr>
      <w:r>
        <w:t xml:space="preserve">The new Act makes the following </w:t>
      </w:r>
      <w:r w:rsidR="00F01758">
        <w:t>changes to the Income Tax Act 2007:</w:t>
      </w:r>
    </w:p>
    <w:p w14:paraId="7B5554C4" w14:textId="20C0E6CB" w:rsidR="43224EA1" w:rsidRDefault="43224EA1" w:rsidP="43224EA1">
      <w:pPr>
        <w:pStyle w:val="Bullets"/>
      </w:pPr>
      <w:r w:rsidRPr="43224EA1">
        <w:rPr>
          <w:rFonts w:eastAsia="Calibri"/>
        </w:rPr>
        <w:t xml:space="preserve">Amending section </w:t>
      </w:r>
      <w:r w:rsidR="00C60404">
        <w:rPr>
          <w:rFonts w:eastAsia="Calibri"/>
        </w:rPr>
        <w:t>CW 33</w:t>
      </w:r>
      <w:r w:rsidRPr="43224EA1">
        <w:rPr>
          <w:rFonts w:eastAsia="Calibri"/>
        </w:rPr>
        <w:t xml:space="preserve"> to exempt a payment made under the scheme from income tax.</w:t>
      </w:r>
    </w:p>
    <w:p w14:paraId="4E97B61D" w14:textId="2B795CD5" w:rsidR="43224EA1" w:rsidRDefault="43224EA1" w:rsidP="43224EA1">
      <w:pPr>
        <w:pStyle w:val="Bullets"/>
      </w:pPr>
      <w:r w:rsidRPr="43224EA1">
        <w:rPr>
          <w:rFonts w:eastAsia="Calibri"/>
        </w:rPr>
        <w:t xml:space="preserve">Amending section MB 13 to exclude a payment under the </w:t>
      </w:r>
      <w:r w:rsidR="00516E7E">
        <w:rPr>
          <w:rFonts w:eastAsia="Calibri"/>
        </w:rPr>
        <w:t>s</w:t>
      </w:r>
      <w:r w:rsidRPr="43224EA1">
        <w:rPr>
          <w:rFonts w:eastAsia="Calibri"/>
        </w:rPr>
        <w:t>cheme from family scheme income.</w:t>
      </w:r>
    </w:p>
    <w:p w14:paraId="381D7542" w14:textId="695EBE3B" w:rsidR="00BF700A" w:rsidRDefault="00171702" w:rsidP="00BF700A">
      <w:pPr>
        <w:pStyle w:val="NoNumberHeading2"/>
      </w:pPr>
      <w:bookmarkStart w:id="12" w:name="_Toc64637537"/>
      <w:bookmarkStart w:id="13" w:name="_Toc64976847"/>
      <w:r>
        <w:lastRenderedPageBreak/>
        <w:t xml:space="preserve">Effective </w:t>
      </w:r>
      <w:r w:rsidR="00BF700A">
        <w:t>date</w:t>
      </w:r>
      <w:bookmarkEnd w:id="12"/>
      <w:bookmarkEnd w:id="13"/>
    </w:p>
    <w:p w14:paraId="0F937E32" w14:textId="051A7022" w:rsidR="00BE0AC9" w:rsidRDefault="00BF700A" w:rsidP="000B1C2F">
      <w:r>
        <w:t xml:space="preserve">The amendments </w:t>
      </w:r>
      <w:r w:rsidR="00C442FE">
        <w:t xml:space="preserve">applied from </w:t>
      </w:r>
      <w:r w:rsidR="0008665F">
        <w:t>the day after the date the Act received Royal assent</w:t>
      </w:r>
      <w:r w:rsidR="00B8028C">
        <w:t xml:space="preserve"> </w:t>
      </w:r>
      <w:r w:rsidR="00A971FB">
        <w:t>–</w:t>
      </w:r>
      <w:r w:rsidR="003F62DB">
        <w:t xml:space="preserve"> </w:t>
      </w:r>
      <w:r w:rsidR="00B8028C">
        <w:t>25 May 2022</w:t>
      </w:r>
      <w:r>
        <w:t>.</w:t>
      </w:r>
    </w:p>
    <w:p w14:paraId="4A692343" w14:textId="77777777" w:rsidR="00BE0AC9" w:rsidRDefault="00BE0AC9" w:rsidP="00BE0AC9">
      <w:pPr>
        <w:pStyle w:val="NoNumberHeading2"/>
      </w:pPr>
      <w:bookmarkStart w:id="14" w:name="_Toc64637538"/>
      <w:bookmarkStart w:id="15" w:name="_Toc64976848"/>
      <w:r w:rsidRPr="000B1C2F">
        <w:t>Detailed analysis</w:t>
      </w:r>
      <w:bookmarkEnd w:id="14"/>
      <w:bookmarkEnd w:id="15"/>
    </w:p>
    <w:p w14:paraId="62C75B32" w14:textId="693C590D" w:rsidR="43224EA1" w:rsidRPr="00A62ED8" w:rsidRDefault="0072279A" w:rsidP="43224EA1">
      <w:pPr>
        <w:rPr>
          <w:rFonts w:cs="Segoe UI"/>
        </w:rPr>
      </w:pPr>
      <w:r w:rsidRPr="43224EA1">
        <w:rPr>
          <w:rFonts w:cs="Segoe UI"/>
        </w:rPr>
        <w:t>The Act amends the Tax Administration Act 1994 and the Income Tax Act 2007.</w:t>
      </w:r>
    </w:p>
    <w:p w14:paraId="226EE9E9" w14:textId="367D2F6A" w:rsidR="00211DB8" w:rsidRDefault="00211DB8" w:rsidP="43224EA1">
      <w:pPr>
        <w:pStyle w:val="NoNumberHeading3"/>
      </w:pPr>
      <w:r>
        <w:t>Section 3 of the Tax Administration Act 1994</w:t>
      </w:r>
    </w:p>
    <w:p w14:paraId="3B6874B4" w14:textId="6556D7F5" w:rsidR="001804F7" w:rsidRPr="001804F7" w:rsidRDefault="001804F7" w:rsidP="00C319AE">
      <w:pPr>
        <w:pStyle w:val="NoNumberHeading4"/>
      </w:pPr>
      <w:r>
        <w:t>Definition of ‘cost of living payments scheme’</w:t>
      </w:r>
    </w:p>
    <w:p w14:paraId="52B2EDC6" w14:textId="18D195B1" w:rsidR="43224EA1" w:rsidRDefault="43224EA1" w:rsidP="43224EA1">
      <w:pPr>
        <w:rPr>
          <w:rFonts w:cs="Segoe UI"/>
        </w:rPr>
      </w:pPr>
      <w:r w:rsidRPr="43224EA1">
        <w:rPr>
          <w:rFonts w:cs="Segoe UI"/>
        </w:rPr>
        <w:t xml:space="preserve">The definition of the </w:t>
      </w:r>
      <w:proofErr w:type="gramStart"/>
      <w:r w:rsidRPr="43224EA1">
        <w:rPr>
          <w:rFonts w:cs="Segoe UI"/>
        </w:rPr>
        <w:t>Cost of Living</w:t>
      </w:r>
      <w:proofErr w:type="gramEnd"/>
      <w:r w:rsidRPr="43224EA1">
        <w:rPr>
          <w:rFonts w:cs="Segoe UI"/>
        </w:rPr>
        <w:t xml:space="preserve"> Payments Scheme is inserted in section 3 of the Tax Administration Act 1994 for the purpose of administering the scheme.</w:t>
      </w:r>
    </w:p>
    <w:p w14:paraId="3656B724" w14:textId="3A5E2201" w:rsidR="43224EA1" w:rsidRDefault="43224EA1" w:rsidP="43224EA1">
      <w:pPr>
        <w:rPr>
          <w:rFonts w:cs="Segoe UI"/>
        </w:rPr>
      </w:pPr>
      <w:r w:rsidRPr="43224EA1">
        <w:rPr>
          <w:rFonts w:cs="Segoe UI"/>
        </w:rPr>
        <w:t xml:space="preserve">The definition of the ‘cost of living payments scheme’ means the </w:t>
      </w:r>
      <w:proofErr w:type="gramStart"/>
      <w:r w:rsidRPr="43224EA1">
        <w:rPr>
          <w:rFonts w:cs="Segoe UI"/>
        </w:rPr>
        <w:t>Cost of Living</w:t>
      </w:r>
      <w:proofErr w:type="gramEnd"/>
      <w:r w:rsidRPr="43224EA1">
        <w:rPr>
          <w:rFonts w:cs="Segoe UI"/>
        </w:rPr>
        <w:t xml:space="preserve"> Payments Scheme established and administered by the Crown to provide financial support to certain low- and middle-income persons affected by an increase in the cost of living.</w:t>
      </w:r>
    </w:p>
    <w:p w14:paraId="72A87EE6" w14:textId="39282478" w:rsidR="001804F7" w:rsidRPr="001804F7" w:rsidRDefault="001804F7" w:rsidP="00C319AE">
      <w:pPr>
        <w:pStyle w:val="NoNumberHeading4"/>
      </w:pPr>
      <w:r>
        <w:t>Definition of disputable decision’</w:t>
      </w:r>
    </w:p>
    <w:p w14:paraId="0200B4E5" w14:textId="769E9861" w:rsidR="0072279A" w:rsidRDefault="0072279A" w:rsidP="43224EA1">
      <w:pPr>
        <w:rPr>
          <w:rFonts w:cs="Segoe UI"/>
        </w:rPr>
      </w:pPr>
      <w:r w:rsidRPr="43224EA1">
        <w:rPr>
          <w:rFonts w:cs="Segoe UI"/>
        </w:rPr>
        <w:t xml:space="preserve">The definition of </w:t>
      </w:r>
      <w:r w:rsidR="003E588C">
        <w:rPr>
          <w:rFonts w:cs="Segoe UI"/>
        </w:rPr>
        <w:t>‘</w:t>
      </w:r>
      <w:r w:rsidRPr="43224EA1">
        <w:rPr>
          <w:rFonts w:cs="Segoe UI"/>
        </w:rPr>
        <w:t>disputable decision</w:t>
      </w:r>
      <w:r w:rsidR="003E588C">
        <w:rPr>
          <w:rFonts w:cs="Segoe UI"/>
        </w:rPr>
        <w:t>’</w:t>
      </w:r>
      <w:r w:rsidRPr="43224EA1">
        <w:rPr>
          <w:rFonts w:cs="Segoe UI"/>
        </w:rPr>
        <w:t xml:space="preserve"> in section 3 of the Tax Administration Act 1994 </w:t>
      </w:r>
      <w:r w:rsidR="00A86A2C" w:rsidRPr="43224EA1">
        <w:rPr>
          <w:rFonts w:cs="Segoe UI"/>
        </w:rPr>
        <w:t>is</w:t>
      </w:r>
      <w:r w:rsidRPr="43224EA1">
        <w:rPr>
          <w:rFonts w:cs="Segoe UI"/>
        </w:rPr>
        <w:t xml:space="preserve"> amend</w:t>
      </w:r>
      <w:r w:rsidR="003A66CD">
        <w:rPr>
          <w:rFonts w:cs="Segoe UI"/>
        </w:rPr>
        <w:t>ed to exclude a decision to make, or to decline to make, a grant under the Scheme.</w:t>
      </w:r>
    </w:p>
    <w:p w14:paraId="65FED067" w14:textId="1142922E" w:rsidR="001804F7" w:rsidRPr="001804F7" w:rsidRDefault="001804F7" w:rsidP="00C319AE">
      <w:pPr>
        <w:pStyle w:val="NoNumberHeading4"/>
      </w:pPr>
      <w:r>
        <w:t>Definition of ‘tax’</w:t>
      </w:r>
    </w:p>
    <w:p w14:paraId="33B0C659" w14:textId="33295B9A" w:rsidR="006841B0" w:rsidRDefault="0072279A" w:rsidP="0072279A">
      <w:pPr>
        <w:rPr>
          <w:rFonts w:cs="Segoe UI"/>
        </w:rPr>
      </w:pPr>
      <w:r w:rsidRPr="43224EA1">
        <w:rPr>
          <w:rFonts w:cs="Segoe UI"/>
        </w:rPr>
        <w:t xml:space="preserve">The definition of </w:t>
      </w:r>
      <w:r w:rsidR="004F3813">
        <w:rPr>
          <w:rFonts w:cs="Segoe UI"/>
        </w:rPr>
        <w:t>‘</w:t>
      </w:r>
      <w:r w:rsidRPr="43224EA1">
        <w:rPr>
          <w:rFonts w:cs="Segoe UI"/>
        </w:rPr>
        <w:t>tax</w:t>
      </w:r>
      <w:r w:rsidR="004F3813">
        <w:rPr>
          <w:rFonts w:cs="Segoe UI"/>
        </w:rPr>
        <w:t>’</w:t>
      </w:r>
      <w:r w:rsidRPr="43224EA1">
        <w:rPr>
          <w:rFonts w:cs="Segoe UI"/>
        </w:rPr>
        <w:t xml:space="preserve"> in section 3 of the Tax Administration Act 1994 </w:t>
      </w:r>
      <w:r w:rsidR="00A86A2C" w:rsidRPr="43224EA1">
        <w:rPr>
          <w:rFonts w:cs="Segoe UI"/>
        </w:rPr>
        <w:t>is</w:t>
      </w:r>
      <w:r w:rsidRPr="43224EA1">
        <w:rPr>
          <w:rFonts w:cs="Segoe UI"/>
        </w:rPr>
        <w:t xml:space="preserve"> amended to include an amount payable in relation to the grant made under the scheme. The amendment </w:t>
      </w:r>
      <w:r w:rsidR="003D705B">
        <w:rPr>
          <w:rFonts w:cs="Segoe UI"/>
        </w:rPr>
        <w:t>will</w:t>
      </w:r>
      <w:r w:rsidRPr="43224EA1">
        <w:rPr>
          <w:rFonts w:cs="Segoe UI"/>
        </w:rPr>
        <w:t xml:space="preserve"> allow Inland Revenue to use its existing debt management and care and management powers to administer the grant.</w:t>
      </w:r>
      <w:r w:rsidR="00912BBC">
        <w:rPr>
          <w:rFonts w:cs="Segoe UI"/>
        </w:rPr>
        <w:t xml:space="preserve"> These </w:t>
      </w:r>
      <w:r w:rsidR="006841B0">
        <w:rPr>
          <w:rFonts w:cs="Segoe UI"/>
        </w:rPr>
        <w:t>are</w:t>
      </w:r>
      <w:r w:rsidR="00912BBC">
        <w:rPr>
          <w:rFonts w:cs="Segoe UI"/>
        </w:rPr>
        <w:t>:</w:t>
      </w:r>
    </w:p>
    <w:p w14:paraId="4703CEAB" w14:textId="375A19A8" w:rsidR="006841B0" w:rsidRPr="00FB777E" w:rsidRDefault="006841B0" w:rsidP="006841B0">
      <w:pPr>
        <w:pStyle w:val="Bullets"/>
      </w:pPr>
      <w:r>
        <w:rPr>
          <w:rFonts w:eastAsia="Calibri"/>
        </w:rPr>
        <w:t>Care and management powers (section</w:t>
      </w:r>
      <w:r w:rsidR="00370695">
        <w:rPr>
          <w:rFonts w:eastAsia="Calibri"/>
        </w:rPr>
        <w:t>s</w:t>
      </w:r>
      <w:r>
        <w:rPr>
          <w:rFonts w:eastAsia="Calibri"/>
        </w:rPr>
        <w:t xml:space="preserve"> 6 to </w:t>
      </w:r>
      <w:r w:rsidR="00FB777E">
        <w:rPr>
          <w:rFonts w:eastAsia="Calibri"/>
        </w:rPr>
        <w:t>6B)</w:t>
      </w:r>
      <w:r w:rsidR="006708B9">
        <w:rPr>
          <w:rFonts w:eastAsia="Calibri"/>
        </w:rPr>
        <w:t xml:space="preserve">: this </w:t>
      </w:r>
      <w:r w:rsidR="003D705B">
        <w:rPr>
          <w:rFonts w:eastAsia="Calibri"/>
        </w:rPr>
        <w:t>will</w:t>
      </w:r>
      <w:r w:rsidR="00EB7E92">
        <w:rPr>
          <w:rFonts w:eastAsia="Calibri"/>
        </w:rPr>
        <w:t xml:space="preserve"> allow the Commissioner to use their existing care and management powers when making resourcing decisions.</w:t>
      </w:r>
    </w:p>
    <w:p w14:paraId="0EA83557" w14:textId="636A2485" w:rsidR="00FB777E" w:rsidRPr="00FB777E" w:rsidRDefault="6625B9EF" w:rsidP="0CD9BEC9">
      <w:pPr>
        <w:pStyle w:val="Bullets"/>
      </w:pPr>
      <w:r w:rsidRPr="0CD9BEC9">
        <w:rPr>
          <w:rFonts w:eastAsia="Calibri"/>
        </w:rPr>
        <w:t>Recovery powers (sections 156 to 165): this includes the existing recovery powers available to the Commissioner under the TAA.</w:t>
      </w:r>
    </w:p>
    <w:p w14:paraId="3F271791" w14:textId="421CFAAA" w:rsidR="00FB777E" w:rsidRDefault="00FB777E" w:rsidP="006841B0">
      <w:pPr>
        <w:pStyle w:val="Bullets"/>
      </w:pPr>
      <w:r>
        <w:t>Relief provisions (sections 174AA, and 176 to 177CA): this includes write-off of small amounts, general recovery powers and the hardship provisions (such as not to recover if it would be an inefficient use of resources)</w:t>
      </w:r>
      <w:r w:rsidR="006708B9">
        <w:t>.</w:t>
      </w:r>
    </w:p>
    <w:p w14:paraId="171C8630" w14:textId="36F78128" w:rsidR="00211DB8" w:rsidRPr="004B1923" w:rsidRDefault="00211DB8" w:rsidP="43224EA1">
      <w:pPr>
        <w:pStyle w:val="NoNumberHeading3"/>
      </w:pPr>
      <w:r>
        <w:lastRenderedPageBreak/>
        <w:t>Section 7AAA of the Tax Administration Act 1994</w:t>
      </w:r>
    </w:p>
    <w:p w14:paraId="363DBC50" w14:textId="23CC83EB" w:rsidR="00722F98" w:rsidRDefault="0072279A" w:rsidP="006B456B">
      <w:pPr>
        <w:pStyle w:val="Bullets"/>
        <w:numPr>
          <w:ilvl w:val="0"/>
          <w:numId w:val="0"/>
        </w:numPr>
        <w:rPr>
          <w:rFonts w:cs="Segoe UI"/>
        </w:rPr>
      </w:pPr>
      <w:r w:rsidRPr="43224EA1">
        <w:rPr>
          <w:rFonts w:cs="Segoe UI"/>
        </w:rPr>
        <w:t xml:space="preserve">The new section 7AAA authorises the Commissioner of Inland Revenue to </w:t>
      </w:r>
      <w:r w:rsidR="00384253">
        <w:rPr>
          <w:rFonts w:cs="Segoe UI"/>
        </w:rPr>
        <w:t>administer the scheme on behalf of the Crown</w:t>
      </w:r>
      <w:r w:rsidRPr="43224EA1">
        <w:rPr>
          <w:rFonts w:cs="Segoe UI"/>
        </w:rPr>
        <w:t>.</w:t>
      </w:r>
    </w:p>
    <w:p w14:paraId="6072C6E4" w14:textId="77ED8690" w:rsidR="006B456B" w:rsidRPr="0072279A" w:rsidRDefault="006B456B" w:rsidP="006B456B">
      <w:pPr>
        <w:pStyle w:val="Bullets"/>
        <w:numPr>
          <w:ilvl w:val="0"/>
          <w:numId w:val="0"/>
        </w:numPr>
        <w:rPr>
          <w:rFonts w:eastAsia="Calibri"/>
        </w:rPr>
      </w:pPr>
      <w:r w:rsidRPr="43224EA1">
        <w:rPr>
          <w:rFonts w:eastAsia="Calibri"/>
        </w:rPr>
        <w:t>Under existing legislation (section 17M of the TAA) the Commissioner may use information obtained under any of the Revenue Acts to carry out or support a function lawfully conferred on the Commissioner.</w:t>
      </w:r>
    </w:p>
    <w:p w14:paraId="3AAED6CA" w14:textId="0F32E989" w:rsidR="006B456B" w:rsidRDefault="006B456B" w:rsidP="006B456B">
      <w:pPr>
        <w:pStyle w:val="Bullets"/>
        <w:numPr>
          <w:ilvl w:val="0"/>
          <w:numId w:val="0"/>
        </w:numPr>
        <w:rPr>
          <w:rFonts w:eastAsia="Calibri"/>
        </w:rPr>
      </w:pPr>
      <w:r w:rsidRPr="43224EA1">
        <w:rPr>
          <w:rFonts w:eastAsia="Calibri"/>
        </w:rPr>
        <w:t xml:space="preserve">By including the scheme as a function of the Commissioner, this </w:t>
      </w:r>
      <w:r w:rsidR="00EC2A98">
        <w:rPr>
          <w:rFonts w:eastAsia="Calibri"/>
        </w:rPr>
        <w:t>allows</w:t>
      </w:r>
      <w:r w:rsidRPr="43224EA1">
        <w:rPr>
          <w:rFonts w:eastAsia="Calibri"/>
        </w:rPr>
        <w:t xml:space="preserve"> the Commissioner to use information already held to determine eligibility for payment under the Scheme and to make payments. </w:t>
      </w:r>
      <w:r w:rsidR="00C0382D">
        <w:rPr>
          <w:rFonts w:eastAsia="Calibri"/>
        </w:rPr>
        <w:t>This</w:t>
      </w:r>
      <w:r w:rsidR="00FF56E3">
        <w:rPr>
          <w:rFonts w:eastAsia="Calibri"/>
        </w:rPr>
        <w:t xml:space="preserve"> information will</w:t>
      </w:r>
      <w:r w:rsidR="00C0382D">
        <w:rPr>
          <w:rFonts w:eastAsia="Calibri"/>
        </w:rPr>
        <w:t xml:space="preserve"> include</w:t>
      </w:r>
      <w:r w:rsidR="00EC2A98">
        <w:rPr>
          <w:rFonts w:eastAsia="Calibri"/>
        </w:rPr>
        <w:t xml:space="preserve"> information such as </w:t>
      </w:r>
      <w:r w:rsidR="00B466D4">
        <w:rPr>
          <w:rFonts w:eastAsia="Calibri"/>
        </w:rPr>
        <w:t>an individual’s 2021</w:t>
      </w:r>
      <w:r w:rsidR="00EE41AB">
        <w:rPr>
          <w:rFonts w:eastAsia="Calibri"/>
        </w:rPr>
        <w:t>–</w:t>
      </w:r>
      <w:r w:rsidR="00B466D4">
        <w:rPr>
          <w:rFonts w:eastAsia="Calibri"/>
        </w:rPr>
        <w:t xml:space="preserve">22 tax assessment, </w:t>
      </w:r>
      <w:r w:rsidR="008B28EA">
        <w:rPr>
          <w:rFonts w:eastAsia="Calibri"/>
        </w:rPr>
        <w:t>employment income</w:t>
      </w:r>
      <w:r w:rsidR="00B708F3">
        <w:rPr>
          <w:rFonts w:eastAsia="Calibri"/>
        </w:rPr>
        <w:t xml:space="preserve">, </w:t>
      </w:r>
      <w:r w:rsidR="00B466D4">
        <w:rPr>
          <w:rFonts w:eastAsia="Calibri"/>
        </w:rPr>
        <w:t>bank account details, date of birth, tax residency</w:t>
      </w:r>
      <w:r w:rsidR="008B28EA">
        <w:rPr>
          <w:rFonts w:eastAsia="Calibri"/>
        </w:rPr>
        <w:t xml:space="preserve"> status,</w:t>
      </w:r>
      <w:r w:rsidR="00FF56E3">
        <w:rPr>
          <w:rFonts w:eastAsia="Calibri"/>
        </w:rPr>
        <w:t xml:space="preserve"> incarceration status</w:t>
      </w:r>
      <w:r w:rsidR="008B28EA">
        <w:rPr>
          <w:rFonts w:eastAsia="Calibri"/>
        </w:rPr>
        <w:t xml:space="preserve"> and date of death information</w:t>
      </w:r>
      <w:r w:rsidR="00FF56E3">
        <w:rPr>
          <w:rFonts w:eastAsia="Calibri"/>
        </w:rPr>
        <w:t>.</w:t>
      </w:r>
    </w:p>
    <w:p w14:paraId="60EDF1EC" w14:textId="65B606B6" w:rsidR="00F512CF" w:rsidRPr="00F512CF" w:rsidRDefault="06C50E3D" w:rsidP="00FA47B1">
      <w:pPr>
        <w:pStyle w:val="NoNumberHeading4"/>
      </w:pPr>
      <w:r w:rsidRPr="0CD9BEC9">
        <w:t>Eligibility requirements</w:t>
      </w:r>
    </w:p>
    <w:p w14:paraId="4E817EE6" w14:textId="2255B627" w:rsidR="00F512CF" w:rsidRDefault="00F512CF" w:rsidP="00F512CF">
      <w:pPr>
        <w:rPr>
          <w:rFonts w:eastAsia="Calibri"/>
        </w:rPr>
      </w:pPr>
      <w:r w:rsidRPr="43224EA1">
        <w:rPr>
          <w:rFonts w:eastAsia="Calibri"/>
        </w:rPr>
        <w:t xml:space="preserve">Due to the nature of the payments scheme, the eligibility requirements are not required to be included in primary legislation. </w:t>
      </w:r>
      <w:r>
        <w:rPr>
          <w:rFonts w:cs="Segoe UI"/>
        </w:rPr>
        <w:t xml:space="preserve">The legislation specifies that the </w:t>
      </w:r>
      <w:r w:rsidRPr="43224EA1">
        <w:rPr>
          <w:rFonts w:eastAsia="Calibri"/>
        </w:rPr>
        <w:t xml:space="preserve">Commissioner must publish the eligibility requirements </w:t>
      </w:r>
      <w:r>
        <w:rPr>
          <w:rFonts w:eastAsia="Calibri"/>
        </w:rPr>
        <w:t>on their website (Inland Revenue’s website).</w:t>
      </w:r>
    </w:p>
    <w:p w14:paraId="12FBC643" w14:textId="02082748" w:rsidR="00A6615B" w:rsidRPr="00487A04" w:rsidRDefault="06C50E3D" w:rsidP="0CD9BEC9">
      <w:pPr>
        <w:pStyle w:val="Bullets"/>
        <w:numPr>
          <w:ilvl w:val="0"/>
          <w:numId w:val="0"/>
        </w:numPr>
        <w:rPr>
          <w:rFonts w:eastAsia="Calibri"/>
        </w:rPr>
      </w:pPr>
      <w:r w:rsidRPr="0CD9BEC9">
        <w:rPr>
          <w:rFonts w:eastAsia="Calibri"/>
        </w:rPr>
        <w:t xml:space="preserve">The eligibility requirements have been decided by the Government and are explained in more detail </w:t>
      </w:r>
      <w:r w:rsidR="00FF29B5">
        <w:rPr>
          <w:rFonts w:eastAsia="Calibri"/>
        </w:rPr>
        <w:t>above</w:t>
      </w:r>
      <w:r w:rsidRPr="0CD9BEC9">
        <w:rPr>
          <w:rFonts w:eastAsia="Calibri"/>
        </w:rPr>
        <w:t xml:space="preserve">. Further information can also be found on Inland Revenue’s website at </w:t>
      </w:r>
      <w:hyperlink r:id="rId10" w:history="1">
        <w:r w:rsidR="00487A04" w:rsidRPr="00CD223B">
          <w:rPr>
            <w:rStyle w:val="Hyperlink"/>
            <w:rFonts w:eastAsia="Calibri"/>
          </w:rPr>
          <w:t>https://www.ird.govt.nz/cost-of-living-payment</w:t>
        </w:r>
      </w:hyperlink>
      <w:r w:rsidR="00487A04">
        <w:rPr>
          <w:rFonts w:eastAsia="Calibri"/>
        </w:rPr>
        <w:t>.</w:t>
      </w:r>
    </w:p>
    <w:p w14:paraId="751AB508" w14:textId="4D39A932" w:rsidR="00942104" w:rsidRPr="00A6615B" w:rsidRDefault="00A6615B" w:rsidP="00FA47B1">
      <w:pPr>
        <w:pStyle w:val="NoNumberHeading4"/>
      </w:pPr>
      <w:r>
        <w:t>Ineligible recipients</w:t>
      </w:r>
    </w:p>
    <w:p w14:paraId="4EDEBDB9" w14:textId="461CD299" w:rsidR="00C637D5" w:rsidRPr="002416CE" w:rsidRDefault="006B456B" w:rsidP="006B456B">
      <w:pPr>
        <w:pStyle w:val="Bullets"/>
        <w:numPr>
          <w:ilvl w:val="0"/>
          <w:numId w:val="0"/>
        </w:numPr>
        <w:rPr>
          <w:rFonts w:eastAsia="Calibri"/>
        </w:rPr>
      </w:pPr>
      <w:r w:rsidRPr="002416CE">
        <w:rPr>
          <w:rFonts w:eastAsia="Calibri"/>
        </w:rPr>
        <w:t xml:space="preserve">If a person receives a grant who does not qualify under the eligibility requirements, </w:t>
      </w:r>
      <w:r w:rsidR="00A6615B" w:rsidRPr="002416CE">
        <w:rPr>
          <w:rFonts w:eastAsia="Calibri"/>
        </w:rPr>
        <w:t>section 7AAA of the TAA provides that the</w:t>
      </w:r>
      <w:r w:rsidRPr="002416CE">
        <w:rPr>
          <w:rFonts w:eastAsia="Calibri"/>
        </w:rPr>
        <w:t xml:space="preserve"> person must immediately repay the total amount of the grant.</w:t>
      </w:r>
    </w:p>
    <w:p w14:paraId="0EACF3AD" w14:textId="0E37DD49" w:rsidR="00F26418" w:rsidRPr="006B456B" w:rsidRDefault="00F26418" w:rsidP="006B456B">
      <w:pPr>
        <w:pStyle w:val="Bullets"/>
        <w:numPr>
          <w:ilvl w:val="0"/>
          <w:numId w:val="0"/>
        </w:numPr>
        <w:rPr>
          <w:rFonts w:eastAsia="Calibri"/>
        </w:rPr>
      </w:pPr>
      <w:r w:rsidRPr="009B383F">
        <w:rPr>
          <w:rFonts w:eastAsia="Calibri"/>
        </w:rPr>
        <w:t>Inland Revenue will broadly follow its usual processes in cases where payments have been made to someone and later it is determined that they were not eligible. Inland Revenue will also use existing monitoring systems to identify cases where payments may have been paid based on fraudulent or wilfully misleading information and will prioritise recovery of these amounts.</w:t>
      </w:r>
    </w:p>
    <w:p w14:paraId="2F8BCD66" w14:textId="7D16DD01" w:rsidR="0072279A" w:rsidRPr="0072279A" w:rsidRDefault="00891778" w:rsidP="43224EA1">
      <w:pPr>
        <w:pStyle w:val="NoNumberHeading3"/>
      </w:pPr>
      <w:r>
        <w:t>Section 157 of the Tax Administration Act 1994</w:t>
      </w:r>
    </w:p>
    <w:p w14:paraId="56D5C4B3" w14:textId="6B07BB66" w:rsidR="0072279A" w:rsidRPr="0072279A" w:rsidRDefault="0072279A" w:rsidP="43224EA1">
      <w:pPr>
        <w:rPr>
          <w:rFonts w:cs="Segoe UI"/>
        </w:rPr>
      </w:pPr>
      <w:r w:rsidRPr="43224EA1">
        <w:rPr>
          <w:rFonts w:cs="Segoe UI"/>
        </w:rPr>
        <w:t xml:space="preserve">The definition of </w:t>
      </w:r>
      <w:r w:rsidR="003B251F">
        <w:rPr>
          <w:rFonts w:cs="Segoe UI"/>
        </w:rPr>
        <w:t>‘</w:t>
      </w:r>
      <w:r w:rsidRPr="43224EA1">
        <w:rPr>
          <w:rFonts w:cs="Segoe UI"/>
        </w:rPr>
        <w:t>income tax</w:t>
      </w:r>
      <w:r w:rsidR="003B251F">
        <w:rPr>
          <w:rFonts w:cs="Segoe UI"/>
        </w:rPr>
        <w:t>’</w:t>
      </w:r>
      <w:r w:rsidRPr="43224EA1">
        <w:rPr>
          <w:rFonts w:cs="Segoe UI"/>
        </w:rPr>
        <w:t xml:space="preserve"> in section 157(10) of the Tax Administration Act 1994 </w:t>
      </w:r>
      <w:r w:rsidR="004E2D01" w:rsidRPr="43224EA1">
        <w:rPr>
          <w:rFonts w:cs="Segoe UI"/>
        </w:rPr>
        <w:t>is</w:t>
      </w:r>
      <w:r w:rsidRPr="43224EA1">
        <w:rPr>
          <w:rFonts w:cs="Segoe UI"/>
        </w:rPr>
        <w:t xml:space="preserve"> amended to include the entire amount of the grant that the recipient has to pay back. In the event that the recipient makes a default in the repayment of the grant to the Commissioner </w:t>
      </w:r>
      <w:r w:rsidRPr="43224EA1">
        <w:rPr>
          <w:rFonts w:cs="Segoe UI"/>
        </w:rPr>
        <w:lastRenderedPageBreak/>
        <w:t>of Inland Revenue, the Commissioner is able to pursue the outstanding balance by issuing a notice under section 157.</w:t>
      </w:r>
    </w:p>
    <w:p w14:paraId="3E62D5D6" w14:textId="17581D1B" w:rsidR="005162F8" w:rsidRPr="0072279A" w:rsidRDefault="005162F8" w:rsidP="005162F8">
      <w:pPr>
        <w:pStyle w:val="NoNumberHeading3"/>
      </w:pPr>
      <w:r>
        <w:t>Section CW 33 of the Income Tax Act 2007</w:t>
      </w:r>
    </w:p>
    <w:p w14:paraId="70B25293" w14:textId="31A609BC" w:rsidR="005162F8" w:rsidRDefault="005162F8" w:rsidP="005162F8">
      <w:pPr>
        <w:rPr>
          <w:rFonts w:cs="Segoe UI"/>
        </w:rPr>
      </w:pPr>
      <w:r w:rsidRPr="43224EA1">
        <w:rPr>
          <w:rFonts w:cs="Segoe UI"/>
        </w:rPr>
        <w:t xml:space="preserve">The amendment to section </w:t>
      </w:r>
      <w:r>
        <w:rPr>
          <w:rFonts w:cs="Segoe UI"/>
        </w:rPr>
        <w:t>CW 33</w:t>
      </w:r>
      <w:r w:rsidRPr="43224EA1">
        <w:rPr>
          <w:rFonts w:cs="Segoe UI"/>
        </w:rPr>
        <w:t xml:space="preserve"> of the Income Tax Act 2007 ex</w:t>
      </w:r>
      <w:r w:rsidR="00805B3C">
        <w:rPr>
          <w:rFonts w:cs="Segoe UI"/>
        </w:rPr>
        <w:t>empts</w:t>
      </w:r>
      <w:r w:rsidRPr="43224EA1">
        <w:rPr>
          <w:rFonts w:cs="Segoe UI"/>
        </w:rPr>
        <w:t xml:space="preserve"> a payment under the scheme from </w:t>
      </w:r>
      <w:r w:rsidR="00805B3C">
        <w:rPr>
          <w:rFonts w:cs="Segoe UI"/>
        </w:rPr>
        <w:t>income tax.</w:t>
      </w:r>
      <w:r w:rsidRPr="43224EA1">
        <w:rPr>
          <w:rFonts w:cs="Segoe UI"/>
        </w:rPr>
        <w:t xml:space="preserve"> </w:t>
      </w:r>
      <w:r w:rsidR="00993041">
        <w:rPr>
          <w:rFonts w:cs="Segoe UI"/>
        </w:rPr>
        <w:t xml:space="preserve">This means a payment under the scheme will not be: </w:t>
      </w:r>
    </w:p>
    <w:p w14:paraId="582B0537" w14:textId="058B5456" w:rsidR="00993041" w:rsidRDefault="00D327A2" w:rsidP="00993041">
      <w:pPr>
        <w:pStyle w:val="Bullets"/>
      </w:pPr>
      <w:r>
        <w:t>s</w:t>
      </w:r>
      <w:r w:rsidR="00993041">
        <w:t>ubject to income tax,</w:t>
      </w:r>
    </w:p>
    <w:p w14:paraId="207A5F23" w14:textId="20078BCE" w:rsidR="00993041" w:rsidRDefault="5C84BBCC" w:rsidP="00993041">
      <w:pPr>
        <w:pStyle w:val="Bullets"/>
      </w:pPr>
      <w:r>
        <w:t>offset against other amounts owed to Inland Revenue, or</w:t>
      </w:r>
    </w:p>
    <w:p w14:paraId="430DDF26" w14:textId="57F207BD" w:rsidR="0072279A" w:rsidRPr="0072279A" w:rsidRDefault="5C84BBCC" w:rsidP="0CD9BEC9">
      <w:pPr>
        <w:pStyle w:val="Bullets"/>
      </w:pPr>
      <w:r>
        <w:t xml:space="preserve">included as income for social policy purposes (for example, </w:t>
      </w:r>
      <w:r w:rsidR="1881A47B">
        <w:t xml:space="preserve">child support, </w:t>
      </w:r>
      <w:r w:rsidR="2026B558">
        <w:t>student loan or for W</w:t>
      </w:r>
      <w:r>
        <w:t xml:space="preserve">orking for </w:t>
      </w:r>
      <w:r w:rsidR="2026B558">
        <w:t>F</w:t>
      </w:r>
      <w:r>
        <w:t>amil</w:t>
      </w:r>
      <w:r w:rsidR="2A792304">
        <w:t>ies</w:t>
      </w:r>
      <w:r w:rsidR="2026B558">
        <w:t xml:space="preserve"> tax credit purposes</w:t>
      </w:r>
      <w:r>
        <w:t>).</w:t>
      </w:r>
    </w:p>
    <w:p w14:paraId="78B251A9" w14:textId="4BD6ECB9" w:rsidR="0072279A" w:rsidRPr="0072279A" w:rsidRDefault="002E4C59" w:rsidP="43224EA1">
      <w:pPr>
        <w:pStyle w:val="NoNumberHeading3"/>
      </w:pPr>
      <w:r>
        <w:t>Section MB 13 of the Income Tax Act 2007</w:t>
      </w:r>
    </w:p>
    <w:p w14:paraId="7A33E60D" w14:textId="4204920F" w:rsidR="00A02EEB" w:rsidRDefault="0072279A" w:rsidP="43224EA1">
      <w:pPr>
        <w:rPr>
          <w:rFonts w:cs="Segoe UI"/>
        </w:rPr>
      </w:pPr>
      <w:r w:rsidRPr="43224EA1">
        <w:rPr>
          <w:rFonts w:cs="Segoe UI"/>
        </w:rPr>
        <w:t xml:space="preserve">The amendment to section MB 13 of the Income Tax Act 2007 excludes a payment under the scheme from the calculation of a person’s family scheme income. </w:t>
      </w:r>
      <w:r w:rsidR="00A02EEB">
        <w:t xml:space="preserve">This ensures that the payment </w:t>
      </w:r>
      <w:r w:rsidR="006830B1">
        <w:t xml:space="preserve">will </w:t>
      </w:r>
      <w:r w:rsidR="00A02EEB">
        <w:t>not inadvertently be included in the catch-all provision (MB 13) which includes income from other payments.</w:t>
      </w:r>
    </w:p>
    <w:p w14:paraId="74C59CA2" w14:textId="77777777" w:rsidR="00F52E13" w:rsidRDefault="00E31F1B" w:rsidP="00F52E13">
      <w:pPr>
        <w:pStyle w:val="NoNumberHeading3"/>
        <w:rPr>
          <w:rFonts w:eastAsia="Calibri"/>
        </w:rPr>
      </w:pPr>
      <w:r>
        <w:rPr>
          <w:rFonts w:eastAsia="Calibri"/>
        </w:rPr>
        <w:t xml:space="preserve">Consequential </w:t>
      </w:r>
      <w:r w:rsidR="00F52E13">
        <w:rPr>
          <w:rFonts w:eastAsia="Calibri"/>
        </w:rPr>
        <w:t>changes to the Social Security Regulations and Student Allowance Regulations</w:t>
      </w:r>
    </w:p>
    <w:p w14:paraId="442635F4" w14:textId="0B73C240" w:rsidR="00A24FB3" w:rsidRPr="00A24FB3" w:rsidRDefault="002550A1" w:rsidP="00A24FB3">
      <w:r>
        <w:t xml:space="preserve">The </w:t>
      </w:r>
      <w:r w:rsidR="00A64D19" w:rsidRPr="00A64D19">
        <w:t>Social Security (Cash Assets and Income Exemptions—Cost of Living Payment) Amendment Regulations 2022</w:t>
      </w:r>
      <w:r>
        <w:t xml:space="preserve"> amended the Social Security Regulations 2018</w:t>
      </w:r>
      <w:r w:rsidR="00A24FB3">
        <w:t xml:space="preserve">. </w:t>
      </w:r>
      <w:r w:rsidR="00A24FB3" w:rsidRPr="00A24FB3">
        <w:t xml:space="preserve">Amendment Regulations 2022 will exempt the </w:t>
      </w:r>
      <w:proofErr w:type="gramStart"/>
      <w:r w:rsidR="00A24FB3" w:rsidRPr="00A24FB3">
        <w:t>Cost of Living</w:t>
      </w:r>
      <w:proofErr w:type="gramEnd"/>
      <w:r w:rsidR="00A24FB3" w:rsidRPr="00A24FB3">
        <w:t xml:space="preserve"> payment, for a period of 12 months after receipt of the payment, from being considered:</w:t>
      </w:r>
    </w:p>
    <w:p w14:paraId="08F0A62A" w14:textId="2489FC7C" w:rsidR="00A24FB3" w:rsidRPr="00A24FB3" w:rsidRDefault="00A24FB3" w:rsidP="0042436B">
      <w:pPr>
        <w:pStyle w:val="Bullets"/>
        <w:ind w:left="714" w:hanging="357"/>
      </w:pPr>
      <w:r w:rsidRPr="00A24FB3">
        <w:t>income and cash assets for benefit purposes generally</w:t>
      </w:r>
    </w:p>
    <w:p w14:paraId="1323488A" w14:textId="02004439" w:rsidR="00A24FB3" w:rsidRPr="00A24FB3" w:rsidRDefault="00A24FB3" w:rsidP="0042436B">
      <w:pPr>
        <w:pStyle w:val="Bullets"/>
        <w:ind w:left="714" w:hanging="357"/>
      </w:pPr>
      <w:r w:rsidRPr="00A24FB3">
        <w:t>cash assets and chargeable income for eligibility for Temporary Additional Support</w:t>
      </w:r>
    </w:p>
    <w:p w14:paraId="4BA2A136" w14:textId="77777777" w:rsidR="00A24FB3" w:rsidRPr="00A24FB3" w:rsidRDefault="00A24FB3" w:rsidP="0042436B">
      <w:pPr>
        <w:pStyle w:val="Bullets"/>
        <w:ind w:left="714" w:hanging="357"/>
      </w:pPr>
      <w:r w:rsidRPr="00A24FB3">
        <w:t>cash assets for eligibility for Accommodation Supplement.</w:t>
      </w:r>
    </w:p>
    <w:p w14:paraId="05D2F58C" w14:textId="09F7D0F1" w:rsidR="001321EE" w:rsidRDefault="00A64D19" w:rsidP="00D7539F">
      <w:r>
        <w:t xml:space="preserve">The </w:t>
      </w:r>
      <w:r w:rsidR="00284A67" w:rsidRPr="00284A67">
        <w:t>Student Allowances (Income Exemptions—Cost of Living Payment) Amendment Regulations 2022</w:t>
      </w:r>
      <w:r w:rsidR="00284A67">
        <w:t xml:space="preserve"> amended the </w:t>
      </w:r>
      <w:r w:rsidR="002A4E74">
        <w:t>Student Allowance Regulations 2018</w:t>
      </w:r>
      <w:r w:rsidR="00393ED4">
        <w:t xml:space="preserve"> </w:t>
      </w:r>
      <w:r w:rsidR="44E7CA6E">
        <w:t xml:space="preserve">and </w:t>
      </w:r>
      <w:r w:rsidR="00E44F44">
        <w:t>excludes</w:t>
      </w:r>
      <w:r w:rsidR="005622D2">
        <w:t xml:space="preserve"> the </w:t>
      </w:r>
      <w:proofErr w:type="gramStart"/>
      <w:r w:rsidR="005622D2">
        <w:t>Cost of Living</w:t>
      </w:r>
      <w:proofErr w:type="gramEnd"/>
      <w:r w:rsidR="00483526">
        <w:t xml:space="preserve"> Payment</w:t>
      </w:r>
      <w:r w:rsidR="00196BC3">
        <w:t xml:space="preserve"> from the personal and partner income definitions for students. This </w:t>
      </w:r>
      <w:r w:rsidR="00E44F44">
        <w:t>ensures</w:t>
      </w:r>
      <w:r w:rsidR="00196BC3">
        <w:t xml:space="preserve"> that students do not receive a reduced rate or are disentitled to student allowances because of any </w:t>
      </w:r>
      <w:proofErr w:type="gramStart"/>
      <w:r w:rsidR="00196BC3">
        <w:t>Cost of Living</w:t>
      </w:r>
      <w:proofErr w:type="gramEnd"/>
      <w:r w:rsidR="00196BC3">
        <w:t xml:space="preserve"> payments they, their parents or their partner receives.</w:t>
      </w:r>
    </w:p>
    <w:p w14:paraId="15A838FA" w14:textId="77777777" w:rsidR="00804A54" w:rsidRDefault="00804A54" w:rsidP="0CD9BEC9">
      <w:pPr>
        <w:pStyle w:val="NoNumberHeading1"/>
      </w:pPr>
      <w:bookmarkStart w:id="16" w:name="_Toc109392581"/>
      <w:r>
        <w:lastRenderedPageBreak/>
        <w:t>References</w:t>
      </w:r>
      <w:bookmarkEnd w:id="16"/>
    </w:p>
    <w:p w14:paraId="719E7F4C" w14:textId="5C5950D7" w:rsidR="00804A54" w:rsidRPr="003B26DA" w:rsidRDefault="00804A54" w:rsidP="00804A54">
      <w:pPr>
        <w:pStyle w:val="NoNumberHeading2"/>
      </w:pPr>
      <w:bookmarkStart w:id="17" w:name="_Toc64637542"/>
      <w:bookmarkStart w:id="18" w:name="_Toc64976852"/>
      <w:r>
        <w:t xml:space="preserve">Legislative </w:t>
      </w:r>
      <w:r w:rsidR="005C18B0">
        <w:t>r</w:t>
      </w:r>
      <w:r>
        <w:t>eferences</w:t>
      </w:r>
      <w:bookmarkEnd w:id="17"/>
      <w:bookmarkEnd w:id="18"/>
    </w:p>
    <w:p w14:paraId="3D26C91C" w14:textId="0B2C5903" w:rsidR="000E1426" w:rsidRDefault="000E1426" w:rsidP="004C0DE6">
      <w:pPr>
        <w:rPr>
          <w:b/>
          <w:bCs/>
        </w:rPr>
      </w:pPr>
      <w:r w:rsidRPr="00E2715F">
        <w:rPr>
          <w:b/>
          <w:bCs/>
        </w:rPr>
        <w:t>Income Tax Act 2007</w:t>
      </w:r>
      <w:r>
        <w:rPr>
          <w:b/>
          <w:bCs/>
        </w:rPr>
        <w:t xml:space="preserve">: </w:t>
      </w:r>
      <w:r w:rsidRPr="004D47B7">
        <w:t xml:space="preserve">sections </w:t>
      </w:r>
      <w:r w:rsidR="00A02EEB">
        <w:t>CW 33 and MB 13.</w:t>
      </w:r>
    </w:p>
    <w:p w14:paraId="68867474" w14:textId="3040DA49" w:rsidR="00604277" w:rsidRPr="004D47B7" w:rsidRDefault="001C17E7" w:rsidP="004C0DE6">
      <w:pPr>
        <w:rPr>
          <w:b/>
          <w:bCs/>
        </w:rPr>
      </w:pPr>
      <w:r w:rsidRPr="00E2715F">
        <w:rPr>
          <w:b/>
          <w:bCs/>
        </w:rPr>
        <w:t>Tax Administration Act 1994</w:t>
      </w:r>
      <w:r w:rsidR="00E2715F">
        <w:rPr>
          <w:b/>
          <w:bCs/>
        </w:rPr>
        <w:t xml:space="preserve">: </w:t>
      </w:r>
      <w:r w:rsidR="00380345" w:rsidRPr="004D47B7">
        <w:t>s</w:t>
      </w:r>
      <w:r w:rsidR="0086134C" w:rsidRPr="004D47B7">
        <w:t>ections 3, 7AA</w:t>
      </w:r>
      <w:r w:rsidR="00A02EEB">
        <w:t>A</w:t>
      </w:r>
      <w:r w:rsidR="0086134C" w:rsidRPr="004D47B7">
        <w:t>,</w:t>
      </w:r>
      <w:r w:rsidR="00BE36A8">
        <w:t xml:space="preserve"> and</w:t>
      </w:r>
      <w:r w:rsidR="0086134C" w:rsidRPr="004D47B7">
        <w:t xml:space="preserve"> 157</w:t>
      </w:r>
      <w:r w:rsidR="00A02EEB">
        <w:t>.</w:t>
      </w:r>
    </w:p>
    <w:p w14:paraId="54CE5EB7" w14:textId="77777777" w:rsidR="00804A54" w:rsidRDefault="00CA7E72" w:rsidP="0CD9BEC9">
      <w:pPr>
        <w:pStyle w:val="NoNumberHeading1"/>
      </w:pPr>
      <w:bookmarkStart w:id="19" w:name="_Toc109392582"/>
      <w:r>
        <w:t>About this document</w:t>
      </w:r>
      <w:bookmarkEnd w:id="19"/>
    </w:p>
    <w:p w14:paraId="0C146FC5" w14:textId="580BD86F" w:rsidR="00BE6392" w:rsidRDefault="002239AF" w:rsidP="00BE6392">
      <w:r w:rsidRPr="002239AF">
        <w:t xml:space="preserve">Special reports are published shortly after </w:t>
      </w:r>
      <w:r w:rsidR="004D47B7">
        <w:t xml:space="preserve">new legislation </w:t>
      </w:r>
      <w:r w:rsidRPr="002239AF">
        <w:t xml:space="preserve">is enacted 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2368DE">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135"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0526" w14:textId="77777777" w:rsidR="002F18C8" w:rsidRDefault="002F18C8" w:rsidP="00FE3402">
      <w:pPr>
        <w:spacing w:before="0" w:after="0" w:line="240" w:lineRule="auto"/>
      </w:pPr>
      <w:r>
        <w:separator/>
      </w:r>
    </w:p>
    <w:p w14:paraId="19253323" w14:textId="77777777" w:rsidR="002F18C8" w:rsidRDefault="002F18C8"/>
    <w:p w14:paraId="43277F43" w14:textId="77777777" w:rsidR="002F18C8" w:rsidRDefault="002F18C8"/>
  </w:endnote>
  <w:endnote w:type="continuationSeparator" w:id="0">
    <w:p w14:paraId="7922627D" w14:textId="77777777" w:rsidR="002F18C8" w:rsidRDefault="002F18C8" w:rsidP="00FE3402">
      <w:pPr>
        <w:spacing w:before="0" w:after="0" w:line="240" w:lineRule="auto"/>
      </w:pPr>
      <w:r>
        <w:continuationSeparator/>
      </w:r>
    </w:p>
    <w:p w14:paraId="372941FB" w14:textId="77777777" w:rsidR="002F18C8" w:rsidRDefault="002F18C8"/>
    <w:p w14:paraId="44D51BAA" w14:textId="77777777" w:rsidR="002F18C8" w:rsidRDefault="002F18C8"/>
  </w:endnote>
  <w:endnote w:type="continuationNotice" w:id="1">
    <w:p w14:paraId="2F71E46F" w14:textId="77777777" w:rsidR="002F18C8" w:rsidRDefault="002F18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UI Gothic">
    <w:charset w:val="80"/>
    <w:family w:val="swiss"/>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C48" w14:textId="77777777" w:rsidR="008708F5" w:rsidRDefault="008708F5">
    <w:pPr>
      <w:pStyle w:val="Footer"/>
    </w:pPr>
  </w:p>
  <w:p w14:paraId="7CCAFAF7" w14:textId="77777777" w:rsidR="008708F5" w:rsidRDefault="008708F5"/>
  <w:p w14:paraId="120ADCD4"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0335D" w14:paraId="29526A08" w14:textId="77777777" w:rsidTr="002368DE">
      <w:tc>
        <w:tcPr>
          <w:tcW w:w="3005" w:type="dxa"/>
        </w:tcPr>
        <w:p w14:paraId="69E9E656" w14:textId="77777777" w:rsidR="008708F5" w:rsidRDefault="008708F5" w:rsidP="002368DE">
          <w:pPr>
            <w:pStyle w:val="Footer"/>
          </w:pPr>
        </w:p>
      </w:tc>
      <w:tc>
        <w:tcPr>
          <w:tcW w:w="3005" w:type="dxa"/>
        </w:tcPr>
        <w:p w14:paraId="4D365DD0" w14:textId="77777777" w:rsidR="008708F5" w:rsidRDefault="008708F5" w:rsidP="002368DE">
          <w:pPr>
            <w:pStyle w:val="Footer"/>
            <w:jc w:val="center"/>
          </w:pPr>
        </w:p>
      </w:tc>
      <w:tc>
        <w:tcPr>
          <w:tcW w:w="3006" w:type="dxa"/>
        </w:tcPr>
        <w:p w14:paraId="39B9D5F8"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17698E">
            <w:fldChar w:fldCharType="begin"/>
          </w:r>
          <w:r w:rsidR="0017698E">
            <w:instrText>NUMPAGES  \* Arabic  \* MERGEFORMAT</w:instrText>
          </w:r>
          <w:r w:rsidR="0017698E">
            <w:fldChar w:fldCharType="separate"/>
          </w:r>
          <w:r w:rsidRPr="00B0626E">
            <w:t>2</w:t>
          </w:r>
          <w:r w:rsidR="0017698E">
            <w:fldChar w:fldCharType="end"/>
          </w:r>
        </w:p>
      </w:tc>
    </w:tr>
  </w:tbl>
  <w:p w14:paraId="600F6017"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0335D" w14:paraId="64C930D2" w14:textId="77777777" w:rsidTr="00234CCE">
      <w:tc>
        <w:tcPr>
          <w:tcW w:w="3005" w:type="dxa"/>
        </w:tcPr>
        <w:p w14:paraId="0E2ED5B5" w14:textId="77777777" w:rsidR="008708F5" w:rsidRDefault="008708F5" w:rsidP="004A27B6">
          <w:pPr>
            <w:pStyle w:val="Footer"/>
          </w:pPr>
        </w:p>
      </w:tc>
      <w:tc>
        <w:tcPr>
          <w:tcW w:w="3005" w:type="dxa"/>
        </w:tcPr>
        <w:p w14:paraId="35C9326F" w14:textId="6E56DC1B" w:rsidR="008708F5" w:rsidRDefault="008708F5" w:rsidP="004A27B6">
          <w:pPr>
            <w:pStyle w:val="Footer"/>
            <w:jc w:val="center"/>
          </w:pPr>
        </w:p>
      </w:tc>
      <w:tc>
        <w:tcPr>
          <w:tcW w:w="3006" w:type="dxa"/>
        </w:tcPr>
        <w:p w14:paraId="02A09037" w14:textId="076345CE" w:rsidR="008708F5" w:rsidRDefault="008708F5" w:rsidP="004A27B6">
          <w:pPr>
            <w:pStyle w:val="Footer"/>
            <w:jc w:val="right"/>
          </w:pPr>
          <w:r>
            <w:rPr>
              <w:color w:val="auto"/>
            </w:rPr>
            <w:t xml:space="preserve">   </w:t>
          </w:r>
        </w:p>
      </w:tc>
    </w:tr>
  </w:tbl>
  <w:p w14:paraId="1562D3E4" w14:textId="5F905198"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5FE3" w14:textId="77777777" w:rsidR="002F18C8" w:rsidRDefault="002F18C8" w:rsidP="00FE3402">
      <w:pPr>
        <w:spacing w:before="0" w:after="0" w:line="240" w:lineRule="auto"/>
      </w:pPr>
      <w:r>
        <w:separator/>
      </w:r>
    </w:p>
  </w:footnote>
  <w:footnote w:type="continuationSeparator" w:id="0">
    <w:p w14:paraId="49C7F91D" w14:textId="77777777" w:rsidR="002F18C8" w:rsidRDefault="002F18C8" w:rsidP="00FE3402">
      <w:pPr>
        <w:spacing w:before="0" w:after="0" w:line="240" w:lineRule="auto"/>
      </w:pPr>
      <w:r>
        <w:continuationSeparator/>
      </w:r>
    </w:p>
    <w:p w14:paraId="17ACBB15" w14:textId="77777777" w:rsidR="002F18C8" w:rsidRDefault="002F18C8"/>
    <w:p w14:paraId="5891DD88" w14:textId="77777777" w:rsidR="002F18C8" w:rsidRDefault="002F18C8"/>
  </w:footnote>
  <w:footnote w:type="continuationNotice" w:id="1">
    <w:p w14:paraId="06D5E5CE" w14:textId="77777777" w:rsidR="002F18C8" w:rsidRDefault="002F18C8">
      <w:pPr>
        <w:spacing w:before="0" w:after="0" w:line="240" w:lineRule="auto"/>
      </w:pPr>
    </w:p>
  </w:footnote>
  <w:footnote w:id="2">
    <w:p w14:paraId="45FAAAB5" w14:textId="509637E3" w:rsidR="00CC13B4" w:rsidRPr="00E1495D" w:rsidRDefault="00CC13B4" w:rsidP="00CC13B4">
      <w:pPr>
        <w:pStyle w:val="FootnoteText"/>
        <w:rPr>
          <w:sz w:val="16"/>
          <w:szCs w:val="16"/>
          <w:lang w:val="en-US"/>
        </w:rPr>
      </w:pPr>
      <w:r w:rsidRPr="00E1495D">
        <w:rPr>
          <w:rStyle w:val="FootnoteReference"/>
          <w:rFonts w:eastAsiaTheme="majorEastAsia"/>
          <w:sz w:val="16"/>
          <w:szCs w:val="16"/>
        </w:rPr>
        <w:footnoteRef/>
      </w:r>
      <w:r w:rsidRPr="00E1495D">
        <w:rPr>
          <w:sz w:val="16"/>
          <w:szCs w:val="16"/>
        </w:rPr>
        <w:t xml:space="preserve">  </w:t>
      </w:r>
      <w:r w:rsidRPr="00E1495D">
        <w:rPr>
          <w:sz w:val="16"/>
          <w:szCs w:val="16"/>
          <w:lang w:val="en-US"/>
        </w:rPr>
        <w:t>Salary and wage earners can claim the following expenses:</w:t>
      </w:r>
    </w:p>
    <w:p w14:paraId="3C73CDBA" w14:textId="3DF0BD6A" w:rsidR="00CC13B4" w:rsidRPr="00E1495D" w:rsidRDefault="00CC13B4" w:rsidP="007B466A">
      <w:pPr>
        <w:pStyle w:val="FootnoteText"/>
        <w:numPr>
          <w:ilvl w:val="0"/>
          <w:numId w:val="17"/>
        </w:numPr>
        <w:ind w:left="709"/>
        <w:rPr>
          <w:sz w:val="16"/>
          <w:szCs w:val="16"/>
          <w:lang w:val="en-US"/>
        </w:rPr>
      </w:pPr>
      <w:r w:rsidRPr="00E1495D">
        <w:rPr>
          <w:sz w:val="16"/>
          <w:szCs w:val="16"/>
          <w:lang w:val="en-US"/>
        </w:rPr>
        <w:t>return completion and filing expenses (</w:t>
      </w:r>
      <w:r w:rsidR="00C70FE8">
        <w:rPr>
          <w:sz w:val="16"/>
          <w:szCs w:val="16"/>
          <w:lang w:val="en-US"/>
        </w:rPr>
        <w:t xml:space="preserve">for example, </w:t>
      </w:r>
      <w:r w:rsidRPr="00E1495D">
        <w:rPr>
          <w:sz w:val="16"/>
          <w:szCs w:val="16"/>
          <w:lang w:val="en-US"/>
        </w:rPr>
        <w:t>tax agent or accountant)</w:t>
      </w:r>
    </w:p>
    <w:p w14:paraId="41A82898" w14:textId="579F5829" w:rsidR="00CC13B4" w:rsidRPr="00E1495D" w:rsidRDefault="00CC13B4" w:rsidP="007B466A">
      <w:pPr>
        <w:pStyle w:val="FootnoteText"/>
        <w:numPr>
          <w:ilvl w:val="0"/>
          <w:numId w:val="17"/>
        </w:numPr>
        <w:ind w:left="709"/>
        <w:rPr>
          <w:sz w:val="16"/>
          <w:szCs w:val="16"/>
          <w:lang w:val="en-US"/>
        </w:rPr>
      </w:pPr>
      <w:r w:rsidRPr="00E1495D">
        <w:rPr>
          <w:sz w:val="16"/>
          <w:szCs w:val="16"/>
          <w:lang w:val="en-US"/>
        </w:rPr>
        <w:t>cost of income protection insurance (if payout would be taxable)</w:t>
      </w:r>
    </w:p>
    <w:p w14:paraId="6B2A28C1" w14:textId="1705EFC5" w:rsidR="00CC13B4" w:rsidRPr="00E1495D" w:rsidRDefault="00CC13B4" w:rsidP="007B466A">
      <w:pPr>
        <w:pStyle w:val="FootnoteText"/>
        <w:numPr>
          <w:ilvl w:val="0"/>
          <w:numId w:val="17"/>
        </w:numPr>
        <w:ind w:left="709"/>
        <w:rPr>
          <w:sz w:val="16"/>
          <w:szCs w:val="16"/>
          <w:lang w:val="en-US"/>
        </w:rPr>
      </w:pPr>
      <w:r w:rsidRPr="00E1495D">
        <w:rPr>
          <w:sz w:val="16"/>
          <w:szCs w:val="16"/>
          <w:lang w:val="en-US"/>
        </w:rPr>
        <w:t>commission charged on income from interest and dividends (except bank fees)</w:t>
      </w:r>
    </w:p>
    <w:p w14:paraId="4B6A76A3" w14:textId="77777777" w:rsidR="00CC13B4" w:rsidRDefault="00CC13B4" w:rsidP="007B466A">
      <w:pPr>
        <w:pStyle w:val="FootnoteText"/>
        <w:numPr>
          <w:ilvl w:val="0"/>
          <w:numId w:val="17"/>
        </w:numPr>
        <w:ind w:left="709"/>
      </w:pPr>
      <w:r w:rsidRPr="00E1495D">
        <w:rPr>
          <w:sz w:val="16"/>
          <w:szCs w:val="16"/>
          <w:lang w:val="en-US"/>
        </w:rPr>
        <w:t>interest on money borrowed to buy shares or to invest (if that investment will produce taxable income), and interest paid to Inland Revenue for late payment of tax.</w:t>
      </w:r>
    </w:p>
  </w:footnote>
  <w:footnote w:id="3">
    <w:p w14:paraId="4E56353D" w14:textId="00DB361C" w:rsidR="00CC13B4" w:rsidRPr="003D4D8F" w:rsidRDefault="00CC13B4" w:rsidP="00CC13B4">
      <w:pPr>
        <w:pStyle w:val="FootnoteText"/>
        <w:rPr>
          <w:lang w:val="en-US"/>
        </w:rPr>
      </w:pPr>
      <w:r w:rsidRPr="00BD7289">
        <w:rPr>
          <w:rStyle w:val="FootnoteReference"/>
          <w:rFonts w:eastAsiaTheme="majorEastAsia"/>
          <w:sz w:val="16"/>
          <w:szCs w:val="16"/>
        </w:rPr>
        <w:footnoteRef/>
      </w:r>
      <w:r>
        <w:t xml:space="preserve"> </w:t>
      </w:r>
      <w:r w:rsidR="00171702">
        <w:rPr>
          <w:sz w:val="16"/>
          <w:szCs w:val="16"/>
        </w:rPr>
        <w:t>‘</w:t>
      </w:r>
      <w:r w:rsidRPr="00BD7289">
        <w:rPr>
          <w:sz w:val="16"/>
          <w:szCs w:val="16"/>
        </w:rPr>
        <w:t>Deferred</w:t>
      </w:r>
      <w:r w:rsidR="00171702">
        <w:rPr>
          <w:sz w:val="16"/>
          <w:szCs w:val="16"/>
        </w:rPr>
        <w:t>’</w:t>
      </w:r>
      <w:r w:rsidRPr="00BD7289">
        <w:rPr>
          <w:sz w:val="16"/>
          <w:szCs w:val="16"/>
        </w:rPr>
        <w:t xml:space="preserve"> status can be granted in some circumstances for clients of tax agents where the tax agent is unable to file the return by 31 March deadline. Deferred status stops return policing activities.</w:t>
      </w:r>
    </w:p>
  </w:footnote>
  <w:footnote w:id="4">
    <w:p w14:paraId="5C453FD2" w14:textId="77777777" w:rsidR="00CC13B4" w:rsidRPr="006A6DE1" w:rsidRDefault="00CC13B4" w:rsidP="00CC13B4">
      <w:pPr>
        <w:pStyle w:val="FootnoteText"/>
      </w:pPr>
      <w:r w:rsidRPr="008C660F">
        <w:rPr>
          <w:rStyle w:val="FootnoteReference"/>
          <w:rFonts w:eastAsiaTheme="majorEastAsia"/>
          <w:sz w:val="16"/>
          <w:szCs w:val="16"/>
        </w:rPr>
        <w:footnoteRef/>
      </w:r>
      <w:r w:rsidRPr="008C660F">
        <w:rPr>
          <w:sz w:val="16"/>
          <w:szCs w:val="16"/>
        </w:rPr>
        <w:t xml:space="preserve"> </w:t>
      </w:r>
      <w:r w:rsidRPr="008C660F">
        <w:rPr>
          <w:rFonts w:eastAsia="Arial"/>
          <w:sz w:val="16"/>
          <w:szCs w:val="16"/>
        </w:rPr>
        <w:t xml:space="preserve">A qualifying benefit for the WEP </w:t>
      </w:r>
      <w:r>
        <w:rPr>
          <w:rFonts w:eastAsia="Arial"/>
          <w:sz w:val="16"/>
          <w:szCs w:val="16"/>
        </w:rPr>
        <w:t>is</w:t>
      </w:r>
      <w:r w:rsidRPr="008C660F">
        <w:rPr>
          <w:rFonts w:eastAsia="Arial"/>
          <w:sz w:val="16"/>
          <w:szCs w:val="16"/>
        </w:rPr>
        <w:t xml:space="preserve"> Sole Parent Support, Supported Living Payment, Jobseeker Support, Jobseeker Support Student Hardship, Emergency Benefit, Emergency Maintenance Allowance, Youth Payment, Young Parent Payment, New Zealand Superannuation and Veteran's Pension.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F0E" w14:textId="77777777" w:rsidR="008708F5" w:rsidRDefault="008708F5"/>
  <w:p w14:paraId="0CFC14B0" w14:textId="77777777" w:rsidR="008708F5" w:rsidRDefault="008708F5"/>
  <w:p w14:paraId="3DB26D4B"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92E" w14:textId="1F2E5E95" w:rsidR="008708F5" w:rsidRDefault="00D720C7">
    <w:r>
      <w:rPr>
        <w:noProof/>
      </w:rPr>
      <mc:AlternateContent>
        <mc:Choice Requires="wps">
          <w:drawing>
            <wp:anchor distT="0" distB="0" distL="114300" distR="114300" simplePos="0" relativeHeight="251658241" behindDoc="0" locked="0" layoutInCell="1" allowOverlap="1" wp14:anchorId="7D5620A9" wp14:editId="105700CE">
              <wp:simplePos x="0" y="0"/>
              <wp:positionH relativeFrom="margin">
                <wp:posOffset>3848100</wp:posOffset>
              </wp:positionH>
              <wp:positionV relativeFrom="paragraph">
                <wp:posOffset>-240030</wp:posOffset>
              </wp:positionV>
              <wp:extent cx="260985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521970"/>
                      </a:xfrm>
                      <a:prstGeom prst="rect">
                        <a:avLst/>
                      </a:prstGeom>
                      <a:noFill/>
                      <a:ln w="6350">
                        <a:noFill/>
                      </a:ln>
                    </wps:spPr>
                    <wps:txbx>
                      <w:txbxContent>
                        <w:p w14:paraId="6599B1C5" w14:textId="3CA8E68D" w:rsidR="008708F5" w:rsidRPr="006F06C8" w:rsidRDefault="00244539" w:rsidP="00901D3B">
                          <w:pPr>
                            <w:jc w:val="right"/>
                            <w:rPr>
                              <w:rFonts w:cs="Segoe UI"/>
                              <w:color w:val="FFFFFF" w:themeColor="background1"/>
                              <w:sz w:val="20"/>
                              <w:szCs w:val="20"/>
                            </w:rPr>
                          </w:pPr>
                          <w:r w:rsidRPr="006F06C8">
                            <w:rPr>
                              <w:rFonts w:cs="Segoe UI"/>
                              <w:color w:val="FFFFFF" w:themeColor="background1"/>
                              <w:sz w:val="20"/>
                              <w:szCs w:val="20"/>
                            </w:rPr>
                            <w:t xml:space="preserve">Public Act </w:t>
                          </w:r>
                          <w:proofErr w:type="gramStart"/>
                          <w:r w:rsidRPr="006F06C8">
                            <w:rPr>
                              <w:rFonts w:cs="Segoe UI"/>
                              <w:color w:val="FFFFFF" w:themeColor="background1"/>
                              <w:sz w:val="20"/>
                              <w:szCs w:val="20"/>
                            </w:rPr>
                            <w:t>202</w:t>
                          </w:r>
                          <w:r w:rsidR="009A13A5" w:rsidRPr="006F06C8">
                            <w:rPr>
                              <w:rFonts w:cs="Segoe UI"/>
                              <w:color w:val="FFFFFF" w:themeColor="background1"/>
                              <w:sz w:val="20"/>
                              <w:szCs w:val="20"/>
                            </w:rPr>
                            <w:t>2</w:t>
                          </w:r>
                          <w:r w:rsidRPr="006F06C8">
                            <w:rPr>
                              <w:rFonts w:cs="Segoe UI"/>
                              <w:color w:val="FFFFFF" w:themeColor="background1"/>
                              <w:sz w:val="20"/>
                              <w:szCs w:val="20"/>
                            </w:rPr>
                            <w:t xml:space="preserve">  No</w:t>
                          </w:r>
                          <w:proofErr w:type="gramEnd"/>
                          <w:r w:rsidRPr="006F06C8">
                            <w:rPr>
                              <w:rFonts w:cs="Segoe UI"/>
                              <w:color w:val="FFFFFF" w:themeColor="background1"/>
                              <w:sz w:val="20"/>
                              <w:szCs w:val="20"/>
                            </w:rPr>
                            <w:t xml:space="preserve"> </w:t>
                          </w:r>
                          <w:r w:rsidR="00AA0FB3" w:rsidRPr="006F06C8">
                            <w:rPr>
                              <w:rFonts w:cs="Segoe UI"/>
                              <w:color w:val="FFFFFF" w:themeColor="background1"/>
                              <w:sz w:val="20"/>
                              <w:szCs w:val="20"/>
                            </w:rPr>
                            <w:t>25</w:t>
                          </w:r>
                          <w:r w:rsidRPr="006F06C8">
                            <w:rPr>
                              <w:rFonts w:cs="Segoe UI"/>
                              <w:color w:val="FFFFFF" w:themeColor="background1"/>
                              <w:sz w:val="20"/>
                              <w:szCs w:val="20"/>
                            </w:rPr>
                            <w:t xml:space="preserve">  </w:t>
                          </w:r>
                          <w:r w:rsidRPr="006F06C8">
                            <w:rPr>
                              <w:rFonts w:ascii="Segoe UI Light" w:hAnsi="Segoe UI Light" w:cs="Segoe UI Light"/>
                              <w:color w:val="FFFFFF" w:themeColor="background1"/>
                              <w:sz w:val="20"/>
                              <w:szCs w:val="20"/>
                            </w:rPr>
                            <w:t>|</w:t>
                          </w:r>
                          <w:r w:rsidR="00D720C7" w:rsidRPr="006F06C8">
                            <w:rPr>
                              <w:rFonts w:cs="Segoe UI"/>
                              <w:color w:val="FFFFFF" w:themeColor="background1"/>
                              <w:sz w:val="20"/>
                              <w:szCs w:val="20"/>
                            </w:rPr>
                            <w:t xml:space="preserve">  </w:t>
                          </w:r>
                          <w:r w:rsidR="00A425AA" w:rsidRPr="006F06C8">
                            <w:rPr>
                              <w:rFonts w:cs="Segoe UI"/>
                              <w:color w:val="FFFFFF" w:themeColor="background1"/>
                              <w:sz w:val="20"/>
                              <w:szCs w:val="20"/>
                            </w:rPr>
                            <w:t xml:space="preserve">22 </w:t>
                          </w:r>
                          <w:r w:rsidR="00AA0FB3" w:rsidRPr="006F06C8">
                            <w:rPr>
                              <w:rFonts w:cs="Segoe UI"/>
                              <w:color w:val="FFFFFF" w:themeColor="background1"/>
                              <w:sz w:val="20"/>
                              <w:szCs w:val="20"/>
                            </w:rPr>
                            <w:t>July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20A9" id="_x0000_t202" coordsize="21600,21600" o:spt="202" path="m,l,21600r21600,l21600,xe">
              <v:stroke joinstyle="miter"/>
              <v:path gradientshapeok="t" o:connecttype="rect"/>
            </v:shapetype>
            <v:shape id="Text Box 3" o:spid="_x0000_s1026" type="#_x0000_t202" style="position:absolute;margin-left:303pt;margin-top:-18.9pt;width:205.5pt;height:4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" filled="f" stroked="f" strokeweight=".5pt">
              <v:textbox>
                <w:txbxContent>
                  <w:p w14:paraId="6599B1C5" w14:textId="3CA8E68D" w:rsidR="008708F5" w:rsidRPr="006F06C8" w:rsidRDefault="00244539" w:rsidP="00901D3B">
                    <w:pPr>
                      <w:jc w:val="right"/>
                      <w:rPr>
                        <w:rFonts w:cs="Segoe UI"/>
                        <w:color w:val="FFFFFF" w:themeColor="background1"/>
                        <w:sz w:val="20"/>
                        <w:szCs w:val="20"/>
                      </w:rPr>
                    </w:pPr>
                    <w:r w:rsidRPr="006F06C8">
                      <w:rPr>
                        <w:rFonts w:cs="Segoe UI"/>
                        <w:color w:val="FFFFFF" w:themeColor="background1"/>
                        <w:sz w:val="20"/>
                        <w:szCs w:val="20"/>
                      </w:rPr>
                      <w:t xml:space="preserve">Public Act </w:t>
                    </w:r>
                    <w:proofErr w:type="gramStart"/>
                    <w:r w:rsidRPr="006F06C8">
                      <w:rPr>
                        <w:rFonts w:cs="Segoe UI"/>
                        <w:color w:val="FFFFFF" w:themeColor="background1"/>
                        <w:sz w:val="20"/>
                        <w:szCs w:val="20"/>
                      </w:rPr>
                      <w:t>202</w:t>
                    </w:r>
                    <w:r w:rsidR="009A13A5" w:rsidRPr="006F06C8">
                      <w:rPr>
                        <w:rFonts w:cs="Segoe UI"/>
                        <w:color w:val="FFFFFF" w:themeColor="background1"/>
                        <w:sz w:val="20"/>
                        <w:szCs w:val="20"/>
                      </w:rPr>
                      <w:t>2</w:t>
                    </w:r>
                    <w:r w:rsidRPr="006F06C8">
                      <w:rPr>
                        <w:rFonts w:cs="Segoe UI"/>
                        <w:color w:val="FFFFFF" w:themeColor="background1"/>
                        <w:sz w:val="20"/>
                        <w:szCs w:val="20"/>
                      </w:rPr>
                      <w:t xml:space="preserve">  No</w:t>
                    </w:r>
                    <w:proofErr w:type="gramEnd"/>
                    <w:r w:rsidRPr="006F06C8">
                      <w:rPr>
                        <w:rFonts w:cs="Segoe UI"/>
                        <w:color w:val="FFFFFF" w:themeColor="background1"/>
                        <w:sz w:val="20"/>
                        <w:szCs w:val="20"/>
                      </w:rPr>
                      <w:t xml:space="preserve"> </w:t>
                    </w:r>
                    <w:r w:rsidR="00AA0FB3" w:rsidRPr="006F06C8">
                      <w:rPr>
                        <w:rFonts w:cs="Segoe UI"/>
                        <w:color w:val="FFFFFF" w:themeColor="background1"/>
                        <w:sz w:val="20"/>
                        <w:szCs w:val="20"/>
                      </w:rPr>
                      <w:t>25</w:t>
                    </w:r>
                    <w:r w:rsidRPr="006F06C8">
                      <w:rPr>
                        <w:rFonts w:cs="Segoe UI"/>
                        <w:color w:val="FFFFFF" w:themeColor="background1"/>
                        <w:sz w:val="20"/>
                        <w:szCs w:val="20"/>
                      </w:rPr>
                      <w:t xml:space="preserve">  </w:t>
                    </w:r>
                    <w:r w:rsidRPr="006F06C8">
                      <w:rPr>
                        <w:rFonts w:ascii="Segoe UI Light" w:hAnsi="Segoe UI Light" w:cs="Segoe UI Light"/>
                        <w:color w:val="FFFFFF" w:themeColor="background1"/>
                        <w:sz w:val="20"/>
                        <w:szCs w:val="20"/>
                      </w:rPr>
                      <w:t>|</w:t>
                    </w:r>
                    <w:r w:rsidR="00D720C7" w:rsidRPr="006F06C8">
                      <w:rPr>
                        <w:rFonts w:cs="Segoe UI"/>
                        <w:color w:val="FFFFFF" w:themeColor="background1"/>
                        <w:sz w:val="20"/>
                        <w:szCs w:val="20"/>
                      </w:rPr>
                      <w:t xml:space="preserve">  </w:t>
                    </w:r>
                    <w:r w:rsidR="00A425AA" w:rsidRPr="006F06C8">
                      <w:rPr>
                        <w:rFonts w:cs="Segoe UI"/>
                        <w:color w:val="FFFFFF" w:themeColor="background1"/>
                        <w:sz w:val="20"/>
                        <w:szCs w:val="20"/>
                      </w:rPr>
                      <w:t xml:space="preserve">22 </w:t>
                    </w:r>
                    <w:r w:rsidR="00AA0FB3" w:rsidRPr="006F06C8">
                      <w:rPr>
                        <w:rFonts w:cs="Segoe UI"/>
                        <w:color w:val="FFFFFF" w:themeColor="background1"/>
                        <w:sz w:val="20"/>
                        <w:szCs w:val="20"/>
                      </w:rPr>
                      <w:t>July 2022</w:t>
                    </w:r>
                  </w:p>
                </w:txbxContent>
              </v:textbox>
              <w10:wrap anchorx="margin"/>
            </v:shape>
          </w:pict>
        </mc:Fallback>
      </mc:AlternateContent>
    </w:r>
    <w:r w:rsidR="008708F5">
      <w:rPr>
        <w:noProof/>
      </w:rPr>
      <w:drawing>
        <wp:anchor distT="0" distB="0" distL="114300" distR="114300" simplePos="0" relativeHeight="251658242" behindDoc="0" locked="0" layoutInCell="1" allowOverlap="1" wp14:anchorId="420F0ABC" wp14:editId="467ACCE9">
          <wp:simplePos x="0" y="0"/>
          <wp:positionH relativeFrom="margin">
            <wp:posOffset>-525780</wp:posOffset>
          </wp:positionH>
          <wp:positionV relativeFrom="paragraph">
            <wp:posOffset>-167640</wp:posOffset>
          </wp:positionV>
          <wp:extent cx="1149350" cy="320040"/>
          <wp:effectExtent l="0" t="0" r="0" b="381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8240" behindDoc="1" locked="0" layoutInCell="1" allowOverlap="1" wp14:anchorId="05D7CF63" wp14:editId="433BB09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9060" id="Rectangle 1" o:spid="_x0000_s1026" alt="&quot;&quot;" style="position:absolute;margin-left:.55pt;margin-top:-35.4pt;width:594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C8F1E17" w14:textId="77777777" w:rsidTr="00EA3AD2">
      <w:tc>
        <w:tcPr>
          <w:tcW w:w="4508" w:type="dxa"/>
        </w:tcPr>
        <w:p w14:paraId="434E13E9" w14:textId="021C1016" w:rsidR="008708F5" w:rsidRPr="009679B1" w:rsidRDefault="008708F5" w:rsidP="009679B1">
          <w:pPr>
            <w:tabs>
              <w:tab w:val="center" w:pos="4513"/>
              <w:tab w:val="right" w:pos="9026"/>
            </w:tabs>
            <w:spacing w:before="0" w:line="240" w:lineRule="auto"/>
          </w:pPr>
          <w:r w:rsidRPr="009679B1">
            <w:rPr>
              <w:noProof/>
            </w:rPr>
            <w:drawing>
              <wp:inline distT="0" distB="0" distL="0" distR="0" wp14:anchorId="63F2E127" wp14:editId="575B8728">
                <wp:extent cx="1991995" cy="556260"/>
                <wp:effectExtent l="0" t="0" r="8255" b="0"/>
                <wp:docPr id="18" name="Picture 18"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55EAFE8" w14:textId="7663EFDE" w:rsidR="008708F5" w:rsidRPr="009679B1" w:rsidRDefault="008708F5" w:rsidP="009679B1">
          <w:pPr>
            <w:tabs>
              <w:tab w:val="center" w:pos="4513"/>
              <w:tab w:val="right" w:pos="9026"/>
            </w:tabs>
            <w:spacing w:before="0" w:line="240" w:lineRule="auto"/>
          </w:pPr>
        </w:p>
      </w:tc>
    </w:tr>
  </w:tbl>
  <w:p w14:paraId="598224C8" w14:textId="78B143EA"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0E87089B"/>
    <w:multiLevelType w:val="hybridMultilevel"/>
    <w:tmpl w:val="A3E4E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E317CE1"/>
    <w:multiLevelType w:val="hybridMultilevel"/>
    <w:tmpl w:val="4BBE0F7E"/>
    <w:lvl w:ilvl="0" w:tplc="14090019">
      <w:start w:val="1"/>
      <w:numFmt w:val="lowerLetter"/>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5"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A202E6"/>
    <w:multiLevelType w:val="hybridMultilevel"/>
    <w:tmpl w:val="C978B1D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8"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AC5BCC"/>
    <w:multiLevelType w:val="multilevel"/>
    <w:tmpl w:val="B33C8C64"/>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15:restartNumberingAfterBreak="0">
    <w:nsid w:val="3539082D"/>
    <w:multiLevelType w:val="hybridMultilevel"/>
    <w:tmpl w:val="B30C4CCA"/>
    <w:lvl w:ilvl="0" w:tplc="6C0C79D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7063092"/>
    <w:multiLevelType w:val="multilevel"/>
    <w:tmpl w:val="AE965A28"/>
    <w:styleLink w:val="BodyParagraphs"/>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2" w15:restartNumberingAfterBreak="0">
    <w:nsid w:val="3F9C726C"/>
    <w:multiLevelType w:val="hybridMultilevel"/>
    <w:tmpl w:val="9F200A68"/>
    <w:lvl w:ilvl="0" w:tplc="D4B26AB8">
      <w:start w:val="3"/>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4B3C0BEB"/>
    <w:multiLevelType w:val="multilevel"/>
    <w:tmpl w:val="1BE6C782"/>
    <w:lvl w:ilvl="0">
      <w:start w:val="3"/>
      <w:numFmt w:val="decimal"/>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0F7655"/>
    <w:multiLevelType w:val="multilevel"/>
    <w:tmpl w:val="FDECF5E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6" w15:restartNumberingAfterBreak="0">
    <w:nsid w:val="5FAF1025"/>
    <w:multiLevelType w:val="hybridMultilevel"/>
    <w:tmpl w:val="FFFFFFFF"/>
    <w:lvl w:ilvl="0" w:tplc="34B0C2CE">
      <w:start w:val="1"/>
      <w:numFmt w:val="bullet"/>
      <w:lvlText w:val=""/>
      <w:lvlJc w:val="left"/>
      <w:pPr>
        <w:ind w:left="720" w:hanging="360"/>
      </w:pPr>
      <w:rPr>
        <w:rFonts w:ascii="Symbol" w:hAnsi="Symbol" w:hint="default"/>
      </w:rPr>
    </w:lvl>
    <w:lvl w:ilvl="1" w:tplc="F1F61A70">
      <w:start w:val="1"/>
      <w:numFmt w:val="bullet"/>
      <w:lvlText w:val="o"/>
      <w:lvlJc w:val="left"/>
      <w:pPr>
        <w:ind w:left="1440" w:hanging="360"/>
      </w:pPr>
      <w:rPr>
        <w:rFonts w:ascii="Courier New" w:hAnsi="Courier New" w:hint="default"/>
      </w:rPr>
    </w:lvl>
    <w:lvl w:ilvl="2" w:tplc="7AA46A7C">
      <w:start w:val="1"/>
      <w:numFmt w:val="bullet"/>
      <w:lvlText w:val=""/>
      <w:lvlJc w:val="left"/>
      <w:pPr>
        <w:ind w:left="2160" w:hanging="360"/>
      </w:pPr>
      <w:rPr>
        <w:rFonts w:ascii="Wingdings" w:hAnsi="Wingdings" w:hint="default"/>
      </w:rPr>
    </w:lvl>
    <w:lvl w:ilvl="3" w:tplc="B57A7AF6">
      <w:start w:val="1"/>
      <w:numFmt w:val="bullet"/>
      <w:lvlText w:val=""/>
      <w:lvlJc w:val="left"/>
      <w:pPr>
        <w:ind w:left="2880" w:hanging="360"/>
      </w:pPr>
      <w:rPr>
        <w:rFonts w:ascii="Symbol" w:hAnsi="Symbol" w:hint="default"/>
      </w:rPr>
    </w:lvl>
    <w:lvl w:ilvl="4" w:tplc="B8786E38">
      <w:start w:val="1"/>
      <w:numFmt w:val="bullet"/>
      <w:lvlText w:val="o"/>
      <w:lvlJc w:val="left"/>
      <w:pPr>
        <w:ind w:left="3600" w:hanging="360"/>
      </w:pPr>
      <w:rPr>
        <w:rFonts w:ascii="Courier New" w:hAnsi="Courier New" w:hint="default"/>
      </w:rPr>
    </w:lvl>
    <w:lvl w:ilvl="5" w:tplc="D3BE96BC">
      <w:start w:val="1"/>
      <w:numFmt w:val="bullet"/>
      <w:lvlText w:val=""/>
      <w:lvlJc w:val="left"/>
      <w:pPr>
        <w:ind w:left="4320" w:hanging="360"/>
      </w:pPr>
      <w:rPr>
        <w:rFonts w:ascii="Wingdings" w:hAnsi="Wingdings" w:hint="default"/>
      </w:rPr>
    </w:lvl>
    <w:lvl w:ilvl="6" w:tplc="15023C9C">
      <w:start w:val="1"/>
      <w:numFmt w:val="bullet"/>
      <w:lvlText w:val=""/>
      <w:lvlJc w:val="left"/>
      <w:pPr>
        <w:ind w:left="5040" w:hanging="360"/>
      </w:pPr>
      <w:rPr>
        <w:rFonts w:ascii="Symbol" w:hAnsi="Symbol" w:hint="default"/>
      </w:rPr>
    </w:lvl>
    <w:lvl w:ilvl="7" w:tplc="BF0CC990">
      <w:start w:val="1"/>
      <w:numFmt w:val="bullet"/>
      <w:lvlText w:val="o"/>
      <w:lvlJc w:val="left"/>
      <w:pPr>
        <w:ind w:left="5760" w:hanging="360"/>
      </w:pPr>
      <w:rPr>
        <w:rFonts w:ascii="Courier New" w:hAnsi="Courier New" w:hint="default"/>
      </w:rPr>
    </w:lvl>
    <w:lvl w:ilvl="8" w:tplc="394EBC40">
      <w:start w:val="1"/>
      <w:numFmt w:val="bullet"/>
      <w:lvlText w:val=""/>
      <w:lvlJc w:val="left"/>
      <w:pPr>
        <w:ind w:left="6480" w:hanging="360"/>
      </w:pPr>
      <w:rPr>
        <w:rFonts w:ascii="Wingdings" w:hAnsi="Wingdings" w:hint="default"/>
      </w:rPr>
    </w:lvl>
  </w:abstractNum>
  <w:abstractNum w:abstractNumId="17"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D074BC"/>
    <w:multiLevelType w:val="hybridMultilevel"/>
    <w:tmpl w:val="3070B96E"/>
    <w:lvl w:ilvl="0" w:tplc="FFFFFFFF">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9"/>
  </w:num>
  <w:num w:numId="2">
    <w:abstractNumId w:val="0"/>
  </w:num>
  <w:num w:numId="3">
    <w:abstractNumId w:val="7"/>
  </w:num>
  <w:num w:numId="4">
    <w:abstractNumId w:val="14"/>
  </w:num>
  <w:num w:numId="5">
    <w:abstractNumId w:val="8"/>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3"/>
  </w:num>
  <w:num w:numId="10">
    <w:abstractNumId w:val="3"/>
  </w:num>
  <w:num w:numId="11">
    <w:abstractNumId w:val="5"/>
  </w:num>
  <w:num w:numId="12">
    <w:abstractNumId w:val="18"/>
  </w:num>
  <w:num w:numId="13">
    <w:abstractNumId w:val="12"/>
  </w:num>
  <w:num w:numId="14">
    <w:abstractNumId w:val="15"/>
  </w:num>
  <w:num w:numId="15">
    <w:abstractNumId w:val="2"/>
  </w:num>
  <w:num w:numId="16">
    <w:abstractNumId w:val="16"/>
  </w:num>
  <w:num w:numId="17">
    <w:abstractNumId w:val="6"/>
  </w:num>
  <w:num w:numId="18">
    <w:abstractNumId w:val="10"/>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90F"/>
    <w:rsid w:val="00001C78"/>
    <w:rsid w:val="0000498A"/>
    <w:rsid w:val="000105AB"/>
    <w:rsid w:val="00011F57"/>
    <w:rsid w:val="0001209A"/>
    <w:rsid w:val="00014CBC"/>
    <w:rsid w:val="00020A4B"/>
    <w:rsid w:val="000211FE"/>
    <w:rsid w:val="00023388"/>
    <w:rsid w:val="000244D3"/>
    <w:rsid w:val="00024EC2"/>
    <w:rsid w:val="00025AB5"/>
    <w:rsid w:val="000279A9"/>
    <w:rsid w:val="00030978"/>
    <w:rsid w:val="00031E6B"/>
    <w:rsid w:val="00032557"/>
    <w:rsid w:val="00032670"/>
    <w:rsid w:val="00034795"/>
    <w:rsid w:val="00035814"/>
    <w:rsid w:val="0003667C"/>
    <w:rsid w:val="00036DB4"/>
    <w:rsid w:val="000374FA"/>
    <w:rsid w:val="000401D0"/>
    <w:rsid w:val="00042A56"/>
    <w:rsid w:val="0004493F"/>
    <w:rsid w:val="00046253"/>
    <w:rsid w:val="0004779F"/>
    <w:rsid w:val="0004790D"/>
    <w:rsid w:val="0005138D"/>
    <w:rsid w:val="0005176A"/>
    <w:rsid w:val="0005292D"/>
    <w:rsid w:val="00053F34"/>
    <w:rsid w:val="00055CA0"/>
    <w:rsid w:val="00055D0F"/>
    <w:rsid w:val="00056B54"/>
    <w:rsid w:val="00056D70"/>
    <w:rsid w:val="0005728B"/>
    <w:rsid w:val="00060779"/>
    <w:rsid w:val="00060FDE"/>
    <w:rsid w:val="00062099"/>
    <w:rsid w:val="0006297E"/>
    <w:rsid w:val="00062BE0"/>
    <w:rsid w:val="00063698"/>
    <w:rsid w:val="00063880"/>
    <w:rsid w:val="00064114"/>
    <w:rsid w:val="000654C4"/>
    <w:rsid w:val="0006680A"/>
    <w:rsid w:val="00066DAC"/>
    <w:rsid w:val="00070656"/>
    <w:rsid w:val="000714BC"/>
    <w:rsid w:val="0007292F"/>
    <w:rsid w:val="00072A4A"/>
    <w:rsid w:val="000764B5"/>
    <w:rsid w:val="000768D7"/>
    <w:rsid w:val="00076E17"/>
    <w:rsid w:val="00076E9D"/>
    <w:rsid w:val="000770B9"/>
    <w:rsid w:val="00077200"/>
    <w:rsid w:val="0008079D"/>
    <w:rsid w:val="00081B81"/>
    <w:rsid w:val="00081E2A"/>
    <w:rsid w:val="0008201D"/>
    <w:rsid w:val="000831C9"/>
    <w:rsid w:val="00083261"/>
    <w:rsid w:val="00083366"/>
    <w:rsid w:val="000834F6"/>
    <w:rsid w:val="000847D0"/>
    <w:rsid w:val="00084E15"/>
    <w:rsid w:val="0008506A"/>
    <w:rsid w:val="00085759"/>
    <w:rsid w:val="0008665F"/>
    <w:rsid w:val="00086DC7"/>
    <w:rsid w:val="00090BA1"/>
    <w:rsid w:val="00092548"/>
    <w:rsid w:val="00092B87"/>
    <w:rsid w:val="00093963"/>
    <w:rsid w:val="0009433B"/>
    <w:rsid w:val="000959C2"/>
    <w:rsid w:val="00095C0E"/>
    <w:rsid w:val="00096577"/>
    <w:rsid w:val="0009679E"/>
    <w:rsid w:val="00096C8B"/>
    <w:rsid w:val="0009711B"/>
    <w:rsid w:val="000A1CEA"/>
    <w:rsid w:val="000A3E69"/>
    <w:rsid w:val="000A5A6E"/>
    <w:rsid w:val="000A6011"/>
    <w:rsid w:val="000A6A0A"/>
    <w:rsid w:val="000B0147"/>
    <w:rsid w:val="000B1C2F"/>
    <w:rsid w:val="000B281C"/>
    <w:rsid w:val="000B2D5C"/>
    <w:rsid w:val="000B327A"/>
    <w:rsid w:val="000B32C3"/>
    <w:rsid w:val="000B4FCE"/>
    <w:rsid w:val="000C0659"/>
    <w:rsid w:val="000C1ED6"/>
    <w:rsid w:val="000C2A4C"/>
    <w:rsid w:val="000C3476"/>
    <w:rsid w:val="000C390A"/>
    <w:rsid w:val="000C3A61"/>
    <w:rsid w:val="000C4AF2"/>
    <w:rsid w:val="000C5042"/>
    <w:rsid w:val="000C51E2"/>
    <w:rsid w:val="000C589C"/>
    <w:rsid w:val="000D01E1"/>
    <w:rsid w:val="000D13A2"/>
    <w:rsid w:val="000D2EBA"/>
    <w:rsid w:val="000D4164"/>
    <w:rsid w:val="000D4990"/>
    <w:rsid w:val="000D533B"/>
    <w:rsid w:val="000D561A"/>
    <w:rsid w:val="000D56BB"/>
    <w:rsid w:val="000D64E4"/>
    <w:rsid w:val="000D799A"/>
    <w:rsid w:val="000D7A5E"/>
    <w:rsid w:val="000E03C3"/>
    <w:rsid w:val="000E07A3"/>
    <w:rsid w:val="000E0E80"/>
    <w:rsid w:val="000E0FB4"/>
    <w:rsid w:val="000E1426"/>
    <w:rsid w:val="000E219C"/>
    <w:rsid w:val="000E26E9"/>
    <w:rsid w:val="000E278C"/>
    <w:rsid w:val="000E2AB3"/>
    <w:rsid w:val="000E2BE9"/>
    <w:rsid w:val="000E2DEE"/>
    <w:rsid w:val="000E2F2A"/>
    <w:rsid w:val="000E2FD2"/>
    <w:rsid w:val="000E374E"/>
    <w:rsid w:val="000E39AB"/>
    <w:rsid w:val="000E44A4"/>
    <w:rsid w:val="000E470E"/>
    <w:rsid w:val="000E4E40"/>
    <w:rsid w:val="000E55C3"/>
    <w:rsid w:val="000E68F5"/>
    <w:rsid w:val="000F0AC1"/>
    <w:rsid w:val="000F15D7"/>
    <w:rsid w:val="000F1B5B"/>
    <w:rsid w:val="000F1DF1"/>
    <w:rsid w:val="000F214C"/>
    <w:rsid w:val="000F222F"/>
    <w:rsid w:val="000F3562"/>
    <w:rsid w:val="000F3677"/>
    <w:rsid w:val="000F3A27"/>
    <w:rsid w:val="000F5255"/>
    <w:rsid w:val="000F71D4"/>
    <w:rsid w:val="00100DAD"/>
    <w:rsid w:val="00102101"/>
    <w:rsid w:val="001025F4"/>
    <w:rsid w:val="001028BE"/>
    <w:rsid w:val="00103263"/>
    <w:rsid w:val="001035C3"/>
    <w:rsid w:val="00104927"/>
    <w:rsid w:val="0010648B"/>
    <w:rsid w:val="00106BF9"/>
    <w:rsid w:val="00106D39"/>
    <w:rsid w:val="001077CD"/>
    <w:rsid w:val="00111307"/>
    <w:rsid w:val="00111A6B"/>
    <w:rsid w:val="00111C4A"/>
    <w:rsid w:val="00111FBF"/>
    <w:rsid w:val="00113342"/>
    <w:rsid w:val="00113C91"/>
    <w:rsid w:val="00113DAA"/>
    <w:rsid w:val="001147AF"/>
    <w:rsid w:val="00114A3B"/>
    <w:rsid w:val="00114C8A"/>
    <w:rsid w:val="00115863"/>
    <w:rsid w:val="001203D8"/>
    <w:rsid w:val="001204EE"/>
    <w:rsid w:val="0012244A"/>
    <w:rsid w:val="001224C5"/>
    <w:rsid w:val="00125CE7"/>
    <w:rsid w:val="00127593"/>
    <w:rsid w:val="00127C6F"/>
    <w:rsid w:val="001302C2"/>
    <w:rsid w:val="001308E4"/>
    <w:rsid w:val="00130AA5"/>
    <w:rsid w:val="00130C10"/>
    <w:rsid w:val="00130CCE"/>
    <w:rsid w:val="00131899"/>
    <w:rsid w:val="0013196E"/>
    <w:rsid w:val="00131EED"/>
    <w:rsid w:val="001321A2"/>
    <w:rsid w:val="001321EE"/>
    <w:rsid w:val="00132BE2"/>
    <w:rsid w:val="00133010"/>
    <w:rsid w:val="001331CF"/>
    <w:rsid w:val="001333C4"/>
    <w:rsid w:val="00133AD7"/>
    <w:rsid w:val="00133AEE"/>
    <w:rsid w:val="00135487"/>
    <w:rsid w:val="00136148"/>
    <w:rsid w:val="00136E70"/>
    <w:rsid w:val="001379A4"/>
    <w:rsid w:val="00140089"/>
    <w:rsid w:val="0014155C"/>
    <w:rsid w:val="001417FC"/>
    <w:rsid w:val="00142B10"/>
    <w:rsid w:val="00143AAF"/>
    <w:rsid w:val="00143C53"/>
    <w:rsid w:val="001451E9"/>
    <w:rsid w:val="0014621F"/>
    <w:rsid w:val="001502A0"/>
    <w:rsid w:val="001502E1"/>
    <w:rsid w:val="0015083B"/>
    <w:rsid w:val="00150CEB"/>
    <w:rsid w:val="00150D29"/>
    <w:rsid w:val="0015191D"/>
    <w:rsid w:val="001523C6"/>
    <w:rsid w:val="00152773"/>
    <w:rsid w:val="001528A5"/>
    <w:rsid w:val="00152BFF"/>
    <w:rsid w:val="00153267"/>
    <w:rsid w:val="001550BA"/>
    <w:rsid w:val="001551F5"/>
    <w:rsid w:val="00155708"/>
    <w:rsid w:val="00155E91"/>
    <w:rsid w:val="00156644"/>
    <w:rsid w:val="00157B52"/>
    <w:rsid w:val="00160436"/>
    <w:rsid w:val="0016232B"/>
    <w:rsid w:val="001623C3"/>
    <w:rsid w:val="00162DAF"/>
    <w:rsid w:val="00162E33"/>
    <w:rsid w:val="00163897"/>
    <w:rsid w:val="00164707"/>
    <w:rsid w:val="00165C10"/>
    <w:rsid w:val="00166066"/>
    <w:rsid w:val="0016725B"/>
    <w:rsid w:val="00170A8E"/>
    <w:rsid w:val="00171702"/>
    <w:rsid w:val="00171A72"/>
    <w:rsid w:val="00171AC1"/>
    <w:rsid w:val="001729B6"/>
    <w:rsid w:val="00172C77"/>
    <w:rsid w:val="00173588"/>
    <w:rsid w:val="0017467C"/>
    <w:rsid w:val="00175053"/>
    <w:rsid w:val="001750E0"/>
    <w:rsid w:val="001751D0"/>
    <w:rsid w:val="00175D7F"/>
    <w:rsid w:val="001804F7"/>
    <w:rsid w:val="00180669"/>
    <w:rsid w:val="00180AAA"/>
    <w:rsid w:val="00181F1F"/>
    <w:rsid w:val="00182BE9"/>
    <w:rsid w:val="001831AD"/>
    <w:rsid w:val="001835BA"/>
    <w:rsid w:val="001841F4"/>
    <w:rsid w:val="00186773"/>
    <w:rsid w:val="00187C77"/>
    <w:rsid w:val="00190034"/>
    <w:rsid w:val="00190282"/>
    <w:rsid w:val="00190899"/>
    <w:rsid w:val="0019157E"/>
    <w:rsid w:val="0019177F"/>
    <w:rsid w:val="00191DBC"/>
    <w:rsid w:val="00192918"/>
    <w:rsid w:val="00192ED8"/>
    <w:rsid w:val="00192FDC"/>
    <w:rsid w:val="00193730"/>
    <w:rsid w:val="001937CA"/>
    <w:rsid w:val="00195317"/>
    <w:rsid w:val="001957EC"/>
    <w:rsid w:val="00196B91"/>
    <w:rsid w:val="00196BC3"/>
    <w:rsid w:val="00197CF3"/>
    <w:rsid w:val="00197F2D"/>
    <w:rsid w:val="001A12AC"/>
    <w:rsid w:val="001A1DB4"/>
    <w:rsid w:val="001A1DD2"/>
    <w:rsid w:val="001A1FE0"/>
    <w:rsid w:val="001A3AAF"/>
    <w:rsid w:val="001A47B9"/>
    <w:rsid w:val="001A480B"/>
    <w:rsid w:val="001A68AC"/>
    <w:rsid w:val="001A774B"/>
    <w:rsid w:val="001A7C8A"/>
    <w:rsid w:val="001B0162"/>
    <w:rsid w:val="001B1271"/>
    <w:rsid w:val="001B1747"/>
    <w:rsid w:val="001B1FF0"/>
    <w:rsid w:val="001B20C2"/>
    <w:rsid w:val="001B3241"/>
    <w:rsid w:val="001B51B0"/>
    <w:rsid w:val="001B6533"/>
    <w:rsid w:val="001B75BC"/>
    <w:rsid w:val="001C026D"/>
    <w:rsid w:val="001C1031"/>
    <w:rsid w:val="001C17E7"/>
    <w:rsid w:val="001C255F"/>
    <w:rsid w:val="001C4928"/>
    <w:rsid w:val="001C4B0B"/>
    <w:rsid w:val="001C4DFF"/>
    <w:rsid w:val="001C5B02"/>
    <w:rsid w:val="001D12B2"/>
    <w:rsid w:val="001D36A1"/>
    <w:rsid w:val="001D3CC8"/>
    <w:rsid w:val="001D3DC1"/>
    <w:rsid w:val="001D59C6"/>
    <w:rsid w:val="001D658B"/>
    <w:rsid w:val="001D67F0"/>
    <w:rsid w:val="001D7765"/>
    <w:rsid w:val="001E1D6D"/>
    <w:rsid w:val="001E28CF"/>
    <w:rsid w:val="001E36D6"/>
    <w:rsid w:val="001E4E00"/>
    <w:rsid w:val="001E5942"/>
    <w:rsid w:val="001E6666"/>
    <w:rsid w:val="001E6768"/>
    <w:rsid w:val="001E7216"/>
    <w:rsid w:val="001E7ACC"/>
    <w:rsid w:val="001E7CE0"/>
    <w:rsid w:val="001F0040"/>
    <w:rsid w:val="001F01FC"/>
    <w:rsid w:val="001F1BA5"/>
    <w:rsid w:val="001F3D3F"/>
    <w:rsid w:val="001F43BE"/>
    <w:rsid w:val="001F4CD0"/>
    <w:rsid w:val="001F4DAA"/>
    <w:rsid w:val="001F71B3"/>
    <w:rsid w:val="001F7AB0"/>
    <w:rsid w:val="0020027D"/>
    <w:rsid w:val="002014DA"/>
    <w:rsid w:val="00201A84"/>
    <w:rsid w:val="0020294C"/>
    <w:rsid w:val="00202D6D"/>
    <w:rsid w:val="0020425C"/>
    <w:rsid w:val="00205F2B"/>
    <w:rsid w:val="002068CD"/>
    <w:rsid w:val="00207C49"/>
    <w:rsid w:val="00210B78"/>
    <w:rsid w:val="00211401"/>
    <w:rsid w:val="00211DB8"/>
    <w:rsid w:val="00211F2A"/>
    <w:rsid w:val="00213828"/>
    <w:rsid w:val="0021404D"/>
    <w:rsid w:val="0021502D"/>
    <w:rsid w:val="00215432"/>
    <w:rsid w:val="00215DCD"/>
    <w:rsid w:val="00223088"/>
    <w:rsid w:val="002232C2"/>
    <w:rsid w:val="002239AF"/>
    <w:rsid w:val="00224A1E"/>
    <w:rsid w:val="00224EFD"/>
    <w:rsid w:val="00225EA0"/>
    <w:rsid w:val="002265FC"/>
    <w:rsid w:val="002276CA"/>
    <w:rsid w:val="00231528"/>
    <w:rsid w:val="0023236C"/>
    <w:rsid w:val="00232D01"/>
    <w:rsid w:val="00232E1F"/>
    <w:rsid w:val="00232F20"/>
    <w:rsid w:val="002333EE"/>
    <w:rsid w:val="00234B09"/>
    <w:rsid w:val="00234CCE"/>
    <w:rsid w:val="00235815"/>
    <w:rsid w:val="0023610C"/>
    <w:rsid w:val="002368DE"/>
    <w:rsid w:val="00236B68"/>
    <w:rsid w:val="00240073"/>
    <w:rsid w:val="002409B0"/>
    <w:rsid w:val="00240A2B"/>
    <w:rsid w:val="00240B8C"/>
    <w:rsid w:val="00240DEA"/>
    <w:rsid w:val="002416CE"/>
    <w:rsid w:val="00241767"/>
    <w:rsid w:val="00243A10"/>
    <w:rsid w:val="00243F3D"/>
    <w:rsid w:val="00244539"/>
    <w:rsid w:val="002448FE"/>
    <w:rsid w:val="00245530"/>
    <w:rsid w:val="00245BC6"/>
    <w:rsid w:val="0024665E"/>
    <w:rsid w:val="002506AE"/>
    <w:rsid w:val="00251E0B"/>
    <w:rsid w:val="002527CC"/>
    <w:rsid w:val="00252C52"/>
    <w:rsid w:val="002534DE"/>
    <w:rsid w:val="00253F40"/>
    <w:rsid w:val="00254533"/>
    <w:rsid w:val="002546C5"/>
    <w:rsid w:val="002550A1"/>
    <w:rsid w:val="00257FAE"/>
    <w:rsid w:val="0026197C"/>
    <w:rsid w:val="00262D70"/>
    <w:rsid w:val="00264136"/>
    <w:rsid w:val="00264339"/>
    <w:rsid w:val="002643BD"/>
    <w:rsid w:val="0026678D"/>
    <w:rsid w:val="00266C67"/>
    <w:rsid w:val="00266C85"/>
    <w:rsid w:val="00266D61"/>
    <w:rsid w:val="002670CA"/>
    <w:rsid w:val="0027083B"/>
    <w:rsid w:val="00270871"/>
    <w:rsid w:val="0027157F"/>
    <w:rsid w:val="00271C36"/>
    <w:rsid w:val="00271D1F"/>
    <w:rsid w:val="002726B2"/>
    <w:rsid w:val="0027379F"/>
    <w:rsid w:val="00273A1E"/>
    <w:rsid w:val="0027410C"/>
    <w:rsid w:val="00280297"/>
    <w:rsid w:val="00280312"/>
    <w:rsid w:val="00280600"/>
    <w:rsid w:val="00282ECC"/>
    <w:rsid w:val="00282F74"/>
    <w:rsid w:val="0028301D"/>
    <w:rsid w:val="00283A0F"/>
    <w:rsid w:val="00283A93"/>
    <w:rsid w:val="00283DB5"/>
    <w:rsid w:val="00283EF1"/>
    <w:rsid w:val="00284367"/>
    <w:rsid w:val="00284A67"/>
    <w:rsid w:val="00285C72"/>
    <w:rsid w:val="002862C4"/>
    <w:rsid w:val="002906B3"/>
    <w:rsid w:val="00292144"/>
    <w:rsid w:val="0029486E"/>
    <w:rsid w:val="00295173"/>
    <w:rsid w:val="0029696F"/>
    <w:rsid w:val="00297767"/>
    <w:rsid w:val="002A2964"/>
    <w:rsid w:val="002A2AFF"/>
    <w:rsid w:val="002A2E62"/>
    <w:rsid w:val="002A3ED2"/>
    <w:rsid w:val="002A3F1E"/>
    <w:rsid w:val="002A4E74"/>
    <w:rsid w:val="002A5ACD"/>
    <w:rsid w:val="002A5B79"/>
    <w:rsid w:val="002A5F12"/>
    <w:rsid w:val="002A6C33"/>
    <w:rsid w:val="002A6C4F"/>
    <w:rsid w:val="002A7A99"/>
    <w:rsid w:val="002B04FF"/>
    <w:rsid w:val="002B0E02"/>
    <w:rsid w:val="002B150D"/>
    <w:rsid w:val="002B2DE1"/>
    <w:rsid w:val="002B2FCA"/>
    <w:rsid w:val="002B3088"/>
    <w:rsid w:val="002B4FBC"/>
    <w:rsid w:val="002B5363"/>
    <w:rsid w:val="002B660C"/>
    <w:rsid w:val="002B7EB4"/>
    <w:rsid w:val="002C2305"/>
    <w:rsid w:val="002C3307"/>
    <w:rsid w:val="002C41C0"/>
    <w:rsid w:val="002C5A51"/>
    <w:rsid w:val="002C5F5D"/>
    <w:rsid w:val="002C6695"/>
    <w:rsid w:val="002C676A"/>
    <w:rsid w:val="002C6A92"/>
    <w:rsid w:val="002C752B"/>
    <w:rsid w:val="002C7752"/>
    <w:rsid w:val="002D0567"/>
    <w:rsid w:val="002D1376"/>
    <w:rsid w:val="002D18A6"/>
    <w:rsid w:val="002D2863"/>
    <w:rsid w:val="002D2A6B"/>
    <w:rsid w:val="002D34EC"/>
    <w:rsid w:val="002D5AB1"/>
    <w:rsid w:val="002D6121"/>
    <w:rsid w:val="002D67FF"/>
    <w:rsid w:val="002E0FF6"/>
    <w:rsid w:val="002E224C"/>
    <w:rsid w:val="002E23D0"/>
    <w:rsid w:val="002E2A63"/>
    <w:rsid w:val="002E2C9A"/>
    <w:rsid w:val="002E3F64"/>
    <w:rsid w:val="002E4606"/>
    <w:rsid w:val="002E460F"/>
    <w:rsid w:val="002E4C59"/>
    <w:rsid w:val="002E5B0D"/>
    <w:rsid w:val="002E5C93"/>
    <w:rsid w:val="002E5DA1"/>
    <w:rsid w:val="002E6C31"/>
    <w:rsid w:val="002E76E6"/>
    <w:rsid w:val="002F00B3"/>
    <w:rsid w:val="002F18C8"/>
    <w:rsid w:val="002F23BE"/>
    <w:rsid w:val="002F2607"/>
    <w:rsid w:val="002F3CD5"/>
    <w:rsid w:val="002F4BB6"/>
    <w:rsid w:val="002F5613"/>
    <w:rsid w:val="002F6139"/>
    <w:rsid w:val="002F643A"/>
    <w:rsid w:val="003006AC"/>
    <w:rsid w:val="0030083C"/>
    <w:rsid w:val="00301665"/>
    <w:rsid w:val="00301A14"/>
    <w:rsid w:val="0030386E"/>
    <w:rsid w:val="0030493F"/>
    <w:rsid w:val="00304B27"/>
    <w:rsid w:val="003050C3"/>
    <w:rsid w:val="00305C5A"/>
    <w:rsid w:val="00307092"/>
    <w:rsid w:val="00307939"/>
    <w:rsid w:val="00307A65"/>
    <w:rsid w:val="0031045A"/>
    <w:rsid w:val="003112CA"/>
    <w:rsid w:val="00312376"/>
    <w:rsid w:val="003128BD"/>
    <w:rsid w:val="00312E07"/>
    <w:rsid w:val="00313168"/>
    <w:rsid w:val="0031354F"/>
    <w:rsid w:val="00315F54"/>
    <w:rsid w:val="0032113E"/>
    <w:rsid w:val="003213D6"/>
    <w:rsid w:val="00321643"/>
    <w:rsid w:val="00322C29"/>
    <w:rsid w:val="00324137"/>
    <w:rsid w:val="0032467D"/>
    <w:rsid w:val="00324E7E"/>
    <w:rsid w:val="0032513A"/>
    <w:rsid w:val="00325641"/>
    <w:rsid w:val="0032651A"/>
    <w:rsid w:val="003267D8"/>
    <w:rsid w:val="00326F7B"/>
    <w:rsid w:val="003275AD"/>
    <w:rsid w:val="00331654"/>
    <w:rsid w:val="003317B7"/>
    <w:rsid w:val="003321AF"/>
    <w:rsid w:val="0033245C"/>
    <w:rsid w:val="003325E6"/>
    <w:rsid w:val="003331DE"/>
    <w:rsid w:val="003337AC"/>
    <w:rsid w:val="0033408B"/>
    <w:rsid w:val="003343D0"/>
    <w:rsid w:val="003344C2"/>
    <w:rsid w:val="00335993"/>
    <w:rsid w:val="00340388"/>
    <w:rsid w:val="00340CD5"/>
    <w:rsid w:val="00340DF7"/>
    <w:rsid w:val="00340FFA"/>
    <w:rsid w:val="00341BAC"/>
    <w:rsid w:val="00344663"/>
    <w:rsid w:val="00345936"/>
    <w:rsid w:val="00346665"/>
    <w:rsid w:val="0034681B"/>
    <w:rsid w:val="003468D5"/>
    <w:rsid w:val="00346F0D"/>
    <w:rsid w:val="00347D14"/>
    <w:rsid w:val="00350E45"/>
    <w:rsid w:val="003527C5"/>
    <w:rsid w:val="00352983"/>
    <w:rsid w:val="00352FEE"/>
    <w:rsid w:val="0035321B"/>
    <w:rsid w:val="003534F3"/>
    <w:rsid w:val="00353CA8"/>
    <w:rsid w:val="00353F5E"/>
    <w:rsid w:val="0035469A"/>
    <w:rsid w:val="003557F1"/>
    <w:rsid w:val="0035708B"/>
    <w:rsid w:val="00357E92"/>
    <w:rsid w:val="0036012C"/>
    <w:rsid w:val="00362A61"/>
    <w:rsid w:val="0036326E"/>
    <w:rsid w:val="00364573"/>
    <w:rsid w:val="00364702"/>
    <w:rsid w:val="003647E6"/>
    <w:rsid w:val="00365456"/>
    <w:rsid w:val="00365D58"/>
    <w:rsid w:val="0036682B"/>
    <w:rsid w:val="00366D59"/>
    <w:rsid w:val="003673F6"/>
    <w:rsid w:val="00367764"/>
    <w:rsid w:val="00367800"/>
    <w:rsid w:val="00370246"/>
    <w:rsid w:val="00370695"/>
    <w:rsid w:val="00371267"/>
    <w:rsid w:val="003717B7"/>
    <w:rsid w:val="003718CE"/>
    <w:rsid w:val="00371936"/>
    <w:rsid w:val="00371E89"/>
    <w:rsid w:val="00372E9E"/>
    <w:rsid w:val="003735CF"/>
    <w:rsid w:val="003743CF"/>
    <w:rsid w:val="00374AFC"/>
    <w:rsid w:val="00374D5E"/>
    <w:rsid w:val="00375387"/>
    <w:rsid w:val="003754D3"/>
    <w:rsid w:val="00375D64"/>
    <w:rsid w:val="00377D0F"/>
    <w:rsid w:val="00380345"/>
    <w:rsid w:val="00380664"/>
    <w:rsid w:val="003806B2"/>
    <w:rsid w:val="00380DFB"/>
    <w:rsid w:val="003829F3"/>
    <w:rsid w:val="0038310B"/>
    <w:rsid w:val="00384253"/>
    <w:rsid w:val="00384326"/>
    <w:rsid w:val="00384A05"/>
    <w:rsid w:val="00385C97"/>
    <w:rsid w:val="00385F65"/>
    <w:rsid w:val="0039031B"/>
    <w:rsid w:val="00390AFE"/>
    <w:rsid w:val="00390B83"/>
    <w:rsid w:val="00390D4A"/>
    <w:rsid w:val="0039172C"/>
    <w:rsid w:val="00392263"/>
    <w:rsid w:val="003926A6"/>
    <w:rsid w:val="00393ED4"/>
    <w:rsid w:val="00394723"/>
    <w:rsid w:val="00394838"/>
    <w:rsid w:val="00395358"/>
    <w:rsid w:val="00395E47"/>
    <w:rsid w:val="003A010C"/>
    <w:rsid w:val="003A091B"/>
    <w:rsid w:val="003A3CB7"/>
    <w:rsid w:val="003A3DF4"/>
    <w:rsid w:val="003A44E3"/>
    <w:rsid w:val="003A4839"/>
    <w:rsid w:val="003A5AF3"/>
    <w:rsid w:val="003A66CD"/>
    <w:rsid w:val="003A6937"/>
    <w:rsid w:val="003B1544"/>
    <w:rsid w:val="003B251F"/>
    <w:rsid w:val="003B26DA"/>
    <w:rsid w:val="003B30A0"/>
    <w:rsid w:val="003B30F4"/>
    <w:rsid w:val="003B3E91"/>
    <w:rsid w:val="003B4716"/>
    <w:rsid w:val="003B4E3B"/>
    <w:rsid w:val="003B53CC"/>
    <w:rsid w:val="003B5C0C"/>
    <w:rsid w:val="003B656F"/>
    <w:rsid w:val="003B6F38"/>
    <w:rsid w:val="003B7048"/>
    <w:rsid w:val="003B7DA8"/>
    <w:rsid w:val="003C38EB"/>
    <w:rsid w:val="003D13BA"/>
    <w:rsid w:val="003D14C8"/>
    <w:rsid w:val="003D484F"/>
    <w:rsid w:val="003D4971"/>
    <w:rsid w:val="003D4D8F"/>
    <w:rsid w:val="003D572C"/>
    <w:rsid w:val="003D5EFA"/>
    <w:rsid w:val="003D63D4"/>
    <w:rsid w:val="003D6521"/>
    <w:rsid w:val="003D6BE0"/>
    <w:rsid w:val="003D705B"/>
    <w:rsid w:val="003D747D"/>
    <w:rsid w:val="003E0B36"/>
    <w:rsid w:val="003E230D"/>
    <w:rsid w:val="003E45BA"/>
    <w:rsid w:val="003E48FB"/>
    <w:rsid w:val="003E588C"/>
    <w:rsid w:val="003E7253"/>
    <w:rsid w:val="003F1246"/>
    <w:rsid w:val="003F14ED"/>
    <w:rsid w:val="003F1E95"/>
    <w:rsid w:val="003F2094"/>
    <w:rsid w:val="003F2097"/>
    <w:rsid w:val="003F2662"/>
    <w:rsid w:val="003F2B55"/>
    <w:rsid w:val="003F37FE"/>
    <w:rsid w:val="003F3E0D"/>
    <w:rsid w:val="003F5588"/>
    <w:rsid w:val="003F62DB"/>
    <w:rsid w:val="003F693A"/>
    <w:rsid w:val="003F7DC2"/>
    <w:rsid w:val="00402896"/>
    <w:rsid w:val="004037D2"/>
    <w:rsid w:val="00404B92"/>
    <w:rsid w:val="004061F1"/>
    <w:rsid w:val="00406596"/>
    <w:rsid w:val="00406F73"/>
    <w:rsid w:val="004075D1"/>
    <w:rsid w:val="0040763C"/>
    <w:rsid w:val="00410A62"/>
    <w:rsid w:val="004123B6"/>
    <w:rsid w:val="004141CF"/>
    <w:rsid w:val="00415268"/>
    <w:rsid w:val="00415636"/>
    <w:rsid w:val="0041570A"/>
    <w:rsid w:val="00416ED5"/>
    <w:rsid w:val="00417F3E"/>
    <w:rsid w:val="00420178"/>
    <w:rsid w:val="004212F2"/>
    <w:rsid w:val="00421A21"/>
    <w:rsid w:val="00421B97"/>
    <w:rsid w:val="00422068"/>
    <w:rsid w:val="004223D5"/>
    <w:rsid w:val="00422626"/>
    <w:rsid w:val="0042436B"/>
    <w:rsid w:val="004245FA"/>
    <w:rsid w:val="004252D2"/>
    <w:rsid w:val="004271A5"/>
    <w:rsid w:val="00427843"/>
    <w:rsid w:val="0042790E"/>
    <w:rsid w:val="0043072B"/>
    <w:rsid w:val="0043143A"/>
    <w:rsid w:val="00431EF4"/>
    <w:rsid w:val="00432106"/>
    <w:rsid w:val="00433937"/>
    <w:rsid w:val="00433A35"/>
    <w:rsid w:val="00433B1B"/>
    <w:rsid w:val="00433BDB"/>
    <w:rsid w:val="004341DA"/>
    <w:rsid w:val="00436696"/>
    <w:rsid w:val="00437DF8"/>
    <w:rsid w:val="004402DC"/>
    <w:rsid w:val="0044041C"/>
    <w:rsid w:val="00440688"/>
    <w:rsid w:val="00440B30"/>
    <w:rsid w:val="004462E0"/>
    <w:rsid w:val="0044684E"/>
    <w:rsid w:val="004475F1"/>
    <w:rsid w:val="00451196"/>
    <w:rsid w:val="00451711"/>
    <w:rsid w:val="0045281F"/>
    <w:rsid w:val="0045303E"/>
    <w:rsid w:val="00453EDF"/>
    <w:rsid w:val="00454C3E"/>
    <w:rsid w:val="00455FAE"/>
    <w:rsid w:val="0045620B"/>
    <w:rsid w:val="004564CF"/>
    <w:rsid w:val="00456826"/>
    <w:rsid w:val="00456F1F"/>
    <w:rsid w:val="0046063C"/>
    <w:rsid w:val="00461459"/>
    <w:rsid w:val="0046163F"/>
    <w:rsid w:val="0046255A"/>
    <w:rsid w:val="00462B2D"/>
    <w:rsid w:val="0046377F"/>
    <w:rsid w:val="004641E1"/>
    <w:rsid w:val="00465E0E"/>
    <w:rsid w:val="004673AB"/>
    <w:rsid w:val="004678A3"/>
    <w:rsid w:val="00467B52"/>
    <w:rsid w:val="00472285"/>
    <w:rsid w:val="00472710"/>
    <w:rsid w:val="00472BA8"/>
    <w:rsid w:val="004749DC"/>
    <w:rsid w:val="004761EF"/>
    <w:rsid w:val="004767F6"/>
    <w:rsid w:val="004774AA"/>
    <w:rsid w:val="004800B6"/>
    <w:rsid w:val="00480FBA"/>
    <w:rsid w:val="00481AED"/>
    <w:rsid w:val="004832B8"/>
    <w:rsid w:val="00483526"/>
    <w:rsid w:val="00483850"/>
    <w:rsid w:val="004838FF"/>
    <w:rsid w:val="004841F6"/>
    <w:rsid w:val="00485575"/>
    <w:rsid w:val="00487A04"/>
    <w:rsid w:val="004905B2"/>
    <w:rsid w:val="004909BA"/>
    <w:rsid w:val="00492B6E"/>
    <w:rsid w:val="00492D1D"/>
    <w:rsid w:val="00492FF6"/>
    <w:rsid w:val="004935AD"/>
    <w:rsid w:val="00494DD2"/>
    <w:rsid w:val="00495184"/>
    <w:rsid w:val="00496AA9"/>
    <w:rsid w:val="004974F4"/>
    <w:rsid w:val="00497C1D"/>
    <w:rsid w:val="004A06B9"/>
    <w:rsid w:val="004A07C5"/>
    <w:rsid w:val="004A27B6"/>
    <w:rsid w:val="004A3753"/>
    <w:rsid w:val="004A447C"/>
    <w:rsid w:val="004A45D3"/>
    <w:rsid w:val="004A4CEC"/>
    <w:rsid w:val="004A66F1"/>
    <w:rsid w:val="004A6E16"/>
    <w:rsid w:val="004A7563"/>
    <w:rsid w:val="004A7AE1"/>
    <w:rsid w:val="004B1242"/>
    <w:rsid w:val="004B1836"/>
    <w:rsid w:val="004B1923"/>
    <w:rsid w:val="004B1CF2"/>
    <w:rsid w:val="004B1F14"/>
    <w:rsid w:val="004B21FD"/>
    <w:rsid w:val="004B280C"/>
    <w:rsid w:val="004B2B75"/>
    <w:rsid w:val="004B4748"/>
    <w:rsid w:val="004B54CC"/>
    <w:rsid w:val="004B66F3"/>
    <w:rsid w:val="004B74D7"/>
    <w:rsid w:val="004B752D"/>
    <w:rsid w:val="004C0075"/>
    <w:rsid w:val="004C0A17"/>
    <w:rsid w:val="004C0CCD"/>
    <w:rsid w:val="004C0DE6"/>
    <w:rsid w:val="004C1143"/>
    <w:rsid w:val="004C1BDD"/>
    <w:rsid w:val="004C2115"/>
    <w:rsid w:val="004C4475"/>
    <w:rsid w:val="004C4514"/>
    <w:rsid w:val="004C58E2"/>
    <w:rsid w:val="004C5CFE"/>
    <w:rsid w:val="004C645B"/>
    <w:rsid w:val="004D096A"/>
    <w:rsid w:val="004D1548"/>
    <w:rsid w:val="004D2484"/>
    <w:rsid w:val="004D3345"/>
    <w:rsid w:val="004D4075"/>
    <w:rsid w:val="004D440A"/>
    <w:rsid w:val="004D47B7"/>
    <w:rsid w:val="004D4849"/>
    <w:rsid w:val="004D6B50"/>
    <w:rsid w:val="004D6C5B"/>
    <w:rsid w:val="004D780D"/>
    <w:rsid w:val="004D785F"/>
    <w:rsid w:val="004D7B66"/>
    <w:rsid w:val="004D7DB2"/>
    <w:rsid w:val="004E009E"/>
    <w:rsid w:val="004E0DDC"/>
    <w:rsid w:val="004E1D4E"/>
    <w:rsid w:val="004E253E"/>
    <w:rsid w:val="004E2585"/>
    <w:rsid w:val="004E2D01"/>
    <w:rsid w:val="004E4B56"/>
    <w:rsid w:val="004E5B2C"/>
    <w:rsid w:val="004E64CB"/>
    <w:rsid w:val="004E65F1"/>
    <w:rsid w:val="004E67E9"/>
    <w:rsid w:val="004F0D56"/>
    <w:rsid w:val="004F119C"/>
    <w:rsid w:val="004F136F"/>
    <w:rsid w:val="004F206C"/>
    <w:rsid w:val="004F20A0"/>
    <w:rsid w:val="004F26C5"/>
    <w:rsid w:val="004F3114"/>
    <w:rsid w:val="004F3150"/>
    <w:rsid w:val="004F3813"/>
    <w:rsid w:val="004F3B21"/>
    <w:rsid w:val="004F40FE"/>
    <w:rsid w:val="004F4433"/>
    <w:rsid w:val="004F4CB7"/>
    <w:rsid w:val="004F571F"/>
    <w:rsid w:val="004F6A3E"/>
    <w:rsid w:val="004F6A9C"/>
    <w:rsid w:val="004F7878"/>
    <w:rsid w:val="005006A7"/>
    <w:rsid w:val="00500D82"/>
    <w:rsid w:val="00501196"/>
    <w:rsid w:val="00502612"/>
    <w:rsid w:val="0050307F"/>
    <w:rsid w:val="00503176"/>
    <w:rsid w:val="005031E9"/>
    <w:rsid w:val="00504438"/>
    <w:rsid w:val="005047A8"/>
    <w:rsid w:val="00504A1B"/>
    <w:rsid w:val="00505063"/>
    <w:rsid w:val="00505D4F"/>
    <w:rsid w:val="00506E68"/>
    <w:rsid w:val="00506FE3"/>
    <w:rsid w:val="00507412"/>
    <w:rsid w:val="0050752A"/>
    <w:rsid w:val="00507574"/>
    <w:rsid w:val="00510390"/>
    <w:rsid w:val="00512E4F"/>
    <w:rsid w:val="005136FB"/>
    <w:rsid w:val="00513DD0"/>
    <w:rsid w:val="00514E2F"/>
    <w:rsid w:val="00515339"/>
    <w:rsid w:val="0051540C"/>
    <w:rsid w:val="00515B1B"/>
    <w:rsid w:val="00515E84"/>
    <w:rsid w:val="00515E8B"/>
    <w:rsid w:val="005162F8"/>
    <w:rsid w:val="00516BCC"/>
    <w:rsid w:val="00516E57"/>
    <w:rsid w:val="00516E7E"/>
    <w:rsid w:val="00517C3B"/>
    <w:rsid w:val="00520A0A"/>
    <w:rsid w:val="00521CD6"/>
    <w:rsid w:val="005239EB"/>
    <w:rsid w:val="00523F3D"/>
    <w:rsid w:val="00524CA2"/>
    <w:rsid w:val="0052506F"/>
    <w:rsid w:val="00525A8B"/>
    <w:rsid w:val="0052620C"/>
    <w:rsid w:val="00526396"/>
    <w:rsid w:val="0052694D"/>
    <w:rsid w:val="0052703D"/>
    <w:rsid w:val="00527211"/>
    <w:rsid w:val="00527F32"/>
    <w:rsid w:val="00530FE2"/>
    <w:rsid w:val="00531142"/>
    <w:rsid w:val="005312B2"/>
    <w:rsid w:val="0053148A"/>
    <w:rsid w:val="00533854"/>
    <w:rsid w:val="00533E09"/>
    <w:rsid w:val="005353C6"/>
    <w:rsid w:val="00535FD7"/>
    <w:rsid w:val="0053655D"/>
    <w:rsid w:val="00537B2E"/>
    <w:rsid w:val="00537EB0"/>
    <w:rsid w:val="00540D96"/>
    <w:rsid w:val="00541AA1"/>
    <w:rsid w:val="00542085"/>
    <w:rsid w:val="005440C8"/>
    <w:rsid w:val="0054454F"/>
    <w:rsid w:val="005464F6"/>
    <w:rsid w:val="00546696"/>
    <w:rsid w:val="00550D31"/>
    <w:rsid w:val="00551F2D"/>
    <w:rsid w:val="005533B7"/>
    <w:rsid w:val="00553461"/>
    <w:rsid w:val="00553797"/>
    <w:rsid w:val="005538CF"/>
    <w:rsid w:val="00554A42"/>
    <w:rsid w:val="005557CA"/>
    <w:rsid w:val="005564D3"/>
    <w:rsid w:val="00556639"/>
    <w:rsid w:val="00556B71"/>
    <w:rsid w:val="00556FE0"/>
    <w:rsid w:val="00557387"/>
    <w:rsid w:val="00557B6B"/>
    <w:rsid w:val="00560AB0"/>
    <w:rsid w:val="00561A2A"/>
    <w:rsid w:val="00561FF0"/>
    <w:rsid w:val="005622D2"/>
    <w:rsid w:val="0056231C"/>
    <w:rsid w:val="00563188"/>
    <w:rsid w:val="0056332A"/>
    <w:rsid w:val="00563D80"/>
    <w:rsid w:val="00563E6F"/>
    <w:rsid w:val="005644AF"/>
    <w:rsid w:val="00564BE9"/>
    <w:rsid w:val="005654F8"/>
    <w:rsid w:val="00565573"/>
    <w:rsid w:val="005665D8"/>
    <w:rsid w:val="005709D1"/>
    <w:rsid w:val="00570E9E"/>
    <w:rsid w:val="0057131E"/>
    <w:rsid w:val="0057160C"/>
    <w:rsid w:val="0057194D"/>
    <w:rsid w:val="00572C3B"/>
    <w:rsid w:val="00574260"/>
    <w:rsid w:val="00574E6A"/>
    <w:rsid w:val="005750DE"/>
    <w:rsid w:val="00577572"/>
    <w:rsid w:val="005775B7"/>
    <w:rsid w:val="005801A1"/>
    <w:rsid w:val="005807D3"/>
    <w:rsid w:val="00580BDA"/>
    <w:rsid w:val="00581ACB"/>
    <w:rsid w:val="005829FA"/>
    <w:rsid w:val="00583836"/>
    <w:rsid w:val="00583AF6"/>
    <w:rsid w:val="00585B1C"/>
    <w:rsid w:val="00585DF1"/>
    <w:rsid w:val="005861FB"/>
    <w:rsid w:val="0059117C"/>
    <w:rsid w:val="00591982"/>
    <w:rsid w:val="00591BC7"/>
    <w:rsid w:val="00592F7B"/>
    <w:rsid w:val="005930D6"/>
    <w:rsid w:val="005935FC"/>
    <w:rsid w:val="00594B29"/>
    <w:rsid w:val="0059530D"/>
    <w:rsid w:val="00595813"/>
    <w:rsid w:val="005958A5"/>
    <w:rsid w:val="00595E4F"/>
    <w:rsid w:val="00596878"/>
    <w:rsid w:val="005A0BA9"/>
    <w:rsid w:val="005A0D0C"/>
    <w:rsid w:val="005A0EF4"/>
    <w:rsid w:val="005A16D0"/>
    <w:rsid w:val="005A17A6"/>
    <w:rsid w:val="005A1FD1"/>
    <w:rsid w:val="005A27E6"/>
    <w:rsid w:val="005A2D65"/>
    <w:rsid w:val="005A4768"/>
    <w:rsid w:val="005A5521"/>
    <w:rsid w:val="005A569D"/>
    <w:rsid w:val="005A6906"/>
    <w:rsid w:val="005A777B"/>
    <w:rsid w:val="005B0528"/>
    <w:rsid w:val="005B12BE"/>
    <w:rsid w:val="005B16C3"/>
    <w:rsid w:val="005B202F"/>
    <w:rsid w:val="005B2CD8"/>
    <w:rsid w:val="005B4AD1"/>
    <w:rsid w:val="005B5B8A"/>
    <w:rsid w:val="005B633B"/>
    <w:rsid w:val="005B765E"/>
    <w:rsid w:val="005B7B01"/>
    <w:rsid w:val="005C18B0"/>
    <w:rsid w:val="005C2595"/>
    <w:rsid w:val="005C2762"/>
    <w:rsid w:val="005C3296"/>
    <w:rsid w:val="005C3954"/>
    <w:rsid w:val="005C4150"/>
    <w:rsid w:val="005C44C8"/>
    <w:rsid w:val="005C4ECD"/>
    <w:rsid w:val="005C54CF"/>
    <w:rsid w:val="005C6333"/>
    <w:rsid w:val="005C6409"/>
    <w:rsid w:val="005C6DB6"/>
    <w:rsid w:val="005C705C"/>
    <w:rsid w:val="005C7D9B"/>
    <w:rsid w:val="005D026D"/>
    <w:rsid w:val="005D0651"/>
    <w:rsid w:val="005D109C"/>
    <w:rsid w:val="005D1EEC"/>
    <w:rsid w:val="005D26B8"/>
    <w:rsid w:val="005D5968"/>
    <w:rsid w:val="005D5EE3"/>
    <w:rsid w:val="005D7879"/>
    <w:rsid w:val="005E08DC"/>
    <w:rsid w:val="005E0CB7"/>
    <w:rsid w:val="005E1D01"/>
    <w:rsid w:val="005E238B"/>
    <w:rsid w:val="005E2A6B"/>
    <w:rsid w:val="005E37C7"/>
    <w:rsid w:val="005E3979"/>
    <w:rsid w:val="005E5D3E"/>
    <w:rsid w:val="005E60C7"/>
    <w:rsid w:val="005E6156"/>
    <w:rsid w:val="005E675B"/>
    <w:rsid w:val="005E6AF2"/>
    <w:rsid w:val="005F0508"/>
    <w:rsid w:val="005F19AD"/>
    <w:rsid w:val="005F2811"/>
    <w:rsid w:val="005F2B9E"/>
    <w:rsid w:val="005F2FF3"/>
    <w:rsid w:val="005F38DD"/>
    <w:rsid w:val="005F4187"/>
    <w:rsid w:val="005F55B3"/>
    <w:rsid w:val="005F578F"/>
    <w:rsid w:val="005F6612"/>
    <w:rsid w:val="005F662F"/>
    <w:rsid w:val="005F6ECC"/>
    <w:rsid w:val="005F7442"/>
    <w:rsid w:val="00603223"/>
    <w:rsid w:val="00604277"/>
    <w:rsid w:val="006051A4"/>
    <w:rsid w:val="006062E9"/>
    <w:rsid w:val="006074D0"/>
    <w:rsid w:val="00607A86"/>
    <w:rsid w:val="0061019A"/>
    <w:rsid w:val="00610493"/>
    <w:rsid w:val="00610771"/>
    <w:rsid w:val="00610BA3"/>
    <w:rsid w:val="00611E62"/>
    <w:rsid w:val="00613EB8"/>
    <w:rsid w:val="00614340"/>
    <w:rsid w:val="00614860"/>
    <w:rsid w:val="006150ED"/>
    <w:rsid w:val="00615A8D"/>
    <w:rsid w:val="00616042"/>
    <w:rsid w:val="00616E55"/>
    <w:rsid w:val="00617070"/>
    <w:rsid w:val="00617B48"/>
    <w:rsid w:val="00620848"/>
    <w:rsid w:val="00622654"/>
    <w:rsid w:val="00623070"/>
    <w:rsid w:val="006235A9"/>
    <w:rsid w:val="00623E7B"/>
    <w:rsid w:val="00624556"/>
    <w:rsid w:val="00625226"/>
    <w:rsid w:val="00627C57"/>
    <w:rsid w:val="00630FCB"/>
    <w:rsid w:val="00631A2A"/>
    <w:rsid w:val="00637746"/>
    <w:rsid w:val="00640A5C"/>
    <w:rsid w:val="00641F73"/>
    <w:rsid w:val="00642F4A"/>
    <w:rsid w:val="00644B9A"/>
    <w:rsid w:val="00645C42"/>
    <w:rsid w:val="006460E9"/>
    <w:rsid w:val="00650617"/>
    <w:rsid w:val="00652217"/>
    <w:rsid w:val="0065335A"/>
    <w:rsid w:val="00653505"/>
    <w:rsid w:val="00654E04"/>
    <w:rsid w:val="00654F5B"/>
    <w:rsid w:val="00655723"/>
    <w:rsid w:val="00661060"/>
    <w:rsid w:val="006611E0"/>
    <w:rsid w:val="006612E9"/>
    <w:rsid w:val="00662852"/>
    <w:rsid w:val="00662DF0"/>
    <w:rsid w:val="00665250"/>
    <w:rsid w:val="00666AC0"/>
    <w:rsid w:val="00666E2B"/>
    <w:rsid w:val="006708B9"/>
    <w:rsid w:val="00671A1C"/>
    <w:rsid w:val="00673A73"/>
    <w:rsid w:val="006740A3"/>
    <w:rsid w:val="006748D8"/>
    <w:rsid w:val="00675521"/>
    <w:rsid w:val="006763B7"/>
    <w:rsid w:val="00677BFC"/>
    <w:rsid w:val="0068119D"/>
    <w:rsid w:val="006823F3"/>
    <w:rsid w:val="006830B1"/>
    <w:rsid w:val="00683832"/>
    <w:rsid w:val="00683D7F"/>
    <w:rsid w:val="00683EE6"/>
    <w:rsid w:val="006841AE"/>
    <w:rsid w:val="006841B0"/>
    <w:rsid w:val="006871CC"/>
    <w:rsid w:val="006875C0"/>
    <w:rsid w:val="0069077D"/>
    <w:rsid w:val="00690D92"/>
    <w:rsid w:val="006938C1"/>
    <w:rsid w:val="00693A90"/>
    <w:rsid w:val="006952E4"/>
    <w:rsid w:val="006973B8"/>
    <w:rsid w:val="006A1017"/>
    <w:rsid w:val="006A1EEA"/>
    <w:rsid w:val="006A2871"/>
    <w:rsid w:val="006A3089"/>
    <w:rsid w:val="006A3CD4"/>
    <w:rsid w:val="006A3E1B"/>
    <w:rsid w:val="006A3E61"/>
    <w:rsid w:val="006A4F87"/>
    <w:rsid w:val="006A5FD5"/>
    <w:rsid w:val="006A6DEF"/>
    <w:rsid w:val="006A7C49"/>
    <w:rsid w:val="006A7D8D"/>
    <w:rsid w:val="006B0E5A"/>
    <w:rsid w:val="006B0E84"/>
    <w:rsid w:val="006B115E"/>
    <w:rsid w:val="006B1E38"/>
    <w:rsid w:val="006B230B"/>
    <w:rsid w:val="006B3EE5"/>
    <w:rsid w:val="006B432C"/>
    <w:rsid w:val="006B4403"/>
    <w:rsid w:val="006B456B"/>
    <w:rsid w:val="006B4CD6"/>
    <w:rsid w:val="006B4F20"/>
    <w:rsid w:val="006B5CD2"/>
    <w:rsid w:val="006B5E7C"/>
    <w:rsid w:val="006B60AC"/>
    <w:rsid w:val="006B6B39"/>
    <w:rsid w:val="006B6EA2"/>
    <w:rsid w:val="006B6F30"/>
    <w:rsid w:val="006B6F60"/>
    <w:rsid w:val="006C2308"/>
    <w:rsid w:val="006C263E"/>
    <w:rsid w:val="006C57DB"/>
    <w:rsid w:val="006C5841"/>
    <w:rsid w:val="006C5D86"/>
    <w:rsid w:val="006C6941"/>
    <w:rsid w:val="006C7AFD"/>
    <w:rsid w:val="006C7EB0"/>
    <w:rsid w:val="006D0E7B"/>
    <w:rsid w:val="006D10D6"/>
    <w:rsid w:val="006D2A6E"/>
    <w:rsid w:val="006D2E34"/>
    <w:rsid w:val="006D3B83"/>
    <w:rsid w:val="006D40DA"/>
    <w:rsid w:val="006D7054"/>
    <w:rsid w:val="006D74F5"/>
    <w:rsid w:val="006D77A4"/>
    <w:rsid w:val="006D782F"/>
    <w:rsid w:val="006D79F0"/>
    <w:rsid w:val="006D7AFC"/>
    <w:rsid w:val="006E0DF5"/>
    <w:rsid w:val="006E2731"/>
    <w:rsid w:val="006E36F0"/>
    <w:rsid w:val="006E48A3"/>
    <w:rsid w:val="006E52E2"/>
    <w:rsid w:val="006E5901"/>
    <w:rsid w:val="006E5D06"/>
    <w:rsid w:val="006E6F21"/>
    <w:rsid w:val="006F0093"/>
    <w:rsid w:val="006F06C8"/>
    <w:rsid w:val="006F0D51"/>
    <w:rsid w:val="006F1D4D"/>
    <w:rsid w:val="006F2755"/>
    <w:rsid w:val="006F2E52"/>
    <w:rsid w:val="006F33C6"/>
    <w:rsid w:val="006F4974"/>
    <w:rsid w:val="006F5755"/>
    <w:rsid w:val="006F719D"/>
    <w:rsid w:val="0070098C"/>
    <w:rsid w:val="007009C3"/>
    <w:rsid w:val="007028F8"/>
    <w:rsid w:val="00703179"/>
    <w:rsid w:val="0070335D"/>
    <w:rsid w:val="00704FE6"/>
    <w:rsid w:val="00705966"/>
    <w:rsid w:val="00705C7E"/>
    <w:rsid w:val="00706830"/>
    <w:rsid w:val="007072AD"/>
    <w:rsid w:val="00710166"/>
    <w:rsid w:val="007111F4"/>
    <w:rsid w:val="0071127A"/>
    <w:rsid w:val="007118B1"/>
    <w:rsid w:val="007125B0"/>
    <w:rsid w:val="007129AB"/>
    <w:rsid w:val="00713B11"/>
    <w:rsid w:val="00713B82"/>
    <w:rsid w:val="007141BF"/>
    <w:rsid w:val="0071421D"/>
    <w:rsid w:val="0071554D"/>
    <w:rsid w:val="007155B2"/>
    <w:rsid w:val="00717B63"/>
    <w:rsid w:val="00717B8E"/>
    <w:rsid w:val="007207FF"/>
    <w:rsid w:val="0072136E"/>
    <w:rsid w:val="0072267D"/>
    <w:rsid w:val="0072279A"/>
    <w:rsid w:val="00722AFC"/>
    <w:rsid w:val="00722F98"/>
    <w:rsid w:val="00724732"/>
    <w:rsid w:val="007255C1"/>
    <w:rsid w:val="007277C7"/>
    <w:rsid w:val="00727A7E"/>
    <w:rsid w:val="0073114D"/>
    <w:rsid w:val="00731EE2"/>
    <w:rsid w:val="00733455"/>
    <w:rsid w:val="00735C51"/>
    <w:rsid w:val="00736399"/>
    <w:rsid w:val="00736FA3"/>
    <w:rsid w:val="00737833"/>
    <w:rsid w:val="00737D2E"/>
    <w:rsid w:val="00740BEC"/>
    <w:rsid w:val="007415BB"/>
    <w:rsid w:val="0074284E"/>
    <w:rsid w:val="00742E07"/>
    <w:rsid w:val="007433A9"/>
    <w:rsid w:val="00743C88"/>
    <w:rsid w:val="00743D2B"/>
    <w:rsid w:val="007440B2"/>
    <w:rsid w:val="007448BD"/>
    <w:rsid w:val="00745E08"/>
    <w:rsid w:val="00746429"/>
    <w:rsid w:val="00751586"/>
    <w:rsid w:val="00753AED"/>
    <w:rsid w:val="00753D45"/>
    <w:rsid w:val="00754074"/>
    <w:rsid w:val="0075567E"/>
    <w:rsid w:val="00755E62"/>
    <w:rsid w:val="00755FFA"/>
    <w:rsid w:val="007565C5"/>
    <w:rsid w:val="00756629"/>
    <w:rsid w:val="00756962"/>
    <w:rsid w:val="00756CC3"/>
    <w:rsid w:val="00760741"/>
    <w:rsid w:val="0076075B"/>
    <w:rsid w:val="00761704"/>
    <w:rsid w:val="007625C7"/>
    <w:rsid w:val="00762689"/>
    <w:rsid w:val="00764076"/>
    <w:rsid w:val="007651A4"/>
    <w:rsid w:val="00773DD2"/>
    <w:rsid w:val="00774AF4"/>
    <w:rsid w:val="007750D2"/>
    <w:rsid w:val="00780463"/>
    <w:rsid w:val="0078049E"/>
    <w:rsid w:val="00780705"/>
    <w:rsid w:val="007809AB"/>
    <w:rsid w:val="00782694"/>
    <w:rsid w:val="00782C7E"/>
    <w:rsid w:val="0078336B"/>
    <w:rsid w:val="007833FC"/>
    <w:rsid w:val="00786700"/>
    <w:rsid w:val="0078682A"/>
    <w:rsid w:val="0078707F"/>
    <w:rsid w:val="0079288E"/>
    <w:rsid w:val="00793657"/>
    <w:rsid w:val="00794693"/>
    <w:rsid w:val="0079554B"/>
    <w:rsid w:val="007956B9"/>
    <w:rsid w:val="007966B6"/>
    <w:rsid w:val="007971A3"/>
    <w:rsid w:val="00797416"/>
    <w:rsid w:val="00797F4E"/>
    <w:rsid w:val="007A071C"/>
    <w:rsid w:val="007A0862"/>
    <w:rsid w:val="007A0F23"/>
    <w:rsid w:val="007A1B1F"/>
    <w:rsid w:val="007A1FAF"/>
    <w:rsid w:val="007A2B70"/>
    <w:rsid w:val="007A2F35"/>
    <w:rsid w:val="007A3FB1"/>
    <w:rsid w:val="007A67B0"/>
    <w:rsid w:val="007A7A90"/>
    <w:rsid w:val="007B065D"/>
    <w:rsid w:val="007B0931"/>
    <w:rsid w:val="007B0BB4"/>
    <w:rsid w:val="007B0C47"/>
    <w:rsid w:val="007B1785"/>
    <w:rsid w:val="007B1857"/>
    <w:rsid w:val="007B27B6"/>
    <w:rsid w:val="007B3493"/>
    <w:rsid w:val="007B3F6C"/>
    <w:rsid w:val="007B42A1"/>
    <w:rsid w:val="007B466A"/>
    <w:rsid w:val="007B507B"/>
    <w:rsid w:val="007B5532"/>
    <w:rsid w:val="007B618D"/>
    <w:rsid w:val="007B6D61"/>
    <w:rsid w:val="007B6EEC"/>
    <w:rsid w:val="007C0A2F"/>
    <w:rsid w:val="007C22ED"/>
    <w:rsid w:val="007C2CBB"/>
    <w:rsid w:val="007C5849"/>
    <w:rsid w:val="007C5ACB"/>
    <w:rsid w:val="007C5EF8"/>
    <w:rsid w:val="007C7A8A"/>
    <w:rsid w:val="007D08DC"/>
    <w:rsid w:val="007D14A2"/>
    <w:rsid w:val="007D17D5"/>
    <w:rsid w:val="007D1F25"/>
    <w:rsid w:val="007D25DB"/>
    <w:rsid w:val="007D2B6B"/>
    <w:rsid w:val="007D3D2F"/>
    <w:rsid w:val="007D4A0A"/>
    <w:rsid w:val="007D4F89"/>
    <w:rsid w:val="007D5DA9"/>
    <w:rsid w:val="007D5E4A"/>
    <w:rsid w:val="007D66B2"/>
    <w:rsid w:val="007D715A"/>
    <w:rsid w:val="007D74F4"/>
    <w:rsid w:val="007D7670"/>
    <w:rsid w:val="007E06B4"/>
    <w:rsid w:val="007E1502"/>
    <w:rsid w:val="007E191E"/>
    <w:rsid w:val="007E2280"/>
    <w:rsid w:val="007E31E3"/>
    <w:rsid w:val="007E35EB"/>
    <w:rsid w:val="007E3E03"/>
    <w:rsid w:val="007E4194"/>
    <w:rsid w:val="007E45B0"/>
    <w:rsid w:val="007E5F40"/>
    <w:rsid w:val="007E763A"/>
    <w:rsid w:val="007F0259"/>
    <w:rsid w:val="007F1198"/>
    <w:rsid w:val="007F4504"/>
    <w:rsid w:val="007F60AE"/>
    <w:rsid w:val="007F6396"/>
    <w:rsid w:val="007F7283"/>
    <w:rsid w:val="007F75B1"/>
    <w:rsid w:val="007F7D49"/>
    <w:rsid w:val="008000F6"/>
    <w:rsid w:val="008021A6"/>
    <w:rsid w:val="008031D4"/>
    <w:rsid w:val="00803729"/>
    <w:rsid w:val="00804A54"/>
    <w:rsid w:val="00804C96"/>
    <w:rsid w:val="00805B3C"/>
    <w:rsid w:val="00805EC9"/>
    <w:rsid w:val="008072BC"/>
    <w:rsid w:val="00807706"/>
    <w:rsid w:val="0081037A"/>
    <w:rsid w:val="00810ECB"/>
    <w:rsid w:val="00811D11"/>
    <w:rsid w:val="00811EAD"/>
    <w:rsid w:val="0081204F"/>
    <w:rsid w:val="00812176"/>
    <w:rsid w:val="00813620"/>
    <w:rsid w:val="00813677"/>
    <w:rsid w:val="0081386B"/>
    <w:rsid w:val="00813C64"/>
    <w:rsid w:val="00813C68"/>
    <w:rsid w:val="00813E79"/>
    <w:rsid w:val="008144B0"/>
    <w:rsid w:val="00817105"/>
    <w:rsid w:val="0081771C"/>
    <w:rsid w:val="00817E6B"/>
    <w:rsid w:val="00820BB5"/>
    <w:rsid w:val="00820E7C"/>
    <w:rsid w:val="00820F28"/>
    <w:rsid w:val="008220E1"/>
    <w:rsid w:val="008225F2"/>
    <w:rsid w:val="00823298"/>
    <w:rsid w:val="00823C81"/>
    <w:rsid w:val="00823E96"/>
    <w:rsid w:val="0082455F"/>
    <w:rsid w:val="0082463D"/>
    <w:rsid w:val="0082480F"/>
    <w:rsid w:val="00824BEC"/>
    <w:rsid w:val="00824FCB"/>
    <w:rsid w:val="00825169"/>
    <w:rsid w:val="00825181"/>
    <w:rsid w:val="00826272"/>
    <w:rsid w:val="008300CD"/>
    <w:rsid w:val="0083035D"/>
    <w:rsid w:val="008326E1"/>
    <w:rsid w:val="008336BB"/>
    <w:rsid w:val="008345C8"/>
    <w:rsid w:val="00834845"/>
    <w:rsid w:val="00834FCC"/>
    <w:rsid w:val="008351E7"/>
    <w:rsid w:val="008362DB"/>
    <w:rsid w:val="008366EF"/>
    <w:rsid w:val="00840F21"/>
    <w:rsid w:val="0084104B"/>
    <w:rsid w:val="00842432"/>
    <w:rsid w:val="0084290E"/>
    <w:rsid w:val="00843C5F"/>
    <w:rsid w:val="008448F9"/>
    <w:rsid w:val="00847598"/>
    <w:rsid w:val="00847B3A"/>
    <w:rsid w:val="00847C49"/>
    <w:rsid w:val="00847EA2"/>
    <w:rsid w:val="008501B1"/>
    <w:rsid w:val="00850CF5"/>
    <w:rsid w:val="0085153F"/>
    <w:rsid w:val="00851AA8"/>
    <w:rsid w:val="00851CCE"/>
    <w:rsid w:val="008546AB"/>
    <w:rsid w:val="00855314"/>
    <w:rsid w:val="008559A9"/>
    <w:rsid w:val="00856629"/>
    <w:rsid w:val="008572AE"/>
    <w:rsid w:val="008602B1"/>
    <w:rsid w:val="0086134C"/>
    <w:rsid w:val="00861CBE"/>
    <w:rsid w:val="008631D2"/>
    <w:rsid w:val="00863454"/>
    <w:rsid w:val="008642DE"/>
    <w:rsid w:val="00864424"/>
    <w:rsid w:val="008667E3"/>
    <w:rsid w:val="00866F9F"/>
    <w:rsid w:val="00867C78"/>
    <w:rsid w:val="008708F5"/>
    <w:rsid w:val="00870D60"/>
    <w:rsid w:val="00870DF9"/>
    <w:rsid w:val="008714FE"/>
    <w:rsid w:val="00871B88"/>
    <w:rsid w:val="00871E8B"/>
    <w:rsid w:val="008722CE"/>
    <w:rsid w:val="008752AC"/>
    <w:rsid w:val="00875F85"/>
    <w:rsid w:val="00876347"/>
    <w:rsid w:val="00877A70"/>
    <w:rsid w:val="00877C87"/>
    <w:rsid w:val="00880610"/>
    <w:rsid w:val="008811E2"/>
    <w:rsid w:val="00881A3A"/>
    <w:rsid w:val="00885EB2"/>
    <w:rsid w:val="008872ED"/>
    <w:rsid w:val="00890202"/>
    <w:rsid w:val="00890712"/>
    <w:rsid w:val="00891778"/>
    <w:rsid w:val="00891F70"/>
    <w:rsid w:val="00893290"/>
    <w:rsid w:val="00893D0F"/>
    <w:rsid w:val="00894109"/>
    <w:rsid w:val="00895EB1"/>
    <w:rsid w:val="00895F4C"/>
    <w:rsid w:val="008A0242"/>
    <w:rsid w:val="008A0E43"/>
    <w:rsid w:val="008A17F9"/>
    <w:rsid w:val="008A21E5"/>
    <w:rsid w:val="008A243D"/>
    <w:rsid w:val="008A2FAA"/>
    <w:rsid w:val="008A36CD"/>
    <w:rsid w:val="008A3A02"/>
    <w:rsid w:val="008A3BA3"/>
    <w:rsid w:val="008A3E98"/>
    <w:rsid w:val="008A4023"/>
    <w:rsid w:val="008A4B85"/>
    <w:rsid w:val="008A5914"/>
    <w:rsid w:val="008A6B5B"/>
    <w:rsid w:val="008A7117"/>
    <w:rsid w:val="008A7584"/>
    <w:rsid w:val="008B0501"/>
    <w:rsid w:val="008B1824"/>
    <w:rsid w:val="008B28EA"/>
    <w:rsid w:val="008B39A9"/>
    <w:rsid w:val="008B3A27"/>
    <w:rsid w:val="008B3DD8"/>
    <w:rsid w:val="008B53BA"/>
    <w:rsid w:val="008B7275"/>
    <w:rsid w:val="008B7908"/>
    <w:rsid w:val="008C0980"/>
    <w:rsid w:val="008C166D"/>
    <w:rsid w:val="008C21E3"/>
    <w:rsid w:val="008C2412"/>
    <w:rsid w:val="008C4217"/>
    <w:rsid w:val="008C483C"/>
    <w:rsid w:val="008C4A3D"/>
    <w:rsid w:val="008C5302"/>
    <w:rsid w:val="008C5D89"/>
    <w:rsid w:val="008C75C0"/>
    <w:rsid w:val="008D02B8"/>
    <w:rsid w:val="008D0B82"/>
    <w:rsid w:val="008D1475"/>
    <w:rsid w:val="008D1E5F"/>
    <w:rsid w:val="008D2134"/>
    <w:rsid w:val="008D2ADF"/>
    <w:rsid w:val="008D39BD"/>
    <w:rsid w:val="008D51B4"/>
    <w:rsid w:val="008D5BA2"/>
    <w:rsid w:val="008D65F5"/>
    <w:rsid w:val="008D7A07"/>
    <w:rsid w:val="008E002B"/>
    <w:rsid w:val="008E0C90"/>
    <w:rsid w:val="008E14D7"/>
    <w:rsid w:val="008E182A"/>
    <w:rsid w:val="008E2232"/>
    <w:rsid w:val="008E297B"/>
    <w:rsid w:val="008E3879"/>
    <w:rsid w:val="008E487B"/>
    <w:rsid w:val="008E5046"/>
    <w:rsid w:val="008E60AB"/>
    <w:rsid w:val="008E6B55"/>
    <w:rsid w:val="008E7D77"/>
    <w:rsid w:val="008F037B"/>
    <w:rsid w:val="008F05A0"/>
    <w:rsid w:val="008F0CD8"/>
    <w:rsid w:val="008F11E5"/>
    <w:rsid w:val="008F1F60"/>
    <w:rsid w:val="008F28C1"/>
    <w:rsid w:val="008F2A7A"/>
    <w:rsid w:val="008F2D4F"/>
    <w:rsid w:val="008F4B5F"/>
    <w:rsid w:val="008F52BA"/>
    <w:rsid w:val="008F57FC"/>
    <w:rsid w:val="008F5C02"/>
    <w:rsid w:val="008F7D81"/>
    <w:rsid w:val="00901920"/>
    <w:rsid w:val="00901D3B"/>
    <w:rsid w:val="009026EE"/>
    <w:rsid w:val="00902A1F"/>
    <w:rsid w:val="00902E79"/>
    <w:rsid w:val="0090311B"/>
    <w:rsid w:val="009032D1"/>
    <w:rsid w:val="0090364A"/>
    <w:rsid w:val="00903BCD"/>
    <w:rsid w:val="00904137"/>
    <w:rsid w:val="00904633"/>
    <w:rsid w:val="00905AAA"/>
    <w:rsid w:val="0090662A"/>
    <w:rsid w:val="00907624"/>
    <w:rsid w:val="00907DC1"/>
    <w:rsid w:val="00907FC9"/>
    <w:rsid w:val="00907FF5"/>
    <w:rsid w:val="0091239A"/>
    <w:rsid w:val="00912BBC"/>
    <w:rsid w:val="00913722"/>
    <w:rsid w:val="009137DB"/>
    <w:rsid w:val="00914668"/>
    <w:rsid w:val="00915473"/>
    <w:rsid w:val="0091774B"/>
    <w:rsid w:val="00917F3B"/>
    <w:rsid w:val="009214D5"/>
    <w:rsid w:val="009217DA"/>
    <w:rsid w:val="00921C14"/>
    <w:rsid w:val="00921CD6"/>
    <w:rsid w:val="00921F73"/>
    <w:rsid w:val="0092532B"/>
    <w:rsid w:val="0093022B"/>
    <w:rsid w:val="009306FC"/>
    <w:rsid w:val="00930C35"/>
    <w:rsid w:val="00932048"/>
    <w:rsid w:val="0093226F"/>
    <w:rsid w:val="009324B5"/>
    <w:rsid w:val="00932A83"/>
    <w:rsid w:val="0093337E"/>
    <w:rsid w:val="0093366F"/>
    <w:rsid w:val="009336D9"/>
    <w:rsid w:val="009341DA"/>
    <w:rsid w:val="00935561"/>
    <w:rsid w:val="009358BF"/>
    <w:rsid w:val="009377F6"/>
    <w:rsid w:val="00937AC3"/>
    <w:rsid w:val="00937F98"/>
    <w:rsid w:val="00941BF3"/>
    <w:rsid w:val="00942104"/>
    <w:rsid w:val="00942781"/>
    <w:rsid w:val="00942A09"/>
    <w:rsid w:val="0094309C"/>
    <w:rsid w:val="009437A5"/>
    <w:rsid w:val="00943FBD"/>
    <w:rsid w:val="00944461"/>
    <w:rsid w:val="00946671"/>
    <w:rsid w:val="00946A53"/>
    <w:rsid w:val="00950344"/>
    <w:rsid w:val="0095059E"/>
    <w:rsid w:val="00951590"/>
    <w:rsid w:val="009515F4"/>
    <w:rsid w:val="00952E42"/>
    <w:rsid w:val="009547C8"/>
    <w:rsid w:val="00954C95"/>
    <w:rsid w:val="00957186"/>
    <w:rsid w:val="00957D50"/>
    <w:rsid w:val="00960C2A"/>
    <w:rsid w:val="0096228D"/>
    <w:rsid w:val="00962941"/>
    <w:rsid w:val="0096311A"/>
    <w:rsid w:val="0096339C"/>
    <w:rsid w:val="00964DD7"/>
    <w:rsid w:val="009658C0"/>
    <w:rsid w:val="0096613B"/>
    <w:rsid w:val="00966FBE"/>
    <w:rsid w:val="00967140"/>
    <w:rsid w:val="009679B1"/>
    <w:rsid w:val="00971B3D"/>
    <w:rsid w:val="00972157"/>
    <w:rsid w:val="009724D8"/>
    <w:rsid w:val="00972C62"/>
    <w:rsid w:val="00972DE5"/>
    <w:rsid w:val="00973695"/>
    <w:rsid w:val="00974081"/>
    <w:rsid w:val="00974D64"/>
    <w:rsid w:val="00975F95"/>
    <w:rsid w:val="00976D47"/>
    <w:rsid w:val="00977E27"/>
    <w:rsid w:val="0098008F"/>
    <w:rsid w:val="00980FD9"/>
    <w:rsid w:val="00981EB0"/>
    <w:rsid w:val="009825B2"/>
    <w:rsid w:val="009838E3"/>
    <w:rsid w:val="00984222"/>
    <w:rsid w:val="0098537F"/>
    <w:rsid w:val="00985BF3"/>
    <w:rsid w:val="009861B2"/>
    <w:rsid w:val="0098634A"/>
    <w:rsid w:val="009865E4"/>
    <w:rsid w:val="009919BD"/>
    <w:rsid w:val="00991CF8"/>
    <w:rsid w:val="00992ECE"/>
    <w:rsid w:val="00993041"/>
    <w:rsid w:val="00993155"/>
    <w:rsid w:val="009940FB"/>
    <w:rsid w:val="009948E1"/>
    <w:rsid w:val="00995800"/>
    <w:rsid w:val="00996616"/>
    <w:rsid w:val="009966A3"/>
    <w:rsid w:val="00997B5A"/>
    <w:rsid w:val="009A122A"/>
    <w:rsid w:val="009A13A5"/>
    <w:rsid w:val="009A5577"/>
    <w:rsid w:val="009A5A19"/>
    <w:rsid w:val="009A6B5E"/>
    <w:rsid w:val="009A6E9F"/>
    <w:rsid w:val="009B1859"/>
    <w:rsid w:val="009B383F"/>
    <w:rsid w:val="009B4210"/>
    <w:rsid w:val="009B44F5"/>
    <w:rsid w:val="009B4F3B"/>
    <w:rsid w:val="009B528B"/>
    <w:rsid w:val="009B5F96"/>
    <w:rsid w:val="009B63EC"/>
    <w:rsid w:val="009B6427"/>
    <w:rsid w:val="009B68ED"/>
    <w:rsid w:val="009B6D9A"/>
    <w:rsid w:val="009B73B1"/>
    <w:rsid w:val="009C0766"/>
    <w:rsid w:val="009C0D30"/>
    <w:rsid w:val="009C2269"/>
    <w:rsid w:val="009C3191"/>
    <w:rsid w:val="009C34EC"/>
    <w:rsid w:val="009C44D5"/>
    <w:rsid w:val="009C50E4"/>
    <w:rsid w:val="009C5CF1"/>
    <w:rsid w:val="009C70C2"/>
    <w:rsid w:val="009D0270"/>
    <w:rsid w:val="009D0503"/>
    <w:rsid w:val="009D1747"/>
    <w:rsid w:val="009D1985"/>
    <w:rsid w:val="009D310B"/>
    <w:rsid w:val="009D4755"/>
    <w:rsid w:val="009D64D2"/>
    <w:rsid w:val="009D7124"/>
    <w:rsid w:val="009D764B"/>
    <w:rsid w:val="009D7E8A"/>
    <w:rsid w:val="009E0182"/>
    <w:rsid w:val="009E14E9"/>
    <w:rsid w:val="009E1533"/>
    <w:rsid w:val="009E17F9"/>
    <w:rsid w:val="009E2F3C"/>
    <w:rsid w:val="009E39AB"/>
    <w:rsid w:val="009E3A6F"/>
    <w:rsid w:val="009E4638"/>
    <w:rsid w:val="009E5DEA"/>
    <w:rsid w:val="009E636A"/>
    <w:rsid w:val="009E769C"/>
    <w:rsid w:val="009E7760"/>
    <w:rsid w:val="009F07D6"/>
    <w:rsid w:val="009F1AA3"/>
    <w:rsid w:val="009F1F0E"/>
    <w:rsid w:val="009F231B"/>
    <w:rsid w:val="009F2329"/>
    <w:rsid w:val="009F362C"/>
    <w:rsid w:val="009F3C75"/>
    <w:rsid w:val="009F411B"/>
    <w:rsid w:val="009F5859"/>
    <w:rsid w:val="009F5CA2"/>
    <w:rsid w:val="009F6C9F"/>
    <w:rsid w:val="00A00040"/>
    <w:rsid w:val="00A001B5"/>
    <w:rsid w:val="00A00D51"/>
    <w:rsid w:val="00A01FE7"/>
    <w:rsid w:val="00A0243F"/>
    <w:rsid w:val="00A02B48"/>
    <w:rsid w:val="00A02BEF"/>
    <w:rsid w:val="00A02CDA"/>
    <w:rsid w:val="00A02EEB"/>
    <w:rsid w:val="00A0327B"/>
    <w:rsid w:val="00A0777C"/>
    <w:rsid w:val="00A10AC6"/>
    <w:rsid w:val="00A1276E"/>
    <w:rsid w:val="00A149D3"/>
    <w:rsid w:val="00A15244"/>
    <w:rsid w:val="00A1699A"/>
    <w:rsid w:val="00A1737A"/>
    <w:rsid w:val="00A204A9"/>
    <w:rsid w:val="00A215BF"/>
    <w:rsid w:val="00A225AB"/>
    <w:rsid w:val="00A22873"/>
    <w:rsid w:val="00A23CAC"/>
    <w:rsid w:val="00A24529"/>
    <w:rsid w:val="00A24984"/>
    <w:rsid w:val="00A24FB3"/>
    <w:rsid w:val="00A27381"/>
    <w:rsid w:val="00A27F0B"/>
    <w:rsid w:val="00A304BE"/>
    <w:rsid w:val="00A30617"/>
    <w:rsid w:val="00A30B78"/>
    <w:rsid w:val="00A31044"/>
    <w:rsid w:val="00A314E8"/>
    <w:rsid w:val="00A31A7C"/>
    <w:rsid w:val="00A322E8"/>
    <w:rsid w:val="00A3303D"/>
    <w:rsid w:val="00A34390"/>
    <w:rsid w:val="00A36A1B"/>
    <w:rsid w:val="00A36C0E"/>
    <w:rsid w:val="00A36E8E"/>
    <w:rsid w:val="00A4036C"/>
    <w:rsid w:val="00A41415"/>
    <w:rsid w:val="00A4149F"/>
    <w:rsid w:val="00A425AA"/>
    <w:rsid w:val="00A444FA"/>
    <w:rsid w:val="00A457DF"/>
    <w:rsid w:val="00A45E35"/>
    <w:rsid w:val="00A46C86"/>
    <w:rsid w:val="00A47243"/>
    <w:rsid w:val="00A47266"/>
    <w:rsid w:val="00A4732D"/>
    <w:rsid w:val="00A51E94"/>
    <w:rsid w:val="00A52390"/>
    <w:rsid w:val="00A52B89"/>
    <w:rsid w:val="00A5308F"/>
    <w:rsid w:val="00A53566"/>
    <w:rsid w:val="00A5358A"/>
    <w:rsid w:val="00A53910"/>
    <w:rsid w:val="00A53949"/>
    <w:rsid w:val="00A561AC"/>
    <w:rsid w:val="00A56C84"/>
    <w:rsid w:val="00A573BA"/>
    <w:rsid w:val="00A61D7C"/>
    <w:rsid w:val="00A61E07"/>
    <w:rsid w:val="00A62ED8"/>
    <w:rsid w:val="00A63A11"/>
    <w:rsid w:val="00A64241"/>
    <w:rsid w:val="00A64D19"/>
    <w:rsid w:val="00A64E32"/>
    <w:rsid w:val="00A6615B"/>
    <w:rsid w:val="00A66580"/>
    <w:rsid w:val="00A6764C"/>
    <w:rsid w:val="00A70293"/>
    <w:rsid w:val="00A70C6E"/>
    <w:rsid w:val="00A717DE"/>
    <w:rsid w:val="00A72C19"/>
    <w:rsid w:val="00A7332C"/>
    <w:rsid w:val="00A73D3B"/>
    <w:rsid w:val="00A741A7"/>
    <w:rsid w:val="00A751CB"/>
    <w:rsid w:val="00A7553E"/>
    <w:rsid w:val="00A75AF5"/>
    <w:rsid w:val="00A75E2E"/>
    <w:rsid w:val="00A7688E"/>
    <w:rsid w:val="00A76B10"/>
    <w:rsid w:val="00A76FD1"/>
    <w:rsid w:val="00A779D9"/>
    <w:rsid w:val="00A80640"/>
    <w:rsid w:val="00A83397"/>
    <w:rsid w:val="00A835F6"/>
    <w:rsid w:val="00A853AA"/>
    <w:rsid w:val="00A86A2C"/>
    <w:rsid w:val="00A876C4"/>
    <w:rsid w:val="00A905A1"/>
    <w:rsid w:val="00A91592"/>
    <w:rsid w:val="00A920E9"/>
    <w:rsid w:val="00A94ACC"/>
    <w:rsid w:val="00A94D3B"/>
    <w:rsid w:val="00A95981"/>
    <w:rsid w:val="00A971FB"/>
    <w:rsid w:val="00AA0A77"/>
    <w:rsid w:val="00AA0FB3"/>
    <w:rsid w:val="00AA2946"/>
    <w:rsid w:val="00AA4937"/>
    <w:rsid w:val="00AA52D5"/>
    <w:rsid w:val="00AA7760"/>
    <w:rsid w:val="00AA7884"/>
    <w:rsid w:val="00AB0148"/>
    <w:rsid w:val="00AB0B4F"/>
    <w:rsid w:val="00AB0F4D"/>
    <w:rsid w:val="00AB1E5B"/>
    <w:rsid w:val="00AB2677"/>
    <w:rsid w:val="00AB293E"/>
    <w:rsid w:val="00AB3F51"/>
    <w:rsid w:val="00AB5915"/>
    <w:rsid w:val="00AB5CF7"/>
    <w:rsid w:val="00AB6F00"/>
    <w:rsid w:val="00AB726A"/>
    <w:rsid w:val="00AC097A"/>
    <w:rsid w:val="00AC2374"/>
    <w:rsid w:val="00AC4ED9"/>
    <w:rsid w:val="00AC5F18"/>
    <w:rsid w:val="00AC7AA5"/>
    <w:rsid w:val="00AD005E"/>
    <w:rsid w:val="00AD101B"/>
    <w:rsid w:val="00AD1297"/>
    <w:rsid w:val="00AD150B"/>
    <w:rsid w:val="00AD16EF"/>
    <w:rsid w:val="00AD4BC7"/>
    <w:rsid w:val="00AD5FBD"/>
    <w:rsid w:val="00AD6EFB"/>
    <w:rsid w:val="00AD7A6F"/>
    <w:rsid w:val="00AE12C5"/>
    <w:rsid w:val="00AE349F"/>
    <w:rsid w:val="00AE34B6"/>
    <w:rsid w:val="00AE3FF2"/>
    <w:rsid w:val="00AE4ACB"/>
    <w:rsid w:val="00AE4CDE"/>
    <w:rsid w:val="00AE51BC"/>
    <w:rsid w:val="00AE5679"/>
    <w:rsid w:val="00AE6C8F"/>
    <w:rsid w:val="00AE6D0F"/>
    <w:rsid w:val="00AE7CB3"/>
    <w:rsid w:val="00AF3142"/>
    <w:rsid w:val="00AF4436"/>
    <w:rsid w:val="00AF4A67"/>
    <w:rsid w:val="00AF4D9D"/>
    <w:rsid w:val="00AF503F"/>
    <w:rsid w:val="00AF5210"/>
    <w:rsid w:val="00AF5F0F"/>
    <w:rsid w:val="00AF61B1"/>
    <w:rsid w:val="00AF6D99"/>
    <w:rsid w:val="00AF7E22"/>
    <w:rsid w:val="00B00172"/>
    <w:rsid w:val="00B0181D"/>
    <w:rsid w:val="00B0265B"/>
    <w:rsid w:val="00B03413"/>
    <w:rsid w:val="00B049FF"/>
    <w:rsid w:val="00B04CB2"/>
    <w:rsid w:val="00B0626E"/>
    <w:rsid w:val="00B06B1F"/>
    <w:rsid w:val="00B077A7"/>
    <w:rsid w:val="00B07F7A"/>
    <w:rsid w:val="00B11187"/>
    <w:rsid w:val="00B11721"/>
    <w:rsid w:val="00B125AD"/>
    <w:rsid w:val="00B1466B"/>
    <w:rsid w:val="00B1529C"/>
    <w:rsid w:val="00B161F5"/>
    <w:rsid w:val="00B1624F"/>
    <w:rsid w:val="00B17347"/>
    <w:rsid w:val="00B17478"/>
    <w:rsid w:val="00B17771"/>
    <w:rsid w:val="00B17CFE"/>
    <w:rsid w:val="00B20A9D"/>
    <w:rsid w:val="00B212EA"/>
    <w:rsid w:val="00B22940"/>
    <w:rsid w:val="00B22D6D"/>
    <w:rsid w:val="00B230F1"/>
    <w:rsid w:val="00B23F31"/>
    <w:rsid w:val="00B24E49"/>
    <w:rsid w:val="00B260F3"/>
    <w:rsid w:val="00B26F19"/>
    <w:rsid w:val="00B301E3"/>
    <w:rsid w:val="00B30474"/>
    <w:rsid w:val="00B30873"/>
    <w:rsid w:val="00B30DE1"/>
    <w:rsid w:val="00B3134A"/>
    <w:rsid w:val="00B3159F"/>
    <w:rsid w:val="00B3230D"/>
    <w:rsid w:val="00B3236C"/>
    <w:rsid w:val="00B32754"/>
    <w:rsid w:val="00B3373D"/>
    <w:rsid w:val="00B33DEE"/>
    <w:rsid w:val="00B351DA"/>
    <w:rsid w:val="00B35F8C"/>
    <w:rsid w:val="00B37451"/>
    <w:rsid w:val="00B37C74"/>
    <w:rsid w:val="00B40581"/>
    <w:rsid w:val="00B411E1"/>
    <w:rsid w:val="00B414A9"/>
    <w:rsid w:val="00B41531"/>
    <w:rsid w:val="00B45141"/>
    <w:rsid w:val="00B453AD"/>
    <w:rsid w:val="00B466D4"/>
    <w:rsid w:val="00B51C93"/>
    <w:rsid w:val="00B527B4"/>
    <w:rsid w:val="00B52CCC"/>
    <w:rsid w:val="00B53FCF"/>
    <w:rsid w:val="00B5417D"/>
    <w:rsid w:val="00B55DE3"/>
    <w:rsid w:val="00B55E66"/>
    <w:rsid w:val="00B561AF"/>
    <w:rsid w:val="00B56554"/>
    <w:rsid w:val="00B56A86"/>
    <w:rsid w:val="00B5703B"/>
    <w:rsid w:val="00B57305"/>
    <w:rsid w:val="00B606D2"/>
    <w:rsid w:val="00B60733"/>
    <w:rsid w:val="00B6073B"/>
    <w:rsid w:val="00B60BBA"/>
    <w:rsid w:val="00B60DE6"/>
    <w:rsid w:val="00B60E25"/>
    <w:rsid w:val="00B61EF4"/>
    <w:rsid w:val="00B62891"/>
    <w:rsid w:val="00B6292A"/>
    <w:rsid w:val="00B6304A"/>
    <w:rsid w:val="00B63D46"/>
    <w:rsid w:val="00B63E94"/>
    <w:rsid w:val="00B64E10"/>
    <w:rsid w:val="00B65C4B"/>
    <w:rsid w:val="00B65E37"/>
    <w:rsid w:val="00B66C09"/>
    <w:rsid w:val="00B708F3"/>
    <w:rsid w:val="00B736DC"/>
    <w:rsid w:val="00B75346"/>
    <w:rsid w:val="00B75BA7"/>
    <w:rsid w:val="00B766A2"/>
    <w:rsid w:val="00B8028C"/>
    <w:rsid w:val="00B80B20"/>
    <w:rsid w:val="00B81E01"/>
    <w:rsid w:val="00B82624"/>
    <w:rsid w:val="00B82E8C"/>
    <w:rsid w:val="00B83720"/>
    <w:rsid w:val="00B83743"/>
    <w:rsid w:val="00B84760"/>
    <w:rsid w:val="00B8613D"/>
    <w:rsid w:val="00B8692E"/>
    <w:rsid w:val="00B86E6F"/>
    <w:rsid w:val="00B87B0C"/>
    <w:rsid w:val="00B90E30"/>
    <w:rsid w:val="00B936CE"/>
    <w:rsid w:val="00B948B0"/>
    <w:rsid w:val="00B97CE8"/>
    <w:rsid w:val="00BA066E"/>
    <w:rsid w:val="00BA18E8"/>
    <w:rsid w:val="00BA2297"/>
    <w:rsid w:val="00BA3237"/>
    <w:rsid w:val="00BA7BB2"/>
    <w:rsid w:val="00BB05FA"/>
    <w:rsid w:val="00BB0E63"/>
    <w:rsid w:val="00BB1FD8"/>
    <w:rsid w:val="00BB5B4E"/>
    <w:rsid w:val="00BB5E2B"/>
    <w:rsid w:val="00BC0A6B"/>
    <w:rsid w:val="00BC0F2E"/>
    <w:rsid w:val="00BC1ECF"/>
    <w:rsid w:val="00BC1FD8"/>
    <w:rsid w:val="00BC31AA"/>
    <w:rsid w:val="00BC4E77"/>
    <w:rsid w:val="00BC599B"/>
    <w:rsid w:val="00BC652B"/>
    <w:rsid w:val="00BC6BE7"/>
    <w:rsid w:val="00BD1FAF"/>
    <w:rsid w:val="00BD20FD"/>
    <w:rsid w:val="00BD34B1"/>
    <w:rsid w:val="00BD4807"/>
    <w:rsid w:val="00BD56FA"/>
    <w:rsid w:val="00BD60D8"/>
    <w:rsid w:val="00BD6A8B"/>
    <w:rsid w:val="00BD7289"/>
    <w:rsid w:val="00BE0AC9"/>
    <w:rsid w:val="00BE2861"/>
    <w:rsid w:val="00BE36A8"/>
    <w:rsid w:val="00BE36DC"/>
    <w:rsid w:val="00BE3F13"/>
    <w:rsid w:val="00BE4386"/>
    <w:rsid w:val="00BE490A"/>
    <w:rsid w:val="00BE54D2"/>
    <w:rsid w:val="00BE5910"/>
    <w:rsid w:val="00BE5DA4"/>
    <w:rsid w:val="00BE6392"/>
    <w:rsid w:val="00BE686E"/>
    <w:rsid w:val="00BE7DA5"/>
    <w:rsid w:val="00BF05B8"/>
    <w:rsid w:val="00BF0DE5"/>
    <w:rsid w:val="00BF2631"/>
    <w:rsid w:val="00BF28C7"/>
    <w:rsid w:val="00BF2A85"/>
    <w:rsid w:val="00BF37EF"/>
    <w:rsid w:val="00BF3B6B"/>
    <w:rsid w:val="00BF4006"/>
    <w:rsid w:val="00BF436E"/>
    <w:rsid w:val="00BF4417"/>
    <w:rsid w:val="00BF497E"/>
    <w:rsid w:val="00BF64CD"/>
    <w:rsid w:val="00BF6B75"/>
    <w:rsid w:val="00BF700A"/>
    <w:rsid w:val="00BF7CEC"/>
    <w:rsid w:val="00C0025E"/>
    <w:rsid w:val="00C003F1"/>
    <w:rsid w:val="00C02E26"/>
    <w:rsid w:val="00C0382D"/>
    <w:rsid w:val="00C04DBF"/>
    <w:rsid w:val="00C054CA"/>
    <w:rsid w:val="00C060B1"/>
    <w:rsid w:val="00C06505"/>
    <w:rsid w:val="00C06C09"/>
    <w:rsid w:val="00C06E4F"/>
    <w:rsid w:val="00C077E7"/>
    <w:rsid w:val="00C11E23"/>
    <w:rsid w:val="00C1208E"/>
    <w:rsid w:val="00C129E2"/>
    <w:rsid w:val="00C12AD8"/>
    <w:rsid w:val="00C12D1E"/>
    <w:rsid w:val="00C15076"/>
    <w:rsid w:val="00C15975"/>
    <w:rsid w:val="00C15F1B"/>
    <w:rsid w:val="00C160BE"/>
    <w:rsid w:val="00C165BB"/>
    <w:rsid w:val="00C175EB"/>
    <w:rsid w:val="00C20E49"/>
    <w:rsid w:val="00C23B9E"/>
    <w:rsid w:val="00C23D28"/>
    <w:rsid w:val="00C24867"/>
    <w:rsid w:val="00C258A2"/>
    <w:rsid w:val="00C25E76"/>
    <w:rsid w:val="00C27BE6"/>
    <w:rsid w:val="00C30E25"/>
    <w:rsid w:val="00C31004"/>
    <w:rsid w:val="00C3100C"/>
    <w:rsid w:val="00C319AE"/>
    <w:rsid w:val="00C32483"/>
    <w:rsid w:val="00C32888"/>
    <w:rsid w:val="00C32920"/>
    <w:rsid w:val="00C32D2F"/>
    <w:rsid w:val="00C33036"/>
    <w:rsid w:val="00C33404"/>
    <w:rsid w:val="00C34175"/>
    <w:rsid w:val="00C34DC0"/>
    <w:rsid w:val="00C35202"/>
    <w:rsid w:val="00C35F9F"/>
    <w:rsid w:val="00C368FC"/>
    <w:rsid w:val="00C36C8D"/>
    <w:rsid w:val="00C41627"/>
    <w:rsid w:val="00C41D35"/>
    <w:rsid w:val="00C4409D"/>
    <w:rsid w:val="00C442FE"/>
    <w:rsid w:val="00C444B6"/>
    <w:rsid w:val="00C445A3"/>
    <w:rsid w:val="00C45125"/>
    <w:rsid w:val="00C45923"/>
    <w:rsid w:val="00C45FF6"/>
    <w:rsid w:val="00C466F2"/>
    <w:rsid w:val="00C500CA"/>
    <w:rsid w:val="00C50BB3"/>
    <w:rsid w:val="00C50CF6"/>
    <w:rsid w:val="00C52E88"/>
    <w:rsid w:val="00C52E92"/>
    <w:rsid w:val="00C53F2D"/>
    <w:rsid w:val="00C54CA3"/>
    <w:rsid w:val="00C56C2C"/>
    <w:rsid w:val="00C5707B"/>
    <w:rsid w:val="00C574B4"/>
    <w:rsid w:val="00C576EE"/>
    <w:rsid w:val="00C60404"/>
    <w:rsid w:val="00C626B4"/>
    <w:rsid w:val="00C637D5"/>
    <w:rsid w:val="00C64C09"/>
    <w:rsid w:val="00C64C63"/>
    <w:rsid w:val="00C65F70"/>
    <w:rsid w:val="00C666A2"/>
    <w:rsid w:val="00C6779E"/>
    <w:rsid w:val="00C67F66"/>
    <w:rsid w:val="00C70FE8"/>
    <w:rsid w:val="00C7197C"/>
    <w:rsid w:val="00C72937"/>
    <w:rsid w:val="00C73539"/>
    <w:rsid w:val="00C77499"/>
    <w:rsid w:val="00C800F6"/>
    <w:rsid w:val="00C832A4"/>
    <w:rsid w:val="00C85F65"/>
    <w:rsid w:val="00C86ECC"/>
    <w:rsid w:val="00C8711C"/>
    <w:rsid w:val="00C87B6E"/>
    <w:rsid w:val="00C87DF5"/>
    <w:rsid w:val="00C902B9"/>
    <w:rsid w:val="00C91BBF"/>
    <w:rsid w:val="00C92763"/>
    <w:rsid w:val="00C942AA"/>
    <w:rsid w:val="00C94E79"/>
    <w:rsid w:val="00C968CC"/>
    <w:rsid w:val="00C96A21"/>
    <w:rsid w:val="00C972A1"/>
    <w:rsid w:val="00C9755A"/>
    <w:rsid w:val="00C9760E"/>
    <w:rsid w:val="00C97FE7"/>
    <w:rsid w:val="00CA03E8"/>
    <w:rsid w:val="00CA106A"/>
    <w:rsid w:val="00CA153A"/>
    <w:rsid w:val="00CA1BFF"/>
    <w:rsid w:val="00CA3CE8"/>
    <w:rsid w:val="00CA7E72"/>
    <w:rsid w:val="00CB2874"/>
    <w:rsid w:val="00CB296F"/>
    <w:rsid w:val="00CB34E9"/>
    <w:rsid w:val="00CB3935"/>
    <w:rsid w:val="00CB3A1D"/>
    <w:rsid w:val="00CB3D06"/>
    <w:rsid w:val="00CB4BF5"/>
    <w:rsid w:val="00CB5BDD"/>
    <w:rsid w:val="00CC13B4"/>
    <w:rsid w:val="00CC13EA"/>
    <w:rsid w:val="00CC3A5B"/>
    <w:rsid w:val="00CC3BEB"/>
    <w:rsid w:val="00CC434F"/>
    <w:rsid w:val="00CC53E9"/>
    <w:rsid w:val="00CC5B03"/>
    <w:rsid w:val="00CC6B85"/>
    <w:rsid w:val="00CC78CA"/>
    <w:rsid w:val="00CD033C"/>
    <w:rsid w:val="00CD2175"/>
    <w:rsid w:val="00CD2223"/>
    <w:rsid w:val="00CD42DC"/>
    <w:rsid w:val="00CD76F3"/>
    <w:rsid w:val="00CE063C"/>
    <w:rsid w:val="00CE08FC"/>
    <w:rsid w:val="00CE0A90"/>
    <w:rsid w:val="00CE2B0A"/>
    <w:rsid w:val="00CE3255"/>
    <w:rsid w:val="00CE4459"/>
    <w:rsid w:val="00CE4E30"/>
    <w:rsid w:val="00CE5CFD"/>
    <w:rsid w:val="00CE72E6"/>
    <w:rsid w:val="00CE7875"/>
    <w:rsid w:val="00CF03A9"/>
    <w:rsid w:val="00CF0AE2"/>
    <w:rsid w:val="00CF1350"/>
    <w:rsid w:val="00CF1361"/>
    <w:rsid w:val="00CF2538"/>
    <w:rsid w:val="00CF2D9F"/>
    <w:rsid w:val="00CF4182"/>
    <w:rsid w:val="00CF46E8"/>
    <w:rsid w:val="00CF515E"/>
    <w:rsid w:val="00CF58D8"/>
    <w:rsid w:val="00CF5E01"/>
    <w:rsid w:val="00CF60CD"/>
    <w:rsid w:val="00CF6D65"/>
    <w:rsid w:val="00CF7025"/>
    <w:rsid w:val="00D0116A"/>
    <w:rsid w:val="00D02E94"/>
    <w:rsid w:val="00D038FF"/>
    <w:rsid w:val="00D04184"/>
    <w:rsid w:val="00D068CA"/>
    <w:rsid w:val="00D07C39"/>
    <w:rsid w:val="00D07EC0"/>
    <w:rsid w:val="00D12241"/>
    <w:rsid w:val="00D12B00"/>
    <w:rsid w:val="00D13222"/>
    <w:rsid w:val="00D136EF"/>
    <w:rsid w:val="00D13F66"/>
    <w:rsid w:val="00D1494F"/>
    <w:rsid w:val="00D14E05"/>
    <w:rsid w:val="00D15FC5"/>
    <w:rsid w:val="00D16348"/>
    <w:rsid w:val="00D16545"/>
    <w:rsid w:val="00D178E4"/>
    <w:rsid w:val="00D21981"/>
    <w:rsid w:val="00D223DF"/>
    <w:rsid w:val="00D22523"/>
    <w:rsid w:val="00D22D3C"/>
    <w:rsid w:val="00D22EB7"/>
    <w:rsid w:val="00D24258"/>
    <w:rsid w:val="00D2685A"/>
    <w:rsid w:val="00D26A77"/>
    <w:rsid w:val="00D271CC"/>
    <w:rsid w:val="00D27479"/>
    <w:rsid w:val="00D302BF"/>
    <w:rsid w:val="00D31306"/>
    <w:rsid w:val="00D31EDC"/>
    <w:rsid w:val="00D327A2"/>
    <w:rsid w:val="00D32AAA"/>
    <w:rsid w:val="00D32D7F"/>
    <w:rsid w:val="00D32E8D"/>
    <w:rsid w:val="00D33B81"/>
    <w:rsid w:val="00D33BAB"/>
    <w:rsid w:val="00D3496F"/>
    <w:rsid w:val="00D34D75"/>
    <w:rsid w:val="00D3651D"/>
    <w:rsid w:val="00D37C7D"/>
    <w:rsid w:val="00D4087F"/>
    <w:rsid w:val="00D41165"/>
    <w:rsid w:val="00D41308"/>
    <w:rsid w:val="00D41625"/>
    <w:rsid w:val="00D423E2"/>
    <w:rsid w:val="00D42D31"/>
    <w:rsid w:val="00D43489"/>
    <w:rsid w:val="00D439CD"/>
    <w:rsid w:val="00D44D53"/>
    <w:rsid w:val="00D44ECD"/>
    <w:rsid w:val="00D45D03"/>
    <w:rsid w:val="00D46983"/>
    <w:rsid w:val="00D46A32"/>
    <w:rsid w:val="00D47C0A"/>
    <w:rsid w:val="00D47DD4"/>
    <w:rsid w:val="00D47EE0"/>
    <w:rsid w:val="00D53597"/>
    <w:rsid w:val="00D553C4"/>
    <w:rsid w:val="00D608B0"/>
    <w:rsid w:val="00D61E62"/>
    <w:rsid w:val="00D62DA9"/>
    <w:rsid w:val="00D64310"/>
    <w:rsid w:val="00D64996"/>
    <w:rsid w:val="00D655E4"/>
    <w:rsid w:val="00D65715"/>
    <w:rsid w:val="00D67439"/>
    <w:rsid w:val="00D67CF9"/>
    <w:rsid w:val="00D706F1"/>
    <w:rsid w:val="00D720C7"/>
    <w:rsid w:val="00D73DB4"/>
    <w:rsid w:val="00D747E9"/>
    <w:rsid w:val="00D749EA"/>
    <w:rsid w:val="00D7539F"/>
    <w:rsid w:val="00D760DC"/>
    <w:rsid w:val="00D769BA"/>
    <w:rsid w:val="00D777C7"/>
    <w:rsid w:val="00D77ECE"/>
    <w:rsid w:val="00D81A87"/>
    <w:rsid w:val="00D82F0D"/>
    <w:rsid w:val="00D84E50"/>
    <w:rsid w:val="00D85810"/>
    <w:rsid w:val="00D85C5E"/>
    <w:rsid w:val="00D864F9"/>
    <w:rsid w:val="00D872AB"/>
    <w:rsid w:val="00D8760F"/>
    <w:rsid w:val="00D9068A"/>
    <w:rsid w:val="00D9087D"/>
    <w:rsid w:val="00D912B8"/>
    <w:rsid w:val="00D91502"/>
    <w:rsid w:val="00D92285"/>
    <w:rsid w:val="00D92427"/>
    <w:rsid w:val="00D9292F"/>
    <w:rsid w:val="00D94A9B"/>
    <w:rsid w:val="00D95804"/>
    <w:rsid w:val="00D95DBF"/>
    <w:rsid w:val="00DA1894"/>
    <w:rsid w:val="00DA1DCB"/>
    <w:rsid w:val="00DA2459"/>
    <w:rsid w:val="00DA26F3"/>
    <w:rsid w:val="00DA284B"/>
    <w:rsid w:val="00DA292D"/>
    <w:rsid w:val="00DA3229"/>
    <w:rsid w:val="00DA34D2"/>
    <w:rsid w:val="00DA3D1F"/>
    <w:rsid w:val="00DA49CE"/>
    <w:rsid w:val="00DA4CF0"/>
    <w:rsid w:val="00DB10EC"/>
    <w:rsid w:val="00DB1DF5"/>
    <w:rsid w:val="00DB20E4"/>
    <w:rsid w:val="00DB2FC1"/>
    <w:rsid w:val="00DB3781"/>
    <w:rsid w:val="00DB3D84"/>
    <w:rsid w:val="00DB43AA"/>
    <w:rsid w:val="00DB4AD9"/>
    <w:rsid w:val="00DB6C27"/>
    <w:rsid w:val="00DB7017"/>
    <w:rsid w:val="00DB7087"/>
    <w:rsid w:val="00DC037E"/>
    <w:rsid w:val="00DC1139"/>
    <w:rsid w:val="00DC1B6A"/>
    <w:rsid w:val="00DC2369"/>
    <w:rsid w:val="00DC2C31"/>
    <w:rsid w:val="00DC3CC8"/>
    <w:rsid w:val="00DC5C94"/>
    <w:rsid w:val="00DC6C5F"/>
    <w:rsid w:val="00DC74FD"/>
    <w:rsid w:val="00DC7639"/>
    <w:rsid w:val="00DD1AA2"/>
    <w:rsid w:val="00DD219D"/>
    <w:rsid w:val="00DD2E9F"/>
    <w:rsid w:val="00DD454A"/>
    <w:rsid w:val="00DD4D4D"/>
    <w:rsid w:val="00DD60EA"/>
    <w:rsid w:val="00DD6995"/>
    <w:rsid w:val="00DD6F12"/>
    <w:rsid w:val="00DD7BBE"/>
    <w:rsid w:val="00DD7EBE"/>
    <w:rsid w:val="00DE0203"/>
    <w:rsid w:val="00DE170B"/>
    <w:rsid w:val="00DE1A6D"/>
    <w:rsid w:val="00DE7CEF"/>
    <w:rsid w:val="00DF0605"/>
    <w:rsid w:val="00DF2FEB"/>
    <w:rsid w:val="00DF32B5"/>
    <w:rsid w:val="00DF3472"/>
    <w:rsid w:val="00DF41F2"/>
    <w:rsid w:val="00DF64FD"/>
    <w:rsid w:val="00DF69CD"/>
    <w:rsid w:val="00DF6A5A"/>
    <w:rsid w:val="00DF6DA5"/>
    <w:rsid w:val="00E00206"/>
    <w:rsid w:val="00E005F5"/>
    <w:rsid w:val="00E01A45"/>
    <w:rsid w:val="00E02444"/>
    <w:rsid w:val="00E03944"/>
    <w:rsid w:val="00E03CCF"/>
    <w:rsid w:val="00E0431B"/>
    <w:rsid w:val="00E046C0"/>
    <w:rsid w:val="00E04742"/>
    <w:rsid w:val="00E04828"/>
    <w:rsid w:val="00E05E03"/>
    <w:rsid w:val="00E07CEA"/>
    <w:rsid w:val="00E07E57"/>
    <w:rsid w:val="00E11E4D"/>
    <w:rsid w:val="00E12B72"/>
    <w:rsid w:val="00E13E5B"/>
    <w:rsid w:val="00E14A12"/>
    <w:rsid w:val="00E14B7B"/>
    <w:rsid w:val="00E1533F"/>
    <w:rsid w:val="00E15906"/>
    <w:rsid w:val="00E15E6F"/>
    <w:rsid w:val="00E15F99"/>
    <w:rsid w:val="00E16C26"/>
    <w:rsid w:val="00E20015"/>
    <w:rsid w:val="00E2223E"/>
    <w:rsid w:val="00E231F3"/>
    <w:rsid w:val="00E234FF"/>
    <w:rsid w:val="00E23DC9"/>
    <w:rsid w:val="00E24DED"/>
    <w:rsid w:val="00E24F7E"/>
    <w:rsid w:val="00E25121"/>
    <w:rsid w:val="00E265B4"/>
    <w:rsid w:val="00E2715F"/>
    <w:rsid w:val="00E30428"/>
    <w:rsid w:val="00E3104D"/>
    <w:rsid w:val="00E31F1B"/>
    <w:rsid w:val="00E3290D"/>
    <w:rsid w:val="00E32AA5"/>
    <w:rsid w:val="00E359E2"/>
    <w:rsid w:val="00E3672D"/>
    <w:rsid w:val="00E36D93"/>
    <w:rsid w:val="00E3768B"/>
    <w:rsid w:val="00E40414"/>
    <w:rsid w:val="00E41E09"/>
    <w:rsid w:val="00E4227E"/>
    <w:rsid w:val="00E42645"/>
    <w:rsid w:val="00E433BF"/>
    <w:rsid w:val="00E43C75"/>
    <w:rsid w:val="00E43F9F"/>
    <w:rsid w:val="00E44F44"/>
    <w:rsid w:val="00E455B5"/>
    <w:rsid w:val="00E457B9"/>
    <w:rsid w:val="00E464A7"/>
    <w:rsid w:val="00E514DC"/>
    <w:rsid w:val="00E514F7"/>
    <w:rsid w:val="00E51C75"/>
    <w:rsid w:val="00E5291B"/>
    <w:rsid w:val="00E52B9D"/>
    <w:rsid w:val="00E533D9"/>
    <w:rsid w:val="00E5465F"/>
    <w:rsid w:val="00E54BF2"/>
    <w:rsid w:val="00E55645"/>
    <w:rsid w:val="00E55793"/>
    <w:rsid w:val="00E55B08"/>
    <w:rsid w:val="00E57799"/>
    <w:rsid w:val="00E60F3D"/>
    <w:rsid w:val="00E61F15"/>
    <w:rsid w:val="00E628FD"/>
    <w:rsid w:val="00E62CA1"/>
    <w:rsid w:val="00E63FE8"/>
    <w:rsid w:val="00E65161"/>
    <w:rsid w:val="00E65539"/>
    <w:rsid w:val="00E65D8E"/>
    <w:rsid w:val="00E66F5E"/>
    <w:rsid w:val="00E67F24"/>
    <w:rsid w:val="00E71823"/>
    <w:rsid w:val="00E72C70"/>
    <w:rsid w:val="00E7337F"/>
    <w:rsid w:val="00E73426"/>
    <w:rsid w:val="00E73847"/>
    <w:rsid w:val="00E73A75"/>
    <w:rsid w:val="00E73DBA"/>
    <w:rsid w:val="00E75B42"/>
    <w:rsid w:val="00E76540"/>
    <w:rsid w:val="00E774A6"/>
    <w:rsid w:val="00E814A6"/>
    <w:rsid w:val="00E81C42"/>
    <w:rsid w:val="00E81DBE"/>
    <w:rsid w:val="00E82E78"/>
    <w:rsid w:val="00E82EF7"/>
    <w:rsid w:val="00E830FD"/>
    <w:rsid w:val="00E84677"/>
    <w:rsid w:val="00E8507E"/>
    <w:rsid w:val="00E861C8"/>
    <w:rsid w:val="00E86A9E"/>
    <w:rsid w:val="00E87310"/>
    <w:rsid w:val="00E90034"/>
    <w:rsid w:val="00E91930"/>
    <w:rsid w:val="00E92BE8"/>
    <w:rsid w:val="00E92E76"/>
    <w:rsid w:val="00E92FAB"/>
    <w:rsid w:val="00E93525"/>
    <w:rsid w:val="00E938B7"/>
    <w:rsid w:val="00E964FD"/>
    <w:rsid w:val="00E96583"/>
    <w:rsid w:val="00E96CBF"/>
    <w:rsid w:val="00E96EDC"/>
    <w:rsid w:val="00EA04F8"/>
    <w:rsid w:val="00EA0C89"/>
    <w:rsid w:val="00EA1E67"/>
    <w:rsid w:val="00EA2F88"/>
    <w:rsid w:val="00EA3AD2"/>
    <w:rsid w:val="00EA4509"/>
    <w:rsid w:val="00EA4909"/>
    <w:rsid w:val="00EA4E9F"/>
    <w:rsid w:val="00EA528F"/>
    <w:rsid w:val="00EA5946"/>
    <w:rsid w:val="00EA5D46"/>
    <w:rsid w:val="00EA7753"/>
    <w:rsid w:val="00EB03F3"/>
    <w:rsid w:val="00EB09BC"/>
    <w:rsid w:val="00EB10A2"/>
    <w:rsid w:val="00EB3163"/>
    <w:rsid w:val="00EB3DCA"/>
    <w:rsid w:val="00EB4A45"/>
    <w:rsid w:val="00EB4EC0"/>
    <w:rsid w:val="00EB7E92"/>
    <w:rsid w:val="00EC1342"/>
    <w:rsid w:val="00EC173F"/>
    <w:rsid w:val="00EC289C"/>
    <w:rsid w:val="00EC2A98"/>
    <w:rsid w:val="00EC304A"/>
    <w:rsid w:val="00EC38E7"/>
    <w:rsid w:val="00EC4366"/>
    <w:rsid w:val="00EC51CA"/>
    <w:rsid w:val="00EC534B"/>
    <w:rsid w:val="00EC6AF3"/>
    <w:rsid w:val="00EC6C7B"/>
    <w:rsid w:val="00EC71B0"/>
    <w:rsid w:val="00EC73B1"/>
    <w:rsid w:val="00ED04FD"/>
    <w:rsid w:val="00ED0A88"/>
    <w:rsid w:val="00ED18BA"/>
    <w:rsid w:val="00ED2113"/>
    <w:rsid w:val="00ED42BD"/>
    <w:rsid w:val="00ED45A5"/>
    <w:rsid w:val="00ED65A7"/>
    <w:rsid w:val="00ED65D1"/>
    <w:rsid w:val="00EE008C"/>
    <w:rsid w:val="00EE0673"/>
    <w:rsid w:val="00EE10BC"/>
    <w:rsid w:val="00EE19EB"/>
    <w:rsid w:val="00EE1F1C"/>
    <w:rsid w:val="00EE25DD"/>
    <w:rsid w:val="00EE3317"/>
    <w:rsid w:val="00EE3595"/>
    <w:rsid w:val="00EE3B57"/>
    <w:rsid w:val="00EE41AB"/>
    <w:rsid w:val="00EE513F"/>
    <w:rsid w:val="00EE53BA"/>
    <w:rsid w:val="00EE64FD"/>
    <w:rsid w:val="00EE721D"/>
    <w:rsid w:val="00EF0905"/>
    <w:rsid w:val="00EF10C1"/>
    <w:rsid w:val="00EF23B4"/>
    <w:rsid w:val="00EF3F96"/>
    <w:rsid w:val="00EF444E"/>
    <w:rsid w:val="00EF4BF8"/>
    <w:rsid w:val="00EF5821"/>
    <w:rsid w:val="00EF7683"/>
    <w:rsid w:val="00F0088D"/>
    <w:rsid w:val="00F0127E"/>
    <w:rsid w:val="00F01758"/>
    <w:rsid w:val="00F031A0"/>
    <w:rsid w:val="00F03D6F"/>
    <w:rsid w:val="00F04A6F"/>
    <w:rsid w:val="00F06D55"/>
    <w:rsid w:val="00F0707D"/>
    <w:rsid w:val="00F11304"/>
    <w:rsid w:val="00F11A96"/>
    <w:rsid w:val="00F13AE9"/>
    <w:rsid w:val="00F14954"/>
    <w:rsid w:val="00F16321"/>
    <w:rsid w:val="00F1695B"/>
    <w:rsid w:val="00F1732F"/>
    <w:rsid w:val="00F2005F"/>
    <w:rsid w:val="00F21BA1"/>
    <w:rsid w:val="00F22E7F"/>
    <w:rsid w:val="00F22F02"/>
    <w:rsid w:val="00F24068"/>
    <w:rsid w:val="00F243A5"/>
    <w:rsid w:val="00F2476A"/>
    <w:rsid w:val="00F2613F"/>
    <w:rsid w:val="00F26418"/>
    <w:rsid w:val="00F267D4"/>
    <w:rsid w:val="00F27184"/>
    <w:rsid w:val="00F27875"/>
    <w:rsid w:val="00F27AD6"/>
    <w:rsid w:val="00F30667"/>
    <w:rsid w:val="00F33104"/>
    <w:rsid w:val="00F3407E"/>
    <w:rsid w:val="00F3484C"/>
    <w:rsid w:val="00F36869"/>
    <w:rsid w:val="00F400F4"/>
    <w:rsid w:val="00F40767"/>
    <w:rsid w:val="00F417FD"/>
    <w:rsid w:val="00F4366C"/>
    <w:rsid w:val="00F44E1F"/>
    <w:rsid w:val="00F45031"/>
    <w:rsid w:val="00F503CA"/>
    <w:rsid w:val="00F50449"/>
    <w:rsid w:val="00F512CF"/>
    <w:rsid w:val="00F52B5C"/>
    <w:rsid w:val="00F52E13"/>
    <w:rsid w:val="00F534CC"/>
    <w:rsid w:val="00F53E22"/>
    <w:rsid w:val="00F53EAE"/>
    <w:rsid w:val="00F53F69"/>
    <w:rsid w:val="00F562D5"/>
    <w:rsid w:val="00F575B5"/>
    <w:rsid w:val="00F57AF8"/>
    <w:rsid w:val="00F6085E"/>
    <w:rsid w:val="00F62152"/>
    <w:rsid w:val="00F63D2D"/>
    <w:rsid w:val="00F63F18"/>
    <w:rsid w:val="00F667F7"/>
    <w:rsid w:val="00F67A15"/>
    <w:rsid w:val="00F70856"/>
    <w:rsid w:val="00F70BD2"/>
    <w:rsid w:val="00F73094"/>
    <w:rsid w:val="00F73E87"/>
    <w:rsid w:val="00F74485"/>
    <w:rsid w:val="00F759C9"/>
    <w:rsid w:val="00F7680D"/>
    <w:rsid w:val="00F76A8F"/>
    <w:rsid w:val="00F76CEE"/>
    <w:rsid w:val="00F77152"/>
    <w:rsid w:val="00F774AC"/>
    <w:rsid w:val="00F8052E"/>
    <w:rsid w:val="00F80650"/>
    <w:rsid w:val="00F80967"/>
    <w:rsid w:val="00F8108B"/>
    <w:rsid w:val="00F82523"/>
    <w:rsid w:val="00F831D1"/>
    <w:rsid w:val="00F83440"/>
    <w:rsid w:val="00F83E3E"/>
    <w:rsid w:val="00F846FF"/>
    <w:rsid w:val="00F84A41"/>
    <w:rsid w:val="00F86659"/>
    <w:rsid w:val="00F91080"/>
    <w:rsid w:val="00F91166"/>
    <w:rsid w:val="00F9399A"/>
    <w:rsid w:val="00F941F1"/>
    <w:rsid w:val="00F95358"/>
    <w:rsid w:val="00F9793C"/>
    <w:rsid w:val="00FA09C6"/>
    <w:rsid w:val="00FA2045"/>
    <w:rsid w:val="00FA230D"/>
    <w:rsid w:val="00FA25E8"/>
    <w:rsid w:val="00FA2B89"/>
    <w:rsid w:val="00FA30CD"/>
    <w:rsid w:val="00FA33C9"/>
    <w:rsid w:val="00FA47B1"/>
    <w:rsid w:val="00FA4B98"/>
    <w:rsid w:val="00FA5AA4"/>
    <w:rsid w:val="00FB078A"/>
    <w:rsid w:val="00FB0BBF"/>
    <w:rsid w:val="00FB27CF"/>
    <w:rsid w:val="00FB2870"/>
    <w:rsid w:val="00FB2C84"/>
    <w:rsid w:val="00FB326A"/>
    <w:rsid w:val="00FB3F82"/>
    <w:rsid w:val="00FB414D"/>
    <w:rsid w:val="00FB48B6"/>
    <w:rsid w:val="00FB7297"/>
    <w:rsid w:val="00FB7380"/>
    <w:rsid w:val="00FB777E"/>
    <w:rsid w:val="00FB7C4D"/>
    <w:rsid w:val="00FC0EF9"/>
    <w:rsid w:val="00FC1A90"/>
    <w:rsid w:val="00FC1E39"/>
    <w:rsid w:val="00FC214E"/>
    <w:rsid w:val="00FC3ACB"/>
    <w:rsid w:val="00FC3F60"/>
    <w:rsid w:val="00FC3FF1"/>
    <w:rsid w:val="00FC4E56"/>
    <w:rsid w:val="00FC4E90"/>
    <w:rsid w:val="00FC5261"/>
    <w:rsid w:val="00FC5BC1"/>
    <w:rsid w:val="00FC66D3"/>
    <w:rsid w:val="00FD2AE5"/>
    <w:rsid w:val="00FD2B48"/>
    <w:rsid w:val="00FD362C"/>
    <w:rsid w:val="00FD381D"/>
    <w:rsid w:val="00FD3DF6"/>
    <w:rsid w:val="00FD3EBD"/>
    <w:rsid w:val="00FD4AB9"/>
    <w:rsid w:val="00FD53CF"/>
    <w:rsid w:val="00FD560B"/>
    <w:rsid w:val="00FD5DFD"/>
    <w:rsid w:val="00FD6272"/>
    <w:rsid w:val="00FD6CBA"/>
    <w:rsid w:val="00FD707B"/>
    <w:rsid w:val="00FD7862"/>
    <w:rsid w:val="00FD79CA"/>
    <w:rsid w:val="00FE098E"/>
    <w:rsid w:val="00FE10A0"/>
    <w:rsid w:val="00FE28B1"/>
    <w:rsid w:val="00FE2F7D"/>
    <w:rsid w:val="00FE3179"/>
    <w:rsid w:val="00FE3402"/>
    <w:rsid w:val="00FE4A86"/>
    <w:rsid w:val="00FE5CAC"/>
    <w:rsid w:val="00FE79EA"/>
    <w:rsid w:val="00FF05CE"/>
    <w:rsid w:val="00FF1B4A"/>
    <w:rsid w:val="00FF1EF7"/>
    <w:rsid w:val="00FF21CE"/>
    <w:rsid w:val="00FF2491"/>
    <w:rsid w:val="00FF258F"/>
    <w:rsid w:val="00FF2799"/>
    <w:rsid w:val="00FF29B5"/>
    <w:rsid w:val="00FF319E"/>
    <w:rsid w:val="00FF4DCA"/>
    <w:rsid w:val="00FF56E3"/>
    <w:rsid w:val="00FF5763"/>
    <w:rsid w:val="00FF5A63"/>
    <w:rsid w:val="00FF7A2A"/>
    <w:rsid w:val="01D45E57"/>
    <w:rsid w:val="01E882B0"/>
    <w:rsid w:val="02350183"/>
    <w:rsid w:val="03EF5716"/>
    <w:rsid w:val="06C50E3D"/>
    <w:rsid w:val="07AE4A6D"/>
    <w:rsid w:val="08421725"/>
    <w:rsid w:val="0B5A905C"/>
    <w:rsid w:val="0C083851"/>
    <w:rsid w:val="0CA95553"/>
    <w:rsid w:val="0CD9BEC9"/>
    <w:rsid w:val="0DE879AB"/>
    <w:rsid w:val="0F240B87"/>
    <w:rsid w:val="0FEFD407"/>
    <w:rsid w:val="1186F100"/>
    <w:rsid w:val="1724D301"/>
    <w:rsid w:val="1881A47B"/>
    <w:rsid w:val="1A9F5C06"/>
    <w:rsid w:val="1BCB46A2"/>
    <w:rsid w:val="1C6BFEFD"/>
    <w:rsid w:val="2026B558"/>
    <w:rsid w:val="2441AC33"/>
    <w:rsid w:val="278DEBF0"/>
    <w:rsid w:val="28BE20D4"/>
    <w:rsid w:val="28CFF396"/>
    <w:rsid w:val="299BC730"/>
    <w:rsid w:val="2A792304"/>
    <w:rsid w:val="2C809A11"/>
    <w:rsid w:val="2DBF156F"/>
    <w:rsid w:val="2F563268"/>
    <w:rsid w:val="2FD24D41"/>
    <w:rsid w:val="30ABFDC6"/>
    <w:rsid w:val="31C9305B"/>
    <w:rsid w:val="3309EE03"/>
    <w:rsid w:val="35F4CA23"/>
    <w:rsid w:val="36D79E40"/>
    <w:rsid w:val="37172C84"/>
    <w:rsid w:val="3AA585FD"/>
    <w:rsid w:val="3C41565E"/>
    <w:rsid w:val="3DC5EBBF"/>
    <w:rsid w:val="3E3AA2B7"/>
    <w:rsid w:val="4201465B"/>
    <w:rsid w:val="430E13DA"/>
    <w:rsid w:val="43224EA1"/>
    <w:rsid w:val="4354928A"/>
    <w:rsid w:val="438344F2"/>
    <w:rsid w:val="443A41D4"/>
    <w:rsid w:val="44E7CA6E"/>
    <w:rsid w:val="450DB33E"/>
    <w:rsid w:val="47183AB7"/>
    <w:rsid w:val="4781BCA7"/>
    <w:rsid w:val="4856B615"/>
    <w:rsid w:val="4AE836C6"/>
    <w:rsid w:val="4C3D345D"/>
    <w:rsid w:val="4DD56EC4"/>
    <w:rsid w:val="4E51899D"/>
    <w:rsid w:val="4FE7A94C"/>
    <w:rsid w:val="52E2F480"/>
    <w:rsid w:val="532F7353"/>
    <w:rsid w:val="559A7BA6"/>
    <w:rsid w:val="5619FDCA"/>
    <w:rsid w:val="5707A698"/>
    <w:rsid w:val="576328AD"/>
    <w:rsid w:val="588D7F3F"/>
    <w:rsid w:val="59F4E710"/>
    <w:rsid w:val="5A8A3726"/>
    <w:rsid w:val="5B90B771"/>
    <w:rsid w:val="5BD47F70"/>
    <w:rsid w:val="5C84BBCC"/>
    <w:rsid w:val="5CC41DA8"/>
    <w:rsid w:val="5E362E23"/>
    <w:rsid w:val="5EE408E9"/>
    <w:rsid w:val="630AD1CD"/>
    <w:rsid w:val="6625B9EF"/>
    <w:rsid w:val="672AD4F3"/>
    <w:rsid w:val="674D35FC"/>
    <w:rsid w:val="677488DE"/>
    <w:rsid w:val="6A08DFCB"/>
    <w:rsid w:val="6A446B98"/>
    <w:rsid w:val="6A516CB4"/>
    <w:rsid w:val="6A84FAA4"/>
    <w:rsid w:val="6B015626"/>
    <w:rsid w:val="6B1B0A1F"/>
    <w:rsid w:val="6B5EAB29"/>
    <w:rsid w:val="6D275830"/>
    <w:rsid w:val="6D8875FE"/>
    <w:rsid w:val="70BF7F48"/>
    <w:rsid w:val="7154E6F4"/>
    <w:rsid w:val="724CD759"/>
    <w:rsid w:val="7288E4A3"/>
    <w:rsid w:val="744F4FB2"/>
    <w:rsid w:val="764253E7"/>
    <w:rsid w:val="7799C4D1"/>
    <w:rsid w:val="783D5526"/>
    <w:rsid w:val="79B892A4"/>
    <w:rsid w:val="7A89207B"/>
    <w:rsid w:val="7B199A1E"/>
    <w:rsid w:val="7B5BA696"/>
    <w:rsid w:val="7CF776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9683B"/>
  <w15:chartTrackingRefBased/>
  <w15:docId w15:val="{E73542B1-B3BC-4B66-82D4-271631A7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tabs>
        <w:tab w:val="num" w:pos="567"/>
      </w:tabs>
      <w:ind w:left="567" w:hanging="567"/>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MS UI Gothic" w:hAnsi="@MS UI Gothic"/>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qFormat/>
    <w:rsid w:val="00FF2491"/>
    <w:pPr>
      <w:numPr>
        <w:ilvl w:val="0"/>
        <w:numId w:val="0"/>
      </w:numPr>
    </w:pPr>
  </w:style>
  <w:style w:type="paragraph" w:customStyle="1" w:styleId="NoNumberHeading3">
    <w:name w:val="No Number Heading 3"/>
    <w:basedOn w:val="Heading3"/>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130AA5"/>
    <w:pPr>
      <w:tabs>
        <w:tab w:val="right" w:leader="dot" w:pos="9016"/>
      </w:tabs>
      <w:spacing w:after="100"/>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B736DC"/>
    <w:rPr>
      <w:i/>
      <w:color w:val="808080" w:themeColor="background1" w:themeShade="80"/>
      <w:sz w:val="18"/>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FootnoteText">
    <w:name w:val="footnote text"/>
    <w:basedOn w:val="Normal"/>
    <w:link w:val="FootnoteTextChar"/>
    <w:uiPriority w:val="1"/>
    <w:unhideWhenUsed/>
    <w:rsid w:val="004B66F3"/>
    <w:pPr>
      <w:spacing w:before="0" w:after="0" w:line="240" w:lineRule="auto"/>
      <w:jc w:val="both"/>
    </w:pPr>
    <w:rPr>
      <w:rFonts w:ascii="Verdana" w:eastAsia="Times New Roman" w:hAnsi="Verdana" w:cs="Arial"/>
      <w:color w:val="auto"/>
      <w:sz w:val="20"/>
      <w:szCs w:val="20"/>
      <w:lang w:eastAsia="en-AU"/>
    </w:rPr>
  </w:style>
  <w:style w:type="character" w:customStyle="1" w:styleId="FootnoteTextChar">
    <w:name w:val="Footnote Text Char"/>
    <w:basedOn w:val="DefaultParagraphFont"/>
    <w:link w:val="FootnoteText"/>
    <w:uiPriority w:val="1"/>
    <w:rsid w:val="004B66F3"/>
    <w:rPr>
      <w:rFonts w:ascii="Verdana" w:eastAsia="Times New Roman" w:hAnsi="Verdana" w:cs="Arial"/>
      <w:sz w:val="20"/>
      <w:szCs w:val="20"/>
      <w:lang w:eastAsia="en-AU"/>
    </w:rPr>
  </w:style>
  <w:style w:type="character" w:styleId="FootnoteReference">
    <w:name w:val="footnote reference"/>
    <w:basedOn w:val="DefaultParagraphFont"/>
    <w:uiPriority w:val="1"/>
    <w:unhideWhenUsed/>
    <w:rsid w:val="004B66F3"/>
    <w:rPr>
      <w:vertAlign w:val="superscript"/>
    </w:rPr>
  </w:style>
  <w:style w:type="paragraph" w:customStyle="1" w:styleId="CabStandard">
    <w:name w:val="CabStandard"/>
    <w:basedOn w:val="Normal"/>
    <w:qFormat/>
    <w:rsid w:val="00B83720"/>
    <w:pPr>
      <w:numPr>
        <w:numId w:val="20"/>
      </w:numPr>
      <w:spacing w:before="0" w:after="240" w:line="240" w:lineRule="auto"/>
    </w:pPr>
    <w:rPr>
      <w:rFonts w:ascii="Arial" w:hAnsi="Arial"/>
      <w:color w:val="auto"/>
      <w:sz w:val="24"/>
    </w:rPr>
  </w:style>
  <w:style w:type="numbering" w:customStyle="1" w:styleId="BodyParagraphs">
    <w:name w:val="BodyParagraphs"/>
    <w:uiPriority w:val="99"/>
    <w:rsid w:val="00B8372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002">
      <w:bodyDiv w:val="1"/>
      <w:marLeft w:val="0"/>
      <w:marRight w:val="0"/>
      <w:marTop w:val="0"/>
      <w:marBottom w:val="0"/>
      <w:divBdr>
        <w:top w:val="none" w:sz="0" w:space="0" w:color="auto"/>
        <w:left w:val="none" w:sz="0" w:space="0" w:color="auto"/>
        <w:bottom w:val="none" w:sz="0" w:space="0" w:color="auto"/>
        <w:right w:val="none" w:sz="0" w:space="0" w:color="auto"/>
      </w:divBdr>
    </w:div>
    <w:div w:id="201601387">
      <w:bodyDiv w:val="1"/>
      <w:marLeft w:val="0"/>
      <w:marRight w:val="0"/>
      <w:marTop w:val="0"/>
      <w:marBottom w:val="0"/>
      <w:divBdr>
        <w:top w:val="none" w:sz="0" w:space="0" w:color="auto"/>
        <w:left w:val="none" w:sz="0" w:space="0" w:color="auto"/>
        <w:bottom w:val="none" w:sz="0" w:space="0" w:color="auto"/>
        <w:right w:val="none" w:sz="0" w:space="0" w:color="auto"/>
      </w:divBdr>
    </w:div>
    <w:div w:id="331836175">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373768367">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 w:id="19630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rd.govt.nz/cost-of-living-payme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ird.govt.nz/cost-of-living-pay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ADD3D-5258-4B7E-86F1-A2D7B974C0AD}"/>
</file>

<file path=customXml/itemProps2.xml><?xml version="1.0" encoding="utf-8"?>
<ds:datastoreItem xmlns:ds="http://schemas.openxmlformats.org/officeDocument/2006/customXml" ds:itemID="{1B8952E7-EC42-4E75-9CA2-CB1EB2560C48}"/>
</file>

<file path=docProps/app.xml><?xml version="1.0" encoding="utf-8"?>
<Properties xmlns="http://schemas.openxmlformats.org/officeDocument/2006/extended-properties" xmlns:vt="http://schemas.openxmlformats.org/officeDocument/2006/docPropsVTypes">
  <Template>Normal</Template>
  <TotalTime>0</TotalTime>
  <Pages>15</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Special report: Taxation (Cost of Living Payments) Act 2022 (22 July 2022)</vt:lpstr>
    </vt:vector>
  </TitlesOfParts>
  <Company>Inland Revenue, New Zealand</Company>
  <LinksUpToDate>false</LinksUpToDate>
  <CharactersWithSpaces>24022</CharactersWithSpaces>
  <SharedDoc>false</SharedDoc>
  <HLinks>
    <vt:vector size="54" baseType="variant">
      <vt:variant>
        <vt:i4>6815848</vt:i4>
      </vt:variant>
      <vt:variant>
        <vt:i4>48</vt:i4>
      </vt:variant>
      <vt:variant>
        <vt:i4>0</vt:i4>
      </vt:variant>
      <vt:variant>
        <vt:i4>5</vt:i4>
      </vt:variant>
      <vt:variant>
        <vt:lpwstr>https://www.ird.govt.nz/cost-of-living-payment</vt:lpwstr>
      </vt:variant>
      <vt:variant>
        <vt:lpwstr/>
      </vt:variant>
      <vt:variant>
        <vt:i4>6815848</vt:i4>
      </vt:variant>
      <vt:variant>
        <vt:i4>45</vt:i4>
      </vt:variant>
      <vt:variant>
        <vt:i4>0</vt:i4>
      </vt:variant>
      <vt:variant>
        <vt:i4>5</vt:i4>
      </vt:variant>
      <vt:variant>
        <vt:lpwstr>https://www.ird.govt.nz/cost-of-living-payment</vt:lpwstr>
      </vt:variant>
      <vt:variant>
        <vt:lpwstr/>
      </vt:variant>
      <vt:variant>
        <vt:i4>1835068</vt:i4>
      </vt:variant>
      <vt:variant>
        <vt:i4>38</vt:i4>
      </vt:variant>
      <vt:variant>
        <vt:i4>0</vt:i4>
      </vt:variant>
      <vt:variant>
        <vt:i4>5</vt:i4>
      </vt:variant>
      <vt:variant>
        <vt:lpwstr/>
      </vt:variant>
      <vt:variant>
        <vt:lpwstr>_Toc109378308</vt:lpwstr>
      </vt:variant>
      <vt:variant>
        <vt:i4>1835068</vt:i4>
      </vt:variant>
      <vt:variant>
        <vt:i4>32</vt:i4>
      </vt:variant>
      <vt:variant>
        <vt:i4>0</vt:i4>
      </vt:variant>
      <vt:variant>
        <vt:i4>5</vt:i4>
      </vt:variant>
      <vt:variant>
        <vt:lpwstr/>
      </vt:variant>
      <vt:variant>
        <vt:lpwstr>_Toc109378307</vt:lpwstr>
      </vt:variant>
      <vt:variant>
        <vt:i4>1835068</vt:i4>
      </vt:variant>
      <vt:variant>
        <vt:i4>26</vt:i4>
      </vt:variant>
      <vt:variant>
        <vt:i4>0</vt:i4>
      </vt:variant>
      <vt:variant>
        <vt:i4>5</vt:i4>
      </vt:variant>
      <vt:variant>
        <vt:lpwstr/>
      </vt:variant>
      <vt:variant>
        <vt:lpwstr>_Toc109378306</vt:lpwstr>
      </vt:variant>
      <vt:variant>
        <vt:i4>1835068</vt:i4>
      </vt:variant>
      <vt:variant>
        <vt:i4>20</vt:i4>
      </vt:variant>
      <vt:variant>
        <vt:i4>0</vt:i4>
      </vt:variant>
      <vt:variant>
        <vt:i4>5</vt:i4>
      </vt:variant>
      <vt:variant>
        <vt:lpwstr/>
      </vt:variant>
      <vt:variant>
        <vt:lpwstr>_Toc109378305</vt:lpwstr>
      </vt:variant>
      <vt:variant>
        <vt:i4>1835068</vt:i4>
      </vt:variant>
      <vt:variant>
        <vt:i4>14</vt:i4>
      </vt:variant>
      <vt:variant>
        <vt:i4>0</vt:i4>
      </vt:variant>
      <vt:variant>
        <vt:i4>5</vt:i4>
      </vt:variant>
      <vt:variant>
        <vt:lpwstr/>
      </vt:variant>
      <vt:variant>
        <vt:lpwstr>_Toc109378304</vt:lpwstr>
      </vt:variant>
      <vt:variant>
        <vt:i4>1835068</vt:i4>
      </vt:variant>
      <vt:variant>
        <vt:i4>8</vt:i4>
      </vt:variant>
      <vt:variant>
        <vt:i4>0</vt:i4>
      </vt:variant>
      <vt:variant>
        <vt:i4>5</vt:i4>
      </vt:variant>
      <vt:variant>
        <vt:lpwstr/>
      </vt:variant>
      <vt:variant>
        <vt:lpwstr>_Toc109378303</vt:lpwstr>
      </vt:variant>
      <vt:variant>
        <vt:i4>1835068</vt:i4>
      </vt:variant>
      <vt:variant>
        <vt:i4>2</vt:i4>
      </vt:variant>
      <vt:variant>
        <vt:i4>0</vt:i4>
      </vt:variant>
      <vt:variant>
        <vt:i4>5</vt:i4>
      </vt:variant>
      <vt:variant>
        <vt:lpwstr/>
      </vt:variant>
      <vt:variant>
        <vt:lpwstr>_Toc109378302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Taxation (Cost of Living Payments) Act 2022 (22 July 2022)</dc:title>
  <dc:subject/>
  <dc:creator>Policy and Regulatory Stewardship</dc:creator>
  <cp:keywords/>
  <dc:description/>
  <dcterms:created xsi:type="dcterms:W3CDTF">2022-07-22T04:10:00Z</dcterms:created>
  <dcterms:modified xsi:type="dcterms:W3CDTF">2022-07-22T04:10:00Z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2022-07-22T04:10:18Z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f9bc381e-769d-4505-895f-60b1d6762192</vt:lpwstr>
  </property>
  <property fmtid="{D5CDD505-2E9C-101B-9397-08002B2CF9AE}" pid="8" name="MSIP_Label_993bc26a-ca06-4f83-a49a-54da0c892e4f_ContentBits">
    <vt:lpwstr>0</vt:lpwstr>
  </property>
  <property fmtid="{D5CDD505-2E9C-101B-9397-08002B2CF9AE}" pid="9" name="_MarkAsFinal">
    <vt:bool>true</vt:bool>
  </property>
</Properties>
</file>