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49A9D7B8" w:rsidR="00EF50FD" w:rsidRPr="00A864A5" w:rsidRDefault="00EF50FD" w:rsidP="00EF50FD">
      <w:pPr>
        <w:pStyle w:val="Heading1"/>
        <w:spacing w:before="0" w:after="120" w:line="276" w:lineRule="auto"/>
        <w:rPr>
          <w:color w:val="0082AB"/>
          <w:lang w:val="en-NZ"/>
        </w:rPr>
      </w:pPr>
      <w:r w:rsidRPr="00A864A5">
        <w:rPr>
          <w:color w:val="0082AB"/>
          <w:lang w:val="en-NZ"/>
        </w:rPr>
        <w:t xml:space="preserve">Regulatory Impact Statement: </w:t>
      </w:r>
      <w:r w:rsidR="005D126C">
        <w:rPr>
          <w:color w:val="0082AB"/>
          <w:lang w:val="en-NZ"/>
        </w:rPr>
        <w:t>Dividend integrity and personal services income attribution</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24CAC5A8" w14:textId="77777777" w:rsidTr="007C1E21">
        <w:trPr>
          <w:cantSplit/>
        </w:trPr>
        <w:tc>
          <w:tcPr>
            <w:tcW w:w="5000" w:type="pct"/>
            <w:gridSpan w:val="2"/>
            <w:tcBorders>
              <w:bottom w:val="single" w:sz="4" w:space="0" w:color="DDDDDD"/>
            </w:tcBorders>
            <w:shd w:val="clear" w:color="auto" w:fill="99CDDD"/>
            <w:hideMark/>
          </w:tcPr>
          <w:p w14:paraId="3273EFFF" w14:textId="48C848C9" w:rsidR="001F29E6" w:rsidRPr="00A864A5" w:rsidRDefault="001F29E6" w:rsidP="001B3EB2">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24C44C49" w14:textId="77777777" w:rsidTr="007C1E21">
        <w:trPr>
          <w:cantSplit/>
          <w:trHeight w:val="414"/>
        </w:trPr>
        <w:tc>
          <w:tcPr>
            <w:tcW w:w="1328" w:type="pct"/>
            <w:tcBorders>
              <w:top w:val="nil"/>
            </w:tcBorders>
            <w:shd w:val="clear" w:color="auto" w:fill="EBF5F8"/>
          </w:tcPr>
          <w:p w14:paraId="120D8478" w14:textId="731F9FCE" w:rsidR="001F29E6" w:rsidRPr="00A864A5" w:rsidRDefault="001F29E6" w:rsidP="007C1E21">
            <w:pPr>
              <w:spacing w:before="100" w:after="100"/>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337F8A5F" w:rsidR="001F29E6" w:rsidRPr="00FA53DA" w:rsidRDefault="003F0C14" w:rsidP="007C1E21">
            <w:pPr>
              <w:spacing w:before="100" w:after="100"/>
              <w:rPr>
                <w:rFonts w:cs="Arial"/>
                <w:iCs/>
                <w:color w:val="000000"/>
                <w:szCs w:val="22"/>
                <w:lang w:val="en-NZ"/>
              </w:rPr>
            </w:pPr>
            <w:r w:rsidRPr="00FA53DA">
              <w:rPr>
                <w:rFonts w:cs="Arial"/>
                <w:iCs/>
                <w:color w:val="000000"/>
                <w:szCs w:val="22"/>
                <w:lang w:val="en-NZ"/>
              </w:rPr>
              <w:t>A</w:t>
            </w:r>
            <w:r w:rsidR="00DE63FC" w:rsidRPr="00FA53DA">
              <w:rPr>
                <w:rFonts w:cs="Arial"/>
                <w:iCs/>
                <w:color w:val="000000"/>
                <w:szCs w:val="22"/>
                <w:lang w:val="en-NZ"/>
              </w:rPr>
              <w:t>nalysis produced for the purpose of informing the release of a discussion document</w:t>
            </w:r>
            <w:r w:rsidR="00726944">
              <w:rPr>
                <w:rFonts w:cs="Arial"/>
                <w:iCs/>
                <w:color w:val="000000"/>
                <w:szCs w:val="22"/>
                <w:lang w:val="en-NZ"/>
              </w:rPr>
              <w:t>.</w:t>
            </w:r>
          </w:p>
        </w:tc>
      </w:tr>
      <w:tr w:rsidR="001F29E6" w:rsidRPr="00A864A5" w14:paraId="2895A1B0" w14:textId="77777777" w:rsidTr="007C1E21">
        <w:trPr>
          <w:cantSplit/>
          <w:trHeight w:val="506"/>
        </w:trPr>
        <w:tc>
          <w:tcPr>
            <w:tcW w:w="1328" w:type="pct"/>
            <w:tcBorders>
              <w:top w:val="nil"/>
            </w:tcBorders>
            <w:shd w:val="clear" w:color="auto" w:fill="EBF5F8"/>
          </w:tcPr>
          <w:p w14:paraId="19AF4671" w14:textId="28938D6A" w:rsidR="001F29E6" w:rsidRPr="00A864A5" w:rsidRDefault="002C0E77" w:rsidP="007C1E21">
            <w:pPr>
              <w:spacing w:before="100" w:after="100"/>
              <w:rPr>
                <w:rFonts w:cs="Arial"/>
                <w:iCs/>
                <w:color w:val="000000"/>
                <w:szCs w:val="22"/>
                <w:lang w:val="en-NZ"/>
              </w:rPr>
            </w:pPr>
            <w:r>
              <w:rPr>
                <w:rFonts w:cs="Arial"/>
                <w:iCs/>
                <w:color w:val="000000"/>
                <w:szCs w:val="22"/>
                <w:lang w:val="en-NZ"/>
              </w:rPr>
              <w:t>Advising agenc</w:t>
            </w:r>
            <w:r w:rsidR="00726944">
              <w:rPr>
                <w:rFonts w:cs="Arial"/>
                <w:iCs/>
                <w:color w:val="000000"/>
                <w:szCs w:val="22"/>
                <w:lang w:val="en-NZ"/>
              </w:rPr>
              <w:t>y</w:t>
            </w:r>
            <w:r w:rsidR="007F3B1C">
              <w:rPr>
                <w:rFonts w:cs="Arial"/>
                <w:iCs/>
                <w:color w:val="000000"/>
                <w:szCs w:val="22"/>
                <w:lang w:val="en-NZ"/>
              </w:rPr>
              <w:t>:</w:t>
            </w:r>
          </w:p>
        </w:tc>
        <w:tc>
          <w:tcPr>
            <w:tcW w:w="3672" w:type="pct"/>
            <w:tcBorders>
              <w:top w:val="nil"/>
            </w:tcBorders>
            <w:shd w:val="clear" w:color="auto" w:fill="auto"/>
          </w:tcPr>
          <w:p w14:paraId="742E202F" w14:textId="34BC8EA8" w:rsidR="001F29E6" w:rsidRPr="00FA53DA" w:rsidRDefault="00BD509A" w:rsidP="007C1E21">
            <w:pPr>
              <w:spacing w:before="100" w:after="100"/>
              <w:rPr>
                <w:rFonts w:cs="Arial"/>
                <w:iCs/>
                <w:color w:val="000000"/>
                <w:szCs w:val="22"/>
                <w:lang w:val="en-NZ"/>
              </w:rPr>
            </w:pPr>
            <w:r w:rsidRPr="00FA53DA">
              <w:rPr>
                <w:rFonts w:cs="Arial"/>
                <w:iCs/>
                <w:color w:val="000000"/>
                <w:szCs w:val="22"/>
                <w:lang w:val="en-NZ"/>
              </w:rPr>
              <w:t>Inland Revenue</w:t>
            </w:r>
          </w:p>
        </w:tc>
      </w:tr>
      <w:tr w:rsidR="001F29E6" w:rsidRPr="00A864A5" w14:paraId="568C5BEC" w14:textId="77777777" w:rsidTr="007C1E21">
        <w:trPr>
          <w:cantSplit/>
          <w:trHeight w:val="317"/>
        </w:trPr>
        <w:tc>
          <w:tcPr>
            <w:tcW w:w="1328" w:type="pct"/>
            <w:tcBorders>
              <w:top w:val="nil"/>
            </w:tcBorders>
            <w:shd w:val="clear" w:color="auto" w:fill="EBF5F8"/>
          </w:tcPr>
          <w:p w14:paraId="0F68A519" w14:textId="4F678206" w:rsidR="001F29E6" w:rsidRPr="00A864A5" w:rsidRDefault="001F29E6" w:rsidP="007C1E21">
            <w:pPr>
              <w:spacing w:before="100" w:after="100"/>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14ABD25D" w14:textId="77777777" w:rsidR="0058723F" w:rsidRDefault="0058723F" w:rsidP="007C1E21">
            <w:pPr>
              <w:spacing w:before="100" w:after="100"/>
              <w:rPr>
                <w:rFonts w:cs="Arial"/>
                <w:iCs/>
                <w:color w:val="000000"/>
                <w:szCs w:val="22"/>
                <w:lang w:val="en-NZ"/>
              </w:rPr>
            </w:pPr>
            <w:r>
              <w:rPr>
                <w:rFonts w:cs="Arial"/>
                <w:iCs/>
                <w:color w:val="000000"/>
                <w:szCs w:val="22"/>
                <w:lang w:val="en-NZ"/>
              </w:rPr>
              <w:t xml:space="preserve">Minister of </w:t>
            </w:r>
            <w:r w:rsidR="008630F5" w:rsidRPr="00FA53DA">
              <w:rPr>
                <w:rFonts w:cs="Arial"/>
                <w:iCs/>
                <w:color w:val="000000"/>
                <w:szCs w:val="22"/>
                <w:lang w:val="en-NZ"/>
              </w:rPr>
              <w:t>Finance</w:t>
            </w:r>
          </w:p>
          <w:p w14:paraId="3C92607C" w14:textId="01496426" w:rsidR="001F29E6" w:rsidRPr="00FA53DA" w:rsidRDefault="0058723F" w:rsidP="007C1E21">
            <w:pPr>
              <w:spacing w:before="100" w:after="100"/>
              <w:rPr>
                <w:rFonts w:cs="Arial"/>
                <w:iCs/>
                <w:color w:val="000000"/>
                <w:szCs w:val="22"/>
                <w:lang w:val="en-NZ"/>
              </w:rPr>
            </w:pPr>
            <w:r>
              <w:rPr>
                <w:rFonts w:cs="Arial"/>
                <w:iCs/>
                <w:color w:val="000000"/>
                <w:szCs w:val="22"/>
                <w:lang w:val="en-NZ"/>
              </w:rPr>
              <w:t>Minister of</w:t>
            </w:r>
            <w:r w:rsidR="008630F5" w:rsidRPr="00FA53DA">
              <w:rPr>
                <w:rFonts w:cs="Arial"/>
                <w:iCs/>
                <w:color w:val="000000"/>
                <w:szCs w:val="22"/>
                <w:lang w:val="en-NZ"/>
              </w:rPr>
              <w:t xml:space="preserve"> Revenue</w:t>
            </w:r>
          </w:p>
        </w:tc>
      </w:tr>
      <w:tr w:rsidR="00C11B3B" w:rsidRPr="00A864A5" w14:paraId="73C7C7FD" w14:textId="77777777" w:rsidTr="007C1E21">
        <w:trPr>
          <w:cantSplit/>
          <w:trHeight w:val="202"/>
        </w:trPr>
        <w:tc>
          <w:tcPr>
            <w:tcW w:w="1328" w:type="pct"/>
            <w:tcBorders>
              <w:top w:val="nil"/>
            </w:tcBorders>
            <w:shd w:val="clear" w:color="auto" w:fill="EBF5F8"/>
          </w:tcPr>
          <w:p w14:paraId="5B57759D" w14:textId="6F936C83" w:rsidR="00C11B3B" w:rsidRPr="00A864A5" w:rsidRDefault="00C11B3B" w:rsidP="007C1E21">
            <w:pPr>
              <w:spacing w:before="100" w:after="100"/>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0195CEC3" w:rsidR="00C11B3B" w:rsidRPr="00DB0A69" w:rsidRDefault="00DB0A69" w:rsidP="007C1E21">
            <w:pPr>
              <w:spacing w:before="100" w:after="100"/>
              <w:rPr>
                <w:rFonts w:cs="Arial"/>
                <w:color w:val="000000"/>
                <w:szCs w:val="22"/>
                <w:lang w:val="en-NZ"/>
              </w:rPr>
            </w:pPr>
            <w:r w:rsidRPr="00DB0A69">
              <w:rPr>
                <w:rFonts w:cs="Arial"/>
                <w:iCs/>
                <w:color w:val="000000"/>
                <w:szCs w:val="22"/>
                <w:lang w:val="en-NZ"/>
              </w:rPr>
              <w:t>25 February 2022</w:t>
            </w:r>
          </w:p>
        </w:tc>
      </w:tr>
      <w:tr w:rsidR="0079435C" w:rsidRPr="00A864A5" w14:paraId="7F643A0E" w14:textId="77777777" w:rsidTr="007C1E21">
        <w:trPr>
          <w:cantSplit/>
        </w:trPr>
        <w:tc>
          <w:tcPr>
            <w:tcW w:w="5000" w:type="pct"/>
            <w:gridSpan w:val="2"/>
            <w:tcBorders>
              <w:bottom w:val="single" w:sz="4" w:space="0" w:color="DDDDDD"/>
            </w:tcBorders>
            <w:shd w:val="clear" w:color="auto" w:fill="99CDDD"/>
            <w:hideMark/>
          </w:tcPr>
          <w:p w14:paraId="7F446F06" w14:textId="570ED786" w:rsidR="0079435C" w:rsidRPr="00A864A5" w:rsidRDefault="0079435C" w:rsidP="001B3EB2">
            <w:pPr>
              <w:pStyle w:val="TableHeadings"/>
              <w:rPr>
                <w:color w:val="002060"/>
                <w:szCs w:val="22"/>
                <w:lang w:val="en-NZ"/>
              </w:rPr>
            </w:pPr>
            <w:r w:rsidRPr="00A864A5">
              <w:rPr>
                <w:szCs w:val="22"/>
                <w:lang w:val="en-NZ"/>
              </w:rPr>
              <w:t>Problem Definition</w:t>
            </w:r>
          </w:p>
        </w:tc>
      </w:tr>
      <w:tr w:rsidR="0079435C" w:rsidRPr="00A864A5" w14:paraId="058C86B2" w14:textId="77777777" w:rsidTr="007C1E21">
        <w:trPr>
          <w:cantSplit/>
          <w:trHeight w:val="824"/>
        </w:trPr>
        <w:tc>
          <w:tcPr>
            <w:tcW w:w="5000" w:type="pct"/>
            <w:gridSpan w:val="2"/>
            <w:tcBorders>
              <w:top w:val="nil"/>
            </w:tcBorders>
            <w:shd w:val="clear" w:color="auto" w:fill="auto"/>
          </w:tcPr>
          <w:p w14:paraId="4EBB6131" w14:textId="5FCA5188" w:rsidR="0079435C" w:rsidRPr="009A1D53" w:rsidRDefault="00151CB6" w:rsidP="00A27BAA">
            <w:pPr>
              <w:tabs>
                <w:tab w:val="left" w:pos="7424"/>
                <w:tab w:val="right" w:pos="8636"/>
              </w:tabs>
              <w:spacing w:before="160" w:line="240" w:lineRule="auto"/>
              <w:rPr>
                <w:rFonts w:cs="Arial"/>
                <w:szCs w:val="22"/>
                <w:lang w:val="en-NZ"/>
              </w:rPr>
            </w:pPr>
            <w:r w:rsidRPr="009A1D53">
              <w:rPr>
                <w:rFonts w:cs="Arial"/>
                <w:lang w:val="en-NZ"/>
              </w:rPr>
              <w:t>The introduction of the 39% top personal income tax rate has increased the incentives for high income individuals to restructure their affairs so that they earn income through lower tax rate entities.</w:t>
            </w:r>
            <w:r w:rsidR="00B778BF">
              <w:rPr>
                <w:rFonts w:cs="Arial"/>
                <w:lang w:val="en-NZ"/>
              </w:rPr>
              <w:t xml:space="preserve"> </w:t>
            </w:r>
            <w:r w:rsidR="00D02A87" w:rsidRPr="00462C76">
              <w:rPr>
                <w:rFonts w:cs="Arial"/>
                <w:sz w:val="20"/>
                <w:shd w:val="clear" w:color="auto" w:fill="D9D9D9" w:themeFill="background1" w:themeFillShade="D9"/>
                <w:lang w:val="en-NZ"/>
              </w:rPr>
              <w:t xml:space="preserve">s </w:t>
            </w:r>
            <w:r w:rsidR="00462C76" w:rsidRPr="00462C76">
              <w:rPr>
                <w:rFonts w:cs="Arial"/>
                <w:sz w:val="20"/>
                <w:shd w:val="clear" w:color="auto" w:fill="D9D9D9" w:themeFill="background1" w:themeFillShade="D9"/>
                <w:lang w:val="en-NZ"/>
              </w:rPr>
              <w:t>6(c)</w:t>
            </w:r>
            <w:r w:rsidR="00462C76" w:rsidRPr="00A27BAA">
              <w:rPr>
                <w:rFonts w:cs="Arial"/>
                <w:color w:val="D9D9D9" w:themeColor="background1" w:themeShade="D9"/>
                <w:sz w:val="20"/>
                <w:shd w:val="clear" w:color="auto" w:fill="D9D9D9" w:themeFill="background1" w:themeFillShade="D9"/>
                <w:lang w:val="en-NZ"/>
              </w:rPr>
              <w:t>…</w:t>
            </w:r>
            <w:r w:rsidR="00F444F6">
              <w:rPr>
                <w:rFonts w:cs="Arial"/>
                <w:color w:val="D9D9D9" w:themeColor="background1" w:themeShade="D9"/>
                <w:sz w:val="20"/>
                <w:shd w:val="clear" w:color="auto" w:fill="D9D9D9" w:themeFill="background1" w:themeFillShade="D9"/>
                <w:lang w:val="en-NZ"/>
              </w:rPr>
              <w:t>.</w:t>
            </w:r>
            <w:r w:rsidR="00462C76" w:rsidRPr="00A27BAA">
              <w:rPr>
                <w:rFonts w:cs="Arial"/>
                <w:color w:val="D9D9D9" w:themeColor="background1" w:themeShade="D9"/>
                <w:sz w:val="20"/>
                <w:shd w:val="clear" w:color="auto" w:fill="D9D9D9" w:themeFill="background1" w:themeFillShade="D9"/>
                <w:lang w:val="en-NZ"/>
              </w:rPr>
              <w:t>……………………………………………………………………………………</w:t>
            </w:r>
            <w:r w:rsidR="00462C76" w:rsidRPr="00A27BAA">
              <w:rPr>
                <w:rFonts w:cs="Arial"/>
                <w:color w:val="D9D9D9" w:themeColor="background1" w:themeShade="D9"/>
                <w:sz w:val="20"/>
                <w:shd w:val="clear" w:color="auto" w:fill="D9D9D9" w:themeFill="background1" w:themeFillShade="D9"/>
                <w:lang w:val="en-NZ"/>
              </w:rPr>
              <w:br/>
            </w:r>
            <w:r w:rsidR="00462C76" w:rsidRPr="00A27BAA">
              <w:rPr>
                <w:rFonts w:cs="Arial"/>
                <w:color w:val="D9D9D9" w:themeColor="background1" w:themeShade="D9"/>
                <w:szCs w:val="22"/>
                <w:shd w:val="clear" w:color="auto" w:fill="D9D9D9" w:themeFill="background1" w:themeFillShade="D9"/>
                <w:lang w:val="en-NZ"/>
              </w:rPr>
              <w:t>…………………………………………………………………………………………………………</w:t>
            </w:r>
            <w:r w:rsidR="00462C76" w:rsidRPr="00A27BAA">
              <w:rPr>
                <w:rFonts w:cs="Arial"/>
                <w:color w:val="D9D9D9" w:themeColor="background1" w:themeShade="D9"/>
                <w:szCs w:val="22"/>
                <w:shd w:val="clear" w:color="auto" w:fill="D9D9D9" w:themeFill="background1" w:themeFillShade="D9"/>
                <w:lang w:val="en-NZ"/>
              </w:rPr>
              <w:br/>
              <w:t>…………………………………………………………………………………………………………</w:t>
            </w:r>
          </w:p>
        </w:tc>
      </w:tr>
      <w:tr w:rsidR="00C93549" w:rsidRPr="00A864A5" w14:paraId="7CED8916" w14:textId="77777777" w:rsidTr="007C1E21">
        <w:trPr>
          <w:cantSplit/>
        </w:trPr>
        <w:tc>
          <w:tcPr>
            <w:tcW w:w="5000" w:type="pct"/>
            <w:gridSpan w:val="2"/>
            <w:tcBorders>
              <w:bottom w:val="single" w:sz="4" w:space="0" w:color="DDDDDD"/>
            </w:tcBorders>
            <w:shd w:val="clear" w:color="auto" w:fill="99CDDD"/>
            <w:hideMark/>
          </w:tcPr>
          <w:p w14:paraId="163B530B" w14:textId="0ACEE607" w:rsidR="00C93549" w:rsidRPr="00A864A5" w:rsidRDefault="00063943" w:rsidP="001B3EB2">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1958C5" w:rsidRPr="00A864A5" w14:paraId="0C692EBF" w14:textId="77777777" w:rsidTr="007C1E21">
        <w:trPr>
          <w:cantSplit/>
          <w:trHeight w:val="944"/>
        </w:trPr>
        <w:tc>
          <w:tcPr>
            <w:tcW w:w="5000" w:type="pct"/>
            <w:gridSpan w:val="2"/>
            <w:tcBorders>
              <w:top w:val="nil"/>
              <w:bottom w:val="single" w:sz="4" w:space="0" w:color="DDDDDD"/>
            </w:tcBorders>
            <w:shd w:val="clear" w:color="auto" w:fill="auto"/>
          </w:tcPr>
          <w:p w14:paraId="3D5CE633" w14:textId="77777777" w:rsidR="001958C5" w:rsidRDefault="001958C5" w:rsidP="001958C5">
            <w:pPr>
              <w:spacing w:before="180"/>
            </w:pPr>
            <w:r>
              <w:t>The introduction of the 39% personal income tax rate for income over $180,000 has increased the difference between the company and top PIE tax rates (28%) and the top personal tax rate from five percentage points to 11 percentage points. There is now also a difference between the trustee tax rate (33%) and the top personal tax rate. This increase in or creation of differences in rates increases the incentive for people to structure their affairs so that their income is at least partly earned through lower tax rate entities.</w:t>
            </w:r>
          </w:p>
          <w:p w14:paraId="2FF8016E" w14:textId="793FBDF8" w:rsidR="001958C5" w:rsidRDefault="001958C5" w:rsidP="00D94A6E">
            <w:pPr>
              <w:spacing w:before="180" w:line="240" w:lineRule="auto"/>
              <w:rPr>
                <w:lang w:val="en-NZ"/>
              </w:rPr>
            </w:pPr>
            <w:r>
              <w:rPr>
                <w:lang w:val="en-NZ"/>
              </w:rPr>
              <w:t>An increase in structuring may impact on Government revenue, social capital and the integrity of the tax system and equity in the tax system.</w:t>
            </w:r>
            <w:r w:rsidR="00B778BF">
              <w:rPr>
                <w:lang w:val="en-NZ"/>
              </w:rPr>
              <w:t xml:space="preserve"> </w:t>
            </w:r>
            <w:r w:rsidR="008C17AC" w:rsidRPr="002A688D">
              <w:rPr>
                <w:sz w:val="20"/>
                <w:szCs w:val="18"/>
                <w:shd w:val="clear" w:color="auto" w:fill="D9D9D9" w:themeFill="background1" w:themeFillShade="D9"/>
                <w:lang w:val="en-NZ"/>
              </w:rPr>
              <w:t>s 6(c)</w:t>
            </w:r>
            <w:r w:rsidR="00F444F6">
              <w:rPr>
                <w:sz w:val="20"/>
                <w:szCs w:val="18"/>
                <w:shd w:val="clear" w:color="auto" w:fill="D9D9D9" w:themeFill="background1" w:themeFillShade="D9"/>
                <w:lang w:val="en-NZ"/>
              </w:rPr>
              <w:t>.</w:t>
            </w:r>
            <w:r w:rsidR="008C17AC" w:rsidRPr="002A688D">
              <w:rPr>
                <w:color w:val="D9D9D9" w:themeColor="background1" w:themeShade="D9"/>
                <w:shd w:val="clear" w:color="auto" w:fill="D9D9D9" w:themeFill="background1" w:themeFillShade="D9"/>
                <w:lang w:val="en-NZ"/>
              </w:rPr>
              <w:t>………………………</w:t>
            </w:r>
            <w:proofErr w:type="gramStart"/>
            <w:r w:rsidR="008C17AC" w:rsidRPr="002A688D">
              <w:rPr>
                <w:color w:val="D9D9D9" w:themeColor="background1" w:themeShade="D9"/>
                <w:shd w:val="clear" w:color="auto" w:fill="D9D9D9" w:themeFill="background1" w:themeFillShade="D9"/>
                <w:lang w:val="en-NZ"/>
              </w:rPr>
              <w:t>…</w:t>
            </w:r>
            <w:r w:rsidR="00D94A6E">
              <w:rPr>
                <w:color w:val="D9D9D9" w:themeColor="background1" w:themeShade="D9"/>
                <w:shd w:val="clear" w:color="auto" w:fill="D9D9D9" w:themeFill="background1" w:themeFillShade="D9"/>
                <w:lang w:val="en-NZ"/>
              </w:rPr>
              <w:t>..</w:t>
            </w:r>
            <w:proofErr w:type="gramEnd"/>
            <w:r w:rsidR="008C17AC" w:rsidRPr="002A688D">
              <w:rPr>
                <w:color w:val="D9D9D9" w:themeColor="background1" w:themeShade="D9"/>
                <w:shd w:val="clear" w:color="auto" w:fill="D9D9D9" w:themeFill="background1" w:themeFillShade="D9"/>
                <w:lang w:val="en-NZ"/>
              </w:rPr>
              <w:t>…….</w:t>
            </w:r>
            <w:r w:rsidR="008C17AC" w:rsidRPr="002A688D">
              <w:rPr>
                <w:color w:val="D9D9D9" w:themeColor="background1" w:themeShade="D9"/>
                <w:shd w:val="clear" w:color="auto" w:fill="D9D9D9" w:themeFill="background1" w:themeFillShade="D9"/>
                <w:lang w:val="en-NZ"/>
              </w:rPr>
              <w:br/>
              <w:t>…………………………………………………………………………………………………………</w:t>
            </w:r>
            <w:r w:rsidR="008C17AC" w:rsidRPr="002A688D">
              <w:rPr>
                <w:color w:val="D9D9D9" w:themeColor="background1" w:themeShade="D9"/>
                <w:shd w:val="clear" w:color="auto" w:fill="D9D9D9" w:themeFill="background1" w:themeFillShade="D9"/>
                <w:lang w:val="en-NZ"/>
              </w:rPr>
              <w:br/>
              <w:t>………………………………………………………………………………………………………</w:t>
            </w:r>
            <w:r w:rsidR="002A688D" w:rsidRPr="002A688D">
              <w:rPr>
                <w:color w:val="D9D9D9" w:themeColor="background1" w:themeShade="D9"/>
                <w:shd w:val="clear" w:color="auto" w:fill="D9D9D9" w:themeFill="background1" w:themeFillShade="D9"/>
                <w:lang w:val="en-NZ"/>
              </w:rPr>
              <w:t>…</w:t>
            </w:r>
            <w:r w:rsidR="002A688D" w:rsidRPr="002A688D">
              <w:rPr>
                <w:color w:val="D9D9D9" w:themeColor="background1" w:themeShade="D9"/>
                <w:shd w:val="clear" w:color="auto" w:fill="D9D9D9" w:themeFill="background1" w:themeFillShade="D9"/>
                <w:lang w:val="en-NZ"/>
              </w:rPr>
              <w:br/>
              <w:t>…………………………………………………………………………………………………………</w:t>
            </w:r>
          </w:p>
          <w:p w14:paraId="1653156A" w14:textId="3C17FAC3" w:rsidR="001958C5" w:rsidRPr="007C1E21" w:rsidRDefault="001958C5" w:rsidP="00EF7E1D">
            <w:pPr>
              <w:spacing w:before="180"/>
              <w:rPr>
                <w:lang w:val="en-NZ"/>
              </w:rPr>
            </w:pPr>
            <w:r>
              <w:rPr>
                <w:lang w:val="en-NZ"/>
              </w:rPr>
              <w:t>There are a range of options that could be used to help address these concerns. The discussion document considers options for dealing with company issues. Other options for dealing with other issues such as trust taxation have been deferred and are discussed further in the limitations section below.</w:t>
            </w:r>
          </w:p>
        </w:tc>
      </w:tr>
      <w:tr w:rsidR="00FE3199" w:rsidRPr="00A864A5" w14:paraId="6B25993E" w14:textId="77777777" w:rsidTr="007C1E21">
        <w:trPr>
          <w:cantSplit/>
          <w:trHeight w:val="944"/>
        </w:trPr>
        <w:tc>
          <w:tcPr>
            <w:tcW w:w="5000" w:type="pct"/>
            <w:gridSpan w:val="2"/>
            <w:tcBorders>
              <w:top w:val="single" w:sz="4" w:space="0" w:color="DDDDDD"/>
            </w:tcBorders>
            <w:shd w:val="clear" w:color="auto" w:fill="auto"/>
          </w:tcPr>
          <w:p w14:paraId="32A1256D" w14:textId="1BDD4C1C" w:rsidR="000132F6" w:rsidRPr="00A864A5" w:rsidRDefault="003A10AF" w:rsidP="007C1E21">
            <w:pPr>
              <w:spacing w:before="180"/>
              <w:rPr>
                <w:lang w:val="en-NZ"/>
              </w:rPr>
            </w:pPr>
            <w:r>
              <w:rPr>
                <w:lang w:val="en-NZ"/>
              </w:rPr>
              <w:lastRenderedPageBreak/>
              <w:t>The company measures considered</w:t>
            </w:r>
            <w:r w:rsidR="00BE1F8E">
              <w:rPr>
                <w:lang w:val="en-NZ"/>
              </w:rPr>
              <w:t xml:space="preserve"> in the discussion document</w:t>
            </w:r>
            <w:r>
              <w:rPr>
                <w:lang w:val="en-NZ"/>
              </w:rPr>
              <w:t xml:space="preserve"> </w:t>
            </w:r>
            <w:r w:rsidR="009A7895">
              <w:rPr>
                <w:lang w:val="en-NZ"/>
              </w:rPr>
              <w:t>include dividend integrity issues, Available Subscribed Capital</w:t>
            </w:r>
            <w:r w:rsidR="000A5D4E">
              <w:rPr>
                <w:lang w:val="en-NZ"/>
              </w:rPr>
              <w:t xml:space="preserve"> (ASC)</w:t>
            </w:r>
            <w:r w:rsidR="00C6578C">
              <w:rPr>
                <w:lang w:val="en-NZ"/>
              </w:rPr>
              <w:t xml:space="preserve"> and net capital gains</w:t>
            </w:r>
            <w:r w:rsidR="009A7895">
              <w:rPr>
                <w:lang w:val="en-NZ"/>
              </w:rPr>
              <w:t xml:space="preserve"> reporting</w:t>
            </w:r>
            <w:r w:rsidR="000A5D4E">
              <w:rPr>
                <w:lang w:val="en-NZ"/>
              </w:rPr>
              <w:t xml:space="preserve"> and possible expansion of the </w:t>
            </w:r>
            <w:r w:rsidR="002A275F">
              <w:rPr>
                <w:lang w:val="en-NZ"/>
              </w:rPr>
              <w:t>personal services attribution</w:t>
            </w:r>
            <w:r w:rsidR="001C5AB8">
              <w:rPr>
                <w:lang w:val="en-NZ"/>
              </w:rPr>
              <w:t xml:space="preserve"> rule</w:t>
            </w:r>
            <w:r w:rsidR="006A13ED">
              <w:rPr>
                <w:lang w:val="en-NZ"/>
              </w:rPr>
              <w:t>.</w:t>
            </w:r>
            <w:r w:rsidR="00E25632">
              <w:rPr>
                <w:lang w:val="en-NZ"/>
              </w:rPr>
              <w:t xml:space="preserve"> </w:t>
            </w:r>
            <w:r w:rsidR="00483954">
              <w:rPr>
                <w:lang w:val="en-NZ"/>
              </w:rPr>
              <w:t>Ano</w:t>
            </w:r>
            <w:r w:rsidR="00E25632">
              <w:rPr>
                <w:lang w:val="en-NZ"/>
              </w:rPr>
              <w:t xml:space="preserve">ther area of </w:t>
            </w:r>
            <w:r w:rsidR="00E14351">
              <w:rPr>
                <w:lang w:val="en-NZ"/>
              </w:rPr>
              <w:t xml:space="preserve">company taxation </w:t>
            </w:r>
            <w:r w:rsidR="00483954">
              <w:rPr>
                <w:lang w:val="en-NZ"/>
              </w:rPr>
              <w:t xml:space="preserve">that was initially considered </w:t>
            </w:r>
            <w:r w:rsidR="006B7725">
              <w:rPr>
                <w:lang w:val="en-NZ"/>
              </w:rPr>
              <w:t xml:space="preserve">is the area of shareholder loans. This has been deferred </w:t>
            </w:r>
            <w:r w:rsidR="00C6578C">
              <w:rPr>
                <w:lang w:val="en-NZ"/>
              </w:rPr>
              <w:t xml:space="preserve">but </w:t>
            </w:r>
            <w:r w:rsidR="006B7725">
              <w:rPr>
                <w:lang w:val="en-NZ"/>
              </w:rPr>
              <w:t>is</w:t>
            </w:r>
            <w:r w:rsidR="00C6578C">
              <w:rPr>
                <w:lang w:val="en-NZ"/>
              </w:rPr>
              <w:t xml:space="preserve"> also</w:t>
            </w:r>
            <w:r w:rsidR="006B7725">
              <w:rPr>
                <w:lang w:val="en-NZ"/>
              </w:rPr>
              <w:t xml:space="preserve"> discussed below</w:t>
            </w:r>
            <w:r w:rsidR="00BE1F8E">
              <w:rPr>
                <w:lang w:val="en-NZ"/>
              </w:rPr>
              <w:t>.</w:t>
            </w:r>
          </w:p>
        </w:tc>
      </w:tr>
      <w:tr w:rsidR="00E8143E" w:rsidRPr="00A864A5" w14:paraId="42ED5650" w14:textId="77777777" w:rsidTr="007C1E21">
        <w:trPr>
          <w:cantSplit/>
        </w:trPr>
        <w:tc>
          <w:tcPr>
            <w:tcW w:w="5000" w:type="pct"/>
            <w:gridSpan w:val="2"/>
            <w:tcBorders>
              <w:bottom w:val="single" w:sz="4" w:space="0" w:color="DDDDDD"/>
            </w:tcBorders>
            <w:shd w:val="clear" w:color="auto" w:fill="99CDDD"/>
            <w:hideMark/>
          </w:tcPr>
          <w:p w14:paraId="195A9405" w14:textId="74F1F41C" w:rsidR="00E8143E" w:rsidRPr="00A864A5" w:rsidRDefault="00E8143E" w:rsidP="001B3EB2">
            <w:pPr>
              <w:pStyle w:val="TableHeadings"/>
              <w:rPr>
                <w:color w:val="002060"/>
                <w:szCs w:val="22"/>
                <w:lang w:val="en-NZ"/>
              </w:rPr>
            </w:pPr>
            <w:bookmarkStart w:id="2" w:name="_Hlk57203483"/>
            <w:bookmarkEnd w:id="0"/>
            <w:bookmarkEnd w:id="1"/>
            <w:r w:rsidRPr="00A864A5">
              <w:rPr>
                <w:szCs w:val="22"/>
                <w:lang w:val="en-NZ"/>
              </w:rPr>
              <w:t xml:space="preserve">Limitations </w:t>
            </w:r>
            <w:r w:rsidR="003F775E">
              <w:rPr>
                <w:szCs w:val="22"/>
                <w:lang w:val="en-NZ"/>
              </w:rPr>
              <w:t>and</w:t>
            </w:r>
            <w:r w:rsidRPr="00A864A5">
              <w:rPr>
                <w:szCs w:val="22"/>
                <w:lang w:val="en-NZ"/>
              </w:rPr>
              <w:t xml:space="preserve"> Constraints on Analysis</w:t>
            </w:r>
          </w:p>
        </w:tc>
      </w:tr>
      <w:tr w:rsidR="00E8143E" w:rsidRPr="00A864A5" w14:paraId="2E89EDEC" w14:textId="77777777" w:rsidTr="007C1E21">
        <w:trPr>
          <w:cantSplit/>
          <w:trHeight w:val="978"/>
        </w:trPr>
        <w:tc>
          <w:tcPr>
            <w:tcW w:w="5000" w:type="pct"/>
            <w:gridSpan w:val="2"/>
            <w:tcBorders>
              <w:top w:val="nil"/>
            </w:tcBorders>
            <w:shd w:val="clear" w:color="auto" w:fill="auto"/>
          </w:tcPr>
          <w:p w14:paraId="1E0686A0" w14:textId="69EED473" w:rsidR="00206D1A" w:rsidRPr="00BC0147" w:rsidRDefault="00206D1A" w:rsidP="007C1E21">
            <w:pPr>
              <w:spacing w:before="180"/>
              <w:rPr>
                <w:iCs/>
                <w:color w:val="000000"/>
                <w:lang w:val="en-NZ"/>
              </w:rPr>
            </w:pPr>
            <w:r w:rsidRPr="00BC0147">
              <w:rPr>
                <w:iCs/>
                <w:color w:val="000000"/>
                <w:lang w:val="en-NZ"/>
              </w:rPr>
              <w:t>The Government has ruled out aligning the top personal</w:t>
            </w:r>
            <w:r w:rsidR="002A0D7D" w:rsidRPr="00BC0147">
              <w:rPr>
                <w:iCs/>
                <w:color w:val="000000"/>
                <w:lang w:val="en-NZ"/>
              </w:rPr>
              <w:t xml:space="preserve"> income</w:t>
            </w:r>
            <w:r w:rsidRPr="00BC0147">
              <w:rPr>
                <w:iCs/>
                <w:color w:val="000000"/>
                <w:lang w:val="en-NZ"/>
              </w:rPr>
              <w:t xml:space="preserve"> tax rate with the company and trustee tax rates </w:t>
            </w:r>
            <w:r w:rsidR="00B36984">
              <w:rPr>
                <w:iCs/>
                <w:color w:val="000000"/>
                <w:lang w:val="en-NZ"/>
              </w:rPr>
              <w:t>or</w:t>
            </w:r>
            <w:r w:rsidRPr="00BC0147">
              <w:rPr>
                <w:iCs/>
                <w:color w:val="000000"/>
                <w:lang w:val="en-NZ"/>
              </w:rPr>
              <w:t xml:space="preserve"> introducing a capital gains tax. </w:t>
            </w:r>
            <w:r w:rsidR="002A0D7D" w:rsidRPr="00BC0147">
              <w:rPr>
                <w:iCs/>
                <w:color w:val="000000"/>
                <w:lang w:val="en-NZ"/>
              </w:rPr>
              <w:t>Instead, t</w:t>
            </w:r>
            <w:r w:rsidRPr="00BC0147">
              <w:rPr>
                <w:iCs/>
                <w:color w:val="000000"/>
                <w:lang w:val="en-NZ"/>
              </w:rPr>
              <w:t>he Government has directed officials to work on integrity measures that focus on mechanisms that divert the income of a taxpayer on the 33% or 39% rate through channels that allow it to be taxed at a lower rate.</w:t>
            </w:r>
          </w:p>
          <w:p w14:paraId="2A02781C" w14:textId="13BD8EB0" w:rsidR="00206D1A" w:rsidRPr="00BC0147" w:rsidRDefault="00206D1A" w:rsidP="00206D1A">
            <w:pPr>
              <w:rPr>
                <w:iCs/>
                <w:color w:val="000000"/>
                <w:lang w:val="en-NZ"/>
              </w:rPr>
            </w:pPr>
            <w:r w:rsidRPr="00BC0147">
              <w:rPr>
                <w:iCs/>
                <w:color w:val="000000"/>
                <w:lang w:val="en-NZ"/>
              </w:rPr>
              <w:t xml:space="preserve">Inland Revenue will be receiving more specific information from trustees for the 2021–22 and later income years under provisions in the recently enacted amendments to the personal income tax rate legislation. This additional information could help inform in more detail how trusts are used and what measures could be considered to prevent under-taxation from the use of trusts. For this reason, the work on trust integrity measures </w:t>
            </w:r>
            <w:r w:rsidR="002A0D7D" w:rsidRPr="00BC0147">
              <w:rPr>
                <w:iCs/>
                <w:color w:val="000000"/>
                <w:lang w:val="en-NZ"/>
              </w:rPr>
              <w:t xml:space="preserve">has been deferred </w:t>
            </w:r>
            <w:r w:rsidRPr="00BC0147">
              <w:rPr>
                <w:iCs/>
                <w:color w:val="000000"/>
                <w:lang w:val="en-NZ"/>
              </w:rPr>
              <w:t>until the additional information has been received. It has</w:t>
            </w:r>
            <w:r w:rsidR="002A0D7D" w:rsidRPr="00BC0147">
              <w:rPr>
                <w:iCs/>
                <w:color w:val="000000"/>
                <w:lang w:val="en-NZ"/>
              </w:rPr>
              <w:t xml:space="preserve"> also</w:t>
            </w:r>
            <w:r w:rsidRPr="00BC0147">
              <w:rPr>
                <w:iCs/>
                <w:color w:val="000000"/>
                <w:lang w:val="en-NZ"/>
              </w:rPr>
              <w:t xml:space="preserve"> been publicly stated </w:t>
            </w:r>
            <w:r w:rsidR="002A0D7D" w:rsidRPr="00BC0147">
              <w:rPr>
                <w:iCs/>
                <w:color w:val="000000"/>
                <w:lang w:val="en-NZ"/>
              </w:rPr>
              <w:t xml:space="preserve">that </w:t>
            </w:r>
            <w:r w:rsidRPr="00BC0147">
              <w:rPr>
                <w:iCs/>
                <w:color w:val="000000"/>
                <w:lang w:val="en-NZ"/>
              </w:rPr>
              <w:t>officials would consider any potential changes to the taxation of trusts based on the new information.</w:t>
            </w:r>
          </w:p>
          <w:p w14:paraId="732D3A37" w14:textId="6A17B879" w:rsidR="00FF2F4A" w:rsidRPr="00BC0147" w:rsidRDefault="002A0D7D" w:rsidP="00347572">
            <w:pPr>
              <w:rPr>
                <w:iCs/>
                <w:color w:val="000000"/>
                <w:lang w:val="en-NZ"/>
              </w:rPr>
            </w:pPr>
            <w:r>
              <w:rPr>
                <w:iCs/>
                <w:color w:val="000000"/>
                <w:lang w:val="en-NZ"/>
              </w:rPr>
              <w:t>The use of s</w:t>
            </w:r>
            <w:r w:rsidR="00FF2F4A" w:rsidRPr="00BC0147">
              <w:rPr>
                <w:iCs/>
                <w:color w:val="000000"/>
                <w:lang w:val="en-NZ"/>
              </w:rPr>
              <w:t xml:space="preserve">hareholder loans </w:t>
            </w:r>
            <w:r>
              <w:rPr>
                <w:iCs/>
                <w:color w:val="000000"/>
                <w:lang w:val="en-NZ"/>
              </w:rPr>
              <w:t xml:space="preserve">is </w:t>
            </w:r>
            <w:r w:rsidR="00FF2F4A" w:rsidRPr="00BC0147">
              <w:rPr>
                <w:iCs/>
                <w:color w:val="000000"/>
                <w:lang w:val="en-NZ"/>
              </w:rPr>
              <w:t xml:space="preserve">another complicated </w:t>
            </w:r>
            <w:r>
              <w:rPr>
                <w:iCs/>
                <w:color w:val="000000"/>
                <w:lang w:val="en-NZ"/>
              </w:rPr>
              <w:t>aspect</w:t>
            </w:r>
            <w:r w:rsidRPr="00BC0147">
              <w:rPr>
                <w:iCs/>
                <w:color w:val="000000"/>
                <w:lang w:val="en-NZ"/>
              </w:rPr>
              <w:t xml:space="preserve"> </w:t>
            </w:r>
            <w:r w:rsidR="00A92A5B" w:rsidRPr="00BC0147">
              <w:rPr>
                <w:iCs/>
                <w:color w:val="000000"/>
                <w:lang w:val="en-NZ"/>
              </w:rPr>
              <w:t>of th</w:t>
            </w:r>
            <w:r>
              <w:rPr>
                <w:iCs/>
                <w:color w:val="000000"/>
                <w:lang w:val="en-NZ"/>
              </w:rPr>
              <w:t>e</w:t>
            </w:r>
            <w:r w:rsidR="00A92A5B" w:rsidRPr="00BC0147">
              <w:rPr>
                <w:iCs/>
                <w:color w:val="000000"/>
                <w:lang w:val="en-NZ"/>
              </w:rPr>
              <w:t xml:space="preserve"> work</w:t>
            </w:r>
            <w:r>
              <w:rPr>
                <w:iCs/>
                <w:color w:val="000000"/>
                <w:lang w:val="en-NZ"/>
              </w:rPr>
              <w:t xml:space="preserve"> on integrity </w:t>
            </w:r>
            <w:proofErr w:type="gramStart"/>
            <w:r>
              <w:rPr>
                <w:iCs/>
                <w:color w:val="000000"/>
                <w:lang w:val="en-NZ"/>
              </w:rPr>
              <w:t>measures</w:t>
            </w:r>
            <w:proofErr w:type="gramEnd"/>
            <w:r w:rsidR="00A92A5B" w:rsidRPr="00BC0147">
              <w:rPr>
                <w:iCs/>
                <w:color w:val="000000"/>
                <w:lang w:val="en-NZ"/>
              </w:rPr>
              <w:t xml:space="preserve"> and</w:t>
            </w:r>
            <w:r>
              <w:rPr>
                <w:iCs/>
                <w:color w:val="000000"/>
                <w:lang w:val="en-NZ"/>
              </w:rPr>
              <w:t>, to date,</w:t>
            </w:r>
            <w:r w:rsidR="00A92A5B" w:rsidRPr="00BC0147">
              <w:rPr>
                <w:iCs/>
                <w:color w:val="000000"/>
                <w:lang w:val="en-NZ"/>
              </w:rPr>
              <w:t xml:space="preserve"> it </w:t>
            </w:r>
            <w:r>
              <w:rPr>
                <w:iCs/>
                <w:color w:val="000000"/>
                <w:lang w:val="en-NZ"/>
              </w:rPr>
              <w:t>h</w:t>
            </w:r>
            <w:r w:rsidR="00A92A5B" w:rsidRPr="00BC0147">
              <w:rPr>
                <w:iCs/>
                <w:color w:val="000000"/>
                <w:lang w:val="en-NZ"/>
              </w:rPr>
              <w:t>as not</w:t>
            </w:r>
            <w:r>
              <w:rPr>
                <w:iCs/>
                <w:color w:val="000000"/>
                <w:lang w:val="en-NZ"/>
              </w:rPr>
              <w:t xml:space="preserve"> been</w:t>
            </w:r>
            <w:r w:rsidR="00A92A5B" w:rsidRPr="00BC0147">
              <w:rPr>
                <w:iCs/>
                <w:color w:val="000000"/>
                <w:lang w:val="en-NZ"/>
              </w:rPr>
              <w:t xml:space="preserve"> possible to complete</w:t>
            </w:r>
            <w:r>
              <w:rPr>
                <w:iCs/>
                <w:color w:val="000000"/>
                <w:lang w:val="en-NZ"/>
              </w:rPr>
              <w:t xml:space="preserve"> this work</w:t>
            </w:r>
            <w:r w:rsidR="00A92A5B" w:rsidRPr="00BC0147">
              <w:rPr>
                <w:iCs/>
                <w:color w:val="000000"/>
                <w:lang w:val="en-NZ"/>
              </w:rPr>
              <w:t xml:space="preserve"> due to limited resources</w:t>
            </w:r>
            <w:r w:rsidR="00E71FA4" w:rsidRPr="00BC0147">
              <w:rPr>
                <w:iCs/>
                <w:color w:val="000000"/>
                <w:lang w:val="en-NZ"/>
              </w:rPr>
              <w:t xml:space="preserve">. </w:t>
            </w:r>
            <w:r>
              <w:rPr>
                <w:iCs/>
                <w:color w:val="000000"/>
                <w:lang w:val="en-NZ"/>
              </w:rPr>
              <w:t>Consequently, this</w:t>
            </w:r>
            <w:r w:rsidRPr="00BC0147">
              <w:rPr>
                <w:iCs/>
                <w:color w:val="000000"/>
                <w:lang w:val="en-NZ"/>
              </w:rPr>
              <w:t xml:space="preserve"> </w:t>
            </w:r>
            <w:r w:rsidR="00E71FA4" w:rsidRPr="00BC0147">
              <w:rPr>
                <w:iCs/>
                <w:color w:val="000000"/>
                <w:lang w:val="en-NZ"/>
              </w:rPr>
              <w:t>has been deferred.</w:t>
            </w:r>
          </w:p>
          <w:p w14:paraId="305174FF" w14:textId="2B0CDF30" w:rsidR="00BE6C73" w:rsidRPr="00BC0147" w:rsidRDefault="00BE6C73" w:rsidP="00347572">
            <w:pPr>
              <w:rPr>
                <w:iCs/>
                <w:color w:val="000000"/>
                <w:lang w:val="en-NZ"/>
              </w:rPr>
            </w:pPr>
            <w:r w:rsidRPr="00BC0147">
              <w:rPr>
                <w:iCs/>
                <w:color w:val="000000"/>
                <w:lang w:val="en-NZ"/>
              </w:rPr>
              <w:t xml:space="preserve">Data </w:t>
            </w:r>
            <w:r w:rsidR="002A0D7D">
              <w:rPr>
                <w:iCs/>
                <w:color w:val="000000"/>
                <w:lang w:val="en-NZ"/>
              </w:rPr>
              <w:t>for the 2021–22 income year (being the income year that the new</w:t>
            </w:r>
            <w:r w:rsidRPr="00BC0147">
              <w:rPr>
                <w:iCs/>
                <w:color w:val="000000"/>
                <w:lang w:val="en-NZ"/>
              </w:rPr>
              <w:t xml:space="preserve"> </w:t>
            </w:r>
            <w:r w:rsidR="00F05374" w:rsidRPr="00BC0147">
              <w:rPr>
                <w:iCs/>
                <w:color w:val="000000"/>
                <w:lang w:val="en-NZ"/>
              </w:rPr>
              <w:t>39% rate came in</w:t>
            </w:r>
            <w:r w:rsidR="002A0D7D">
              <w:rPr>
                <w:iCs/>
                <w:color w:val="000000"/>
                <w:lang w:val="en-NZ"/>
              </w:rPr>
              <w:t>to effect)</w:t>
            </w:r>
            <w:r w:rsidR="00F05374" w:rsidRPr="00BC0147">
              <w:rPr>
                <w:iCs/>
                <w:color w:val="000000"/>
                <w:lang w:val="en-NZ"/>
              </w:rPr>
              <w:t xml:space="preserve"> is incomplete</w:t>
            </w:r>
            <w:r w:rsidR="002A0D7D">
              <w:rPr>
                <w:iCs/>
                <w:color w:val="000000"/>
                <w:lang w:val="en-NZ"/>
              </w:rPr>
              <w:t>,</w:t>
            </w:r>
            <w:r w:rsidR="00F05374" w:rsidRPr="00BC0147">
              <w:rPr>
                <w:iCs/>
                <w:color w:val="000000"/>
                <w:lang w:val="en-NZ"/>
              </w:rPr>
              <w:t xml:space="preserve"> so </w:t>
            </w:r>
            <w:r w:rsidR="002A0D7D">
              <w:rPr>
                <w:iCs/>
                <w:color w:val="000000"/>
                <w:lang w:val="en-NZ"/>
              </w:rPr>
              <w:t>officials</w:t>
            </w:r>
            <w:r w:rsidR="002A0D7D" w:rsidRPr="00BC0147">
              <w:rPr>
                <w:iCs/>
                <w:color w:val="000000"/>
                <w:lang w:val="en-NZ"/>
              </w:rPr>
              <w:t xml:space="preserve"> </w:t>
            </w:r>
            <w:r w:rsidR="00F05374" w:rsidRPr="00BC0147">
              <w:rPr>
                <w:iCs/>
                <w:color w:val="000000"/>
                <w:lang w:val="en-NZ"/>
              </w:rPr>
              <w:t xml:space="preserve">have had to rely on </w:t>
            </w:r>
            <w:r w:rsidR="002A0D7D">
              <w:rPr>
                <w:iCs/>
                <w:color w:val="000000"/>
                <w:lang w:val="en-NZ"/>
              </w:rPr>
              <w:t>pre-2021 data</w:t>
            </w:r>
            <w:r w:rsidR="00F05374" w:rsidRPr="00BC0147">
              <w:rPr>
                <w:iCs/>
                <w:color w:val="000000"/>
                <w:lang w:val="en-NZ"/>
              </w:rPr>
              <w:t xml:space="preserve"> </w:t>
            </w:r>
            <w:r w:rsidR="00351FEA" w:rsidRPr="00BC0147">
              <w:rPr>
                <w:iCs/>
                <w:color w:val="000000"/>
                <w:lang w:val="en-NZ"/>
              </w:rPr>
              <w:t xml:space="preserve">and small amounts of current year </w:t>
            </w:r>
            <w:r w:rsidR="002A0D7D">
              <w:rPr>
                <w:iCs/>
                <w:color w:val="000000"/>
                <w:lang w:val="en-NZ"/>
              </w:rPr>
              <w:t>data</w:t>
            </w:r>
            <w:r w:rsidR="00351FEA" w:rsidRPr="00BC0147">
              <w:rPr>
                <w:iCs/>
                <w:color w:val="000000"/>
                <w:lang w:val="en-NZ"/>
              </w:rPr>
              <w:t xml:space="preserve">. Behavioural trends are however </w:t>
            </w:r>
            <w:r w:rsidR="002A0D7D">
              <w:rPr>
                <w:iCs/>
                <w:color w:val="000000"/>
                <w:lang w:val="en-NZ"/>
              </w:rPr>
              <w:t>well-</w:t>
            </w:r>
            <w:r w:rsidR="00351FEA" w:rsidRPr="00BC0147">
              <w:rPr>
                <w:iCs/>
                <w:color w:val="000000"/>
                <w:lang w:val="en-NZ"/>
              </w:rPr>
              <w:t>established</w:t>
            </w:r>
            <w:r w:rsidR="002A0D7D">
              <w:rPr>
                <w:iCs/>
                <w:color w:val="000000"/>
                <w:lang w:val="en-NZ"/>
              </w:rPr>
              <w:t xml:space="preserve"> from historic data, including from the period that the former top personal income tax rate of 39% was in effect </w:t>
            </w:r>
            <w:r w:rsidR="002A0D7D" w:rsidRPr="000A2E9E">
              <w:rPr>
                <w:iCs/>
                <w:color w:val="000000"/>
                <w:lang w:val="en-NZ"/>
              </w:rPr>
              <w:t>(between 2000 and 200</w:t>
            </w:r>
            <w:r w:rsidR="000A2E9E" w:rsidRPr="000A2E9E">
              <w:rPr>
                <w:iCs/>
                <w:color w:val="000000"/>
                <w:lang w:val="en-NZ"/>
              </w:rPr>
              <w:t>9</w:t>
            </w:r>
            <w:r w:rsidR="002A0D7D">
              <w:rPr>
                <w:iCs/>
                <w:color w:val="000000"/>
                <w:lang w:val="en-NZ"/>
              </w:rPr>
              <w:t>)</w:t>
            </w:r>
            <w:r w:rsidR="000C7068" w:rsidRPr="00BC0147">
              <w:rPr>
                <w:iCs/>
                <w:color w:val="000000"/>
                <w:lang w:val="en-NZ"/>
              </w:rPr>
              <w:t>.</w:t>
            </w:r>
          </w:p>
          <w:p w14:paraId="565189B8" w14:textId="4639D053" w:rsidR="000C7068" w:rsidRPr="002A0D7D" w:rsidRDefault="000C7068" w:rsidP="00347572">
            <w:pPr>
              <w:rPr>
                <w:iCs/>
                <w:color w:val="000000"/>
                <w:lang w:val="en-NZ"/>
              </w:rPr>
            </w:pPr>
            <w:r w:rsidRPr="00BC0147">
              <w:rPr>
                <w:iCs/>
                <w:color w:val="000000"/>
                <w:lang w:val="en-NZ"/>
              </w:rPr>
              <w:t>Consultation</w:t>
            </w:r>
            <w:r w:rsidR="002A0D7D">
              <w:rPr>
                <w:iCs/>
                <w:color w:val="000000"/>
                <w:lang w:val="en-NZ"/>
              </w:rPr>
              <w:t xml:space="preserve"> on the proposed integrity measures</w:t>
            </w:r>
            <w:r w:rsidRPr="00BC0147">
              <w:rPr>
                <w:iCs/>
                <w:color w:val="000000"/>
                <w:lang w:val="en-NZ"/>
              </w:rPr>
              <w:t xml:space="preserve"> is </w:t>
            </w:r>
            <w:r w:rsidR="00A6431D" w:rsidRPr="00BC0147">
              <w:rPr>
                <w:iCs/>
                <w:color w:val="000000"/>
                <w:lang w:val="en-NZ"/>
              </w:rPr>
              <w:t>incomplete</w:t>
            </w:r>
            <w:r w:rsidR="002A0D7D">
              <w:rPr>
                <w:iCs/>
                <w:color w:val="000000"/>
                <w:lang w:val="en-NZ"/>
              </w:rPr>
              <w:t>,</w:t>
            </w:r>
            <w:r w:rsidR="00A6431D" w:rsidRPr="00BC0147">
              <w:rPr>
                <w:iCs/>
                <w:color w:val="000000"/>
                <w:lang w:val="en-NZ"/>
              </w:rPr>
              <w:t xml:space="preserve"> as th</w:t>
            </w:r>
            <w:r w:rsidR="002A0D7D">
              <w:rPr>
                <w:iCs/>
                <w:color w:val="000000"/>
                <w:lang w:val="en-NZ"/>
              </w:rPr>
              <w:t>e discussion document proposed for release</w:t>
            </w:r>
            <w:r w:rsidR="00A6431D" w:rsidRPr="00BC0147">
              <w:rPr>
                <w:iCs/>
                <w:color w:val="000000"/>
                <w:lang w:val="en-NZ"/>
              </w:rPr>
              <w:t xml:space="preserve"> will form the key part of the consultation process</w:t>
            </w:r>
            <w:r w:rsidR="002A0D7D">
              <w:rPr>
                <w:iCs/>
                <w:color w:val="000000"/>
                <w:lang w:val="en-NZ"/>
              </w:rPr>
              <w:t>.</w:t>
            </w:r>
          </w:p>
          <w:p w14:paraId="3DBA48DC" w14:textId="5E042C55" w:rsidR="00A7249F" w:rsidRPr="00903EE3" w:rsidRDefault="00F34AB9" w:rsidP="00347572">
            <w:pPr>
              <w:rPr>
                <w:iCs/>
                <w:color w:val="000000"/>
                <w:lang w:val="en-NZ"/>
              </w:rPr>
            </w:pPr>
            <w:r w:rsidRPr="00BC0147">
              <w:rPr>
                <w:iCs/>
                <w:color w:val="000000"/>
                <w:lang w:val="en-NZ"/>
              </w:rPr>
              <w:t xml:space="preserve">Further data analysis will occur as the consultation process </w:t>
            </w:r>
            <w:r w:rsidR="00766759">
              <w:rPr>
                <w:iCs/>
                <w:color w:val="000000"/>
                <w:lang w:val="en-NZ"/>
              </w:rPr>
              <w:t>takes place</w:t>
            </w:r>
            <w:r w:rsidR="007426A7" w:rsidRPr="00BC0147">
              <w:rPr>
                <w:iCs/>
                <w:color w:val="000000"/>
                <w:lang w:val="en-NZ"/>
              </w:rPr>
              <w:t>.</w:t>
            </w:r>
          </w:p>
        </w:tc>
      </w:tr>
      <w:tr w:rsidR="00413FD8" w:rsidRPr="00A864A5" w14:paraId="0EA0047F" w14:textId="77777777" w:rsidTr="007C1E21">
        <w:trPr>
          <w:cantSplit/>
        </w:trPr>
        <w:tc>
          <w:tcPr>
            <w:tcW w:w="5000" w:type="pct"/>
            <w:gridSpan w:val="2"/>
            <w:tcBorders>
              <w:bottom w:val="single" w:sz="4" w:space="0" w:color="DDDDDD"/>
            </w:tcBorders>
            <w:shd w:val="clear" w:color="auto" w:fill="99CDDD"/>
            <w:hideMark/>
          </w:tcPr>
          <w:p w14:paraId="7A579FF2" w14:textId="6C002BB0" w:rsidR="00413FD8" w:rsidRPr="00A864A5" w:rsidRDefault="00413FD8" w:rsidP="001B3EB2">
            <w:pPr>
              <w:pStyle w:val="TableHeadings"/>
              <w:rPr>
                <w:color w:val="002060"/>
                <w:szCs w:val="22"/>
                <w:lang w:val="en-NZ"/>
              </w:rPr>
            </w:pPr>
            <w:bookmarkStart w:id="3" w:name="_Hlk47608084"/>
            <w:bookmarkEnd w:id="2"/>
            <w:r w:rsidRPr="00A864A5">
              <w:rPr>
                <w:szCs w:val="22"/>
                <w:lang w:val="en-NZ"/>
              </w:rPr>
              <w:t xml:space="preserve">Responsible Manager </w:t>
            </w:r>
          </w:p>
        </w:tc>
      </w:tr>
      <w:tr w:rsidR="00413FD8" w:rsidRPr="00A864A5" w14:paraId="091E60B6" w14:textId="77777777" w:rsidTr="007C1E21">
        <w:trPr>
          <w:cantSplit/>
          <w:trHeight w:val="1761"/>
        </w:trPr>
        <w:tc>
          <w:tcPr>
            <w:tcW w:w="5000" w:type="pct"/>
            <w:gridSpan w:val="2"/>
            <w:tcBorders>
              <w:top w:val="nil"/>
            </w:tcBorders>
            <w:shd w:val="clear" w:color="auto" w:fill="auto"/>
          </w:tcPr>
          <w:p w14:paraId="2BD94019" w14:textId="688C930C" w:rsidR="00413FD8" w:rsidRPr="002D2FB2" w:rsidRDefault="002D2FB2" w:rsidP="007C1E21">
            <w:pPr>
              <w:spacing w:before="180" w:after="0" w:line="276" w:lineRule="auto"/>
              <w:ind w:left="284" w:hanging="284"/>
              <w:jc w:val="both"/>
              <w:rPr>
                <w:rFonts w:cs="Arial"/>
                <w:szCs w:val="22"/>
                <w:lang w:val="en-NZ"/>
              </w:rPr>
            </w:pPr>
            <w:r>
              <w:rPr>
                <w:rFonts w:cs="Arial"/>
                <w:szCs w:val="22"/>
                <w:lang w:val="en-NZ"/>
              </w:rPr>
              <w:t>Paul Fulton</w:t>
            </w:r>
          </w:p>
          <w:p w14:paraId="14C17A55" w14:textId="1352476B" w:rsidR="00560FED" w:rsidRPr="002D2FB2" w:rsidRDefault="002D2FB2" w:rsidP="00560FED">
            <w:pPr>
              <w:spacing w:before="60" w:after="0" w:line="276" w:lineRule="auto"/>
              <w:ind w:left="284" w:hanging="284"/>
              <w:jc w:val="both"/>
              <w:rPr>
                <w:rFonts w:cs="Arial"/>
                <w:szCs w:val="22"/>
                <w:lang w:val="en-NZ"/>
              </w:rPr>
            </w:pPr>
            <w:r>
              <w:rPr>
                <w:rFonts w:cs="Arial"/>
                <w:szCs w:val="22"/>
                <w:lang w:val="en-NZ"/>
              </w:rPr>
              <w:t>Acting Policy Lead</w:t>
            </w:r>
          </w:p>
          <w:p w14:paraId="487CCF41" w14:textId="15818527" w:rsidR="00413FD8" w:rsidRPr="002D2FB2" w:rsidRDefault="002D2FB2" w:rsidP="00560FED">
            <w:pPr>
              <w:spacing w:before="60" w:after="0" w:line="276" w:lineRule="auto"/>
              <w:ind w:left="284" w:hanging="284"/>
              <w:jc w:val="both"/>
              <w:rPr>
                <w:rFonts w:cs="Arial"/>
                <w:szCs w:val="22"/>
                <w:lang w:val="en-NZ"/>
              </w:rPr>
            </w:pPr>
            <w:r>
              <w:rPr>
                <w:rFonts w:cs="Arial"/>
                <w:szCs w:val="22"/>
                <w:lang w:val="en-NZ"/>
              </w:rPr>
              <w:t>Policy and Regulatory Stewardship</w:t>
            </w:r>
          </w:p>
          <w:p w14:paraId="4E99BE46" w14:textId="77B815BA" w:rsidR="00413FD8" w:rsidRPr="002D2FB2" w:rsidRDefault="002D2FB2" w:rsidP="00560FED">
            <w:pPr>
              <w:spacing w:before="60" w:after="0" w:line="276" w:lineRule="auto"/>
              <w:ind w:left="284" w:hanging="284"/>
              <w:jc w:val="both"/>
              <w:rPr>
                <w:rFonts w:cs="Arial"/>
                <w:szCs w:val="22"/>
                <w:lang w:val="en-NZ"/>
              </w:rPr>
            </w:pPr>
            <w:r>
              <w:rPr>
                <w:rFonts w:cs="Arial"/>
                <w:szCs w:val="22"/>
                <w:lang w:val="en-NZ"/>
              </w:rPr>
              <w:t>Inland Revenue</w:t>
            </w:r>
          </w:p>
          <w:p w14:paraId="61569AEB" w14:textId="0F998F5B" w:rsidR="009235EA" w:rsidRDefault="00AC14DA" w:rsidP="009235EA">
            <w:pPr>
              <w:shd w:val="clear" w:color="auto" w:fill="D9D9D9" w:themeFill="background1" w:themeFillShade="D9"/>
              <w:spacing w:after="0"/>
              <w:ind w:right="6686"/>
              <w:rPr>
                <w:noProof/>
              </w:rPr>
            </w:pPr>
            <w:r w:rsidRPr="00AC14DA">
              <w:rPr>
                <w:noProof/>
                <w:sz w:val="20"/>
                <w:szCs w:val="18"/>
              </w:rPr>
              <w:t>s 9(2)(a)</w:t>
            </w:r>
          </w:p>
          <w:p w14:paraId="65E69085" w14:textId="77777777" w:rsidR="009235EA" w:rsidRDefault="009235EA" w:rsidP="009235EA">
            <w:pPr>
              <w:shd w:val="clear" w:color="auto" w:fill="D9D9D9" w:themeFill="background1" w:themeFillShade="D9"/>
              <w:spacing w:after="0"/>
              <w:ind w:right="6686"/>
              <w:rPr>
                <w:rFonts w:cs="Arial"/>
                <w:i/>
                <w:iCs/>
                <w:noProof/>
                <w:szCs w:val="22"/>
              </w:rPr>
            </w:pPr>
          </w:p>
          <w:p w14:paraId="3463CDDF" w14:textId="77777777" w:rsidR="00F444F6" w:rsidRDefault="00F444F6" w:rsidP="009235EA">
            <w:pPr>
              <w:shd w:val="clear" w:color="auto" w:fill="D9D9D9" w:themeFill="background1" w:themeFillShade="D9"/>
              <w:spacing w:after="0"/>
              <w:ind w:right="6686"/>
              <w:rPr>
                <w:rFonts w:cs="Arial"/>
                <w:i/>
                <w:iCs/>
                <w:noProof/>
                <w:szCs w:val="22"/>
              </w:rPr>
            </w:pPr>
          </w:p>
          <w:p w14:paraId="475B7876" w14:textId="59432E68" w:rsidR="005736B5" w:rsidRPr="009235EA" w:rsidRDefault="005736B5" w:rsidP="009235EA">
            <w:pPr>
              <w:shd w:val="clear" w:color="auto" w:fill="D9D9D9" w:themeFill="background1" w:themeFillShade="D9"/>
              <w:spacing w:after="0"/>
              <w:ind w:right="6686"/>
              <w:rPr>
                <w:rFonts w:cs="Arial"/>
                <w:szCs w:val="22"/>
                <w:lang w:val="en-NZ"/>
              </w:rPr>
            </w:pPr>
          </w:p>
          <w:p w14:paraId="64EF6F19" w14:textId="612592A4" w:rsidR="001958C5" w:rsidRDefault="005736B5" w:rsidP="00BC6472">
            <w:pPr>
              <w:rPr>
                <w:rFonts w:cs="Arial"/>
                <w:szCs w:val="22"/>
                <w:lang w:val="en-NZ"/>
              </w:rPr>
            </w:pPr>
            <w:r w:rsidRPr="005736B5">
              <w:rPr>
                <w:rFonts w:cs="Arial"/>
                <w:szCs w:val="22"/>
                <w:lang w:val="en-NZ"/>
              </w:rPr>
              <w:t>25 February 2022</w:t>
            </w:r>
          </w:p>
          <w:p w14:paraId="5172BF35" w14:textId="77777777" w:rsidR="001958C5" w:rsidRPr="005736B5" w:rsidRDefault="001958C5" w:rsidP="007C1E21">
            <w:pPr>
              <w:rPr>
                <w:rFonts w:cs="Arial"/>
                <w:szCs w:val="22"/>
                <w:lang w:val="en-NZ"/>
              </w:rPr>
            </w:pPr>
          </w:p>
          <w:p w14:paraId="65FBD4C4" w14:textId="6AD0A028" w:rsidR="007A20DD" w:rsidRPr="00A864A5" w:rsidRDefault="007A20DD" w:rsidP="007C1E21">
            <w:pPr>
              <w:rPr>
                <w:rFonts w:cs="Arial"/>
                <w:iCs/>
                <w:color w:val="000000"/>
                <w:sz w:val="14"/>
                <w:szCs w:val="14"/>
                <w:lang w:val="en-NZ"/>
              </w:rPr>
            </w:pPr>
          </w:p>
        </w:tc>
      </w:tr>
      <w:tr w:rsidR="00EB2157" w:rsidRPr="00A864A5" w14:paraId="5FCD62D5" w14:textId="77777777" w:rsidTr="007C1E21">
        <w:trPr>
          <w:cantSplit/>
        </w:trPr>
        <w:tc>
          <w:tcPr>
            <w:tcW w:w="5000" w:type="pct"/>
            <w:gridSpan w:val="2"/>
            <w:tcBorders>
              <w:bottom w:val="single" w:sz="4" w:space="0" w:color="DDDDDD"/>
            </w:tcBorders>
            <w:shd w:val="clear" w:color="auto" w:fill="99CDDD"/>
            <w:hideMark/>
          </w:tcPr>
          <w:p w14:paraId="55C0C834" w14:textId="5D98DF38" w:rsidR="00EB2157" w:rsidRPr="00A864A5" w:rsidRDefault="00EB2157" w:rsidP="001B3EB2">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p>
        </w:tc>
      </w:tr>
      <w:tr w:rsidR="00EB2157" w:rsidRPr="00A864A5" w14:paraId="6F7BACA2" w14:textId="77777777" w:rsidTr="007C1E21">
        <w:trPr>
          <w:cantSplit/>
          <w:trHeight w:val="141"/>
        </w:trPr>
        <w:tc>
          <w:tcPr>
            <w:tcW w:w="1328" w:type="pct"/>
            <w:tcBorders>
              <w:top w:val="nil"/>
            </w:tcBorders>
            <w:shd w:val="clear" w:color="auto" w:fill="EBF5F8"/>
          </w:tcPr>
          <w:p w14:paraId="22AF1207" w14:textId="7EA6C592" w:rsidR="00EB2157" w:rsidRPr="00A864A5" w:rsidRDefault="00EB2157" w:rsidP="007C1E21">
            <w:pPr>
              <w:spacing w:before="18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4CB850EB" w:rsidR="00EB2157" w:rsidRPr="00A864A5" w:rsidRDefault="002F18FF" w:rsidP="007C1E21">
            <w:pPr>
              <w:spacing w:before="180"/>
              <w:rPr>
                <w:rFonts w:cs="Arial"/>
                <w:iCs/>
                <w:color w:val="000000"/>
                <w:szCs w:val="22"/>
                <w:lang w:val="en-NZ"/>
              </w:rPr>
            </w:pPr>
            <w:r>
              <w:rPr>
                <w:rFonts w:cs="Arial"/>
                <w:szCs w:val="22"/>
                <w:lang w:val="en-NZ"/>
              </w:rPr>
              <w:t>Inland Revenue</w:t>
            </w:r>
          </w:p>
        </w:tc>
      </w:tr>
      <w:tr w:rsidR="00EB2157" w:rsidRPr="00A864A5" w14:paraId="228C68D7" w14:textId="77777777" w:rsidTr="007C1E21">
        <w:trPr>
          <w:cantSplit/>
          <w:trHeight w:val="1639"/>
        </w:trPr>
        <w:tc>
          <w:tcPr>
            <w:tcW w:w="1328" w:type="pct"/>
            <w:tcBorders>
              <w:top w:val="nil"/>
            </w:tcBorders>
            <w:shd w:val="clear" w:color="auto" w:fill="EBF5F8"/>
          </w:tcPr>
          <w:p w14:paraId="4DF0990E" w14:textId="189D11BF" w:rsidR="00EB2157" w:rsidRPr="00A864A5" w:rsidRDefault="00EB2157" w:rsidP="007C1E21">
            <w:pPr>
              <w:spacing w:before="180"/>
              <w:rPr>
                <w:rFonts w:cs="Arial"/>
                <w:color w:val="000000"/>
                <w:lang w:val="en-NZ"/>
              </w:rPr>
            </w:pPr>
            <w:r w:rsidRPr="160FBFDB">
              <w:rPr>
                <w:rFonts w:cs="Arial"/>
                <w:color w:val="000000" w:themeColor="text1"/>
                <w:lang w:val="en-NZ"/>
              </w:rPr>
              <w:t>Assessment</w:t>
            </w:r>
            <w:r w:rsidR="00F321A6" w:rsidRPr="160FBFDB">
              <w:rPr>
                <w:rFonts w:cs="Arial"/>
                <w:color w:val="000000" w:themeColor="text1"/>
                <w:lang w:val="en-NZ"/>
              </w:rPr>
              <w:t xml:space="preserve"> </w:t>
            </w:r>
            <w:r w:rsidR="00EF7E1D">
              <w:rPr>
                <w:rFonts w:cs="Arial"/>
                <w:color w:val="000000" w:themeColor="text1"/>
                <w:lang w:val="en-NZ"/>
              </w:rPr>
              <w:t>and</w:t>
            </w:r>
            <w:r w:rsidR="00EF7E1D" w:rsidRPr="160FBFDB">
              <w:rPr>
                <w:rFonts w:cs="Arial"/>
                <w:color w:val="000000" w:themeColor="text1"/>
                <w:lang w:val="en-NZ"/>
              </w:rPr>
              <w:t xml:space="preserve"> </w:t>
            </w:r>
            <w:r w:rsidR="0085441F" w:rsidRPr="160FBFDB">
              <w:rPr>
                <w:rFonts w:cs="Arial"/>
                <w:color w:val="000000" w:themeColor="text1"/>
                <w:lang w:val="en-NZ"/>
              </w:rPr>
              <w:t>Comment</w:t>
            </w:r>
            <w:r w:rsidRPr="160FBFDB">
              <w:rPr>
                <w:rFonts w:cs="Arial"/>
                <w:color w:val="000000" w:themeColor="text1"/>
                <w:lang w:val="en-NZ"/>
              </w:rPr>
              <w:t>:</w:t>
            </w:r>
          </w:p>
        </w:tc>
        <w:tc>
          <w:tcPr>
            <w:tcW w:w="3672" w:type="pct"/>
            <w:tcBorders>
              <w:top w:val="nil"/>
            </w:tcBorders>
            <w:shd w:val="clear" w:color="auto" w:fill="auto"/>
          </w:tcPr>
          <w:p w14:paraId="28FD900F" w14:textId="6F4F07A7" w:rsidR="00EB2157" w:rsidRPr="00914D25" w:rsidRDefault="160FBFDB" w:rsidP="007C1E21">
            <w:pPr>
              <w:spacing w:before="180"/>
              <w:rPr>
                <w:color w:val="000000" w:themeColor="text1"/>
                <w:szCs w:val="22"/>
                <w:lang w:val="en-NZ"/>
              </w:rPr>
            </w:pPr>
            <w:r w:rsidRPr="005172C8">
              <w:rPr>
                <w:rFonts w:cs="Arial"/>
                <w:szCs w:val="22"/>
                <w:lang w:val="en-NZ"/>
              </w:rPr>
              <w:t>The Quality Assurance reviewer from Inland Revenue has reviewed the Dividend integrity and personal services income attribution interim regulatory impact statement (RIS) prepared by Inland Revenue and considers that the information and analysis summarised in the RIS partially meets the quality assurance criteria. This is because the impacts on the affected taxpayers are currently unknown. Consultation on the proposals may help to inform the likely magnitude of the impacts and to refine the design of the proposals to minimise or reduce compliance costs. Inland Revenue will report back to Cabinet with a final RIS with further information on these impacts when final policy decisions are sought following public consultation.</w:t>
            </w:r>
          </w:p>
        </w:tc>
      </w:tr>
    </w:tbl>
    <w:p w14:paraId="3E327532" w14:textId="328270D7" w:rsidR="00C53DAC" w:rsidRDefault="00F16C50" w:rsidP="007C1E21">
      <w:pPr>
        <w:pStyle w:val="Heading2"/>
        <w:pageBreakBefore/>
        <w:rPr>
          <w:lang w:val="en-NZ"/>
        </w:rPr>
      </w:pPr>
      <w:bookmarkStart w:id="4" w:name="_Toc363047038"/>
      <w:bookmarkStart w:id="5" w:name="_Toc362940530"/>
      <w:bookmarkStart w:id="6" w:name="_Toc362618966"/>
      <w:bookmarkStart w:id="7" w:name="_Toc362434720"/>
      <w:bookmarkStart w:id="8" w:name="_Toc362368098"/>
      <w:bookmarkEnd w:id="3"/>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4E48D616" w14:textId="530CA23A" w:rsidR="007D78A1" w:rsidRPr="00A864A5" w:rsidRDefault="007E4F5A" w:rsidP="007D78A1">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342DBD6E" w14:textId="63ECFEE1" w:rsidR="00944715" w:rsidRPr="00944715" w:rsidRDefault="003D7300" w:rsidP="006448CF">
      <w:pPr>
        <w:pStyle w:val="ListParagraph"/>
        <w:numPr>
          <w:ilvl w:val="0"/>
          <w:numId w:val="24"/>
        </w:numPr>
        <w:ind w:left="567" w:hanging="567"/>
        <w:rPr>
          <w:lang w:val="en-NZ"/>
        </w:rPr>
      </w:pPr>
      <w:r>
        <w:rPr>
          <w:rFonts w:cs="Arial"/>
          <w:szCs w:val="22"/>
          <w:lang w:val="en-NZ"/>
        </w:rPr>
        <w:t xml:space="preserve">The Government enacted legislation to put in place a 39% personal tax rate on income above $180,000 from 1 April 2021. This rate is significantly higher than the </w:t>
      </w:r>
      <w:r w:rsidR="00BB17FC">
        <w:rPr>
          <w:rFonts w:cs="Arial"/>
          <w:szCs w:val="22"/>
          <w:lang w:val="en-NZ"/>
        </w:rPr>
        <w:t>t</w:t>
      </w:r>
      <w:r>
        <w:rPr>
          <w:rFonts w:cs="Arial"/>
          <w:szCs w:val="22"/>
          <w:lang w:val="en-NZ"/>
        </w:rPr>
        <w:t>rustee tax rate (33%)</w:t>
      </w:r>
      <w:r w:rsidR="008D4C55">
        <w:rPr>
          <w:rFonts w:cs="Arial"/>
          <w:szCs w:val="22"/>
          <w:lang w:val="en-NZ"/>
        </w:rPr>
        <w:t>, the top PIE tax rate (28%)</w:t>
      </w:r>
      <w:r>
        <w:rPr>
          <w:rFonts w:cs="Arial"/>
          <w:szCs w:val="22"/>
          <w:lang w:val="en-NZ"/>
        </w:rPr>
        <w:t xml:space="preserve"> and the company tax rate (28%). While there was already a difference between the company</w:t>
      </w:r>
      <w:r w:rsidR="00FA214A">
        <w:rPr>
          <w:rFonts w:cs="Arial"/>
          <w:szCs w:val="22"/>
          <w:lang w:val="en-NZ"/>
        </w:rPr>
        <w:t xml:space="preserve"> and the top PIE rate</w:t>
      </w:r>
      <w:r>
        <w:rPr>
          <w:rFonts w:cs="Arial"/>
          <w:szCs w:val="22"/>
          <w:lang w:val="en-NZ"/>
        </w:rPr>
        <w:t xml:space="preserve"> and the top personal tax rate</w:t>
      </w:r>
      <w:r w:rsidR="00911D43">
        <w:rPr>
          <w:rFonts w:cs="Arial"/>
          <w:szCs w:val="22"/>
          <w:lang w:val="en-NZ"/>
        </w:rPr>
        <w:t>,</w:t>
      </w:r>
      <w:r>
        <w:rPr>
          <w:rFonts w:cs="Arial"/>
          <w:szCs w:val="22"/>
          <w:lang w:val="en-NZ"/>
        </w:rPr>
        <w:t xml:space="preserve"> this difference has increased from </w:t>
      </w:r>
      <w:r w:rsidR="00911D43">
        <w:rPr>
          <w:rFonts w:cs="Arial"/>
          <w:szCs w:val="22"/>
          <w:lang w:val="en-NZ"/>
        </w:rPr>
        <w:t>five</w:t>
      </w:r>
      <w:r>
        <w:rPr>
          <w:rFonts w:cs="Arial"/>
          <w:szCs w:val="22"/>
          <w:lang w:val="en-NZ"/>
        </w:rPr>
        <w:t xml:space="preserve"> percentage points to </w:t>
      </w:r>
      <w:r w:rsidR="00BC6472">
        <w:rPr>
          <w:rFonts w:cs="Arial"/>
          <w:szCs w:val="22"/>
          <w:lang w:val="en-NZ"/>
        </w:rPr>
        <w:t>11 </w:t>
      </w:r>
      <w:r>
        <w:rPr>
          <w:rFonts w:cs="Arial"/>
          <w:szCs w:val="22"/>
          <w:lang w:val="en-NZ"/>
        </w:rPr>
        <w:t>percentage points. Prior to the change the top personal tax rate and the trustee tax rate were the same at 33%</w:t>
      </w:r>
      <w:r w:rsidR="000057E0">
        <w:rPr>
          <w:rFonts w:cs="Arial"/>
          <w:szCs w:val="22"/>
          <w:lang w:val="en-NZ"/>
        </w:rPr>
        <w:t>.</w:t>
      </w:r>
    </w:p>
    <w:p w14:paraId="6983C5E8" w14:textId="34921B9F" w:rsidR="00944715" w:rsidRPr="00944715" w:rsidRDefault="00944715" w:rsidP="00944715">
      <w:pPr>
        <w:pStyle w:val="ListParagraph"/>
        <w:numPr>
          <w:ilvl w:val="0"/>
          <w:numId w:val="24"/>
        </w:numPr>
        <w:ind w:left="567" w:hanging="567"/>
        <w:rPr>
          <w:lang w:val="en-NZ"/>
        </w:rPr>
      </w:pPr>
      <w:r>
        <w:t>Even before the introduction of the 39% rate there were concerns arising from the differences between entity and personal tax rates. The bunching of self-employed people at the pre-2021 tax thresholds in Figure 1 suggests that structures were being used by taxpayers to avoid the former top personal rate of 33% and at this time the differences between the rates was significantly less.</w:t>
      </w:r>
    </w:p>
    <w:p w14:paraId="7F4C48AB" w14:textId="0DF1154D" w:rsidR="00944715" w:rsidRPr="00C24555" w:rsidRDefault="00944715" w:rsidP="007C1E21">
      <w:pPr>
        <w:jc w:val="center"/>
        <w:rPr>
          <w:b/>
          <w:bCs/>
        </w:rPr>
      </w:pPr>
      <w:r w:rsidRPr="00C24555">
        <w:rPr>
          <w:b/>
          <w:bCs/>
        </w:rPr>
        <w:t>Figure 1: Taxable income distribution: PAYE and non-PAYE income (2018)</w:t>
      </w:r>
    </w:p>
    <w:p w14:paraId="2E5B7C02" w14:textId="72171471" w:rsidR="00944715" w:rsidRPr="00944715" w:rsidRDefault="004E5C6A" w:rsidP="007C1E21">
      <w:pPr>
        <w:jc w:val="right"/>
        <w:rPr>
          <w:lang w:val="en-NZ"/>
        </w:rPr>
      </w:pPr>
      <w:r>
        <w:rPr>
          <w:noProof/>
          <w:color w:val="2B579A"/>
          <w:shd w:val="clear" w:color="auto" w:fill="E6E6E6"/>
        </w:rPr>
        <w:drawing>
          <wp:inline distT="0" distB="0" distL="0" distR="0" wp14:anchorId="685E0394" wp14:editId="79BC3082">
            <wp:extent cx="5580380" cy="35572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380" cy="3557270"/>
                    </a:xfrm>
                    <a:prstGeom prst="rect">
                      <a:avLst/>
                    </a:prstGeom>
                  </pic:spPr>
                </pic:pic>
              </a:graphicData>
            </a:graphic>
          </wp:inline>
        </w:drawing>
      </w:r>
    </w:p>
    <w:p w14:paraId="293D52F0" w14:textId="1A1769DE" w:rsidR="00E53385" w:rsidRPr="00700298" w:rsidRDefault="00E53385" w:rsidP="000A673F">
      <w:pPr>
        <w:pStyle w:val="ListParagraph"/>
        <w:numPr>
          <w:ilvl w:val="0"/>
          <w:numId w:val="24"/>
        </w:numPr>
        <w:ind w:left="567" w:hanging="567"/>
        <w:rPr>
          <w:rFonts w:cs="Arial"/>
          <w:szCs w:val="22"/>
          <w:lang w:val="en-NZ"/>
        </w:rPr>
      </w:pPr>
      <w:r>
        <w:rPr>
          <w:rFonts w:cs="Arial"/>
          <w:szCs w:val="22"/>
          <w:lang w:val="en-NZ"/>
        </w:rPr>
        <w:t xml:space="preserve">The </w:t>
      </w:r>
      <w:r w:rsidR="00905921">
        <w:rPr>
          <w:rFonts w:cs="Arial"/>
          <w:szCs w:val="22"/>
          <w:lang w:val="en-NZ"/>
        </w:rPr>
        <w:t xml:space="preserve">greater </w:t>
      </w:r>
      <w:r>
        <w:rPr>
          <w:rFonts w:cs="Arial"/>
          <w:szCs w:val="22"/>
          <w:lang w:val="en-NZ"/>
        </w:rPr>
        <w:t>difference between the rates provides a</w:t>
      </w:r>
      <w:r w:rsidR="00F964D5">
        <w:rPr>
          <w:rFonts w:cs="Arial"/>
          <w:szCs w:val="22"/>
          <w:lang w:val="en-NZ"/>
        </w:rPr>
        <w:t xml:space="preserve"> greater</w:t>
      </w:r>
      <w:r>
        <w:rPr>
          <w:rFonts w:cs="Arial"/>
          <w:szCs w:val="22"/>
          <w:lang w:val="en-NZ"/>
        </w:rPr>
        <w:t xml:space="preserve"> incentive for people to structure the</w:t>
      </w:r>
      <w:r w:rsidR="00C74E78">
        <w:rPr>
          <w:rFonts w:cs="Arial"/>
          <w:szCs w:val="22"/>
          <w:lang w:val="en-NZ"/>
        </w:rPr>
        <w:t>ir affairs so that</w:t>
      </w:r>
      <w:r w:rsidR="001B6C43">
        <w:rPr>
          <w:rFonts w:cs="Arial"/>
          <w:szCs w:val="22"/>
          <w:lang w:val="en-NZ"/>
        </w:rPr>
        <w:t xml:space="preserve"> their personal income is derived through lower tax rate entities.</w:t>
      </w:r>
      <w:r w:rsidR="000F0555">
        <w:rPr>
          <w:rFonts w:cs="Arial"/>
          <w:szCs w:val="22"/>
          <w:lang w:val="en-NZ"/>
        </w:rPr>
        <w:t xml:space="preserve"> </w:t>
      </w:r>
      <w:r w:rsidR="00C91E11">
        <w:rPr>
          <w:rFonts w:cs="Arial"/>
          <w:szCs w:val="22"/>
          <w:lang w:val="en-NZ"/>
        </w:rPr>
        <w:t xml:space="preserve">It also </w:t>
      </w:r>
      <w:r w:rsidR="00B325D3">
        <w:rPr>
          <w:rFonts w:cs="Arial"/>
          <w:szCs w:val="22"/>
          <w:lang w:val="en-NZ"/>
        </w:rPr>
        <w:t>incentivises the transfer of income</w:t>
      </w:r>
      <w:r w:rsidR="004A39FF">
        <w:rPr>
          <w:rFonts w:cs="Arial"/>
          <w:szCs w:val="22"/>
          <w:lang w:val="en-NZ"/>
        </w:rPr>
        <w:t xml:space="preserve"> from entities such as companies in ways that do not result in personal income</w:t>
      </w:r>
      <w:r w:rsidR="00DD4B86">
        <w:rPr>
          <w:rFonts w:cs="Arial"/>
          <w:szCs w:val="22"/>
          <w:lang w:val="en-NZ"/>
        </w:rPr>
        <w:t xml:space="preserve">. Returns treated as capital are therefore </w:t>
      </w:r>
      <w:r w:rsidR="00161844">
        <w:rPr>
          <w:rFonts w:cs="Arial"/>
          <w:szCs w:val="22"/>
          <w:lang w:val="en-NZ"/>
        </w:rPr>
        <w:t xml:space="preserve">preferred </w:t>
      </w:r>
      <w:r w:rsidR="00FE4848">
        <w:rPr>
          <w:rFonts w:cs="Arial"/>
          <w:szCs w:val="22"/>
          <w:lang w:val="en-NZ"/>
        </w:rPr>
        <w:t>over</w:t>
      </w:r>
      <w:r w:rsidR="00161844">
        <w:rPr>
          <w:rFonts w:cs="Arial"/>
          <w:szCs w:val="22"/>
          <w:lang w:val="en-NZ"/>
        </w:rPr>
        <w:t xml:space="preserve"> dividends which are taxable as </w:t>
      </w:r>
      <w:r w:rsidR="00FE4848">
        <w:rPr>
          <w:rFonts w:cs="Arial"/>
          <w:szCs w:val="22"/>
          <w:lang w:val="en-NZ"/>
        </w:rPr>
        <w:t xml:space="preserve">personal </w:t>
      </w:r>
      <w:r w:rsidR="00161844">
        <w:rPr>
          <w:rFonts w:cs="Arial"/>
          <w:szCs w:val="22"/>
          <w:lang w:val="en-NZ"/>
        </w:rPr>
        <w:t>income</w:t>
      </w:r>
      <w:r w:rsidR="00FE4848">
        <w:rPr>
          <w:rFonts w:cs="Arial"/>
          <w:szCs w:val="22"/>
          <w:lang w:val="en-NZ"/>
        </w:rPr>
        <w:t>.</w:t>
      </w:r>
    </w:p>
    <w:p w14:paraId="7D8E367F" w14:textId="30BC73A1" w:rsidR="001F535C" w:rsidRPr="00700298" w:rsidRDefault="00936C61" w:rsidP="000A673F">
      <w:pPr>
        <w:pStyle w:val="ListParagraph"/>
        <w:numPr>
          <w:ilvl w:val="0"/>
          <w:numId w:val="24"/>
        </w:numPr>
        <w:ind w:left="567" w:hanging="567"/>
        <w:rPr>
          <w:rFonts w:cs="Arial"/>
          <w:szCs w:val="22"/>
          <w:lang w:val="en-NZ"/>
        </w:rPr>
      </w:pPr>
      <w:r w:rsidRPr="000A673F">
        <w:rPr>
          <w:rFonts w:cs="Arial"/>
          <w:szCs w:val="22"/>
          <w:lang w:val="en-NZ"/>
        </w:rPr>
        <w:t xml:space="preserve">Initial information for the current year is indicating some potentially interesting behaviours among the </w:t>
      </w:r>
      <w:proofErr w:type="gramStart"/>
      <w:r w:rsidRPr="000A673F">
        <w:rPr>
          <w:rFonts w:cs="Arial"/>
          <w:szCs w:val="22"/>
          <w:lang w:val="en-NZ"/>
        </w:rPr>
        <w:t>high income</w:t>
      </w:r>
      <w:proofErr w:type="gramEnd"/>
      <w:r w:rsidRPr="000A673F">
        <w:rPr>
          <w:rFonts w:cs="Arial"/>
          <w:szCs w:val="22"/>
          <w:lang w:val="en-NZ"/>
        </w:rPr>
        <w:t xml:space="preserve"> population. </w:t>
      </w:r>
      <w:r w:rsidR="00C51FB2" w:rsidRPr="000A673F">
        <w:rPr>
          <w:rFonts w:cs="Arial"/>
          <w:szCs w:val="22"/>
          <w:lang w:val="en-NZ"/>
        </w:rPr>
        <w:t>This is indicative information only and officials note that unt</w:t>
      </w:r>
      <w:r w:rsidR="00385724" w:rsidRPr="000A673F">
        <w:rPr>
          <w:rFonts w:cs="Arial"/>
          <w:szCs w:val="22"/>
          <w:lang w:val="en-NZ"/>
        </w:rPr>
        <w:t xml:space="preserve">il </w:t>
      </w:r>
      <w:r w:rsidR="008F0DD3" w:rsidRPr="000A673F">
        <w:rPr>
          <w:rFonts w:cs="Arial"/>
          <w:szCs w:val="22"/>
          <w:lang w:val="en-NZ"/>
        </w:rPr>
        <w:t xml:space="preserve">all of </w:t>
      </w:r>
      <w:r w:rsidR="00385724" w:rsidRPr="000A673F">
        <w:rPr>
          <w:rFonts w:cs="Arial"/>
          <w:szCs w:val="22"/>
          <w:lang w:val="en-NZ"/>
        </w:rPr>
        <w:t xml:space="preserve">the 2022 personal income tax returns are filed, </w:t>
      </w:r>
      <w:r w:rsidR="004C66C7" w:rsidRPr="000A673F">
        <w:rPr>
          <w:rFonts w:cs="Arial"/>
          <w:szCs w:val="22"/>
          <w:lang w:val="en-NZ"/>
        </w:rPr>
        <w:t>Inland Revenue</w:t>
      </w:r>
      <w:r w:rsidR="00385724" w:rsidRPr="000A673F">
        <w:rPr>
          <w:rFonts w:cs="Arial"/>
          <w:szCs w:val="22"/>
          <w:lang w:val="en-NZ"/>
        </w:rPr>
        <w:t xml:space="preserve"> do</w:t>
      </w:r>
      <w:r w:rsidR="004C66C7" w:rsidRPr="000A673F">
        <w:rPr>
          <w:rFonts w:cs="Arial"/>
          <w:szCs w:val="22"/>
          <w:lang w:val="en-NZ"/>
        </w:rPr>
        <w:t>es</w:t>
      </w:r>
      <w:r w:rsidR="00385724" w:rsidRPr="000A673F">
        <w:rPr>
          <w:rFonts w:cs="Arial"/>
          <w:szCs w:val="22"/>
          <w:lang w:val="en-NZ"/>
        </w:rPr>
        <w:t xml:space="preserve"> not have the full picture of what changes customers have made to their remuneration structure. </w:t>
      </w:r>
      <w:r w:rsidR="001D34AC" w:rsidRPr="000A673F">
        <w:rPr>
          <w:rFonts w:cs="Arial"/>
          <w:szCs w:val="22"/>
          <w:lang w:val="en-NZ"/>
        </w:rPr>
        <w:t xml:space="preserve">Officials also </w:t>
      </w:r>
      <w:r w:rsidR="00385724" w:rsidRPr="000A673F">
        <w:rPr>
          <w:rFonts w:cs="Arial"/>
          <w:szCs w:val="22"/>
          <w:lang w:val="en-NZ"/>
        </w:rPr>
        <w:t>note that many business</w:t>
      </w:r>
      <w:r w:rsidR="00040B59" w:rsidRPr="000A673F">
        <w:rPr>
          <w:rFonts w:cs="Arial"/>
          <w:szCs w:val="22"/>
          <w:lang w:val="en-NZ"/>
        </w:rPr>
        <w:t>es</w:t>
      </w:r>
      <w:r w:rsidR="00385724" w:rsidRPr="000A673F">
        <w:rPr>
          <w:rFonts w:cs="Arial"/>
          <w:szCs w:val="22"/>
          <w:lang w:val="en-NZ"/>
        </w:rPr>
        <w:t xml:space="preserve"> will have experienced a reduction in overall income as a result of COVID-19 which may have a correlation with decreased owners’ remuneration.</w:t>
      </w:r>
    </w:p>
    <w:p w14:paraId="596FC422" w14:textId="4168E1DC" w:rsidR="001F535C" w:rsidRPr="00700298" w:rsidRDefault="001F535C" w:rsidP="000A673F">
      <w:pPr>
        <w:pStyle w:val="ListParagraph"/>
        <w:numPr>
          <w:ilvl w:val="0"/>
          <w:numId w:val="24"/>
        </w:numPr>
        <w:ind w:left="567" w:hanging="567"/>
        <w:rPr>
          <w:rFonts w:cs="Arial"/>
          <w:szCs w:val="22"/>
          <w:lang w:val="en-NZ"/>
        </w:rPr>
      </w:pPr>
      <w:r w:rsidRPr="000A673F">
        <w:rPr>
          <w:rFonts w:cs="Arial"/>
          <w:szCs w:val="22"/>
          <w:lang w:val="en-NZ"/>
        </w:rPr>
        <w:t>Inland Revenue has p</w:t>
      </w:r>
      <w:r w:rsidR="008F0DD3" w:rsidRPr="000A673F">
        <w:rPr>
          <w:rFonts w:cs="Arial"/>
          <w:szCs w:val="22"/>
          <w:lang w:val="en-NZ"/>
        </w:rPr>
        <w:t>repared initial</w:t>
      </w:r>
      <w:r w:rsidRPr="000A673F">
        <w:rPr>
          <w:rFonts w:cs="Arial"/>
          <w:szCs w:val="22"/>
          <w:lang w:val="en-NZ"/>
        </w:rPr>
        <w:t xml:space="preserve"> analysis</w:t>
      </w:r>
      <w:r w:rsidR="008F0DD3" w:rsidRPr="000A673F">
        <w:rPr>
          <w:rFonts w:cs="Arial"/>
          <w:szCs w:val="22"/>
          <w:lang w:val="en-NZ"/>
        </w:rPr>
        <w:t xml:space="preserve"> based on filed personal income tax returns (about 60% of the analysed population have filed), PAYE and investment income returns </w:t>
      </w:r>
      <w:r w:rsidRPr="000A673F">
        <w:rPr>
          <w:rFonts w:cs="Arial"/>
          <w:szCs w:val="22"/>
          <w:lang w:val="en-NZ"/>
        </w:rPr>
        <w:t xml:space="preserve">focused on customers who meet the following criteria: </w:t>
      </w:r>
    </w:p>
    <w:p w14:paraId="154CFCB5" w14:textId="6F39A6CD" w:rsidR="001F535C" w:rsidRPr="003767F2" w:rsidRDefault="001F535C" w:rsidP="007C1E21">
      <w:pPr>
        <w:pStyle w:val="ListParagraph"/>
        <w:numPr>
          <w:ilvl w:val="0"/>
          <w:numId w:val="41"/>
        </w:numPr>
        <w:ind w:left="1134" w:hanging="567"/>
        <w:rPr>
          <w:lang w:val="en-NZ"/>
        </w:rPr>
      </w:pPr>
      <w:r>
        <w:t xml:space="preserve">Individuals whose declared income exceeded $170,000 in both the 2019 and 2020 tax </w:t>
      </w:r>
      <w:proofErr w:type="gramStart"/>
      <w:r>
        <w:t>years;</w:t>
      </w:r>
      <w:proofErr w:type="gramEnd"/>
      <w:r>
        <w:t xml:space="preserve"> </w:t>
      </w:r>
      <w:r w:rsidR="00700298">
        <w:t>and</w:t>
      </w:r>
    </w:p>
    <w:p w14:paraId="75DEEF49" w14:textId="7A782324" w:rsidR="009D7A43" w:rsidRPr="003767F2" w:rsidRDefault="001F535C" w:rsidP="007C1E21">
      <w:pPr>
        <w:pStyle w:val="ListParagraph"/>
        <w:numPr>
          <w:ilvl w:val="0"/>
          <w:numId w:val="41"/>
        </w:numPr>
        <w:ind w:left="1134" w:hanging="567"/>
        <w:rPr>
          <w:lang w:val="en-NZ"/>
        </w:rPr>
      </w:pPr>
      <w:r>
        <w:t>Individuals whose declared income, or income taxed at source exceeded $180,000 in the 2021 year.</w:t>
      </w:r>
    </w:p>
    <w:p w14:paraId="303BB5FB" w14:textId="48ACAFCB" w:rsidR="008D5EE0" w:rsidRPr="000A673F" w:rsidRDefault="00385724" w:rsidP="000A673F">
      <w:pPr>
        <w:pStyle w:val="ListParagraph"/>
        <w:numPr>
          <w:ilvl w:val="0"/>
          <w:numId w:val="24"/>
        </w:numPr>
        <w:ind w:left="567" w:hanging="567"/>
        <w:rPr>
          <w:rFonts w:cs="Arial"/>
          <w:szCs w:val="22"/>
          <w:lang w:val="en-NZ"/>
        </w:rPr>
      </w:pPr>
      <w:r w:rsidRPr="000A673F">
        <w:rPr>
          <w:rFonts w:cs="Arial"/>
          <w:szCs w:val="22"/>
          <w:lang w:val="en-NZ"/>
        </w:rPr>
        <w:t xml:space="preserve">Customers </w:t>
      </w:r>
      <w:r w:rsidRPr="007C1E21">
        <w:rPr>
          <w:rFonts w:cs="Arial"/>
          <w:b/>
          <w:bCs/>
          <w:iCs/>
          <w:szCs w:val="22"/>
          <w:lang w:val="en-NZ"/>
        </w:rPr>
        <w:t>without</w:t>
      </w:r>
      <w:r w:rsidRPr="000A673F">
        <w:rPr>
          <w:rFonts w:cs="Arial"/>
          <w:szCs w:val="22"/>
          <w:lang w:val="en-NZ"/>
        </w:rPr>
        <w:t xml:space="preserve"> an ownership/control association with their employer:</w:t>
      </w:r>
    </w:p>
    <w:tbl>
      <w:tblPr>
        <w:tblStyle w:val="TableGrid"/>
        <w:tblW w:w="0" w:type="auto"/>
        <w:tblInd w:w="567"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ook w:val="04A0" w:firstRow="1" w:lastRow="0" w:firstColumn="1" w:lastColumn="0" w:noHBand="0" w:noVBand="1"/>
      </w:tblPr>
      <w:tblGrid>
        <w:gridCol w:w="2972"/>
        <w:gridCol w:w="1840"/>
        <w:gridCol w:w="1840"/>
        <w:gridCol w:w="1841"/>
      </w:tblGrid>
      <w:tr w:rsidR="001958C5" w:rsidRPr="001958C5" w14:paraId="5026B5BF" w14:textId="77777777" w:rsidTr="007C1E21">
        <w:trPr>
          <w:tblHeader/>
        </w:trPr>
        <w:tc>
          <w:tcPr>
            <w:tcW w:w="2972" w:type="dxa"/>
            <w:shd w:val="clear" w:color="auto" w:fill="F2F2F2" w:themeFill="background1" w:themeFillShade="F2"/>
          </w:tcPr>
          <w:p w14:paraId="0FCB2D9A" w14:textId="77777777" w:rsidR="002E3402" w:rsidRPr="007C1E21" w:rsidRDefault="002E3402" w:rsidP="007C1E21">
            <w:pPr>
              <w:spacing w:before="60" w:after="60"/>
              <w:jc w:val="left"/>
              <w:rPr>
                <w:b/>
                <w:bCs/>
                <w:sz w:val="20"/>
              </w:rPr>
            </w:pPr>
          </w:p>
        </w:tc>
        <w:tc>
          <w:tcPr>
            <w:tcW w:w="1840" w:type="dxa"/>
            <w:shd w:val="clear" w:color="auto" w:fill="F2F2F2" w:themeFill="background1" w:themeFillShade="F2"/>
          </w:tcPr>
          <w:p w14:paraId="3D0A11CB" w14:textId="356124B1" w:rsidR="002E3402" w:rsidRPr="007C1E21" w:rsidRDefault="002E3402" w:rsidP="007C1E21">
            <w:pPr>
              <w:spacing w:before="60" w:after="60"/>
              <w:jc w:val="center"/>
              <w:rPr>
                <w:b/>
                <w:bCs/>
                <w:sz w:val="20"/>
              </w:rPr>
            </w:pPr>
            <w:r w:rsidRPr="007C1E21">
              <w:rPr>
                <w:b/>
                <w:bCs/>
                <w:sz w:val="20"/>
              </w:rPr>
              <w:t>Actual</w:t>
            </w:r>
          </w:p>
          <w:p w14:paraId="00A12512" w14:textId="19E9E530" w:rsidR="002E3402" w:rsidRPr="007C1E21" w:rsidRDefault="002E3402" w:rsidP="007C1E21">
            <w:pPr>
              <w:spacing w:before="60" w:after="60"/>
              <w:jc w:val="center"/>
              <w:rPr>
                <w:b/>
                <w:bCs/>
                <w:sz w:val="20"/>
              </w:rPr>
            </w:pPr>
            <w:r w:rsidRPr="007C1E21">
              <w:rPr>
                <w:b/>
                <w:bCs/>
                <w:sz w:val="20"/>
              </w:rPr>
              <w:t>31 March 2021</w:t>
            </w:r>
          </w:p>
        </w:tc>
        <w:tc>
          <w:tcPr>
            <w:tcW w:w="1840" w:type="dxa"/>
            <w:shd w:val="clear" w:color="auto" w:fill="F2F2F2" w:themeFill="background1" w:themeFillShade="F2"/>
          </w:tcPr>
          <w:p w14:paraId="08E096A8" w14:textId="6AC96BBF" w:rsidR="002E3402" w:rsidRPr="007C1E21" w:rsidRDefault="002E3402" w:rsidP="007C1E21">
            <w:pPr>
              <w:spacing w:before="60" w:after="60"/>
              <w:jc w:val="center"/>
              <w:rPr>
                <w:b/>
                <w:bCs/>
                <w:sz w:val="20"/>
              </w:rPr>
            </w:pPr>
            <w:r w:rsidRPr="007C1E21">
              <w:rPr>
                <w:b/>
                <w:bCs/>
                <w:sz w:val="20"/>
              </w:rPr>
              <w:t>Estimated</w:t>
            </w:r>
          </w:p>
          <w:p w14:paraId="4117D8E3" w14:textId="3A131385" w:rsidR="002E3402" w:rsidRPr="007C1E21" w:rsidRDefault="002E3402" w:rsidP="007C1E21">
            <w:pPr>
              <w:spacing w:before="60" w:after="60"/>
              <w:jc w:val="center"/>
              <w:rPr>
                <w:b/>
                <w:bCs/>
                <w:sz w:val="20"/>
              </w:rPr>
            </w:pPr>
            <w:r w:rsidRPr="007C1E21">
              <w:rPr>
                <w:b/>
                <w:bCs/>
                <w:sz w:val="20"/>
              </w:rPr>
              <w:t>31 March 2022</w:t>
            </w:r>
          </w:p>
        </w:tc>
        <w:tc>
          <w:tcPr>
            <w:tcW w:w="1841" w:type="dxa"/>
            <w:shd w:val="clear" w:color="auto" w:fill="F2F2F2" w:themeFill="background1" w:themeFillShade="F2"/>
          </w:tcPr>
          <w:p w14:paraId="056601D6" w14:textId="77777777" w:rsidR="002E3402" w:rsidRPr="007C1E21" w:rsidRDefault="002E3402" w:rsidP="007C1E21">
            <w:pPr>
              <w:spacing w:before="60" w:after="60"/>
              <w:jc w:val="center"/>
              <w:rPr>
                <w:b/>
                <w:bCs/>
                <w:sz w:val="20"/>
              </w:rPr>
            </w:pPr>
          </w:p>
          <w:p w14:paraId="4AE862E5" w14:textId="405B30A5" w:rsidR="002E3402" w:rsidRPr="007C1E21" w:rsidRDefault="002E3402" w:rsidP="007C1E21">
            <w:pPr>
              <w:spacing w:before="60" w:after="60"/>
              <w:jc w:val="center"/>
              <w:rPr>
                <w:b/>
                <w:bCs/>
                <w:sz w:val="20"/>
              </w:rPr>
            </w:pPr>
            <w:r w:rsidRPr="007C1E21">
              <w:rPr>
                <w:b/>
                <w:bCs/>
                <w:sz w:val="20"/>
              </w:rPr>
              <w:t xml:space="preserve">% </w:t>
            </w:r>
            <w:proofErr w:type="gramStart"/>
            <w:r w:rsidRPr="007C1E21">
              <w:rPr>
                <w:b/>
                <w:bCs/>
                <w:sz w:val="20"/>
              </w:rPr>
              <w:t>change</w:t>
            </w:r>
            <w:proofErr w:type="gramEnd"/>
          </w:p>
        </w:tc>
      </w:tr>
      <w:tr w:rsidR="002E3402" w:rsidRPr="00BC6472" w14:paraId="3A2B5663" w14:textId="77777777" w:rsidTr="007C1E21">
        <w:tc>
          <w:tcPr>
            <w:tcW w:w="2972" w:type="dxa"/>
          </w:tcPr>
          <w:p w14:paraId="78172FF5" w14:textId="4935368B" w:rsidR="002E3402" w:rsidRPr="007C1E21" w:rsidRDefault="002E3402" w:rsidP="007C1E21">
            <w:pPr>
              <w:spacing w:before="60" w:after="60"/>
              <w:jc w:val="left"/>
              <w:rPr>
                <w:b/>
                <w:bCs/>
                <w:sz w:val="20"/>
              </w:rPr>
            </w:pPr>
            <w:r w:rsidRPr="007C1E21">
              <w:rPr>
                <w:b/>
                <w:bCs/>
                <w:sz w:val="20"/>
              </w:rPr>
              <w:t>Total employment income</w:t>
            </w:r>
          </w:p>
        </w:tc>
        <w:tc>
          <w:tcPr>
            <w:tcW w:w="1840" w:type="dxa"/>
          </w:tcPr>
          <w:p w14:paraId="2C97C676" w14:textId="1AC42606" w:rsidR="002E3402" w:rsidRPr="007C1E21" w:rsidRDefault="002E3402" w:rsidP="007C1E21">
            <w:pPr>
              <w:spacing w:before="60" w:after="60"/>
              <w:jc w:val="right"/>
              <w:rPr>
                <w:sz w:val="20"/>
              </w:rPr>
            </w:pPr>
            <w:r w:rsidRPr="007C1E21">
              <w:rPr>
                <w:sz w:val="20"/>
              </w:rPr>
              <w:t>$16,979,000,000</w:t>
            </w:r>
          </w:p>
        </w:tc>
        <w:tc>
          <w:tcPr>
            <w:tcW w:w="1840" w:type="dxa"/>
          </w:tcPr>
          <w:p w14:paraId="55A56B77" w14:textId="393FBCC2" w:rsidR="002E3402" w:rsidRPr="007C1E21" w:rsidRDefault="002E3402" w:rsidP="007C1E21">
            <w:pPr>
              <w:spacing w:before="60" w:after="60"/>
              <w:jc w:val="right"/>
              <w:rPr>
                <w:sz w:val="20"/>
              </w:rPr>
            </w:pPr>
            <w:r w:rsidRPr="007C1E21">
              <w:rPr>
                <w:sz w:val="20"/>
              </w:rPr>
              <w:t>$14,724,000,000</w:t>
            </w:r>
          </w:p>
        </w:tc>
        <w:tc>
          <w:tcPr>
            <w:tcW w:w="1841" w:type="dxa"/>
          </w:tcPr>
          <w:p w14:paraId="4618A2D3" w14:textId="1338D5EC" w:rsidR="002E3402" w:rsidRPr="007C1E21" w:rsidRDefault="002E3402" w:rsidP="007C1E21">
            <w:pPr>
              <w:tabs>
                <w:tab w:val="decimal" w:pos="888"/>
              </w:tabs>
              <w:spacing w:before="60" w:after="60"/>
              <w:jc w:val="left"/>
              <w:rPr>
                <w:sz w:val="20"/>
              </w:rPr>
            </w:pPr>
            <w:r w:rsidRPr="007C1E21">
              <w:rPr>
                <w:sz w:val="20"/>
              </w:rPr>
              <w:t>13% ↓</w:t>
            </w:r>
          </w:p>
        </w:tc>
      </w:tr>
      <w:tr w:rsidR="002E3402" w:rsidRPr="00BC6472" w14:paraId="4C7572CA" w14:textId="77777777" w:rsidTr="007C1E21">
        <w:tc>
          <w:tcPr>
            <w:tcW w:w="2972" w:type="dxa"/>
          </w:tcPr>
          <w:p w14:paraId="2B9DF6B9" w14:textId="3EA4CB69" w:rsidR="002E3402" w:rsidRPr="007C1E21" w:rsidRDefault="00BA248D" w:rsidP="007C1E21">
            <w:pPr>
              <w:spacing w:before="60" w:after="60"/>
              <w:jc w:val="left"/>
              <w:rPr>
                <w:b/>
                <w:bCs/>
                <w:sz w:val="20"/>
              </w:rPr>
            </w:pPr>
            <w:r w:rsidRPr="007C1E21">
              <w:rPr>
                <w:b/>
                <w:bCs/>
                <w:sz w:val="20"/>
              </w:rPr>
              <w:t xml:space="preserve"># </w:t>
            </w:r>
            <w:proofErr w:type="gramStart"/>
            <w:r w:rsidRPr="007C1E21">
              <w:rPr>
                <w:b/>
                <w:bCs/>
                <w:sz w:val="20"/>
              </w:rPr>
              <w:t>of</w:t>
            </w:r>
            <w:proofErr w:type="gramEnd"/>
            <w:r w:rsidRPr="007C1E21">
              <w:rPr>
                <w:b/>
                <w:bCs/>
                <w:sz w:val="20"/>
              </w:rPr>
              <w:t xml:space="preserve"> employment income recipients</w:t>
            </w:r>
          </w:p>
        </w:tc>
        <w:tc>
          <w:tcPr>
            <w:tcW w:w="1840" w:type="dxa"/>
          </w:tcPr>
          <w:p w14:paraId="660EDA1E" w14:textId="6C6FB38C" w:rsidR="002E3402" w:rsidRPr="007C1E21" w:rsidRDefault="00BA248D" w:rsidP="007C1E21">
            <w:pPr>
              <w:spacing w:before="60" w:after="60"/>
              <w:jc w:val="right"/>
              <w:rPr>
                <w:sz w:val="20"/>
              </w:rPr>
            </w:pPr>
            <w:r w:rsidRPr="007C1E21">
              <w:rPr>
                <w:sz w:val="20"/>
              </w:rPr>
              <w:t>74,500</w:t>
            </w:r>
          </w:p>
        </w:tc>
        <w:tc>
          <w:tcPr>
            <w:tcW w:w="1840" w:type="dxa"/>
          </w:tcPr>
          <w:p w14:paraId="62D2929A" w14:textId="02A5DB75" w:rsidR="002E3402" w:rsidRPr="007C1E21" w:rsidRDefault="00BA248D" w:rsidP="007C1E21">
            <w:pPr>
              <w:spacing w:before="60" w:after="60"/>
              <w:jc w:val="right"/>
              <w:rPr>
                <w:sz w:val="20"/>
              </w:rPr>
            </w:pPr>
            <w:r w:rsidRPr="007C1E21">
              <w:rPr>
                <w:sz w:val="20"/>
              </w:rPr>
              <w:t>68,000</w:t>
            </w:r>
          </w:p>
        </w:tc>
        <w:tc>
          <w:tcPr>
            <w:tcW w:w="1841" w:type="dxa"/>
          </w:tcPr>
          <w:p w14:paraId="434F18C1" w14:textId="59898128" w:rsidR="002E3402" w:rsidRPr="007C1E21" w:rsidRDefault="00BA248D" w:rsidP="007C1E21">
            <w:pPr>
              <w:tabs>
                <w:tab w:val="decimal" w:pos="888"/>
              </w:tabs>
              <w:spacing w:before="60" w:after="60"/>
              <w:jc w:val="left"/>
              <w:rPr>
                <w:sz w:val="20"/>
              </w:rPr>
            </w:pPr>
            <w:r w:rsidRPr="007C1E21">
              <w:rPr>
                <w:sz w:val="20"/>
              </w:rPr>
              <w:t>9% ↓</w:t>
            </w:r>
          </w:p>
        </w:tc>
      </w:tr>
      <w:tr w:rsidR="002E3402" w:rsidRPr="00BC6472" w14:paraId="5AF3CEFC" w14:textId="77777777" w:rsidTr="007C1E21">
        <w:tc>
          <w:tcPr>
            <w:tcW w:w="2972" w:type="dxa"/>
          </w:tcPr>
          <w:p w14:paraId="50C17E95" w14:textId="26D2C0F7" w:rsidR="002E3402" w:rsidRPr="007C1E21" w:rsidRDefault="00BA248D" w:rsidP="007C1E21">
            <w:pPr>
              <w:spacing w:before="60" w:after="60"/>
              <w:jc w:val="left"/>
              <w:rPr>
                <w:b/>
                <w:bCs/>
                <w:sz w:val="20"/>
              </w:rPr>
            </w:pPr>
            <w:r w:rsidRPr="007C1E21">
              <w:rPr>
                <w:b/>
                <w:bCs/>
                <w:sz w:val="20"/>
              </w:rPr>
              <w:t>Average employment income</w:t>
            </w:r>
          </w:p>
        </w:tc>
        <w:tc>
          <w:tcPr>
            <w:tcW w:w="1840" w:type="dxa"/>
          </w:tcPr>
          <w:p w14:paraId="2A21F3BF" w14:textId="232EADB8" w:rsidR="002E3402" w:rsidRPr="007C1E21" w:rsidRDefault="00BA248D" w:rsidP="007C1E21">
            <w:pPr>
              <w:spacing w:before="60" w:after="60"/>
              <w:jc w:val="right"/>
              <w:rPr>
                <w:sz w:val="20"/>
              </w:rPr>
            </w:pPr>
            <w:r w:rsidRPr="007C1E21">
              <w:rPr>
                <w:sz w:val="20"/>
              </w:rPr>
              <w:t>$228,000</w:t>
            </w:r>
          </w:p>
        </w:tc>
        <w:tc>
          <w:tcPr>
            <w:tcW w:w="1840" w:type="dxa"/>
          </w:tcPr>
          <w:p w14:paraId="7390A327" w14:textId="25CDDCF6" w:rsidR="002E3402" w:rsidRPr="007C1E21" w:rsidRDefault="00BA248D" w:rsidP="007C1E21">
            <w:pPr>
              <w:spacing w:before="60" w:after="60"/>
              <w:jc w:val="right"/>
              <w:rPr>
                <w:sz w:val="20"/>
              </w:rPr>
            </w:pPr>
            <w:r w:rsidRPr="007C1E21">
              <w:rPr>
                <w:sz w:val="20"/>
              </w:rPr>
              <w:t>$217,000</w:t>
            </w:r>
          </w:p>
        </w:tc>
        <w:tc>
          <w:tcPr>
            <w:tcW w:w="1841" w:type="dxa"/>
          </w:tcPr>
          <w:p w14:paraId="0ECFF4ED" w14:textId="03DC66FE" w:rsidR="002E3402" w:rsidRPr="007C1E21" w:rsidRDefault="00BA248D" w:rsidP="007C1E21">
            <w:pPr>
              <w:tabs>
                <w:tab w:val="decimal" w:pos="888"/>
              </w:tabs>
              <w:spacing w:before="60" w:after="60"/>
              <w:jc w:val="left"/>
              <w:rPr>
                <w:sz w:val="20"/>
              </w:rPr>
            </w:pPr>
            <w:r w:rsidRPr="007C1E21">
              <w:rPr>
                <w:sz w:val="20"/>
              </w:rPr>
              <w:t>5% ↓</w:t>
            </w:r>
          </w:p>
        </w:tc>
      </w:tr>
    </w:tbl>
    <w:p w14:paraId="3DEF836C" w14:textId="23E0E374" w:rsidR="00C03965" w:rsidRPr="000A673F" w:rsidRDefault="00385724" w:rsidP="000A673F">
      <w:pPr>
        <w:pStyle w:val="ListParagraph"/>
        <w:numPr>
          <w:ilvl w:val="0"/>
          <w:numId w:val="24"/>
        </w:numPr>
        <w:ind w:left="567" w:hanging="567"/>
        <w:rPr>
          <w:rFonts w:cs="Arial"/>
          <w:szCs w:val="22"/>
          <w:lang w:val="en-NZ"/>
        </w:rPr>
      </w:pPr>
      <w:r w:rsidRPr="000A673F">
        <w:rPr>
          <w:rFonts w:cs="Arial"/>
          <w:szCs w:val="22"/>
          <w:lang w:val="en-NZ"/>
        </w:rPr>
        <w:t xml:space="preserve">Customers </w:t>
      </w:r>
      <w:r w:rsidRPr="007C1E21">
        <w:rPr>
          <w:rFonts w:cs="Arial"/>
          <w:b/>
          <w:bCs/>
          <w:iCs/>
          <w:szCs w:val="22"/>
          <w:lang w:val="en-NZ"/>
        </w:rPr>
        <w:t>with</w:t>
      </w:r>
      <w:r w:rsidRPr="000A673F">
        <w:rPr>
          <w:rFonts w:cs="Arial"/>
          <w:szCs w:val="22"/>
          <w:lang w:val="en-NZ"/>
        </w:rPr>
        <w:t xml:space="preserve"> an ownership/control relationship with the employing entity:</w:t>
      </w:r>
    </w:p>
    <w:tbl>
      <w:tblPr>
        <w:tblStyle w:val="TableGrid"/>
        <w:tblW w:w="0" w:type="auto"/>
        <w:tblInd w:w="567"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ook w:val="04A0" w:firstRow="1" w:lastRow="0" w:firstColumn="1" w:lastColumn="0" w:noHBand="0" w:noVBand="1"/>
      </w:tblPr>
      <w:tblGrid>
        <w:gridCol w:w="2972"/>
        <w:gridCol w:w="1840"/>
        <w:gridCol w:w="1840"/>
        <w:gridCol w:w="1841"/>
      </w:tblGrid>
      <w:tr w:rsidR="001958C5" w:rsidRPr="001958C5" w14:paraId="32F98414" w14:textId="77777777" w:rsidTr="007C1E21">
        <w:trPr>
          <w:tblHeader/>
        </w:trPr>
        <w:tc>
          <w:tcPr>
            <w:tcW w:w="2972" w:type="dxa"/>
            <w:shd w:val="clear" w:color="auto" w:fill="F2F2F2" w:themeFill="background1" w:themeFillShade="F2"/>
          </w:tcPr>
          <w:p w14:paraId="02715A41" w14:textId="77777777" w:rsidR="00C03965" w:rsidRPr="007C1E21" w:rsidRDefault="00C03965" w:rsidP="007C1E21">
            <w:pPr>
              <w:spacing w:before="60" w:after="60"/>
              <w:jc w:val="left"/>
              <w:rPr>
                <w:b/>
                <w:bCs/>
                <w:sz w:val="20"/>
              </w:rPr>
            </w:pPr>
          </w:p>
        </w:tc>
        <w:tc>
          <w:tcPr>
            <w:tcW w:w="1840" w:type="dxa"/>
            <w:shd w:val="clear" w:color="auto" w:fill="F2F2F2" w:themeFill="background1" w:themeFillShade="F2"/>
          </w:tcPr>
          <w:p w14:paraId="51A00FD5" w14:textId="77777777" w:rsidR="00C03965" w:rsidRPr="007C1E21" w:rsidRDefault="00C03965" w:rsidP="007C1E21">
            <w:pPr>
              <w:spacing w:before="60" w:after="60"/>
              <w:jc w:val="center"/>
              <w:rPr>
                <w:b/>
                <w:bCs/>
                <w:sz w:val="20"/>
              </w:rPr>
            </w:pPr>
            <w:r w:rsidRPr="007C1E21">
              <w:rPr>
                <w:b/>
                <w:bCs/>
                <w:sz w:val="20"/>
              </w:rPr>
              <w:t>Actual</w:t>
            </w:r>
          </w:p>
          <w:p w14:paraId="048C3C45" w14:textId="77777777" w:rsidR="00C03965" w:rsidRPr="007C1E21" w:rsidRDefault="00C03965" w:rsidP="007C1E21">
            <w:pPr>
              <w:spacing w:before="60" w:after="60"/>
              <w:jc w:val="center"/>
              <w:rPr>
                <w:b/>
                <w:bCs/>
                <w:sz w:val="20"/>
              </w:rPr>
            </w:pPr>
            <w:r w:rsidRPr="007C1E21">
              <w:rPr>
                <w:b/>
                <w:bCs/>
                <w:sz w:val="20"/>
              </w:rPr>
              <w:t>31 March 2021</w:t>
            </w:r>
          </w:p>
        </w:tc>
        <w:tc>
          <w:tcPr>
            <w:tcW w:w="1840" w:type="dxa"/>
            <w:shd w:val="clear" w:color="auto" w:fill="F2F2F2" w:themeFill="background1" w:themeFillShade="F2"/>
          </w:tcPr>
          <w:p w14:paraId="12F0DE0A" w14:textId="77777777" w:rsidR="00C03965" w:rsidRPr="007C1E21" w:rsidRDefault="00C03965" w:rsidP="007C1E21">
            <w:pPr>
              <w:spacing w:before="60" w:after="60"/>
              <w:jc w:val="center"/>
              <w:rPr>
                <w:b/>
                <w:bCs/>
                <w:sz w:val="20"/>
              </w:rPr>
            </w:pPr>
            <w:r w:rsidRPr="007C1E21">
              <w:rPr>
                <w:b/>
                <w:bCs/>
                <w:sz w:val="20"/>
              </w:rPr>
              <w:t>Estimated</w:t>
            </w:r>
          </w:p>
          <w:p w14:paraId="3D82D73C" w14:textId="77777777" w:rsidR="00C03965" w:rsidRPr="007C1E21" w:rsidRDefault="00C03965" w:rsidP="007C1E21">
            <w:pPr>
              <w:spacing w:before="60" w:after="60"/>
              <w:jc w:val="center"/>
              <w:rPr>
                <w:b/>
                <w:bCs/>
                <w:sz w:val="20"/>
              </w:rPr>
            </w:pPr>
            <w:r w:rsidRPr="007C1E21">
              <w:rPr>
                <w:b/>
                <w:bCs/>
                <w:sz w:val="20"/>
              </w:rPr>
              <w:t>31 March 2022</w:t>
            </w:r>
          </w:p>
        </w:tc>
        <w:tc>
          <w:tcPr>
            <w:tcW w:w="1841" w:type="dxa"/>
            <w:shd w:val="clear" w:color="auto" w:fill="F2F2F2" w:themeFill="background1" w:themeFillShade="F2"/>
          </w:tcPr>
          <w:p w14:paraId="5F87FC13" w14:textId="77777777" w:rsidR="00C03965" w:rsidRPr="007C1E21" w:rsidRDefault="00C03965" w:rsidP="007C1E21">
            <w:pPr>
              <w:spacing w:before="60" w:after="60"/>
              <w:jc w:val="center"/>
              <w:rPr>
                <w:b/>
                <w:bCs/>
                <w:sz w:val="20"/>
              </w:rPr>
            </w:pPr>
          </w:p>
          <w:p w14:paraId="7EDE5897" w14:textId="77777777" w:rsidR="00C03965" w:rsidRPr="007C1E21" w:rsidRDefault="00C03965" w:rsidP="007C1E21">
            <w:pPr>
              <w:spacing w:before="60" w:after="60"/>
              <w:jc w:val="center"/>
              <w:rPr>
                <w:b/>
                <w:bCs/>
                <w:sz w:val="20"/>
              </w:rPr>
            </w:pPr>
            <w:r w:rsidRPr="007C1E21">
              <w:rPr>
                <w:b/>
                <w:bCs/>
                <w:sz w:val="20"/>
              </w:rPr>
              <w:t xml:space="preserve">% </w:t>
            </w:r>
            <w:proofErr w:type="gramStart"/>
            <w:r w:rsidRPr="007C1E21">
              <w:rPr>
                <w:b/>
                <w:bCs/>
                <w:sz w:val="20"/>
              </w:rPr>
              <w:t>change</w:t>
            </w:r>
            <w:proofErr w:type="gramEnd"/>
          </w:p>
        </w:tc>
      </w:tr>
      <w:tr w:rsidR="00C03965" w:rsidRPr="00F94F34" w14:paraId="08CF6C75" w14:textId="77777777" w:rsidTr="007C1E21">
        <w:tc>
          <w:tcPr>
            <w:tcW w:w="2972" w:type="dxa"/>
          </w:tcPr>
          <w:p w14:paraId="294CCA69" w14:textId="77777777" w:rsidR="00C03965" w:rsidRPr="007C1E21" w:rsidRDefault="00C03965" w:rsidP="007C1E21">
            <w:pPr>
              <w:spacing w:before="60" w:after="60"/>
              <w:jc w:val="left"/>
              <w:rPr>
                <w:b/>
                <w:bCs/>
                <w:sz w:val="20"/>
              </w:rPr>
            </w:pPr>
            <w:r w:rsidRPr="007C1E21">
              <w:rPr>
                <w:b/>
                <w:bCs/>
                <w:sz w:val="20"/>
              </w:rPr>
              <w:t>Total employment income</w:t>
            </w:r>
          </w:p>
        </w:tc>
        <w:tc>
          <w:tcPr>
            <w:tcW w:w="1840" w:type="dxa"/>
          </w:tcPr>
          <w:p w14:paraId="01FDDB24" w14:textId="5710DA66" w:rsidR="00C03965" w:rsidRPr="007C1E21" w:rsidRDefault="00C03965" w:rsidP="007C1E21">
            <w:pPr>
              <w:spacing w:before="60" w:after="60"/>
              <w:jc w:val="right"/>
              <w:rPr>
                <w:sz w:val="20"/>
              </w:rPr>
            </w:pPr>
            <w:r w:rsidRPr="007C1E21">
              <w:rPr>
                <w:sz w:val="20"/>
              </w:rPr>
              <w:t>$4,287,000,000</w:t>
            </w:r>
          </w:p>
        </w:tc>
        <w:tc>
          <w:tcPr>
            <w:tcW w:w="1840" w:type="dxa"/>
          </w:tcPr>
          <w:p w14:paraId="02CCA203" w14:textId="0BBB32D2" w:rsidR="00C03965" w:rsidRPr="007C1E21" w:rsidRDefault="00C03965" w:rsidP="007C1E21">
            <w:pPr>
              <w:spacing w:before="60" w:after="60"/>
              <w:jc w:val="right"/>
              <w:rPr>
                <w:sz w:val="20"/>
              </w:rPr>
            </w:pPr>
            <w:r w:rsidRPr="007C1E21">
              <w:rPr>
                <w:sz w:val="20"/>
              </w:rPr>
              <w:t>$3,656,000,000</w:t>
            </w:r>
          </w:p>
        </w:tc>
        <w:tc>
          <w:tcPr>
            <w:tcW w:w="1841" w:type="dxa"/>
          </w:tcPr>
          <w:p w14:paraId="7F700DD4" w14:textId="27260716" w:rsidR="00C03965" w:rsidRPr="007C1E21" w:rsidRDefault="00C03965" w:rsidP="007C1E21">
            <w:pPr>
              <w:tabs>
                <w:tab w:val="decimal" w:pos="888"/>
              </w:tabs>
              <w:spacing w:before="60" w:after="60"/>
              <w:jc w:val="left"/>
              <w:rPr>
                <w:sz w:val="20"/>
              </w:rPr>
            </w:pPr>
            <w:r w:rsidRPr="007C1E21">
              <w:rPr>
                <w:sz w:val="20"/>
              </w:rPr>
              <w:t>15% ↓</w:t>
            </w:r>
          </w:p>
        </w:tc>
      </w:tr>
      <w:tr w:rsidR="00C03965" w:rsidRPr="00F94F34" w14:paraId="09062033" w14:textId="77777777" w:rsidTr="007C1E21">
        <w:tc>
          <w:tcPr>
            <w:tcW w:w="2972" w:type="dxa"/>
          </w:tcPr>
          <w:p w14:paraId="18808CD0" w14:textId="77777777" w:rsidR="00C03965" w:rsidRPr="007C1E21" w:rsidRDefault="00C03965" w:rsidP="007C1E21">
            <w:pPr>
              <w:spacing w:before="60" w:after="60"/>
              <w:jc w:val="left"/>
              <w:rPr>
                <w:b/>
                <w:bCs/>
                <w:sz w:val="20"/>
              </w:rPr>
            </w:pPr>
            <w:r w:rsidRPr="007C1E21">
              <w:rPr>
                <w:b/>
                <w:bCs/>
                <w:sz w:val="20"/>
              </w:rPr>
              <w:t xml:space="preserve"># </w:t>
            </w:r>
            <w:proofErr w:type="gramStart"/>
            <w:r w:rsidRPr="007C1E21">
              <w:rPr>
                <w:b/>
                <w:bCs/>
                <w:sz w:val="20"/>
              </w:rPr>
              <w:t>of</w:t>
            </w:r>
            <w:proofErr w:type="gramEnd"/>
            <w:r w:rsidRPr="007C1E21">
              <w:rPr>
                <w:b/>
                <w:bCs/>
                <w:sz w:val="20"/>
              </w:rPr>
              <w:t xml:space="preserve"> employment income recipients</w:t>
            </w:r>
          </w:p>
        </w:tc>
        <w:tc>
          <w:tcPr>
            <w:tcW w:w="1840" w:type="dxa"/>
          </w:tcPr>
          <w:p w14:paraId="16A6C5E8" w14:textId="35BE35C9" w:rsidR="00C03965" w:rsidRPr="007C1E21" w:rsidRDefault="00C03965" w:rsidP="007C1E21">
            <w:pPr>
              <w:spacing w:before="60" w:after="60"/>
              <w:jc w:val="right"/>
              <w:rPr>
                <w:sz w:val="20"/>
              </w:rPr>
            </w:pPr>
            <w:r w:rsidRPr="007C1E21">
              <w:rPr>
                <w:sz w:val="20"/>
              </w:rPr>
              <w:t>22,500</w:t>
            </w:r>
          </w:p>
        </w:tc>
        <w:tc>
          <w:tcPr>
            <w:tcW w:w="1840" w:type="dxa"/>
          </w:tcPr>
          <w:p w14:paraId="17030D8E" w14:textId="6F9499B9" w:rsidR="00C03965" w:rsidRPr="007C1E21" w:rsidRDefault="00C03965" w:rsidP="007C1E21">
            <w:pPr>
              <w:spacing w:before="60" w:after="60"/>
              <w:jc w:val="right"/>
              <w:rPr>
                <w:sz w:val="20"/>
              </w:rPr>
            </w:pPr>
            <w:r w:rsidRPr="007C1E21">
              <w:rPr>
                <w:sz w:val="20"/>
              </w:rPr>
              <w:t>22,000</w:t>
            </w:r>
          </w:p>
        </w:tc>
        <w:tc>
          <w:tcPr>
            <w:tcW w:w="1841" w:type="dxa"/>
          </w:tcPr>
          <w:p w14:paraId="6B2BC3DF" w14:textId="2EA02948" w:rsidR="00C03965" w:rsidRPr="007C1E21" w:rsidRDefault="00C03965" w:rsidP="007C1E21">
            <w:pPr>
              <w:tabs>
                <w:tab w:val="decimal" w:pos="888"/>
              </w:tabs>
              <w:spacing w:before="60" w:after="60"/>
              <w:jc w:val="left"/>
              <w:rPr>
                <w:sz w:val="20"/>
              </w:rPr>
            </w:pPr>
            <w:r w:rsidRPr="007C1E21">
              <w:rPr>
                <w:sz w:val="20"/>
              </w:rPr>
              <w:t>2% ↓</w:t>
            </w:r>
          </w:p>
        </w:tc>
      </w:tr>
      <w:tr w:rsidR="00C03965" w:rsidRPr="00F94F34" w14:paraId="6A72B5A3" w14:textId="77777777" w:rsidTr="007C1E21">
        <w:tc>
          <w:tcPr>
            <w:tcW w:w="2972" w:type="dxa"/>
          </w:tcPr>
          <w:p w14:paraId="4B0E0471" w14:textId="77777777" w:rsidR="00C03965" w:rsidRPr="007C1E21" w:rsidRDefault="00C03965" w:rsidP="007C1E21">
            <w:pPr>
              <w:spacing w:before="60" w:after="60"/>
              <w:rPr>
                <w:b/>
                <w:bCs/>
                <w:sz w:val="20"/>
              </w:rPr>
            </w:pPr>
            <w:r w:rsidRPr="007C1E21">
              <w:rPr>
                <w:b/>
                <w:bCs/>
                <w:sz w:val="20"/>
              </w:rPr>
              <w:t>Average employment income</w:t>
            </w:r>
          </w:p>
        </w:tc>
        <w:tc>
          <w:tcPr>
            <w:tcW w:w="1840" w:type="dxa"/>
          </w:tcPr>
          <w:p w14:paraId="73CD3A90" w14:textId="0FE3FBF8" w:rsidR="00C03965" w:rsidRPr="007C1E21" w:rsidRDefault="00C03965" w:rsidP="007C1E21">
            <w:pPr>
              <w:spacing w:before="60" w:after="60"/>
              <w:jc w:val="right"/>
              <w:rPr>
                <w:sz w:val="20"/>
              </w:rPr>
            </w:pPr>
            <w:r w:rsidRPr="007C1E21">
              <w:rPr>
                <w:sz w:val="20"/>
              </w:rPr>
              <w:t>$191,000</w:t>
            </w:r>
          </w:p>
        </w:tc>
        <w:tc>
          <w:tcPr>
            <w:tcW w:w="1840" w:type="dxa"/>
          </w:tcPr>
          <w:p w14:paraId="234CAC83" w14:textId="3138392E" w:rsidR="00C03965" w:rsidRPr="007C1E21" w:rsidRDefault="00C03965" w:rsidP="007C1E21">
            <w:pPr>
              <w:spacing w:before="60" w:after="60"/>
              <w:jc w:val="right"/>
              <w:rPr>
                <w:sz w:val="20"/>
              </w:rPr>
            </w:pPr>
            <w:r w:rsidRPr="007C1E21">
              <w:rPr>
                <w:sz w:val="20"/>
              </w:rPr>
              <w:t>$166,000</w:t>
            </w:r>
          </w:p>
        </w:tc>
        <w:tc>
          <w:tcPr>
            <w:tcW w:w="1841" w:type="dxa"/>
          </w:tcPr>
          <w:p w14:paraId="4F82DD5A" w14:textId="33776310" w:rsidR="00C03965" w:rsidRPr="007C1E21" w:rsidRDefault="00C03965" w:rsidP="007C1E21">
            <w:pPr>
              <w:tabs>
                <w:tab w:val="decimal" w:pos="888"/>
              </w:tabs>
              <w:spacing w:before="60" w:after="60"/>
              <w:jc w:val="left"/>
              <w:rPr>
                <w:sz w:val="20"/>
              </w:rPr>
            </w:pPr>
            <w:r w:rsidRPr="007C1E21">
              <w:rPr>
                <w:sz w:val="20"/>
              </w:rPr>
              <w:t>13% ↓</w:t>
            </w:r>
          </w:p>
        </w:tc>
      </w:tr>
    </w:tbl>
    <w:p w14:paraId="6963BF1D" w14:textId="643A800C" w:rsidR="00385724" w:rsidRPr="00700298" w:rsidRDefault="00385724" w:rsidP="00700298">
      <w:pPr>
        <w:pStyle w:val="ListParagraph"/>
        <w:numPr>
          <w:ilvl w:val="0"/>
          <w:numId w:val="24"/>
        </w:numPr>
        <w:ind w:left="567" w:hanging="567"/>
        <w:rPr>
          <w:rFonts w:cs="Arial"/>
          <w:szCs w:val="22"/>
          <w:lang w:val="en-NZ"/>
        </w:rPr>
      </w:pPr>
      <w:r w:rsidRPr="00700298">
        <w:rPr>
          <w:rFonts w:cs="Arial"/>
          <w:szCs w:val="22"/>
          <w:lang w:val="en-NZ"/>
        </w:rPr>
        <w:t xml:space="preserve">In an ordinary arm-length situation </w:t>
      </w:r>
      <w:r w:rsidR="00F80EAC" w:rsidRPr="00700298">
        <w:rPr>
          <w:rFonts w:cs="Arial"/>
          <w:szCs w:val="22"/>
          <w:lang w:val="en-NZ"/>
        </w:rPr>
        <w:t>officials</w:t>
      </w:r>
      <w:r w:rsidRPr="00700298">
        <w:rPr>
          <w:rFonts w:cs="Arial"/>
          <w:szCs w:val="22"/>
          <w:lang w:val="en-NZ"/>
        </w:rPr>
        <w:t xml:space="preserve"> wouldn</w:t>
      </w:r>
      <w:r w:rsidR="00F80EAC" w:rsidRPr="00700298">
        <w:rPr>
          <w:rFonts w:cs="Arial"/>
          <w:szCs w:val="22"/>
          <w:lang w:val="en-NZ"/>
        </w:rPr>
        <w:t>’</w:t>
      </w:r>
      <w:r w:rsidRPr="00700298">
        <w:rPr>
          <w:rFonts w:cs="Arial"/>
          <w:szCs w:val="22"/>
          <w:lang w:val="en-NZ"/>
        </w:rPr>
        <w:t>t expect an employee</w:t>
      </w:r>
      <w:r w:rsidR="00F80EAC" w:rsidRPr="00700298">
        <w:rPr>
          <w:rFonts w:cs="Arial"/>
          <w:szCs w:val="22"/>
          <w:lang w:val="en-NZ"/>
        </w:rPr>
        <w:t>’</w:t>
      </w:r>
      <w:r w:rsidRPr="00700298">
        <w:rPr>
          <w:rFonts w:cs="Arial"/>
          <w:szCs w:val="22"/>
          <w:lang w:val="en-NZ"/>
        </w:rPr>
        <w:t>s income to decrease (except to the extent, in the current environment, that they are impacted by COVID-19)</w:t>
      </w:r>
      <w:r w:rsidR="0065273A" w:rsidRPr="00700298">
        <w:rPr>
          <w:rFonts w:cs="Arial"/>
          <w:szCs w:val="22"/>
          <w:lang w:val="en-NZ"/>
        </w:rPr>
        <w:t>. Based on the</w:t>
      </w:r>
      <w:r w:rsidRPr="00700298">
        <w:rPr>
          <w:rFonts w:cs="Arial"/>
          <w:szCs w:val="22"/>
          <w:lang w:val="en-NZ"/>
        </w:rPr>
        <w:t xml:space="preserve"> data above</w:t>
      </w:r>
      <w:r w:rsidR="0065273A" w:rsidRPr="00700298">
        <w:rPr>
          <w:rFonts w:cs="Arial"/>
          <w:szCs w:val="22"/>
          <w:lang w:val="en-NZ"/>
        </w:rPr>
        <w:t>,</w:t>
      </w:r>
      <w:r w:rsidRPr="00700298">
        <w:rPr>
          <w:rFonts w:cs="Arial"/>
          <w:szCs w:val="22"/>
          <w:lang w:val="en-NZ"/>
        </w:rPr>
        <w:t xml:space="preserve"> high-income employees who are not associated with their employer have shown a 5% decrease in their average income. In comparison those employees who own/control their employer (</w:t>
      </w:r>
      <w:r w:rsidR="00F94F34">
        <w:rPr>
          <w:rFonts w:cs="Arial"/>
          <w:szCs w:val="22"/>
          <w:lang w:val="en-NZ"/>
        </w:rPr>
        <w:t>that is,</w:t>
      </w:r>
      <w:r w:rsidRPr="00700298">
        <w:rPr>
          <w:rFonts w:cs="Arial"/>
          <w:szCs w:val="22"/>
          <w:lang w:val="en-NZ"/>
        </w:rPr>
        <w:t xml:space="preserve"> are a director or shareholder of the employer entity) have shown a 13% decrease in their average incomes</w:t>
      </w:r>
      <w:r w:rsidR="00F33112" w:rsidRPr="00700298">
        <w:rPr>
          <w:rFonts w:cs="Arial"/>
          <w:szCs w:val="22"/>
          <w:lang w:val="en-NZ"/>
        </w:rPr>
        <w:t xml:space="preserve"> that takes them to an average income below the $180,000 threshold for the 39% personal tax rate.</w:t>
      </w:r>
    </w:p>
    <w:p w14:paraId="6AB2F105" w14:textId="3501C556" w:rsidR="001F535C" w:rsidRPr="00700298" w:rsidRDefault="00936C61" w:rsidP="00700298">
      <w:pPr>
        <w:pStyle w:val="ListParagraph"/>
        <w:numPr>
          <w:ilvl w:val="0"/>
          <w:numId w:val="24"/>
        </w:numPr>
        <w:ind w:left="567" w:hanging="567"/>
        <w:rPr>
          <w:rFonts w:cs="Arial"/>
          <w:szCs w:val="22"/>
          <w:lang w:val="en-NZ"/>
        </w:rPr>
      </w:pPr>
      <w:r w:rsidRPr="00700298">
        <w:rPr>
          <w:rFonts w:cs="Arial"/>
          <w:szCs w:val="22"/>
          <w:lang w:val="en-NZ"/>
        </w:rPr>
        <w:t xml:space="preserve">Since November 2020 the target population have formed 10,633 new companies, 2,630 new trusts and 362 new partnerships. This is a 28% increase in the volume of new entities established by this population from the prior </w:t>
      </w:r>
      <w:proofErr w:type="gramStart"/>
      <w:r w:rsidRPr="00700298">
        <w:rPr>
          <w:rFonts w:cs="Arial"/>
          <w:szCs w:val="22"/>
          <w:lang w:val="en-NZ"/>
        </w:rPr>
        <w:t>12 month</w:t>
      </w:r>
      <w:proofErr w:type="gramEnd"/>
      <w:r w:rsidRPr="00700298">
        <w:rPr>
          <w:rFonts w:cs="Arial"/>
          <w:szCs w:val="22"/>
          <w:lang w:val="en-NZ"/>
        </w:rPr>
        <w:t xml:space="preserve"> period.</w:t>
      </w:r>
      <w:r w:rsidR="0001267C" w:rsidRPr="00700298">
        <w:rPr>
          <w:rFonts w:cs="Arial"/>
          <w:szCs w:val="22"/>
          <w:lang w:val="en-NZ"/>
        </w:rPr>
        <w:t xml:space="preserve"> This combined with the estimated movements in income is causing concern that structures may be being used to reduce incomes below $180,000.</w:t>
      </w:r>
    </w:p>
    <w:p w14:paraId="034F63FE" w14:textId="2A4A1AF4" w:rsidR="00AF7E1C" w:rsidRPr="00700298" w:rsidRDefault="002B1915" w:rsidP="004A4FB3">
      <w:pPr>
        <w:pStyle w:val="ListParagraph"/>
        <w:numPr>
          <w:ilvl w:val="0"/>
          <w:numId w:val="24"/>
        </w:numPr>
        <w:spacing w:line="240" w:lineRule="auto"/>
        <w:ind w:left="567" w:hanging="567"/>
        <w:rPr>
          <w:rFonts w:cs="Arial"/>
          <w:szCs w:val="22"/>
          <w:lang w:val="en-NZ"/>
        </w:rPr>
      </w:pPr>
      <w:r w:rsidRPr="004A4FB3">
        <w:rPr>
          <w:rFonts w:cs="Arial"/>
          <w:color w:val="D9D9D9" w:themeColor="background1" w:themeShade="D9"/>
          <w:szCs w:val="22"/>
          <w:shd w:val="clear" w:color="auto" w:fill="D9D9D9" w:themeFill="background1" w:themeFillShade="D9"/>
          <w:lang w:val="en-NZ"/>
        </w:rPr>
        <w:t>.</w:t>
      </w:r>
      <w:r w:rsidRPr="00794104">
        <w:rPr>
          <w:rFonts w:cs="Arial"/>
          <w:sz w:val="20"/>
          <w:shd w:val="clear" w:color="auto" w:fill="D9D9D9" w:themeFill="background1" w:themeFillShade="D9"/>
          <w:lang w:val="en-NZ"/>
        </w:rPr>
        <w:t>s 6(c)</w:t>
      </w:r>
      <w:r w:rsidRPr="004A4FB3">
        <w:rPr>
          <w:rFonts w:cs="Arial"/>
          <w:color w:val="D9D9D9" w:themeColor="background1" w:themeShade="D9"/>
          <w:szCs w:val="22"/>
          <w:shd w:val="clear" w:color="auto" w:fill="D9D9D9" w:themeFill="background1" w:themeFillShade="D9"/>
          <w:lang w:val="en-NZ"/>
        </w:rPr>
        <w:t>…………………………………………………………………………………………….</w:t>
      </w:r>
      <w:r w:rsidR="00E67501">
        <w:rPr>
          <w:rFonts w:cs="Arial"/>
          <w:color w:val="D9D9D9" w:themeColor="background1" w:themeShade="D9"/>
          <w:szCs w:val="22"/>
          <w:shd w:val="clear" w:color="auto" w:fill="D9D9D9" w:themeFill="background1" w:themeFillShade="D9"/>
          <w:lang w:val="en-NZ"/>
        </w:rPr>
        <w:t>.</w:t>
      </w:r>
      <w:r w:rsidRPr="004A4FB3">
        <w:rPr>
          <w:rFonts w:cs="Arial"/>
          <w:color w:val="D9D9D9" w:themeColor="background1" w:themeShade="D9"/>
          <w:szCs w:val="22"/>
          <w:shd w:val="clear" w:color="auto" w:fill="D9D9D9" w:themeFill="background1" w:themeFillShade="D9"/>
          <w:lang w:val="en-NZ"/>
        </w:rPr>
        <w:t>.</w:t>
      </w:r>
      <w:r w:rsidR="003F0D10" w:rsidRPr="004A4FB3">
        <w:rPr>
          <w:rFonts w:cs="Arial"/>
          <w:color w:val="D9D9D9" w:themeColor="background1" w:themeShade="D9"/>
          <w:szCs w:val="22"/>
          <w:shd w:val="clear" w:color="auto" w:fill="D9D9D9" w:themeFill="background1" w:themeFillShade="D9"/>
          <w:lang w:val="en-NZ"/>
        </w:rPr>
        <w:br/>
      </w:r>
      <w:r w:rsidR="00794104" w:rsidRPr="004A4FB3">
        <w:rPr>
          <w:rFonts w:cs="Arial"/>
          <w:color w:val="D9D9D9" w:themeColor="background1" w:themeShade="D9"/>
          <w:szCs w:val="22"/>
          <w:shd w:val="clear" w:color="auto" w:fill="D9D9D9" w:themeFill="background1" w:themeFillShade="D9"/>
          <w:lang w:val="en-NZ"/>
        </w:rPr>
        <w:t>……………………………………………………………………………………………………..</w:t>
      </w:r>
      <w:r w:rsidR="003F0D10" w:rsidRPr="004A4FB3">
        <w:rPr>
          <w:rFonts w:cs="Arial"/>
          <w:color w:val="D9D9D9" w:themeColor="background1" w:themeShade="D9"/>
          <w:szCs w:val="22"/>
          <w:shd w:val="clear" w:color="auto" w:fill="D9D9D9" w:themeFill="background1" w:themeFillShade="D9"/>
          <w:lang w:val="en-NZ"/>
        </w:rPr>
        <w:br/>
      </w:r>
      <w:r w:rsidR="00794104" w:rsidRPr="004A4FB3">
        <w:rPr>
          <w:rFonts w:cs="Arial"/>
          <w:color w:val="D9D9D9" w:themeColor="background1" w:themeShade="D9"/>
          <w:szCs w:val="22"/>
          <w:shd w:val="clear" w:color="auto" w:fill="D9D9D9" w:themeFill="background1" w:themeFillShade="D9"/>
          <w:lang w:val="en-NZ"/>
        </w:rPr>
        <w:t>……………………………………………………………………………………………………..</w:t>
      </w:r>
      <w:r w:rsidR="003F0D10" w:rsidRPr="004A4FB3">
        <w:rPr>
          <w:rFonts w:cs="Arial"/>
          <w:color w:val="D9D9D9" w:themeColor="background1" w:themeShade="D9"/>
          <w:szCs w:val="22"/>
          <w:shd w:val="clear" w:color="auto" w:fill="D9D9D9" w:themeFill="background1" w:themeFillShade="D9"/>
          <w:lang w:val="en-NZ"/>
        </w:rPr>
        <w:br/>
      </w:r>
      <w:r w:rsidR="00794104" w:rsidRPr="004A4FB3">
        <w:rPr>
          <w:rFonts w:cs="Arial"/>
          <w:color w:val="D9D9D9" w:themeColor="background1" w:themeShade="D9"/>
          <w:szCs w:val="22"/>
          <w:shd w:val="clear" w:color="auto" w:fill="D9D9D9" w:themeFill="background1" w:themeFillShade="D9"/>
          <w:lang w:val="en-NZ"/>
        </w:rPr>
        <w:t>……………………………………………………………………………………………………..</w:t>
      </w:r>
      <w:r w:rsidR="003F0D10" w:rsidRPr="004A4FB3">
        <w:rPr>
          <w:rFonts w:cs="Arial"/>
          <w:color w:val="D9D9D9" w:themeColor="background1" w:themeShade="D9"/>
          <w:szCs w:val="22"/>
          <w:shd w:val="clear" w:color="auto" w:fill="D9D9D9" w:themeFill="background1" w:themeFillShade="D9"/>
          <w:lang w:val="en-NZ"/>
        </w:rPr>
        <w:br/>
      </w:r>
      <w:r w:rsidR="00794104" w:rsidRPr="004A4FB3">
        <w:rPr>
          <w:rFonts w:cs="Arial"/>
          <w:color w:val="D9D9D9" w:themeColor="background1" w:themeShade="D9"/>
          <w:szCs w:val="22"/>
          <w:shd w:val="clear" w:color="auto" w:fill="D9D9D9" w:themeFill="background1" w:themeFillShade="D9"/>
          <w:lang w:val="en-NZ"/>
        </w:rPr>
        <w:t>……………………………………………………………………………………………………..</w:t>
      </w:r>
    </w:p>
    <w:p w14:paraId="572A3463" w14:textId="76E9B730" w:rsidR="00952D6C" w:rsidRPr="00700298" w:rsidRDefault="00952D6C" w:rsidP="00700298">
      <w:pPr>
        <w:pStyle w:val="ListParagraph"/>
        <w:numPr>
          <w:ilvl w:val="0"/>
          <w:numId w:val="24"/>
        </w:numPr>
        <w:ind w:left="567" w:hanging="567"/>
        <w:rPr>
          <w:rFonts w:cs="Arial"/>
          <w:szCs w:val="22"/>
          <w:lang w:val="en-NZ"/>
        </w:rPr>
      </w:pPr>
      <w:r w:rsidRPr="00700298">
        <w:rPr>
          <w:rFonts w:cs="Arial"/>
          <w:szCs w:val="22"/>
          <w:lang w:val="en-NZ"/>
        </w:rPr>
        <w:t>There are</w:t>
      </w:r>
      <w:r w:rsidR="00000A06" w:rsidRPr="00700298">
        <w:rPr>
          <w:rFonts w:cs="Arial"/>
          <w:szCs w:val="22"/>
          <w:lang w:val="en-NZ"/>
        </w:rPr>
        <w:t xml:space="preserve"> also</w:t>
      </w:r>
      <w:r w:rsidRPr="00700298">
        <w:rPr>
          <w:rFonts w:cs="Arial"/>
          <w:szCs w:val="22"/>
          <w:lang w:val="en-NZ"/>
        </w:rPr>
        <w:t xml:space="preserve"> some specific rules such as the personal services attribution rules t</w:t>
      </w:r>
      <w:r w:rsidR="00C71F36" w:rsidRPr="00700298">
        <w:rPr>
          <w:rFonts w:cs="Arial"/>
          <w:szCs w:val="22"/>
          <w:lang w:val="en-NZ"/>
        </w:rPr>
        <w:t>hat are intended to prevent people from diverting their personal income to lower tax rate entities</w:t>
      </w:r>
      <w:r w:rsidR="00500594" w:rsidRPr="00700298">
        <w:rPr>
          <w:rFonts w:cs="Arial"/>
          <w:szCs w:val="22"/>
          <w:lang w:val="en-NZ"/>
        </w:rPr>
        <w:t xml:space="preserve">. The personal services attribution rule is very narrowly framed and </w:t>
      </w:r>
      <w:r w:rsidR="0068295F" w:rsidRPr="00700298">
        <w:rPr>
          <w:rFonts w:cs="Arial"/>
          <w:szCs w:val="22"/>
          <w:lang w:val="en-NZ"/>
        </w:rPr>
        <w:t xml:space="preserve">effectively only captures situations that are </w:t>
      </w:r>
      <w:r w:rsidR="00C54D88" w:rsidRPr="00700298">
        <w:rPr>
          <w:rFonts w:cs="Arial"/>
          <w:szCs w:val="22"/>
          <w:lang w:val="en-NZ"/>
        </w:rPr>
        <w:t>similar to direct employment with one buyer and one seller of services that the seller personally performs</w:t>
      </w:r>
      <w:r w:rsidR="00F32B97" w:rsidRPr="00700298">
        <w:rPr>
          <w:rFonts w:cs="Arial"/>
          <w:szCs w:val="22"/>
          <w:lang w:val="en-NZ"/>
        </w:rPr>
        <w:t>.</w:t>
      </w:r>
    </w:p>
    <w:p w14:paraId="432E43C8" w14:textId="39DED9FD" w:rsidR="008406F3" w:rsidRPr="00700298" w:rsidRDefault="008406F3" w:rsidP="00700298">
      <w:pPr>
        <w:pStyle w:val="ListParagraph"/>
        <w:numPr>
          <w:ilvl w:val="0"/>
          <w:numId w:val="24"/>
        </w:numPr>
        <w:ind w:left="567" w:hanging="567"/>
        <w:rPr>
          <w:rFonts w:cs="Arial"/>
          <w:szCs w:val="22"/>
          <w:lang w:val="en-NZ"/>
        </w:rPr>
      </w:pPr>
      <w:r w:rsidRPr="00700298">
        <w:rPr>
          <w:rFonts w:cs="Arial"/>
          <w:szCs w:val="22"/>
          <w:lang w:val="en-NZ"/>
        </w:rPr>
        <w:t xml:space="preserve">Without further action to support the integrity of the </w:t>
      </w:r>
      <w:r w:rsidR="006426AC" w:rsidRPr="00700298">
        <w:rPr>
          <w:rFonts w:cs="Arial"/>
          <w:szCs w:val="22"/>
          <w:lang w:val="en-NZ"/>
        </w:rPr>
        <w:t>39% personal tax rate it is expected that structuring would increase</w:t>
      </w:r>
      <w:r w:rsidR="00F25FDE" w:rsidRPr="00700298">
        <w:rPr>
          <w:rFonts w:cs="Arial"/>
          <w:szCs w:val="22"/>
          <w:lang w:val="en-NZ"/>
        </w:rPr>
        <w:t xml:space="preserve">. The Government has attempted to reduce this risk by </w:t>
      </w:r>
      <w:r w:rsidR="000D6339" w:rsidRPr="00700298">
        <w:rPr>
          <w:rFonts w:cs="Arial"/>
          <w:szCs w:val="22"/>
          <w:lang w:val="en-NZ"/>
        </w:rPr>
        <w:t>announcing that further integrity measures would be adopted if structuring was observed</w:t>
      </w:r>
      <w:r w:rsidR="00864A8E" w:rsidRPr="00700298">
        <w:rPr>
          <w:rFonts w:cs="Arial"/>
          <w:szCs w:val="22"/>
          <w:lang w:val="en-NZ"/>
        </w:rPr>
        <w:t>.</w:t>
      </w:r>
    </w:p>
    <w:p w14:paraId="478EFC4A" w14:textId="553E55CF" w:rsidR="00E901E5" w:rsidRPr="00E901E5" w:rsidRDefault="007D78A1" w:rsidP="00E901E5">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760FFEE0" w14:textId="5ED46EC0" w:rsidR="007E4F5A" w:rsidRPr="00700298" w:rsidRDefault="00232EA6" w:rsidP="00700298">
      <w:pPr>
        <w:pStyle w:val="ListParagraph"/>
        <w:numPr>
          <w:ilvl w:val="0"/>
          <w:numId w:val="24"/>
        </w:numPr>
        <w:ind w:left="567" w:hanging="567"/>
        <w:rPr>
          <w:rFonts w:cs="Arial"/>
          <w:szCs w:val="22"/>
          <w:lang w:val="en-NZ"/>
        </w:rPr>
      </w:pPr>
      <w:r w:rsidRPr="00700298">
        <w:rPr>
          <w:rFonts w:cs="Arial"/>
          <w:szCs w:val="22"/>
          <w:lang w:val="en-NZ"/>
        </w:rPr>
        <w:t>Structuring activity resulting in people avoiding the 39</w:t>
      </w:r>
      <w:r w:rsidR="003934E6" w:rsidRPr="00700298">
        <w:rPr>
          <w:rFonts w:cs="Arial"/>
          <w:szCs w:val="22"/>
          <w:lang w:val="en-NZ"/>
        </w:rPr>
        <w:t>%</w:t>
      </w:r>
      <w:r w:rsidR="00B36984" w:rsidRPr="00700298">
        <w:rPr>
          <w:rFonts w:cs="Arial"/>
          <w:szCs w:val="22"/>
          <w:lang w:val="en-NZ"/>
        </w:rPr>
        <w:t xml:space="preserve"> </w:t>
      </w:r>
      <w:r w:rsidRPr="00700298">
        <w:rPr>
          <w:rFonts w:cs="Arial"/>
          <w:szCs w:val="22"/>
          <w:lang w:val="en-NZ"/>
        </w:rPr>
        <w:t xml:space="preserve">rate would cause the revenue generated by the rate change to be less than forecast impacting on the Government’s ability to fund its activities. This has non-monetary impacts as well, such </w:t>
      </w:r>
      <w:r w:rsidR="00532B54" w:rsidRPr="00700298">
        <w:rPr>
          <w:rFonts w:cs="Arial"/>
          <w:szCs w:val="22"/>
          <w:lang w:val="en-NZ"/>
        </w:rPr>
        <w:t>a</w:t>
      </w:r>
      <w:r w:rsidRPr="00700298">
        <w:rPr>
          <w:rFonts w:cs="Arial"/>
          <w:szCs w:val="22"/>
          <w:lang w:val="en-NZ"/>
        </w:rPr>
        <w:t>s eroding public confidence in the tax system and voluntary compliance. This would have a negative impact on tax integrity.</w:t>
      </w:r>
    </w:p>
    <w:p w14:paraId="21E4BEC3" w14:textId="10E377BE" w:rsidR="00632886" w:rsidRPr="00700298" w:rsidRDefault="00632886" w:rsidP="00700298">
      <w:pPr>
        <w:pStyle w:val="ListParagraph"/>
        <w:numPr>
          <w:ilvl w:val="0"/>
          <w:numId w:val="24"/>
        </w:numPr>
        <w:ind w:left="567" w:hanging="567"/>
        <w:rPr>
          <w:rFonts w:cs="Arial"/>
          <w:szCs w:val="22"/>
          <w:lang w:val="en-NZ"/>
        </w:rPr>
      </w:pPr>
      <w:r w:rsidRPr="00700298">
        <w:rPr>
          <w:rFonts w:cs="Arial"/>
          <w:szCs w:val="22"/>
          <w:lang w:val="en-NZ"/>
        </w:rPr>
        <w:t>Where people structure their affairs so that they derive income through lower tax</w:t>
      </w:r>
      <w:r w:rsidR="00F87FDC" w:rsidRPr="00700298">
        <w:rPr>
          <w:rFonts w:cs="Arial"/>
          <w:szCs w:val="22"/>
          <w:lang w:val="en-NZ"/>
        </w:rPr>
        <w:t xml:space="preserve"> rate</w:t>
      </w:r>
      <w:r w:rsidRPr="00700298">
        <w:rPr>
          <w:rFonts w:cs="Arial"/>
          <w:szCs w:val="22"/>
          <w:lang w:val="en-NZ"/>
        </w:rPr>
        <w:t xml:space="preserve"> entities</w:t>
      </w:r>
      <w:r w:rsidR="00F87FDC" w:rsidRPr="00700298">
        <w:rPr>
          <w:rFonts w:cs="Arial"/>
          <w:szCs w:val="22"/>
          <w:lang w:val="en-NZ"/>
        </w:rPr>
        <w:t>,</w:t>
      </w:r>
      <w:r w:rsidRPr="00700298">
        <w:rPr>
          <w:rFonts w:cs="Arial"/>
          <w:szCs w:val="22"/>
          <w:lang w:val="en-NZ"/>
        </w:rPr>
        <w:t xml:space="preserve"> rather than as personal income</w:t>
      </w:r>
      <w:r w:rsidR="00F87FDC" w:rsidRPr="00700298">
        <w:rPr>
          <w:rFonts w:cs="Arial"/>
          <w:szCs w:val="22"/>
          <w:lang w:val="en-NZ"/>
        </w:rPr>
        <w:t>,</w:t>
      </w:r>
      <w:r w:rsidRPr="00700298">
        <w:rPr>
          <w:rFonts w:cs="Arial"/>
          <w:szCs w:val="22"/>
          <w:lang w:val="en-NZ"/>
        </w:rPr>
        <w:t xml:space="preserve"> this can also have a negative impact on the effectiveness of a range of other regimes such as Child Support, Working for Families tax credits and student loans</w:t>
      </w:r>
      <w:r w:rsidR="00944715" w:rsidRPr="00700298">
        <w:rPr>
          <w:rFonts w:cs="Arial"/>
          <w:szCs w:val="22"/>
          <w:lang w:val="en-NZ"/>
        </w:rPr>
        <w:t>/allowances</w:t>
      </w:r>
      <w:r w:rsidRPr="00700298">
        <w:rPr>
          <w:rFonts w:cs="Arial"/>
          <w:szCs w:val="22"/>
          <w:lang w:val="en-NZ"/>
        </w:rPr>
        <w:t>. All of these regimes rely on the accuracy of the measurement of personal income.</w:t>
      </w:r>
    </w:p>
    <w:p w14:paraId="5FEAB046" w14:textId="57D2F5E5" w:rsidR="00D6114A" w:rsidRPr="00700298" w:rsidRDefault="007449D2" w:rsidP="00166DF4">
      <w:pPr>
        <w:pStyle w:val="ListParagraph"/>
        <w:numPr>
          <w:ilvl w:val="0"/>
          <w:numId w:val="24"/>
        </w:numPr>
        <w:spacing w:line="240" w:lineRule="auto"/>
        <w:ind w:left="567" w:hanging="567"/>
        <w:rPr>
          <w:rFonts w:cs="Arial"/>
          <w:szCs w:val="22"/>
          <w:lang w:val="en-NZ"/>
        </w:rPr>
      </w:pPr>
      <w:r w:rsidRPr="00166DF4">
        <w:rPr>
          <w:rFonts w:cs="Arial"/>
          <w:sz w:val="20"/>
          <w:shd w:val="clear" w:color="auto" w:fill="D9D9D9" w:themeFill="background1" w:themeFillShade="D9"/>
          <w:lang w:val="en-NZ"/>
        </w:rPr>
        <w:t>s 6(c)</w:t>
      </w:r>
      <w:r w:rsidRPr="00166DF4">
        <w:rPr>
          <w:rFonts w:cs="Arial"/>
          <w:color w:val="D9D9D9" w:themeColor="background1" w:themeShade="D9"/>
          <w:szCs w:val="22"/>
          <w:shd w:val="clear" w:color="auto" w:fill="D9D9D9" w:themeFill="background1" w:themeFillShade="D9"/>
          <w:lang w:val="en-NZ"/>
        </w:rPr>
        <w:t>……………………………………………………………………………………………</w:t>
      </w:r>
      <w:r w:rsidR="00D84CC0" w:rsidRPr="00166DF4">
        <w:rPr>
          <w:rFonts w:cs="Arial"/>
          <w:color w:val="D9D9D9" w:themeColor="background1" w:themeShade="D9"/>
          <w:szCs w:val="22"/>
          <w:shd w:val="clear" w:color="auto" w:fill="D9D9D9" w:themeFill="background1" w:themeFillShade="D9"/>
          <w:lang w:val="en-NZ"/>
        </w:rPr>
        <w:t>...</w:t>
      </w:r>
      <w:r w:rsidR="00C74BE4" w:rsidRPr="00166DF4">
        <w:rPr>
          <w:rFonts w:cs="Arial"/>
          <w:color w:val="D9D9D9" w:themeColor="background1" w:themeShade="D9"/>
          <w:szCs w:val="22"/>
          <w:shd w:val="clear" w:color="auto" w:fill="D9D9D9" w:themeFill="background1" w:themeFillShade="D9"/>
          <w:lang w:val="en-NZ"/>
        </w:rPr>
        <w:t>.</w:t>
      </w:r>
      <w:r w:rsidR="00D84CC0" w:rsidRPr="00166DF4">
        <w:rPr>
          <w:rFonts w:cs="Arial"/>
          <w:color w:val="D9D9D9" w:themeColor="background1" w:themeShade="D9"/>
          <w:szCs w:val="22"/>
          <w:shd w:val="clear" w:color="auto" w:fill="D9D9D9" w:themeFill="background1" w:themeFillShade="D9"/>
          <w:lang w:val="en-NZ"/>
        </w:rPr>
        <w:br/>
        <w:t>……………………………………………………………………………………………………..</w:t>
      </w:r>
      <w:r w:rsidR="00D84CC0" w:rsidRPr="00166DF4">
        <w:rPr>
          <w:rFonts w:cs="Arial"/>
          <w:color w:val="D9D9D9" w:themeColor="background1" w:themeShade="D9"/>
          <w:szCs w:val="22"/>
          <w:shd w:val="clear" w:color="auto" w:fill="D9D9D9" w:themeFill="background1" w:themeFillShade="D9"/>
          <w:lang w:val="en-NZ"/>
        </w:rPr>
        <w:br/>
        <w:t>……………………………………………………………………………………………………..</w:t>
      </w:r>
      <w:r w:rsidR="00D84CC0" w:rsidRPr="00166DF4">
        <w:rPr>
          <w:rFonts w:cs="Arial"/>
          <w:color w:val="D9D9D9" w:themeColor="background1" w:themeShade="D9"/>
          <w:szCs w:val="22"/>
          <w:shd w:val="clear" w:color="auto" w:fill="D9D9D9" w:themeFill="background1" w:themeFillShade="D9"/>
          <w:lang w:val="en-NZ"/>
        </w:rPr>
        <w:br/>
        <w:t>……………………………………………………………………………………………………..</w:t>
      </w:r>
    </w:p>
    <w:p w14:paraId="644E10BB" w14:textId="10E76060" w:rsidR="00632886" w:rsidRPr="00700298" w:rsidRDefault="001A6638" w:rsidP="00700298">
      <w:pPr>
        <w:pStyle w:val="ListParagraph"/>
        <w:numPr>
          <w:ilvl w:val="0"/>
          <w:numId w:val="24"/>
        </w:numPr>
        <w:ind w:left="567" w:hanging="567"/>
        <w:rPr>
          <w:rFonts w:cs="Arial"/>
          <w:szCs w:val="22"/>
          <w:lang w:val="en-NZ"/>
        </w:rPr>
      </w:pPr>
      <w:r w:rsidRPr="00700298">
        <w:rPr>
          <w:rFonts w:cs="Arial"/>
          <w:szCs w:val="22"/>
          <w:lang w:val="en-NZ"/>
        </w:rPr>
        <w:t>Measures t</w:t>
      </w:r>
      <w:r w:rsidR="00443C7A" w:rsidRPr="00700298">
        <w:rPr>
          <w:rFonts w:cs="Arial"/>
          <w:szCs w:val="22"/>
          <w:lang w:val="en-NZ"/>
        </w:rPr>
        <w:t>hat successfully</w:t>
      </w:r>
      <w:r w:rsidRPr="00700298">
        <w:rPr>
          <w:rFonts w:cs="Arial"/>
          <w:szCs w:val="22"/>
          <w:lang w:val="en-NZ"/>
        </w:rPr>
        <w:t xml:space="preserve"> </w:t>
      </w:r>
      <w:r w:rsidR="00443C7A" w:rsidRPr="00700298">
        <w:rPr>
          <w:rFonts w:cs="Arial"/>
          <w:szCs w:val="22"/>
          <w:lang w:val="en-NZ"/>
        </w:rPr>
        <w:t xml:space="preserve">support the </w:t>
      </w:r>
      <w:r w:rsidR="00070300" w:rsidRPr="00700298">
        <w:rPr>
          <w:rFonts w:cs="Arial"/>
          <w:szCs w:val="22"/>
          <w:lang w:val="en-NZ"/>
        </w:rPr>
        <w:t xml:space="preserve">application of the </w:t>
      </w:r>
      <w:r w:rsidR="00443C7A" w:rsidRPr="00700298">
        <w:rPr>
          <w:rFonts w:cs="Arial"/>
          <w:szCs w:val="22"/>
          <w:lang w:val="en-NZ"/>
        </w:rPr>
        <w:t>39% personal tax rate</w:t>
      </w:r>
      <w:r w:rsidR="00070300" w:rsidRPr="00700298">
        <w:rPr>
          <w:rFonts w:cs="Arial"/>
          <w:szCs w:val="22"/>
          <w:lang w:val="en-NZ"/>
        </w:rPr>
        <w:t xml:space="preserve"> would support the integrity of the tax system</w:t>
      </w:r>
      <w:r w:rsidR="00AF7E1C" w:rsidRPr="00700298">
        <w:rPr>
          <w:rFonts w:cs="Arial"/>
          <w:szCs w:val="22"/>
          <w:lang w:val="en-NZ"/>
        </w:rPr>
        <w:t xml:space="preserve"> as a whole</w:t>
      </w:r>
      <w:r w:rsidR="00C60E59" w:rsidRPr="00700298">
        <w:rPr>
          <w:rFonts w:cs="Arial"/>
          <w:szCs w:val="22"/>
          <w:lang w:val="en-NZ"/>
        </w:rPr>
        <w:t xml:space="preserve"> as well as protect Government revenue and </w:t>
      </w:r>
      <w:r w:rsidR="0079334B" w:rsidRPr="00700298">
        <w:rPr>
          <w:rFonts w:cs="Arial"/>
          <w:szCs w:val="22"/>
          <w:lang w:val="en-NZ"/>
        </w:rPr>
        <w:t>help to ensure the accuracy of personal income calculations</w:t>
      </w:r>
      <w:r w:rsidR="00AF7E1C" w:rsidRPr="00700298">
        <w:rPr>
          <w:rFonts w:cs="Arial"/>
          <w:szCs w:val="22"/>
          <w:lang w:val="en-NZ"/>
        </w:rPr>
        <w:t>.</w:t>
      </w:r>
    </w:p>
    <w:p w14:paraId="0B4EB16E" w14:textId="0175652E" w:rsidR="0096623E" w:rsidRPr="00700298" w:rsidRDefault="0096623E" w:rsidP="00700298">
      <w:pPr>
        <w:pStyle w:val="ListParagraph"/>
        <w:numPr>
          <w:ilvl w:val="0"/>
          <w:numId w:val="24"/>
        </w:numPr>
        <w:ind w:left="567" w:hanging="567"/>
        <w:rPr>
          <w:rFonts w:cs="Arial"/>
          <w:szCs w:val="22"/>
          <w:lang w:val="en-NZ"/>
        </w:rPr>
      </w:pPr>
      <w:r w:rsidRPr="00700298">
        <w:rPr>
          <w:rFonts w:cs="Arial"/>
          <w:szCs w:val="22"/>
          <w:lang w:val="en-NZ"/>
        </w:rPr>
        <w:t>As</w:t>
      </w:r>
      <w:r w:rsidR="002601F7" w:rsidRPr="00700298">
        <w:rPr>
          <w:rFonts w:cs="Arial"/>
          <w:szCs w:val="22"/>
          <w:lang w:val="en-NZ"/>
        </w:rPr>
        <w:t xml:space="preserve"> noted </w:t>
      </w:r>
      <w:r w:rsidR="00763449" w:rsidRPr="00700298">
        <w:rPr>
          <w:rFonts w:cs="Arial"/>
          <w:szCs w:val="22"/>
          <w:lang w:val="en-NZ"/>
        </w:rPr>
        <w:t>in the context section,</w:t>
      </w:r>
      <w:r w:rsidRPr="00700298">
        <w:rPr>
          <w:rFonts w:cs="Arial"/>
          <w:szCs w:val="22"/>
          <w:lang w:val="en-NZ"/>
        </w:rPr>
        <w:t xml:space="preserve"> the </w:t>
      </w:r>
      <w:r w:rsidR="00763449" w:rsidRPr="00700298">
        <w:rPr>
          <w:rFonts w:cs="Arial"/>
          <w:szCs w:val="22"/>
          <w:lang w:val="en-NZ"/>
        </w:rPr>
        <w:t>G</w:t>
      </w:r>
      <w:r w:rsidRPr="00700298">
        <w:rPr>
          <w:rFonts w:cs="Arial"/>
          <w:szCs w:val="22"/>
          <w:lang w:val="en-NZ"/>
        </w:rPr>
        <w:t xml:space="preserve">overnment has previously warned that </w:t>
      </w:r>
      <w:r w:rsidR="00CB5D02" w:rsidRPr="00700298">
        <w:rPr>
          <w:rFonts w:cs="Arial"/>
          <w:szCs w:val="22"/>
          <w:lang w:val="en-NZ"/>
        </w:rPr>
        <w:t>changes will be made to prevent structuring to avoid the</w:t>
      </w:r>
      <w:r w:rsidR="002601F7" w:rsidRPr="00700298">
        <w:rPr>
          <w:rFonts w:cs="Arial"/>
          <w:szCs w:val="22"/>
          <w:lang w:val="en-NZ"/>
        </w:rPr>
        <w:t xml:space="preserve"> 39% rate if evidence of such structuring is observed. Failing to make such changes would be likely to encourage </w:t>
      </w:r>
      <w:r w:rsidR="00975E0D" w:rsidRPr="00700298">
        <w:rPr>
          <w:rFonts w:cs="Arial"/>
          <w:szCs w:val="22"/>
          <w:lang w:val="en-NZ"/>
        </w:rPr>
        <w:t xml:space="preserve">further </w:t>
      </w:r>
      <w:r w:rsidR="002601F7" w:rsidRPr="00700298">
        <w:rPr>
          <w:rFonts w:cs="Arial"/>
          <w:szCs w:val="22"/>
          <w:lang w:val="en-NZ"/>
        </w:rPr>
        <w:t>people considering structuring activities</w:t>
      </w:r>
      <w:r w:rsidR="00763449" w:rsidRPr="00700298">
        <w:rPr>
          <w:rFonts w:cs="Arial"/>
          <w:szCs w:val="22"/>
          <w:lang w:val="en-NZ"/>
        </w:rPr>
        <w:t>.</w:t>
      </w:r>
    </w:p>
    <w:p w14:paraId="59BB5BCF" w14:textId="3454B1EE" w:rsidR="007037C4" w:rsidRPr="00847E6E" w:rsidRDefault="007037C4" w:rsidP="00715855">
      <w:pPr>
        <w:pStyle w:val="Heading3"/>
        <w:spacing w:before="360"/>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4"/>
    <w:bookmarkEnd w:id="5"/>
    <w:bookmarkEnd w:id="6"/>
    <w:bookmarkEnd w:id="7"/>
    <w:bookmarkEnd w:id="8"/>
    <w:p w14:paraId="45CD03CF" w14:textId="3DD1833A" w:rsidR="006D697D" w:rsidRPr="00700298" w:rsidRDefault="000441C4" w:rsidP="00700298">
      <w:pPr>
        <w:pStyle w:val="ListParagraph"/>
        <w:numPr>
          <w:ilvl w:val="0"/>
          <w:numId w:val="24"/>
        </w:numPr>
        <w:ind w:left="567" w:hanging="567"/>
        <w:rPr>
          <w:rFonts w:cs="Arial"/>
          <w:szCs w:val="22"/>
          <w:lang w:val="en-NZ"/>
        </w:rPr>
      </w:pPr>
      <w:r w:rsidRPr="00700298">
        <w:rPr>
          <w:rFonts w:cs="Arial"/>
          <w:szCs w:val="22"/>
          <w:lang w:val="en-NZ"/>
        </w:rPr>
        <w:t>There are three objectives sought in relation to the issues discussed</w:t>
      </w:r>
      <w:r w:rsidR="006D697D" w:rsidRPr="00700298">
        <w:rPr>
          <w:rFonts w:cs="Arial"/>
          <w:szCs w:val="22"/>
          <w:lang w:val="en-NZ"/>
        </w:rPr>
        <w:t>:</w:t>
      </w:r>
    </w:p>
    <w:p w14:paraId="0EC1C338" w14:textId="75D68FFF" w:rsidR="006D697D" w:rsidRPr="00914D25" w:rsidRDefault="006D697D" w:rsidP="00914D25">
      <w:pPr>
        <w:pStyle w:val="ListParagraph"/>
        <w:numPr>
          <w:ilvl w:val="0"/>
          <w:numId w:val="41"/>
        </w:numPr>
        <w:ind w:left="1134" w:hanging="567"/>
      </w:pPr>
      <w:r w:rsidRPr="00914D25">
        <w:rPr>
          <w:b/>
          <w:bCs/>
        </w:rPr>
        <w:t>An integrity objective:</w:t>
      </w:r>
      <w:r w:rsidR="003F5B55" w:rsidRPr="00914D25">
        <w:t xml:space="preserve"> </w:t>
      </w:r>
      <w:r w:rsidR="00071DB1" w:rsidRPr="00914D25">
        <w:t>The Govern</w:t>
      </w:r>
      <w:r w:rsidR="005210C7" w:rsidRPr="00914D25">
        <w:t xml:space="preserve">ment is seeking to minimise opportunities for structuring activity with the purpose of avoiding the </w:t>
      </w:r>
      <w:r w:rsidR="00610A6E" w:rsidRPr="00914D25">
        <w:t>top personal tax rate of 39% or the second-highest personal tax rate of 33%.</w:t>
      </w:r>
    </w:p>
    <w:p w14:paraId="6F769BB3" w14:textId="4CA26618" w:rsidR="006D697D" w:rsidRPr="00914D25" w:rsidRDefault="006D697D" w:rsidP="00914D25">
      <w:pPr>
        <w:pStyle w:val="ListParagraph"/>
        <w:numPr>
          <w:ilvl w:val="0"/>
          <w:numId w:val="41"/>
        </w:numPr>
        <w:ind w:left="1134" w:hanging="567"/>
      </w:pPr>
      <w:r w:rsidRPr="00914D25">
        <w:rPr>
          <w:b/>
          <w:bCs/>
        </w:rPr>
        <w:t>A revenue objective:</w:t>
      </w:r>
      <w:r w:rsidR="006029A5" w:rsidRPr="00914D25">
        <w:t xml:space="preserve"> The </w:t>
      </w:r>
      <w:r w:rsidR="00450D9B" w:rsidRPr="00914D25">
        <w:t>ability to continue to face the challenges of COVID-19 and to support the New Zealand economy</w:t>
      </w:r>
      <w:r w:rsidR="00CD1E6B" w:rsidRPr="00914D25">
        <w:t xml:space="preserve"> as it recovers from the pandemic</w:t>
      </w:r>
      <w:r w:rsidR="00450D9B" w:rsidRPr="00914D25">
        <w:t xml:space="preserve"> wi</w:t>
      </w:r>
      <w:r w:rsidR="00CD1E6B" w:rsidRPr="00914D25">
        <w:t xml:space="preserve">ll depend on a strong tax base. </w:t>
      </w:r>
      <w:r w:rsidR="002F37D3" w:rsidRPr="00914D25">
        <w:t>The Government</w:t>
      </w:r>
      <w:r w:rsidR="00574F49" w:rsidRPr="00914D25">
        <w:t xml:space="preserve"> i</w:t>
      </w:r>
      <w:r w:rsidR="002F37D3" w:rsidRPr="00914D25">
        <w:t xml:space="preserve">s </w:t>
      </w:r>
      <w:r w:rsidR="00CB6D26" w:rsidRPr="00914D25">
        <w:t xml:space="preserve">seeking </w:t>
      </w:r>
      <w:r w:rsidR="002F37D3" w:rsidRPr="00914D25">
        <w:t xml:space="preserve">to ensure the continuity of tax revenue streams by </w:t>
      </w:r>
      <w:r w:rsidR="001770D0" w:rsidRPr="00914D25">
        <w:t>ensuring that massive revenue leaka</w:t>
      </w:r>
      <w:r w:rsidR="003F5B55" w:rsidRPr="00914D25">
        <w:t>ge is not occurring as a result of the current tax settings.</w:t>
      </w:r>
    </w:p>
    <w:p w14:paraId="5EFED875" w14:textId="77777777" w:rsidR="00965476" w:rsidRPr="00914D25" w:rsidRDefault="006D697D" w:rsidP="00914D25">
      <w:pPr>
        <w:pStyle w:val="ListParagraph"/>
        <w:numPr>
          <w:ilvl w:val="0"/>
          <w:numId w:val="41"/>
        </w:numPr>
        <w:ind w:left="1134" w:hanging="567"/>
      </w:pPr>
      <w:r w:rsidRPr="00914D25">
        <w:rPr>
          <w:b/>
          <w:bCs/>
        </w:rPr>
        <w:t>A distributional objective:</w:t>
      </w:r>
      <w:r w:rsidRPr="00914D25">
        <w:t xml:space="preserve"> </w:t>
      </w:r>
      <w:r w:rsidR="00BC0734" w:rsidRPr="00914D25">
        <w:t xml:space="preserve">The motivation for the recent introduction of the 39% top personal income tax rate </w:t>
      </w:r>
      <w:r w:rsidR="005A36CF" w:rsidRPr="00914D25">
        <w:t xml:space="preserve">was to raise extra revenue in a way that is progressive </w:t>
      </w:r>
      <w:r w:rsidR="0014500B" w:rsidRPr="00914D25">
        <w:t xml:space="preserve">and </w:t>
      </w:r>
      <w:r w:rsidR="00FE43F5" w:rsidRPr="00914D25">
        <w:t xml:space="preserve">does not increase the tax burden on low to middle income earners. The Government intends </w:t>
      </w:r>
      <w:r w:rsidR="008D5AA9" w:rsidRPr="00914D25">
        <w:t xml:space="preserve">that any integrity measures to support the 39% rate will be broadly </w:t>
      </w:r>
      <w:r w:rsidR="00905E23" w:rsidRPr="00914D25">
        <w:t>consistent with this objective and with current tax policy settings, including the current rates of income tax.</w:t>
      </w:r>
    </w:p>
    <w:p w14:paraId="60C6CF32" w14:textId="0D337240" w:rsidR="008321F8" w:rsidRPr="00700298" w:rsidRDefault="00965476" w:rsidP="00700298">
      <w:pPr>
        <w:pStyle w:val="ListParagraph"/>
        <w:numPr>
          <w:ilvl w:val="0"/>
          <w:numId w:val="24"/>
        </w:numPr>
        <w:ind w:left="567" w:hanging="567"/>
        <w:rPr>
          <w:rFonts w:cs="Arial"/>
          <w:szCs w:val="22"/>
          <w:lang w:val="en-NZ"/>
        </w:rPr>
      </w:pPr>
      <w:r w:rsidRPr="00700298">
        <w:rPr>
          <w:rFonts w:cs="Arial"/>
          <w:szCs w:val="22"/>
          <w:lang w:val="en-NZ"/>
        </w:rPr>
        <w:t xml:space="preserve">The analysis will focus on how well each proposed option meets these </w:t>
      </w:r>
      <w:r w:rsidRPr="00700298">
        <w:rPr>
          <w:rFonts w:cs="Arial"/>
          <w:b/>
          <w:szCs w:val="22"/>
          <w:lang w:val="en-NZ"/>
        </w:rPr>
        <w:t>integrity</w:t>
      </w:r>
      <w:r w:rsidR="00ED75A8" w:rsidRPr="00700298">
        <w:rPr>
          <w:rFonts w:cs="Arial"/>
          <w:szCs w:val="22"/>
          <w:lang w:val="en-NZ"/>
        </w:rPr>
        <w:t xml:space="preserve">, </w:t>
      </w:r>
      <w:proofErr w:type="gramStart"/>
      <w:r w:rsidR="00ED75A8" w:rsidRPr="00700298">
        <w:rPr>
          <w:rFonts w:cs="Arial"/>
          <w:b/>
          <w:szCs w:val="22"/>
          <w:lang w:val="en-NZ"/>
        </w:rPr>
        <w:t>revenue</w:t>
      </w:r>
      <w:proofErr w:type="gramEnd"/>
      <w:r w:rsidR="00ED75A8" w:rsidRPr="00700298">
        <w:rPr>
          <w:rFonts w:cs="Arial"/>
          <w:szCs w:val="22"/>
          <w:lang w:val="en-NZ"/>
        </w:rPr>
        <w:t xml:space="preserve"> and </w:t>
      </w:r>
      <w:r w:rsidR="00ED75A8" w:rsidRPr="00700298">
        <w:rPr>
          <w:rFonts w:cs="Arial"/>
          <w:b/>
          <w:szCs w:val="22"/>
          <w:lang w:val="en-NZ"/>
        </w:rPr>
        <w:t>distributional</w:t>
      </w:r>
      <w:r w:rsidR="00ED75A8" w:rsidRPr="00700298">
        <w:rPr>
          <w:rFonts w:cs="Arial"/>
          <w:szCs w:val="22"/>
          <w:lang w:val="en-NZ"/>
        </w:rPr>
        <w:t xml:space="preserve"> objectives by applying tax policy criteria which provide an analytical framework to assess strengths and weaknesses of individual options.</w:t>
      </w:r>
    </w:p>
    <w:p w14:paraId="2B635B3D" w14:textId="7A24A31D" w:rsidR="008321F8" w:rsidRDefault="00F402DF" w:rsidP="007C1E21">
      <w:pPr>
        <w:pStyle w:val="Heading2"/>
        <w:pageBreakBefore/>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34836E89" w:rsidR="008321F8" w:rsidRPr="00A864A5" w:rsidRDefault="008321F8" w:rsidP="008321F8">
      <w:pPr>
        <w:pStyle w:val="Heading3"/>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672D6B35" w14:textId="15B0B196" w:rsidR="00EF186C" w:rsidRPr="003C44B8" w:rsidRDefault="00B7791F" w:rsidP="003C44B8">
      <w:pPr>
        <w:pStyle w:val="ListParagraph"/>
        <w:numPr>
          <w:ilvl w:val="0"/>
          <w:numId w:val="24"/>
        </w:numPr>
        <w:ind w:left="567" w:hanging="567"/>
        <w:rPr>
          <w:rFonts w:cs="Arial"/>
          <w:szCs w:val="22"/>
          <w:lang w:val="en-NZ"/>
        </w:rPr>
      </w:pPr>
      <w:r w:rsidRPr="003C44B8">
        <w:rPr>
          <w:rFonts w:cs="Arial"/>
          <w:b/>
          <w:szCs w:val="22"/>
          <w:lang w:val="en-NZ"/>
        </w:rPr>
        <w:t>Efficiency:</w:t>
      </w:r>
      <w:r w:rsidRPr="003C44B8">
        <w:rPr>
          <w:rFonts w:cs="Arial"/>
          <w:szCs w:val="22"/>
          <w:lang w:val="en-NZ"/>
        </w:rPr>
        <w:t xml:space="preserve"> The options should minimise the excess burden of economic efficiency cost of the tax system (that is, the cost of raising tax </w:t>
      </w:r>
      <w:r w:rsidR="009E061A" w:rsidRPr="003C44B8">
        <w:rPr>
          <w:rFonts w:cs="Arial"/>
          <w:szCs w:val="22"/>
          <w:lang w:val="en-NZ"/>
        </w:rPr>
        <w:t>from New Zealanders which is over and above the tax revenue actually raised). This ensures that tax is doing as little as possible to distort labour supply, savings and investment</w:t>
      </w:r>
      <w:r w:rsidR="00EF186C" w:rsidRPr="003C44B8">
        <w:rPr>
          <w:rFonts w:cs="Arial"/>
          <w:szCs w:val="22"/>
          <w:lang w:val="en-NZ"/>
        </w:rPr>
        <w:t>, and entity decisions.</w:t>
      </w:r>
    </w:p>
    <w:p w14:paraId="6F2D13FF" w14:textId="09B2B853" w:rsidR="00C07FA5" w:rsidRPr="003C44B8" w:rsidRDefault="00EF186C" w:rsidP="003C44B8">
      <w:pPr>
        <w:pStyle w:val="ListParagraph"/>
        <w:numPr>
          <w:ilvl w:val="0"/>
          <w:numId w:val="24"/>
        </w:numPr>
        <w:ind w:left="567" w:hanging="567"/>
        <w:rPr>
          <w:rFonts w:cs="Arial"/>
          <w:szCs w:val="22"/>
          <w:lang w:val="en-NZ"/>
        </w:rPr>
      </w:pPr>
      <w:r w:rsidRPr="003C44B8">
        <w:rPr>
          <w:rFonts w:cs="Arial"/>
          <w:b/>
          <w:szCs w:val="22"/>
          <w:lang w:val="en-NZ"/>
        </w:rPr>
        <w:t>Equity:</w:t>
      </w:r>
      <w:r w:rsidR="00E36A3B" w:rsidRPr="003C44B8">
        <w:rPr>
          <w:rFonts w:cs="Arial"/>
          <w:szCs w:val="22"/>
          <w:lang w:val="en-NZ"/>
        </w:rPr>
        <w:t xml:space="preserve"> The options should ensure taxpayers with similar levels of income pay similar levels </w:t>
      </w:r>
      <w:r w:rsidR="004F01C6" w:rsidRPr="003C44B8">
        <w:rPr>
          <w:rFonts w:cs="Arial"/>
          <w:szCs w:val="22"/>
          <w:lang w:val="en-NZ"/>
        </w:rPr>
        <w:t xml:space="preserve">of tax (horizontal </w:t>
      </w:r>
      <w:r w:rsidR="00F94F34">
        <w:rPr>
          <w:rFonts w:cs="Arial"/>
          <w:szCs w:val="22"/>
          <w:lang w:val="en-NZ"/>
        </w:rPr>
        <w:t>e</w:t>
      </w:r>
      <w:r w:rsidR="004F01C6" w:rsidRPr="003C44B8">
        <w:rPr>
          <w:rFonts w:cs="Arial"/>
          <w:szCs w:val="22"/>
          <w:lang w:val="en-NZ"/>
        </w:rPr>
        <w:t>quity) and that taxpayers on higher incomes pay higher levels of the income tax</w:t>
      </w:r>
      <w:r w:rsidR="0053554B" w:rsidRPr="003C44B8">
        <w:rPr>
          <w:rFonts w:cs="Arial"/>
          <w:szCs w:val="22"/>
          <w:lang w:val="en-NZ"/>
        </w:rPr>
        <w:t xml:space="preserve"> in a way that reflects the Government’s objectives </w:t>
      </w:r>
      <w:r w:rsidR="005E751E" w:rsidRPr="003C44B8">
        <w:rPr>
          <w:rFonts w:cs="Arial"/>
          <w:szCs w:val="22"/>
          <w:lang w:val="en-NZ"/>
        </w:rPr>
        <w:t>of increasing the</w:t>
      </w:r>
      <w:r w:rsidR="0053554B" w:rsidRPr="003C44B8">
        <w:rPr>
          <w:rFonts w:cs="Arial"/>
          <w:szCs w:val="22"/>
          <w:lang w:val="en-NZ"/>
        </w:rPr>
        <w:t xml:space="preserve"> progressivity of the tax system (vertical equity).</w:t>
      </w:r>
    </w:p>
    <w:p w14:paraId="29855C62" w14:textId="2E6A803B" w:rsidR="008F3574" w:rsidRPr="003C44B8" w:rsidRDefault="008F3574" w:rsidP="003C44B8">
      <w:pPr>
        <w:pStyle w:val="ListParagraph"/>
        <w:numPr>
          <w:ilvl w:val="0"/>
          <w:numId w:val="24"/>
        </w:numPr>
        <w:ind w:left="567" w:hanging="567"/>
        <w:rPr>
          <w:rFonts w:cs="Arial"/>
          <w:szCs w:val="22"/>
          <w:lang w:val="en-NZ"/>
        </w:rPr>
      </w:pPr>
      <w:r w:rsidRPr="003C44B8">
        <w:rPr>
          <w:rFonts w:cs="Arial"/>
          <w:b/>
          <w:szCs w:val="22"/>
          <w:lang w:val="en-NZ"/>
        </w:rPr>
        <w:t xml:space="preserve">Complexity: </w:t>
      </w:r>
      <w:r w:rsidRPr="003C44B8">
        <w:rPr>
          <w:rFonts w:cs="Arial"/>
          <w:szCs w:val="22"/>
          <w:lang w:val="en-NZ"/>
        </w:rPr>
        <w:t>The options should minimise the introduction of complexity as much as possible. Generally, complexity should be minimised so that tax laws are easy to comply with and difficult not to. This encourages voluntary compliance over time, which benefits both the tax take as well as paying tax at rates intended by the Government.</w:t>
      </w:r>
    </w:p>
    <w:p w14:paraId="46C624E9" w14:textId="7966558A" w:rsidR="008F3574" w:rsidRPr="003C44B8" w:rsidRDefault="0060504E" w:rsidP="003C44B8">
      <w:pPr>
        <w:pStyle w:val="ListParagraph"/>
        <w:numPr>
          <w:ilvl w:val="0"/>
          <w:numId w:val="24"/>
        </w:numPr>
        <w:ind w:left="567" w:hanging="567"/>
        <w:rPr>
          <w:rFonts w:cs="Arial"/>
          <w:szCs w:val="22"/>
          <w:lang w:val="en-NZ"/>
        </w:rPr>
      </w:pPr>
      <w:r w:rsidRPr="003C44B8">
        <w:rPr>
          <w:rFonts w:cs="Arial"/>
          <w:b/>
          <w:szCs w:val="22"/>
          <w:lang w:val="en-NZ"/>
        </w:rPr>
        <w:t>Integrity:</w:t>
      </w:r>
      <w:r w:rsidRPr="003C44B8">
        <w:rPr>
          <w:rFonts w:cs="Arial"/>
          <w:szCs w:val="22"/>
          <w:lang w:val="en-NZ"/>
        </w:rPr>
        <w:t xml:space="preserve"> The </w:t>
      </w:r>
      <w:r w:rsidR="00C126B5" w:rsidRPr="003C44B8">
        <w:rPr>
          <w:rFonts w:cs="Arial"/>
          <w:szCs w:val="22"/>
          <w:lang w:val="en-NZ"/>
        </w:rPr>
        <w:t xml:space="preserve">options should maintain protection against taxpayers using other vehicles </w:t>
      </w:r>
      <w:r w:rsidR="00E90212" w:rsidRPr="003C44B8">
        <w:rPr>
          <w:rFonts w:cs="Arial"/>
          <w:szCs w:val="22"/>
          <w:lang w:val="en-NZ"/>
        </w:rPr>
        <w:t>taxed at lower rates to avoid the 33% or 39% rate</w:t>
      </w:r>
      <w:r w:rsidR="00076343" w:rsidRPr="003C44B8">
        <w:rPr>
          <w:rFonts w:cs="Arial"/>
          <w:szCs w:val="22"/>
          <w:lang w:val="en-NZ"/>
        </w:rPr>
        <w:t>. Integrity in the tax system ensures that taxpayers cannot access methods or vehicles</w:t>
      </w:r>
      <w:r w:rsidR="00C92395" w:rsidRPr="003C44B8">
        <w:rPr>
          <w:rFonts w:cs="Arial"/>
          <w:szCs w:val="22"/>
          <w:lang w:val="en-NZ"/>
        </w:rPr>
        <w:t xml:space="preserve"> to avoid paying tax at rates applicable to them given their economic circumstances. This also leads to greater collection of tax revenues</w:t>
      </w:r>
      <w:r w:rsidR="00D27E7F" w:rsidRPr="003C44B8">
        <w:rPr>
          <w:rFonts w:cs="Arial"/>
          <w:szCs w:val="22"/>
          <w:lang w:val="en-NZ"/>
        </w:rPr>
        <w:t>,</w:t>
      </w:r>
      <w:r w:rsidR="00C92395" w:rsidRPr="003C44B8">
        <w:rPr>
          <w:rFonts w:cs="Arial"/>
          <w:szCs w:val="22"/>
          <w:lang w:val="en-NZ"/>
        </w:rPr>
        <w:t xml:space="preserve"> as well as </w:t>
      </w:r>
      <w:r w:rsidR="00D27E7F" w:rsidRPr="003C44B8">
        <w:rPr>
          <w:rFonts w:cs="Arial"/>
          <w:szCs w:val="22"/>
          <w:lang w:val="en-NZ"/>
        </w:rPr>
        <w:t>high income individuals paying the correct amount of tax without being able to successfully engage in avoidance behaviour. This improves the fairness of the tax system</w:t>
      </w:r>
      <w:r w:rsidR="00860673" w:rsidRPr="003C44B8">
        <w:rPr>
          <w:rFonts w:cs="Arial"/>
          <w:szCs w:val="22"/>
          <w:lang w:val="en-NZ"/>
        </w:rPr>
        <w:t xml:space="preserve"> and is an important factor that supports voluntary compliance.</w:t>
      </w:r>
    </w:p>
    <w:p w14:paraId="65EC7A81" w14:textId="161D8E6F" w:rsidR="006D69F0" w:rsidRPr="003C44B8" w:rsidRDefault="006D69F0" w:rsidP="003C44B8">
      <w:pPr>
        <w:pStyle w:val="ListParagraph"/>
        <w:numPr>
          <w:ilvl w:val="0"/>
          <w:numId w:val="24"/>
        </w:numPr>
        <w:ind w:left="567" w:hanging="567"/>
        <w:rPr>
          <w:rFonts w:cs="Arial"/>
          <w:szCs w:val="22"/>
          <w:lang w:val="en-NZ"/>
        </w:rPr>
      </w:pPr>
      <w:r w:rsidRPr="003C44B8">
        <w:rPr>
          <w:rFonts w:cs="Arial"/>
          <w:b/>
          <w:szCs w:val="22"/>
          <w:lang w:val="en-NZ"/>
        </w:rPr>
        <w:t>Revenue raised:</w:t>
      </w:r>
      <w:r w:rsidRPr="003C44B8">
        <w:rPr>
          <w:rFonts w:cs="Arial"/>
          <w:szCs w:val="22"/>
          <w:lang w:val="en-NZ"/>
        </w:rPr>
        <w:t xml:space="preserve"> The options should be effective at preventing revenue leakage arising from </w:t>
      </w:r>
      <w:r w:rsidR="006E12E7" w:rsidRPr="003C44B8">
        <w:rPr>
          <w:rFonts w:cs="Arial"/>
          <w:szCs w:val="22"/>
          <w:lang w:val="en-NZ"/>
        </w:rPr>
        <w:t>avoidance behaviour. Using this criterion is important to ensure the primary function of tax collection is achieved by the policy settings.</w:t>
      </w:r>
    </w:p>
    <w:p w14:paraId="06EDE450" w14:textId="4F55AB44" w:rsidR="005B79E8" w:rsidRPr="003C44B8" w:rsidRDefault="00F4134F" w:rsidP="003C44B8">
      <w:pPr>
        <w:pStyle w:val="ListParagraph"/>
        <w:numPr>
          <w:ilvl w:val="0"/>
          <w:numId w:val="24"/>
        </w:numPr>
        <w:ind w:left="567" w:hanging="567"/>
        <w:rPr>
          <w:rFonts w:cs="Arial"/>
          <w:szCs w:val="22"/>
          <w:lang w:val="en-NZ"/>
        </w:rPr>
      </w:pPr>
      <w:r w:rsidRPr="003C44B8">
        <w:rPr>
          <w:rFonts w:cs="Arial"/>
          <w:szCs w:val="22"/>
          <w:lang w:val="en-NZ"/>
        </w:rPr>
        <w:t xml:space="preserve">In the context of integrity measures to support the 39% rate, </w:t>
      </w:r>
      <w:r w:rsidR="007C1984" w:rsidRPr="003C44B8">
        <w:rPr>
          <w:rFonts w:cs="Arial"/>
          <w:szCs w:val="22"/>
          <w:lang w:val="en-NZ"/>
        </w:rPr>
        <w:t>any measures that would meet the equity, integrity and revenue criteria are likely to come at the cost</w:t>
      </w:r>
      <w:r w:rsidR="006D3783" w:rsidRPr="003C44B8">
        <w:rPr>
          <w:rFonts w:cs="Arial"/>
          <w:szCs w:val="22"/>
          <w:lang w:val="en-NZ"/>
        </w:rPr>
        <w:t xml:space="preserve"> of reduced efficiency and increased complexity. This is mostly because such measures tend to be complex by their nature, and therefore are likely to increase taxpayers’ compliance costs and, potentially, </w:t>
      </w:r>
      <w:r w:rsidR="00565421" w:rsidRPr="003C44B8">
        <w:rPr>
          <w:rFonts w:cs="Arial"/>
          <w:szCs w:val="22"/>
          <w:lang w:val="en-NZ"/>
        </w:rPr>
        <w:t>Inland Revenue’s administration costs. The integrity and equity criteria have the highest weighting,</w:t>
      </w:r>
      <w:r w:rsidR="00FF397C" w:rsidRPr="003C44B8">
        <w:rPr>
          <w:rFonts w:cs="Arial"/>
          <w:szCs w:val="22"/>
          <w:lang w:val="en-NZ"/>
        </w:rPr>
        <w:t xml:space="preserve"> with both the efficiency and complexity criteria having a lower priority or weighting</w:t>
      </w:r>
      <w:r w:rsidR="00900485" w:rsidRPr="003C44B8">
        <w:rPr>
          <w:rFonts w:cs="Arial"/>
          <w:szCs w:val="22"/>
          <w:lang w:val="en-NZ"/>
        </w:rPr>
        <w:t>.</w:t>
      </w:r>
    </w:p>
    <w:p w14:paraId="3252D892" w14:textId="6EAB8221" w:rsidR="00E52B84" w:rsidRPr="00CD4B62" w:rsidRDefault="007D78A1" w:rsidP="00CD4B62">
      <w:pPr>
        <w:pStyle w:val="Heading3"/>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5AED3A70" w14:textId="2CEC7C82" w:rsidR="008637A6" w:rsidRPr="003C44B8" w:rsidRDefault="00E74246" w:rsidP="003C44B8">
      <w:pPr>
        <w:pStyle w:val="ListParagraph"/>
        <w:numPr>
          <w:ilvl w:val="0"/>
          <w:numId w:val="24"/>
        </w:numPr>
        <w:ind w:left="567" w:hanging="567"/>
        <w:rPr>
          <w:rFonts w:cs="Arial"/>
          <w:szCs w:val="22"/>
          <w:lang w:val="en-NZ"/>
        </w:rPr>
      </w:pPr>
      <w:r w:rsidRPr="003C44B8">
        <w:rPr>
          <w:rFonts w:cs="Arial"/>
          <w:szCs w:val="22"/>
          <w:lang w:val="en-NZ"/>
        </w:rPr>
        <w:t xml:space="preserve">The scope of policy options under </w:t>
      </w:r>
      <w:r w:rsidR="00597D9A" w:rsidRPr="003C44B8">
        <w:rPr>
          <w:rFonts w:cs="Arial"/>
          <w:szCs w:val="22"/>
          <w:lang w:val="en-NZ"/>
        </w:rPr>
        <w:t xml:space="preserve">consideration in this Impact Statement </w:t>
      </w:r>
      <w:r w:rsidR="007F3A27" w:rsidRPr="003C44B8">
        <w:rPr>
          <w:rFonts w:cs="Arial"/>
          <w:szCs w:val="22"/>
          <w:lang w:val="en-NZ"/>
        </w:rPr>
        <w:t xml:space="preserve">include </w:t>
      </w:r>
      <w:r w:rsidR="00222855" w:rsidRPr="003C44B8">
        <w:rPr>
          <w:rFonts w:cs="Arial"/>
          <w:szCs w:val="22"/>
          <w:lang w:val="en-NZ"/>
        </w:rPr>
        <w:t>dividend integrity and income attribution measures relating to the use of entities</w:t>
      </w:r>
      <w:r w:rsidR="003450C7" w:rsidRPr="003C44B8">
        <w:rPr>
          <w:rFonts w:cs="Arial"/>
          <w:szCs w:val="22"/>
          <w:lang w:val="en-NZ"/>
        </w:rPr>
        <w:t xml:space="preserve"> (and, in particular, </w:t>
      </w:r>
      <w:proofErr w:type="gramStart"/>
      <w:r w:rsidR="003450C7" w:rsidRPr="003C44B8">
        <w:rPr>
          <w:rFonts w:cs="Arial"/>
          <w:szCs w:val="22"/>
          <w:lang w:val="en-NZ"/>
        </w:rPr>
        <w:t>closely-held</w:t>
      </w:r>
      <w:proofErr w:type="gramEnd"/>
      <w:r w:rsidR="003450C7" w:rsidRPr="003C44B8">
        <w:rPr>
          <w:rFonts w:cs="Arial"/>
          <w:szCs w:val="22"/>
          <w:lang w:val="en-NZ"/>
        </w:rPr>
        <w:t xml:space="preserve"> companies</w:t>
      </w:r>
      <w:r w:rsidR="008637A6" w:rsidRPr="003C44B8">
        <w:rPr>
          <w:rFonts w:cs="Arial"/>
          <w:szCs w:val="22"/>
          <w:lang w:val="en-NZ"/>
        </w:rPr>
        <w:t>) by relatively high income individuals.</w:t>
      </w:r>
    </w:p>
    <w:p w14:paraId="1DCB3D25" w14:textId="72C0B7A4" w:rsidR="00073EF1" w:rsidRPr="003C44B8" w:rsidRDefault="00073EF1" w:rsidP="003C44B8">
      <w:pPr>
        <w:pStyle w:val="ListParagraph"/>
        <w:numPr>
          <w:ilvl w:val="0"/>
          <w:numId w:val="24"/>
        </w:numPr>
        <w:ind w:left="567" w:hanging="567"/>
        <w:rPr>
          <w:rFonts w:cs="Arial"/>
          <w:szCs w:val="22"/>
          <w:lang w:val="en-NZ"/>
        </w:rPr>
      </w:pPr>
      <w:r w:rsidRPr="003C44B8">
        <w:rPr>
          <w:rFonts w:cs="Arial"/>
          <w:szCs w:val="22"/>
          <w:lang w:val="en-NZ"/>
        </w:rPr>
        <w:t xml:space="preserve">The Government has ruled out aligning the top personal income tax rate with the company and trustee tax rates </w:t>
      </w:r>
      <w:r w:rsidR="00B36984" w:rsidRPr="003C44B8">
        <w:rPr>
          <w:rFonts w:cs="Arial"/>
          <w:szCs w:val="22"/>
          <w:lang w:val="en-NZ"/>
        </w:rPr>
        <w:t>or</w:t>
      </w:r>
      <w:r w:rsidRPr="003C44B8">
        <w:rPr>
          <w:rFonts w:cs="Arial"/>
          <w:szCs w:val="22"/>
          <w:lang w:val="en-NZ"/>
        </w:rPr>
        <w:t xml:space="preserve"> introducing a capital gains tax. Instead, the Government has directed officials to work on integrity measures that focus on mechanisms that divert the income of a taxpayer on the 33% or 39% rate through channels that allow it to be taxed at a lower rate.</w:t>
      </w:r>
    </w:p>
    <w:p w14:paraId="15735FDE" w14:textId="28560F09" w:rsidR="004B5BBC" w:rsidRPr="003C44B8" w:rsidRDefault="00073EF1" w:rsidP="003C44B8">
      <w:pPr>
        <w:pStyle w:val="ListParagraph"/>
        <w:numPr>
          <w:ilvl w:val="0"/>
          <w:numId w:val="24"/>
        </w:numPr>
        <w:ind w:left="567" w:hanging="567"/>
        <w:rPr>
          <w:rFonts w:cs="Arial"/>
          <w:szCs w:val="22"/>
          <w:lang w:val="en-NZ"/>
        </w:rPr>
      </w:pPr>
      <w:r w:rsidRPr="003C44B8">
        <w:rPr>
          <w:rFonts w:cs="Arial"/>
          <w:szCs w:val="22"/>
          <w:lang w:val="en-NZ"/>
        </w:rPr>
        <w:t xml:space="preserve">Inland Revenue will be receiving more specific information from trustees for the </w:t>
      </w:r>
      <w:r w:rsidR="00F94F34">
        <w:rPr>
          <w:rFonts w:cs="Arial"/>
          <w:szCs w:val="22"/>
          <w:lang w:val="en-NZ"/>
        </w:rPr>
        <w:br/>
      </w:r>
      <w:r w:rsidRPr="003C44B8">
        <w:rPr>
          <w:rFonts w:cs="Arial"/>
          <w:szCs w:val="22"/>
          <w:lang w:val="en-NZ"/>
        </w:rPr>
        <w:t>2021–22 and later income years under provisions in the recently enacted amendments to the personal income tax rate legislation. This additional information could help inform in more detail how trusts are used and what measures could be considered to prevent under-taxation from the use of trusts. For this reason, the work on trust integrity measures has been deferred until the additional information has been received. It has also been publicly stated that officials would consider any potential changes to the taxation of trusts based on the new information.</w:t>
      </w:r>
      <w:r w:rsidR="004B5BBC" w:rsidRPr="003C44B8">
        <w:rPr>
          <w:rFonts w:cs="Arial"/>
          <w:szCs w:val="22"/>
          <w:lang w:val="en-NZ"/>
        </w:rPr>
        <w:t xml:space="preserve"> Consequently, this Impact Statement does not consider these issues.</w:t>
      </w:r>
    </w:p>
    <w:p w14:paraId="2E77DC25" w14:textId="58A68FE1" w:rsidR="008321F8" w:rsidRPr="003C44B8" w:rsidRDefault="00F67C27" w:rsidP="003C44B8">
      <w:pPr>
        <w:pStyle w:val="ListParagraph"/>
        <w:numPr>
          <w:ilvl w:val="0"/>
          <w:numId w:val="24"/>
        </w:numPr>
        <w:ind w:left="567" w:hanging="567"/>
        <w:rPr>
          <w:rFonts w:cs="Arial"/>
          <w:szCs w:val="22"/>
          <w:lang w:val="en-NZ"/>
        </w:rPr>
      </w:pPr>
      <w:r w:rsidRPr="003C44B8">
        <w:rPr>
          <w:rFonts w:cs="Arial"/>
          <w:szCs w:val="22"/>
          <w:lang w:val="en-NZ"/>
        </w:rPr>
        <w:t xml:space="preserve">Relevant experience from other countries has been considered </w:t>
      </w:r>
      <w:r w:rsidR="005149D0" w:rsidRPr="003C44B8">
        <w:rPr>
          <w:rFonts w:cs="Arial"/>
          <w:szCs w:val="22"/>
          <w:lang w:val="en-NZ"/>
        </w:rPr>
        <w:t>in defining the scope of the policy options for consideration</w:t>
      </w:r>
      <w:r w:rsidR="0072370A" w:rsidRPr="003C44B8">
        <w:rPr>
          <w:rFonts w:cs="Arial"/>
          <w:szCs w:val="22"/>
          <w:lang w:val="en-NZ"/>
        </w:rPr>
        <w:t xml:space="preserve">. In particular, officials have </w:t>
      </w:r>
      <w:r w:rsidR="00FE3EAA" w:rsidRPr="003C44B8">
        <w:rPr>
          <w:rFonts w:cs="Arial"/>
          <w:szCs w:val="22"/>
          <w:lang w:val="en-NZ"/>
        </w:rPr>
        <w:t>studi</w:t>
      </w:r>
      <w:r w:rsidR="0072370A" w:rsidRPr="003C44B8">
        <w:rPr>
          <w:rFonts w:cs="Arial"/>
          <w:szCs w:val="22"/>
          <w:lang w:val="en-NZ"/>
        </w:rPr>
        <w:t xml:space="preserve">ed the experience of other tax administrations with </w:t>
      </w:r>
      <w:r w:rsidR="00FE3EAA" w:rsidRPr="003C44B8">
        <w:rPr>
          <w:rFonts w:cs="Arial"/>
          <w:szCs w:val="22"/>
          <w:lang w:val="en-NZ"/>
        </w:rPr>
        <w:t xml:space="preserve">their rules </w:t>
      </w:r>
      <w:r w:rsidR="003A780F" w:rsidRPr="003C44B8">
        <w:rPr>
          <w:rFonts w:cs="Arial"/>
          <w:szCs w:val="22"/>
          <w:lang w:val="en-NZ"/>
        </w:rPr>
        <w:t>governing</w:t>
      </w:r>
      <w:r w:rsidR="00FE3EAA" w:rsidRPr="003C44B8">
        <w:rPr>
          <w:rFonts w:cs="Arial"/>
          <w:szCs w:val="22"/>
          <w:lang w:val="en-NZ"/>
        </w:rPr>
        <w:t xml:space="preserve"> sales of shares and shareholder loans.</w:t>
      </w:r>
    </w:p>
    <w:p w14:paraId="338DDE6B" w14:textId="6F791CF7" w:rsidR="00315A06" w:rsidRPr="00A864A5" w:rsidRDefault="00373851" w:rsidP="00037F29">
      <w:pPr>
        <w:pStyle w:val="Heading3"/>
        <w:rPr>
          <w:lang w:val="en-NZ"/>
        </w:rPr>
      </w:pPr>
      <w:r>
        <w:rPr>
          <w:lang w:val="en-NZ"/>
        </w:rPr>
        <w:t xml:space="preserve">What options </w:t>
      </w:r>
      <w:r w:rsidR="003A6757">
        <w:rPr>
          <w:lang w:val="en-NZ"/>
        </w:rPr>
        <w:t xml:space="preserve">are </w:t>
      </w:r>
      <w:r w:rsidR="007336C9">
        <w:rPr>
          <w:lang w:val="en-NZ"/>
        </w:rPr>
        <w:t>being considered</w:t>
      </w:r>
      <w:r>
        <w:rPr>
          <w:lang w:val="en-NZ"/>
        </w:rPr>
        <w:t>?</w:t>
      </w:r>
    </w:p>
    <w:p w14:paraId="00861FFE" w14:textId="334F2BAB" w:rsidR="00294646" w:rsidRPr="00A864A5" w:rsidRDefault="007D78A1" w:rsidP="00EE03E6">
      <w:pPr>
        <w:pStyle w:val="Heading4"/>
        <w:rPr>
          <w:lang w:val="en-NZ"/>
        </w:rPr>
      </w:pPr>
      <w:r w:rsidRPr="00A864A5">
        <w:rPr>
          <w:lang w:val="en-NZ"/>
        </w:rPr>
        <w:t xml:space="preserve">Option One – </w:t>
      </w:r>
      <w:r w:rsidR="00570E3F" w:rsidRPr="005E751E">
        <w:rPr>
          <w:lang w:val="en-NZ"/>
        </w:rPr>
        <w:t xml:space="preserve">Status </w:t>
      </w:r>
      <w:r w:rsidR="00F94F34">
        <w:rPr>
          <w:lang w:val="en-NZ"/>
        </w:rPr>
        <w:t>q</w:t>
      </w:r>
      <w:r w:rsidR="00F94F34" w:rsidRPr="005E751E">
        <w:rPr>
          <w:lang w:val="en-NZ"/>
        </w:rPr>
        <w:t>uo</w:t>
      </w:r>
    </w:p>
    <w:p w14:paraId="79D92767" w14:textId="3ACC77A1" w:rsidR="007D78A1" w:rsidRPr="003C44B8" w:rsidRDefault="007509D6" w:rsidP="003C44B8">
      <w:pPr>
        <w:pStyle w:val="ListParagraph"/>
        <w:numPr>
          <w:ilvl w:val="0"/>
          <w:numId w:val="24"/>
        </w:numPr>
        <w:ind w:left="567" w:hanging="567"/>
        <w:rPr>
          <w:rFonts w:cs="Arial"/>
          <w:szCs w:val="22"/>
          <w:lang w:val="en-NZ"/>
        </w:rPr>
      </w:pPr>
      <w:r w:rsidRPr="003C44B8">
        <w:rPr>
          <w:rFonts w:cs="Arial"/>
          <w:szCs w:val="22"/>
          <w:lang w:val="en-NZ"/>
        </w:rPr>
        <w:t>This option</w:t>
      </w:r>
      <w:r w:rsidR="00345279" w:rsidRPr="003C44B8">
        <w:rPr>
          <w:rFonts w:cs="Arial"/>
          <w:szCs w:val="22"/>
          <w:lang w:val="en-NZ"/>
        </w:rPr>
        <w:t xml:space="preserve"> involves continuing with the current rules and tax compliance activity. The problem definition section </w:t>
      </w:r>
      <w:r w:rsidR="00F9528F" w:rsidRPr="003C44B8">
        <w:rPr>
          <w:rFonts w:cs="Arial"/>
          <w:szCs w:val="22"/>
          <w:lang w:val="en-NZ"/>
        </w:rPr>
        <w:t xml:space="preserve">explains </w:t>
      </w:r>
      <w:r w:rsidR="00345279" w:rsidRPr="003C44B8">
        <w:rPr>
          <w:rFonts w:cs="Arial"/>
          <w:szCs w:val="22"/>
          <w:lang w:val="en-NZ"/>
        </w:rPr>
        <w:t>the issues this creates and how they are likely to worsen over time.</w:t>
      </w:r>
      <w:r w:rsidRPr="003C44B8">
        <w:rPr>
          <w:rFonts w:cs="Arial"/>
          <w:szCs w:val="22"/>
          <w:lang w:val="en-NZ"/>
        </w:rPr>
        <w:t xml:space="preserve"> It fails to</w:t>
      </w:r>
      <w:r w:rsidR="0062170F" w:rsidRPr="003C44B8">
        <w:rPr>
          <w:rFonts w:cs="Arial"/>
          <w:szCs w:val="22"/>
          <w:lang w:val="en-NZ"/>
        </w:rPr>
        <w:t xml:space="preserve"> achieve the Government’s </w:t>
      </w:r>
      <w:r w:rsidR="0044206D" w:rsidRPr="003C44B8">
        <w:rPr>
          <w:rFonts w:cs="Arial"/>
          <w:szCs w:val="22"/>
          <w:lang w:val="en-NZ"/>
        </w:rPr>
        <w:t>integrity</w:t>
      </w:r>
      <w:r w:rsidR="0062170F" w:rsidRPr="003C44B8">
        <w:rPr>
          <w:rFonts w:cs="Arial"/>
          <w:szCs w:val="22"/>
          <w:lang w:val="en-NZ"/>
        </w:rPr>
        <w:t xml:space="preserve"> and </w:t>
      </w:r>
      <w:r w:rsidR="0044206D" w:rsidRPr="003C44B8">
        <w:rPr>
          <w:rFonts w:cs="Arial"/>
          <w:szCs w:val="22"/>
          <w:lang w:val="en-NZ"/>
        </w:rPr>
        <w:t>revenue</w:t>
      </w:r>
      <w:r w:rsidR="0062170F" w:rsidRPr="003C44B8">
        <w:rPr>
          <w:rFonts w:cs="Arial"/>
          <w:szCs w:val="22"/>
          <w:lang w:val="en-NZ"/>
        </w:rPr>
        <w:t xml:space="preserve"> </w:t>
      </w:r>
      <w:r w:rsidR="00225D6C" w:rsidRPr="003C44B8">
        <w:rPr>
          <w:rFonts w:cs="Arial"/>
          <w:szCs w:val="22"/>
          <w:lang w:val="en-NZ"/>
        </w:rPr>
        <w:t>objectives. It retains the distributional and progressivity outcomes resulting from the current tax settings</w:t>
      </w:r>
      <w:r w:rsidR="0035368F" w:rsidRPr="003C44B8">
        <w:rPr>
          <w:rFonts w:cs="Arial"/>
          <w:szCs w:val="22"/>
          <w:lang w:val="en-NZ"/>
        </w:rPr>
        <w:t>.</w:t>
      </w:r>
    </w:p>
    <w:p w14:paraId="3158AF35" w14:textId="60805FFC" w:rsidR="00837552" w:rsidRPr="003767F2" w:rsidRDefault="00837552" w:rsidP="003C44B8">
      <w:pPr>
        <w:pStyle w:val="Heading4"/>
        <w:rPr>
          <w:b w:val="0"/>
          <w:bCs w:val="0"/>
          <w:lang w:val="en-NZ"/>
        </w:rPr>
      </w:pPr>
      <w:r w:rsidRPr="003C44B8">
        <w:rPr>
          <w:lang w:val="en-NZ"/>
        </w:rPr>
        <w:t>Option Two – Increased compliance activity</w:t>
      </w:r>
    </w:p>
    <w:p w14:paraId="64005263" w14:textId="088C5CF3" w:rsidR="006A4AAD" w:rsidRPr="003C44B8" w:rsidRDefault="00837552" w:rsidP="003C44B8">
      <w:pPr>
        <w:pStyle w:val="ListParagraph"/>
        <w:numPr>
          <w:ilvl w:val="0"/>
          <w:numId w:val="24"/>
        </w:numPr>
        <w:ind w:left="567" w:hanging="567"/>
        <w:rPr>
          <w:rFonts w:cs="Arial"/>
          <w:szCs w:val="22"/>
          <w:lang w:val="en-NZ"/>
        </w:rPr>
      </w:pPr>
      <w:r w:rsidRPr="003C44B8">
        <w:rPr>
          <w:rFonts w:cs="Arial"/>
          <w:szCs w:val="22"/>
          <w:lang w:val="en-NZ"/>
        </w:rPr>
        <w:t xml:space="preserve">Non-regulatory options to address the problems identified include increased enforcement activity by Inland Revenue, including more guidance to taxpayers and education on what specific activities or behaviours Inland Revenue considers objectionable and will </w:t>
      </w:r>
      <w:proofErr w:type="gramStart"/>
      <w:r w:rsidRPr="003C44B8">
        <w:rPr>
          <w:rFonts w:cs="Arial"/>
          <w:szCs w:val="22"/>
          <w:lang w:val="en-NZ"/>
        </w:rPr>
        <w:t>take action</w:t>
      </w:r>
      <w:proofErr w:type="gramEnd"/>
      <w:r w:rsidRPr="003C44B8">
        <w:rPr>
          <w:rFonts w:cs="Arial"/>
          <w:szCs w:val="22"/>
          <w:lang w:val="en-NZ"/>
        </w:rPr>
        <w:t xml:space="preserve"> against where these are identified. However, these options have significant limitations, namely that they are heavily reliant on the general anti-avoidance rule and on increased operational resourcing for Inland Revenue. </w:t>
      </w:r>
    </w:p>
    <w:p w14:paraId="2C58CBD2" w14:textId="0CF2A19C" w:rsidR="006A4AAD" w:rsidRPr="003C44B8" w:rsidRDefault="00837552" w:rsidP="006D4FFC">
      <w:pPr>
        <w:pStyle w:val="ListParagraph"/>
        <w:numPr>
          <w:ilvl w:val="0"/>
          <w:numId w:val="24"/>
        </w:numPr>
        <w:spacing w:line="240" w:lineRule="auto"/>
        <w:ind w:left="567" w:hanging="567"/>
        <w:rPr>
          <w:rFonts w:cs="Arial"/>
          <w:szCs w:val="22"/>
          <w:lang w:val="en-NZ"/>
        </w:rPr>
      </w:pPr>
      <w:r w:rsidRPr="003C44B8">
        <w:rPr>
          <w:rFonts w:cs="Arial"/>
          <w:szCs w:val="22"/>
          <w:lang w:val="en-NZ"/>
        </w:rPr>
        <w:t xml:space="preserve">Reliance on the general anti-avoidance rule requires that the arrangement in question has an evident purpose or effect of tax avoidance. </w:t>
      </w:r>
      <w:r w:rsidR="0001267C" w:rsidRPr="003C44B8">
        <w:rPr>
          <w:rFonts w:cs="Arial"/>
          <w:szCs w:val="22"/>
          <w:lang w:val="en-NZ"/>
        </w:rPr>
        <w:t>The facts of each situation must be looked at individually and i</w:t>
      </w:r>
      <w:r w:rsidRPr="003C44B8">
        <w:rPr>
          <w:rFonts w:cs="Arial"/>
          <w:szCs w:val="22"/>
          <w:lang w:val="en-NZ"/>
        </w:rPr>
        <w:t>t is not always obvious whether arrangements have such a purpose or effect</w:t>
      </w:r>
      <w:r w:rsidR="006A4AAD" w:rsidRPr="003C44B8">
        <w:rPr>
          <w:rFonts w:cs="Arial"/>
          <w:szCs w:val="22"/>
          <w:lang w:val="en-NZ"/>
        </w:rPr>
        <w:t>.</w:t>
      </w:r>
      <w:r w:rsidR="0001267C" w:rsidRPr="003C44B8">
        <w:rPr>
          <w:rFonts w:cs="Arial"/>
          <w:szCs w:val="22"/>
          <w:lang w:val="en-NZ"/>
        </w:rPr>
        <w:t xml:space="preserve"> I</w:t>
      </w:r>
      <w:r w:rsidRPr="003C44B8">
        <w:rPr>
          <w:rFonts w:cs="Arial"/>
          <w:szCs w:val="22"/>
          <w:lang w:val="en-NZ"/>
        </w:rPr>
        <w:t xml:space="preserve">t can </w:t>
      </w:r>
      <w:r w:rsidR="0001267C" w:rsidRPr="003C44B8">
        <w:rPr>
          <w:rFonts w:cs="Arial"/>
          <w:szCs w:val="22"/>
          <w:lang w:val="en-NZ"/>
        </w:rPr>
        <w:t>therefore</w:t>
      </w:r>
      <w:r w:rsidRPr="003C44B8">
        <w:rPr>
          <w:rFonts w:cs="Arial"/>
          <w:szCs w:val="22"/>
          <w:lang w:val="en-NZ"/>
        </w:rPr>
        <w:t xml:space="preserve"> be time consuming and resource intensive to prove there is </w:t>
      </w:r>
      <w:r w:rsidR="0001267C" w:rsidRPr="003C44B8">
        <w:rPr>
          <w:rFonts w:cs="Arial"/>
          <w:szCs w:val="22"/>
          <w:lang w:val="en-NZ"/>
        </w:rPr>
        <w:t>an evident purpose or effect of tax avoidance</w:t>
      </w:r>
      <w:r w:rsidRPr="003C44B8">
        <w:rPr>
          <w:rFonts w:cs="Arial"/>
          <w:szCs w:val="22"/>
          <w:lang w:val="en-NZ"/>
        </w:rPr>
        <w:t xml:space="preserve">. </w:t>
      </w:r>
      <w:r w:rsidR="0083559F" w:rsidRPr="0083559F">
        <w:rPr>
          <w:rFonts w:cs="Arial"/>
          <w:sz w:val="20"/>
          <w:shd w:val="clear" w:color="auto" w:fill="D9D9D9" w:themeFill="background1" w:themeFillShade="D9"/>
          <w:lang w:val="en-NZ"/>
        </w:rPr>
        <w:t>s 6(c)</w:t>
      </w:r>
      <w:r w:rsidR="000B663D" w:rsidRPr="006D4FFC">
        <w:rPr>
          <w:rFonts w:cs="Arial"/>
          <w:color w:val="D9D9D9" w:themeColor="background1" w:themeShade="D9"/>
          <w:szCs w:val="22"/>
          <w:shd w:val="clear" w:color="auto" w:fill="D9D9D9" w:themeFill="background1" w:themeFillShade="D9"/>
          <w:lang w:val="en-NZ"/>
        </w:rPr>
        <w:t>………………</w:t>
      </w:r>
      <w:proofErr w:type="gramStart"/>
      <w:r w:rsidR="000B663D" w:rsidRPr="006D4FFC">
        <w:rPr>
          <w:rFonts w:cs="Arial"/>
          <w:color w:val="D9D9D9" w:themeColor="background1" w:themeShade="D9"/>
          <w:szCs w:val="22"/>
          <w:shd w:val="clear" w:color="auto" w:fill="D9D9D9" w:themeFill="background1" w:themeFillShade="D9"/>
          <w:lang w:val="en-NZ"/>
        </w:rPr>
        <w:t>…</w:t>
      </w:r>
      <w:r w:rsidR="0083559F" w:rsidRPr="006D4FFC">
        <w:rPr>
          <w:rFonts w:cs="Arial"/>
          <w:color w:val="D9D9D9" w:themeColor="background1" w:themeShade="D9"/>
          <w:szCs w:val="22"/>
          <w:shd w:val="clear" w:color="auto" w:fill="D9D9D9" w:themeFill="background1" w:themeFillShade="D9"/>
          <w:lang w:val="en-NZ"/>
        </w:rPr>
        <w:t>..</w:t>
      </w:r>
      <w:proofErr w:type="gramEnd"/>
      <w:r w:rsidR="000B663D" w:rsidRPr="006D4FFC">
        <w:rPr>
          <w:rFonts w:cs="Arial"/>
          <w:color w:val="D9D9D9" w:themeColor="background1" w:themeShade="D9"/>
          <w:szCs w:val="22"/>
          <w:shd w:val="clear" w:color="auto" w:fill="D9D9D9" w:themeFill="background1" w:themeFillShade="D9"/>
          <w:lang w:val="en-NZ"/>
        </w:rPr>
        <w:t>…………</w:t>
      </w:r>
      <w:r w:rsidR="000B663D" w:rsidRPr="006D4FFC">
        <w:rPr>
          <w:rFonts w:cs="Arial"/>
          <w:color w:val="D9D9D9" w:themeColor="background1" w:themeShade="D9"/>
          <w:szCs w:val="22"/>
          <w:shd w:val="clear" w:color="auto" w:fill="D9D9D9" w:themeFill="background1" w:themeFillShade="D9"/>
          <w:lang w:val="en-NZ"/>
        </w:rPr>
        <w:br/>
        <w:t>……………………………………………………………………………………………………</w:t>
      </w:r>
      <w:r w:rsidR="000B663D" w:rsidRPr="006D4FFC">
        <w:rPr>
          <w:rFonts w:cs="Arial"/>
          <w:color w:val="D9D9D9" w:themeColor="background1" w:themeShade="D9"/>
          <w:szCs w:val="22"/>
          <w:shd w:val="clear" w:color="auto" w:fill="D9D9D9" w:themeFill="background1" w:themeFillShade="D9"/>
          <w:lang w:val="en-NZ"/>
        </w:rPr>
        <w:br/>
        <w:t>………………………………</w:t>
      </w:r>
      <w:r w:rsidR="0083559F" w:rsidRPr="006D4FFC">
        <w:rPr>
          <w:rFonts w:cs="Arial"/>
          <w:color w:val="D9D9D9" w:themeColor="background1" w:themeShade="D9"/>
          <w:szCs w:val="22"/>
          <w:shd w:val="clear" w:color="auto" w:fill="D9D9D9" w:themeFill="background1" w:themeFillShade="D9"/>
          <w:lang w:val="en-NZ"/>
        </w:rPr>
        <w:t>.</w:t>
      </w:r>
      <w:r w:rsidRPr="003C44B8">
        <w:rPr>
          <w:rFonts w:cs="Arial"/>
          <w:szCs w:val="22"/>
          <w:lang w:val="en-NZ"/>
        </w:rPr>
        <w:t xml:space="preserve"> Inland Revenue’s general experience has been that, when there is a specific and identifiable situation where avoidance is a concern, it is usually better to have a specific rule that addresses the concern than it is to rely on the general anti-avoidance rule. </w:t>
      </w:r>
    </w:p>
    <w:p w14:paraId="6C8C1E32" w14:textId="3D091088" w:rsidR="00837552" w:rsidRPr="003C44B8" w:rsidRDefault="00837552" w:rsidP="006D4FFC">
      <w:pPr>
        <w:pStyle w:val="ListParagraph"/>
        <w:numPr>
          <w:ilvl w:val="0"/>
          <w:numId w:val="24"/>
        </w:numPr>
        <w:spacing w:after="300"/>
        <w:ind w:left="567" w:hanging="567"/>
        <w:rPr>
          <w:rFonts w:cs="Arial"/>
          <w:szCs w:val="22"/>
          <w:lang w:val="en-NZ"/>
        </w:rPr>
      </w:pPr>
      <w:r w:rsidRPr="003C44B8">
        <w:rPr>
          <w:rFonts w:cs="Arial"/>
          <w:szCs w:val="22"/>
          <w:lang w:val="en-NZ"/>
        </w:rPr>
        <w:t xml:space="preserve">Further, the policy concerns in relation to share sales and derivation of personal services income through companies are not restricted to arrangements with a purpose of tax avoidance. Therefore, to </w:t>
      </w:r>
      <w:proofErr w:type="gramStart"/>
      <w:r w:rsidRPr="003C44B8">
        <w:rPr>
          <w:rFonts w:cs="Arial"/>
          <w:szCs w:val="22"/>
          <w:lang w:val="en-NZ"/>
        </w:rPr>
        <w:t>more effectively address the integrity and distributional issues and provide taxpayers and Inland Revenue with certainty, it is preferable to have specific integrity measures rather than rely on the general anti-avoidance rule</w:t>
      </w:r>
      <w:proofErr w:type="gramEnd"/>
      <w:r w:rsidRPr="003C44B8">
        <w:rPr>
          <w:rFonts w:cs="Arial"/>
          <w:szCs w:val="22"/>
          <w:lang w:val="en-NZ"/>
        </w:rPr>
        <w:t>.</w:t>
      </w:r>
    </w:p>
    <w:p w14:paraId="0F6FCE9D" w14:textId="7EBCD2C7" w:rsidR="00570E3F" w:rsidRPr="007C1E21" w:rsidRDefault="00570E3F" w:rsidP="007C1E21">
      <w:pPr>
        <w:pStyle w:val="Heading4"/>
        <w:keepNext/>
      </w:pPr>
      <w:r w:rsidRPr="007C1E21">
        <w:t>Option T</w:t>
      </w:r>
      <w:r w:rsidR="00837552" w:rsidRPr="007C1E21">
        <w:t>hree</w:t>
      </w:r>
      <w:r w:rsidRPr="007C1E21">
        <w:t xml:space="preserve"> – </w:t>
      </w:r>
      <w:r w:rsidR="00873CB9" w:rsidRPr="007C1E21">
        <w:t xml:space="preserve">Package of integrity </w:t>
      </w:r>
      <w:r w:rsidR="002D714A" w:rsidRPr="007C1E21">
        <w:t>measures</w:t>
      </w:r>
    </w:p>
    <w:p w14:paraId="2CE6058D" w14:textId="64D5CB0A" w:rsidR="00570E3F" w:rsidRPr="003C44B8" w:rsidRDefault="00037DBD" w:rsidP="007C1E21">
      <w:pPr>
        <w:pStyle w:val="ListParagraph"/>
        <w:keepNext/>
        <w:keepLines/>
        <w:numPr>
          <w:ilvl w:val="0"/>
          <w:numId w:val="24"/>
        </w:numPr>
        <w:ind w:left="567" w:hanging="567"/>
        <w:rPr>
          <w:rFonts w:cs="Arial"/>
          <w:szCs w:val="22"/>
          <w:lang w:val="en-NZ"/>
        </w:rPr>
      </w:pPr>
      <w:r w:rsidRPr="003C44B8">
        <w:rPr>
          <w:rFonts w:cs="Arial"/>
          <w:szCs w:val="22"/>
          <w:lang w:val="en-NZ"/>
        </w:rPr>
        <w:t xml:space="preserve">This option </w:t>
      </w:r>
      <w:r w:rsidR="003C6600" w:rsidRPr="003C44B8">
        <w:rPr>
          <w:rFonts w:cs="Arial"/>
          <w:szCs w:val="22"/>
          <w:lang w:val="en-NZ"/>
        </w:rPr>
        <w:t xml:space="preserve">comprises dividend integrity measures and </w:t>
      </w:r>
      <w:r w:rsidR="004334D2" w:rsidRPr="003C44B8">
        <w:rPr>
          <w:rFonts w:cs="Arial"/>
          <w:szCs w:val="22"/>
          <w:lang w:val="en-NZ"/>
        </w:rPr>
        <w:t>changes to the personal services attribution rule</w:t>
      </w:r>
      <w:r w:rsidR="009A4F02" w:rsidRPr="003C44B8">
        <w:rPr>
          <w:rFonts w:cs="Arial"/>
          <w:szCs w:val="22"/>
          <w:lang w:val="en-NZ"/>
        </w:rPr>
        <w:t>, including:</w:t>
      </w:r>
    </w:p>
    <w:p w14:paraId="070BB00C" w14:textId="46F7037F" w:rsidR="009D7CE6" w:rsidRPr="009614BD" w:rsidRDefault="00E53B2D" w:rsidP="009614BD">
      <w:pPr>
        <w:pStyle w:val="ListParagraph"/>
        <w:numPr>
          <w:ilvl w:val="0"/>
          <w:numId w:val="41"/>
        </w:numPr>
        <w:ind w:left="1134" w:hanging="567"/>
      </w:pPr>
      <w:r w:rsidRPr="009614BD">
        <w:t xml:space="preserve">Treating </w:t>
      </w:r>
      <w:r w:rsidR="00C2771A" w:rsidRPr="009614BD">
        <w:t>any sale of shares in a company by the controlling shareholder as giving rise to a dividend to the shareholder</w:t>
      </w:r>
      <w:r w:rsidRPr="009614BD">
        <w:t>,</w:t>
      </w:r>
      <w:r w:rsidR="00C2771A" w:rsidRPr="009614BD">
        <w:t xml:space="preserve"> to the extent that the company (and its subsidiaries) has retained earnings</w:t>
      </w:r>
      <w:r w:rsidR="00400F7C" w:rsidRPr="009614BD">
        <w:t>.</w:t>
      </w:r>
    </w:p>
    <w:p w14:paraId="3EF94B25" w14:textId="4149FDF9" w:rsidR="00400F7C" w:rsidRPr="009614BD" w:rsidRDefault="00E53B2D" w:rsidP="009614BD">
      <w:pPr>
        <w:pStyle w:val="ListParagraph"/>
        <w:numPr>
          <w:ilvl w:val="0"/>
          <w:numId w:val="41"/>
        </w:numPr>
        <w:ind w:left="1134" w:hanging="567"/>
      </w:pPr>
      <w:r w:rsidRPr="009614BD">
        <w:t xml:space="preserve">Requiring </w:t>
      </w:r>
      <w:r w:rsidR="003D4BCB" w:rsidRPr="009614BD">
        <w:t>companies</w:t>
      </w:r>
      <w:r w:rsidR="00400F7C" w:rsidRPr="009614BD">
        <w:t xml:space="preserve"> to maintain a record of their available subscribed capital and </w:t>
      </w:r>
      <w:r w:rsidR="00EF53D8" w:rsidRPr="009614BD">
        <w:t xml:space="preserve">net capital gains, so that these amounts can be </w:t>
      </w:r>
      <w:r w:rsidR="004224E3" w:rsidRPr="009614BD">
        <w:t>more easily and accurately calculated</w:t>
      </w:r>
      <w:r w:rsidR="008009CB" w:rsidRPr="009614BD">
        <w:t xml:space="preserve">. This would </w:t>
      </w:r>
      <w:r w:rsidR="006C77CF" w:rsidRPr="009614BD">
        <w:t xml:space="preserve">in turn </w:t>
      </w:r>
      <w:r w:rsidR="008009CB" w:rsidRPr="009614BD">
        <w:t>enable accurate calculation of the dividend amount arising on a share cancellation or liquidation of the company.</w:t>
      </w:r>
    </w:p>
    <w:p w14:paraId="289A8108" w14:textId="3BB3F53A" w:rsidR="002D0694" w:rsidRPr="009614BD" w:rsidRDefault="00B34EF9" w:rsidP="009614BD">
      <w:pPr>
        <w:pStyle w:val="ListParagraph"/>
        <w:numPr>
          <w:ilvl w:val="0"/>
          <w:numId w:val="41"/>
        </w:numPr>
        <w:ind w:left="1134" w:hanging="567"/>
      </w:pPr>
      <w:r w:rsidRPr="009614BD">
        <w:t>Broade</w:t>
      </w:r>
      <w:r w:rsidR="000D7A0D" w:rsidRPr="009614BD">
        <w:t xml:space="preserve">ning the scope of </w:t>
      </w:r>
      <w:r w:rsidR="002D0694" w:rsidRPr="009614BD">
        <w:t>the personal services attribution rule</w:t>
      </w:r>
      <w:r w:rsidRPr="009614BD">
        <w:t xml:space="preserve">, so that instead </w:t>
      </w:r>
      <w:r w:rsidR="00273C81" w:rsidRPr="009614BD">
        <w:t>of narrowly targeting taxpayers who are similar to employees, the rule captures a wider array of scenarios where an individual</w:t>
      </w:r>
      <w:r w:rsidR="00626D8F" w:rsidRPr="009614BD">
        <w:t xml:space="preserve"> may use an entity associated with them (such as a company or a trust) as</w:t>
      </w:r>
      <w:r w:rsidR="00393E36" w:rsidRPr="009614BD">
        <w:t xml:space="preserve"> a conduit for se</w:t>
      </w:r>
      <w:r w:rsidR="00081791" w:rsidRPr="009614BD">
        <w:t>l</w:t>
      </w:r>
      <w:r w:rsidR="00393E36" w:rsidRPr="009614BD">
        <w:t>ling their personal services to one or more customers</w:t>
      </w:r>
      <w:r w:rsidR="003523FC" w:rsidRPr="009614BD">
        <w:t>.</w:t>
      </w:r>
      <w:r w:rsidR="00B155F3" w:rsidRPr="009614BD">
        <w:t xml:space="preserve"> The rule</w:t>
      </w:r>
      <w:r w:rsidR="00393E36" w:rsidRPr="009614BD">
        <w:t xml:space="preserve"> currently</w:t>
      </w:r>
      <w:r w:rsidR="00B155F3" w:rsidRPr="009614BD">
        <w:t xml:space="preserve"> </w:t>
      </w:r>
      <w:r w:rsidR="00502062" w:rsidRPr="009614BD">
        <w:t xml:space="preserve">applies in </w:t>
      </w:r>
      <w:r w:rsidR="00393E36" w:rsidRPr="009614BD">
        <w:t>narrowly defined</w:t>
      </w:r>
      <w:r w:rsidR="00502062" w:rsidRPr="009614BD">
        <w:t xml:space="preserve"> circumstances when income from “personal services” performed by an individual is earned through an </w:t>
      </w:r>
      <w:r w:rsidR="00393E36" w:rsidRPr="009614BD">
        <w:t xml:space="preserve">associated </w:t>
      </w:r>
      <w:r w:rsidR="00502062" w:rsidRPr="009614BD">
        <w:t>entity. The rule attributes the income from personal services to the individual who performs the services, thus ensuring that the income is taxed at the individual’s marginal rate of personal income tax, rather than at the company rate of 28% or the trustee rate of 33%.</w:t>
      </w:r>
    </w:p>
    <w:p w14:paraId="7C9271C8" w14:textId="3477AC83" w:rsidR="007A69A9" w:rsidRPr="003C44B8" w:rsidRDefault="0045085F" w:rsidP="003C44B8">
      <w:pPr>
        <w:pStyle w:val="ListParagraph"/>
        <w:numPr>
          <w:ilvl w:val="0"/>
          <w:numId w:val="24"/>
        </w:numPr>
        <w:ind w:left="567" w:hanging="567"/>
        <w:rPr>
          <w:rFonts w:cs="Arial"/>
          <w:szCs w:val="22"/>
          <w:lang w:val="en-NZ"/>
        </w:rPr>
      </w:pPr>
      <w:r w:rsidRPr="003C44B8">
        <w:rPr>
          <w:rFonts w:cs="Arial"/>
          <w:szCs w:val="22"/>
          <w:lang w:val="en-NZ"/>
        </w:rPr>
        <w:t>This option would be an improvement over the status quo in relation to</w:t>
      </w:r>
      <w:r w:rsidR="000569D5" w:rsidRPr="003C44B8">
        <w:rPr>
          <w:rFonts w:cs="Arial"/>
          <w:szCs w:val="22"/>
          <w:lang w:val="en-NZ"/>
        </w:rPr>
        <w:t xml:space="preserve"> each of the integrity, </w:t>
      </w:r>
      <w:proofErr w:type="gramStart"/>
      <w:r w:rsidR="000569D5" w:rsidRPr="003C44B8">
        <w:rPr>
          <w:rFonts w:cs="Arial"/>
          <w:szCs w:val="22"/>
          <w:lang w:val="en-NZ"/>
        </w:rPr>
        <w:t>revenue</w:t>
      </w:r>
      <w:proofErr w:type="gramEnd"/>
      <w:r w:rsidR="000569D5" w:rsidRPr="003C44B8">
        <w:rPr>
          <w:rFonts w:cs="Arial"/>
          <w:szCs w:val="22"/>
          <w:lang w:val="en-NZ"/>
        </w:rPr>
        <w:t xml:space="preserve"> and distributional objectives.</w:t>
      </w:r>
      <w:r w:rsidR="0002225B" w:rsidRPr="003C44B8">
        <w:rPr>
          <w:rFonts w:cs="Arial"/>
          <w:szCs w:val="22"/>
          <w:lang w:val="en-NZ"/>
        </w:rPr>
        <w:t xml:space="preserve"> However, it would increase taxpayers’ compliance costs</w:t>
      </w:r>
      <w:r w:rsidR="004048EB" w:rsidRPr="003C44B8">
        <w:rPr>
          <w:rFonts w:cs="Arial"/>
          <w:szCs w:val="22"/>
          <w:lang w:val="en-NZ"/>
        </w:rPr>
        <w:t xml:space="preserve"> and the complexity of the tax rules, and key private sector stakeholders</w:t>
      </w:r>
      <w:r w:rsidR="00FA14EF" w:rsidRPr="003C44B8">
        <w:rPr>
          <w:rFonts w:cs="Arial"/>
          <w:szCs w:val="22"/>
          <w:lang w:val="en-NZ"/>
        </w:rPr>
        <w:t xml:space="preserve"> (including the affected taxpayers and their advisors)</w:t>
      </w:r>
      <w:r w:rsidR="004048EB" w:rsidRPr="003C44B8">
        <w:rPr>
          <w:rFonts w:cs="Arial"/>
          <w:szCs w:val="22"/>
          <w:lang w:val="en-NZ"/>
        </w:rPr>
        <w:t xml:space="preserve"> are likely to </w:t>
      </w:r>
      <w:r w:rsidR="00990FD0" w:rsidRPr="003C44B8">
        <w:rPr>
          <w:rFonts w:cs="Arial"/>
          <w:szCs w:val="22"/>
          <w:lang w:val="en-NZ"/>
        </w:rPr>
        <w:t>not</w:t>
      </w:r>
      <w:r w:rsidR="004048EB" w:rsidRPr="003C44B8">
        <w:rPr>
          <w:rFonts w:cs="Arial"/>
          <w:szCs w:val="22"/>
          <w:lang w:val="en-NZ"/>
        </w:rPr>
        <w:t xml:space="preserve"> support this option.</w:t>
      </w:r>
    </w:p>
    <w:p w14:paraId="781609C7" w14:textId="2CEF05F2" w:rsidR="00E24F8A" w:rsidRPr="003C44B8" w:rsidRDefault="005A78A8" w:rsidP="003C44B8">
      <w:pPr>
        <w:pStyle w:val="ListParagraph"/>
        <w:numPr>
          <w:ilvl w:val="0"/>
          <w:numId w:val="24"/>
        </w:numPr>
        <w:ind w:left="567" w:hanging="567"/>
        <w:rPr>
          <w:rFonts w:cs="Arial"/>
          <w:szCs w:val="22"/>
          <w:lang w:val="en-NZ"/>
        </w:rPr>
      </w:pPr>
      <w:r w:rsidRPr="003C44B8">
        <w:rPr>
          <w:rFonts w:cs="Arial"/>
          <w:szCs w:val="22"/>
          <w:lang w:val="en-NZ"/>
        </w:rPr>
        <w:t>The impacts of this option will be direct. No obvious flow</w:t>
      </w:r>
      <w:r w:rsidR="00205E4B" w:rsidRPr="003C44B8">
        <w:rPr>
          <w:rFonts w:cs="Arial"/>
          <w:szCs w:val="22"/>
          <w:lang w:val="en-NZ"/>
        </w:rPr>
        <w:t xml:space="preserve">-on effects have been identified to date, although consultation may </w:t>
      </w:r>
      <w:r w:rsidR="00D91933" w:rsidRPr="003C44B8">
        <w:rPr>
          <w:rFonts w:cs="Arial"/>
          <w:szCs w:val="22"/>
          <w:lang w:val="en-NZ"/>
        </w:rPr>
        <w:t>help to identify any flow-on effects.</w:t>
      </w:r>
    </w:p>
    <w:p w14:paraId="15C16372" w14:textId="6A08746E" w:rsidR="00E24F8A" w:rsidRPr="003C44B8" w:rsidRDefault="00F0298C" w:rsidP="003C44B8">
      <w:pPr>
        <w:pStyle w:val="ListParagraph"/>
        <w:numPr>
          <w:ilvl w:val="0"/>
          <w:numId w:val="24"/>
        </w:numPr>
        <w:ind w:left="567" w:hanging="567"/>
        <w:rPr>
          <w:rFonts w:cs="Arial"/>
          <w:szCs w:val="22"/>
          <w:lang w:val="en-NZ"/>
        </w:rPr>
      </w:pPr>
      <w:r w:rsidRPr="003C44B8">
        <w:rPr>
          <w:rFonts w:cs="Arial"/>
          <w:szCs w:val="22"/>
          <w:lang w:val="en-NZ"/>
        </w:rPr>
        <w:t>The effects of the share sales proposal will</w:t>
      </w:r>
      <w:r w:rsidR="00467BB0" w:rsidRPr="003C44B8">
        <w:rPr>
          <w:rFonts w:cs="Arial"/>
          <w:szCs w:val="22"/>
          <w:lang w:val="en-NZ"/>
        </w:rPr>
        <w:t xml:space="preserve">, on an individual taxpayer basis, largely be one-off, as the proposal will only apply when a taxpayer </w:t>
      </w:r>
      <w:r w:rsidR="00AF6592" w:rsidRPr="003C44B8">
        <w:rPr>
          <w:rFonts w:cs="Arial"/>
          <w:szCs w:val="22"/>
          <w:lang w:val="en-NZ"/>
        </w:rPr>
        <w:t xml:space="preserve">who is a controlling shareholder of a </w:t>
      </w:r>
      <w:proofErr w:type="gramStart"/>
      <w:r w:rsidR="00AF6592" w:rsidRPr="003C44B8">
        <w:rPr>
          <w:rFonts w:cs="Arial"/>
          <w:szCs w:val="22"/>
          <w:lang w:val="en-NZ"/>
        </w:rPr>
        <w:t>closely-held</w:t>
      </w:r>
      <w:proofErr w:type="gramEnd"/>
      <w:r w:rsidR="00AF6592" w:rsidRPr="003C44B8">
        <w:rPr>
          <w:rFonts w:cs="Arial"/>
          <w:szCs w:val="22"/>
          <w:lang w:val="en-NZ"/>
        </w:rPr>
        <w:t xml:space="preserve"> company </w:t>
      </w:r>
      <w:r w:rsidR="00452E7E" w:rsidRPr="003C44B8">
        <w:rPr>
          <w:rFonts w:cs="Arial"/>
          <w:szCs w:val="22"/>
          <w:lang w:val="en-NZ"/>
        </w:rPr>
        <w:t xml:space="preserve">sells shares in the company, which for most </w:t>
      </w:r>
      <w:r w:rsidR="00EF0060" w:rsidRPr="003C44B8">
        <w:rPr>
          <w:rFonts w:cs="Arial"/>
          <w:szCs w:val="22"/>
          <w:lang w:val="en-NZ"/>
        </w:rPr>
        <w:t>of these taxpayers will not be a frequent occurrence.</w:t>
      </w:r>
    </w:p>
    <w:p w14:paraId="61679E83" w14:textId="665202CA" w:rsidR="00EF0060" w:rsidRPr="003C44B8" w:rsidRDefault="007D5A62" w:rsidP="003C44B8">
      <w:pPr>
        <w:pStyle w:val="ListParagraph"/>
        <w:numPr>
          <w:ilvl w:val="0"/>
          <w:numId w:val="24"/>
        </w:numPr>
        <w:ind w:left="567" w:hanging="567"/>
        <w:rPr>
          <w:rFonts w:cs="Arial"/>
          <w:szCs w:val="22"/>
          <w:lang w:val="en-NZ"/>
        </w:rPr>
      </w:pPr>
      <w:r w:rsidRPr="003C44B8">
        <w:rPr>
          <w:rFonts w:cs="Arial"/>
          <w:szCs w:val="22"/>
          <w:lang w:val="en-NZ"/>
        </w:rPr>
        <w:t>The f</w:t>
      </w:r>
      <w:r w:rsidR="00EB7E59" w:rsidRPr="003C44B8">
        <w:rPr>
          <w:rFonts w:cs="Arial"/>
          <w:szCs w:val="22"/>
          <w:lang w:val="en-NZ"/>
        </w:rPr>
        <w:t xml:space="preserve">requency </w:t>
      </w:r>
      <w:r w:rsidR="00905855" w:rsidRPr="003C44B8">
        <w:rPr>
          <w:rFonts w:cs="Arial"/>
          <w:szCs w:val="22"/>
          <w:lang w:val="en-NZ"/>
        </w:rPr>
        <w:t>or recurrence of the impacts</w:t>
      </w:r>
      <w:r w:rsidR="00EF0060" w:rsidRPr="003C44B8">
        <w:rPr>
          <w:rFonts w:cs="Arial"/>
          <w:szCs w:val="22"/>
          <w:lang w:val="en-NZ"/>
        </w:rPr>
        <w:t xml:space="preserve"> of the proposal to require taxpayers to keep records of available subscribed capital and net capital gains </w:t>
      </w:r>
      <w:r w:rsidR="00EB7E59" w:rsidRPr="003C44B8">
        <w:rPr>
          <w:rFonts w:cs="Arial"/>
          <w:szCs w:val="22"/>
          <w:lang w:val="en-NZ"/>
        </w:rPr>
        <w:t xml:space="preserve">will </w:t>
      </w:r>
      <w:r w:rsidR="00905855" w:rsidRPr="003C44B8">
        <w:rPr>
          <w:rFonts w:cs="Arial"/>
          <w:szCs w:val="22"/>
          <w:lang w:val="en-NZ"/>
        </w:rPr>
        <w:t xml:space="preserve">depend on the final design of the proposal. </w:t>
      </w:r>
      <w:r w:rsidR="005D262D" w:rsidRPr="003C44B8">
        <w:rPr>
          <w:rFonts w:cs="Arial"/>
          <w:szCs w:val="22"/>
          <w:lang w:val="en-NZ"/>
        </w:rPr>
        <w:t xml:space="preserve">In any case, taxpayers already need to account for the transactions that give rise to </w:t>
      </w:r>
      <w:r w:rsidR="00221AAC" w:rsidRPr="003C44B8">
        <w:rPr>
          <w:rFonts w:cs="Arial"/>
          <w:szCs w:val="22"/>
          <w:lang w:val="en-NZ"/>
        </w:rPr>
        <w:t xml:space="preserve">available subscribed capital </w:t>
      </w:r>
      <w:r w:rsidR="005D262D" w:rsidRPr="003C44B8">
        <w:rPr>
          <w:rFonts w:cs="Arial"/>
          <w:szCs w:val="22"/>
          <w:lang w:val="en-NZ"/>
        </w:rPr>
        <w:t xml:space="preserve">and </w:t>
      </w:r>
      <w:r w:rsidR="00221AAC" w:rsidRPr="003C44B8">
        <w:rPr>
          <w:rFonts w:cs="Arial"/>
          <w:szCs w:val="22"/>
          <w:lang w:val="en-NZ"/>
        </w:rPr>
        <w:t>available capital distribution</w:t>
      </w:r>
      <w:r w:rsidR="005D262D" w:rsidRPr="003C44B8">
        <w:rPr>
          <w:rFonts w:cs="Arial"/>
          <w:szCs w:val="22"/>
          <w:lang w:val="en-NZ"/>
        </w:rPr>
        <w:t xml:space="preserve"> movements in their financial records. Any requirements to report these movements or to retain records of them </w:t>
      </w:r>
      <w:r w:rsidR="00221AAC" w:rsidRPr="003C44B8">
        <w:rPr>
          <w:rFonts w:cs="Arial"/>
          <w:szCs w:val="22"/>
          <w:lang w:val="en-NZ"/>
        </w:rPr>
        <w:t>is likely to</w:t>
      </w:r>
      <w:r w:rsidR="005D262D" w:rsidRPr="003C44B8">
        <w:rPr>
          <w:rFonts w:cs="Arial"/>
          <w:szCs w:val="22"/>
          <w:lang w:val="en-NZ"/>
        </w:rPr>
        <w:t xml:space="preserve"> be minor going forwards although some work might need to be done to establish the starting position. </w:t>
      </w:r>
      <w:r w:rsidR="00FF1C5F" w:rsidRPr="003C44B8">
        <w:rPr>
          <w:rFonts w:cs="Arial"/>
          <w:szCs w:val="22"/>
          <w:lang w:val="en-NZ"/>
        </w:rPr>
        <w:t xml:space="preserve">If taxpayers are required to file memorandum accounts of available subscribed capital and </w:t>
      </w:r>
      <w:r w:rsidR="00BA62B5" w:rsidRPr="003C44B8">
        <w:rPr>
          <w:rFonts w:cs="Arial"/>
          <w:szCs w:val="22"/>
          <w:lang w:val="en-NZ"/>
        </w:rPr>
        <w:t xml:space="preserve">net capital gain amounts </w:t>
      </w:r>
      <w:r w:rsidR="00E877AA" w:rsidRPr="003C44B8">
        <w:rPr>
          <w:rFonts w:cs="Arial"/>
          <w:szCs w:val="22"/>
          <w:lang w:val="en-NZ"/>
        </w:rPr>
        <w:t xml:space="preserve">with Inland Revenue </w:t>
      </w:r>
      <w:r w:rsidR="00BA62B5" w:rsidRPr="003C44B8">
        <w:rPr>
          <w:rFonts w:cs="Arial"/>
          <w:szCs w:val="22"/>
          <w:lang w:val="en-NZ"/>
        </w:rPr>
        <w:t xml:space="preserve">on an annual basis (similar to the existing </w:t>
      </w:r>
      <w:r w:rsidR="00E877AA" w:rsidRPr="003C44B8">
        <w:rPr>
          <w:rFonts w:cs="Arial"/>
          <w:szCs w:val="22"/>
          <w:lang w:val="en-NZ"/>
        </w:rPr>
        <w:t>requirement to file imputation credit accounts annually)</w:t>
      </w:r>
      <w:r w:rsidR="00FF0A6A" w:rsidRPr="003C44B8">
        <w:rPr>
          <w:rFonts w:cs="Arial"/>
          <w:szCs w:val="22"/>
          <w:lang w:val="en-NZ"/>
        </w:rPr>
        <w:t>,</w:t>
      </w:r>
      <w:r w:rsidR="009833E7" w:rsidRPr="003C44B8">
        <w:rPr>
          <w:rFonts w:cs="Arial"/>
          <w:szCs w:val="22"/>
          <w:lang w:val="en-NZ"/>
        </w:rPr>
        <w:t xml:space="preserve"> then the effects of the proposal will have a </w:t>
      </w:r>
      <w:r w:rsidR="005D262D" w:rsidRPr="003C44B8">
        <w:rPr>
          <w:rFonts w:cs="Arial"/>
          <w:szCs w:val="22"/>
          <w:lang w:val="en-NZ"/>
        </w:rPr>
        <w:t xml:space="preserve">small </w:t>
      </w:r>
      <w:r w:rsidR="006476AF" w:rsidRPr="003C44B8">
        <w:rPr>
          <w:rFonts w:cs="Arial"/>
          <w:szCs w:val="22"/>
          <w:lang w:val="en-NZ"/>
        </w:rPr>
        <w:t>recurring element</w:t>
      </w:r>
      <w:r w:rsidR="00221AAC" w:rsidRPr="003C44B8">
        <w:rPr>
          <w:rFonts w:cs="Arial"/>
          <w:szCs w:val="22"/>
          <w:lang w:val="en-NZ"/>
        </w:rPr>
        <w:t xml:space="preserve"> although this may be able to be automated by accounting software providers</w:t>
      </w:r>
      <w:r w:rsidR="006476AF" w:rsidRPr="003C44B8">
        <w:rPr>
          <w:rFonts w:cs="Arial"/>
          <w:szCs w:val="22"/>
          <w:lang w:val="en-NZ"/>
        </w:rPr>
        <w:t>. If taxpayers are merely required to maintain</w:t>
      </w:r>
      <w:r w:rsidR="000D0ED0" w:rsidRPr="003C44B8">
        <w:rPr>
          <w:rFonts w:cs="Arial"/>
          <w:szCs w:val="22"/>
          <w:lang w:val="en-NZ"/>
        </w:rPr>
        <w:t xml:space="preserve"> a record of these amounts</w:t>
      </w:r>
      <w:r w:rsidR="005B253A" w:rsidRPr="003C44B8">
        <w:rPr>
          <w:rFonts w:cs="Arial"/>
          <w:szCs w:val="22"/>
          <w:lang w:val="en-NZ"/>
        </w:rPr>
        <w:t xml:space="preserve"> and retain any documentation that supports the entrie</w:t>
      </w:r>
      <w:r w:rsidR="00FB257B" w:rsidRPr="003C44B8">
        <w:rPr>
          <w:rFonts w:cs="Arial"/>
          <w:szCs w:val="22"/>
          <w:lang w:val="en-NZ"/>
        </w:rPr>
        <w:t xml:space="preserve">s in the accounts, then the impact for most taxpayers would be </w:t>
      </w:r>
      <w:r w:rsidR="005D262D" w:rsidRPr="003C44B8">
        <w:rPr>
          <w:rFonts w:cs="Arial"/>
          <w:szCs w:val="22"/>
          <w:lang w:val="en-NZ"/>
        </w:rPr>
        <w:t>minimal.</w:t>
      </w:r>
    </w:p>
    <w:p w14:paraId="6E21F88D" w14:textId="6C61CB8E" w:rsidR="005A78A8" w:rsidRPr="003C44B8" w:rsidRDefault="00EA4956" w:rsidP="003C44B8">
      <w:pPr>
        <w:pStyle w:val="ListParagraph"/>
        <w:numPr>
          <w:ilvl w:val="0"/>
          <w:numId w:val="24"/>
        </w:numPr>
        <w:ind w:left="567" w:hanging="567"/>
        <w:rPr>
          <w:rFonts w:cs="Arial"/>
          <w:szCs w:val="22"/>
          <w:lang w:val="en-NZ"/>
        </w:rPr>
      </w:pPr>
      <w:r w:rsidRPr="003C44B8">
        <w:rPr>
          <w:rFonts w:cs="Arial"/>
          <w:szCs w:val="22"/>
          <w:lang w:val="en-NZ"/>
        </w:rPr>
        <w:t>T</w:t>
      </w:r>
      <w:r w:rsidR="0055445D" w:rsidRPr="003C44B8">
        <w:rPr>
          <w:rFonts w:cs="Arial"/>
          <w:szCs w:val="22"/>
          <w:lang w:val="en-NZ"/>
        </w:rPr>
        <w:t xml:space="preserve">he </w:t>
      </w:r>
      <w:r w:rsidRPr="003C44B8">
        <w:rPr>
          <w:rFonts w:cs="Arial"/>
          <w:szCs w:val="22"/>
          <w:lang w:val="en-NZ"/>
        </w:rPr>
        <w:t xml:space="preserve">effects of the </w:t>
      </w:r>
      <w:r w:rsidR="00EE0BE5" w:rsidRPr="003C44B8">
        <w:rPr>
          <w:rFonts w:cs="Arial"/>
          <w:szCs w:val="22"/>
          <w:lang w:val="en-NZ"/>
        </w:rPr>
        <w:t>personal services attribution proposals</w:t>
      </w:r>
      <w:r w:rsidR="007B2E78" w:rsidRPr="003C44B8">
        <w:rPr>
          <w:rFonts w:cs="Arial"/>
          <w:szCs w:val="22"/>
          <w:lang w:val="en-NZ"/>
        </w:rPr>
        <w:t xml:space="preserve"> will be recurring or ongoing </w:t>
      </w:r>
      <w:r w:rsidR="000C74FE" w:rsidRPr="003C44B8">
        <w:rPr>
          <w:rFonts w:cs="Arial"/>
          <w:szCs w:val="22"/>
          <w:lang w:val="en-NZ"/>
        </w:rPr>
        <w:t>over time, in that</w:t>
      </w:r>
      <w:r w:rsidR="00E24F8A" w:rsidRPr="003C44B8">
        <w:rPr>
          <w:rFonts w:cs="Arial"/>
          <w:szCs w:val="22"/>
          <w:lang w:val="en-NZ"/>
        </w:rPr>
        <w:t xml:space="preserve"> the</w:t>
      </w:r>
      <w:r w:rsidR="000C74FE" w:rsidRPr="003C44B8">
        <w:rPr>
          <w:rFonts w:cs="Arial"/>
          <w:szCs w:val="22"/>
          <w:lang w:val="en-NZ"/>
        </w:rPr>
        <w:t xml:space="preserve"> </w:t>
      </w:r>
      <w:r w:rsidR="00C7383A" w:rsidRPr="003C44B8">
        <w:rPr>
          <w:rFonts w:cs="Arial"/>
          <w:szCs w:val="22"/>
          <w:lang w:val="en-NZ"/>
        </w:rPr>
        <w:t xml:space="preserve">affected </w:t>
      </w:r>
      <w:r w:rsidRPr="003C44B8">
        <w:rPr>
          <w:rFonts w:cs="Arial"/>
          <w:szCs w:val="22"/>
          <w:lang w:val="en-NZ"/>
        </w:rPr>
        <w:t xml:space="preserve">taxpayers </w:t>
      </w:r>
      <w:r w:rsidR="00C7383A" w:rsidRPr="003C44B8">
        <w:rPr>
          <w:rFonts w:cs="Arial"/>
          <w:szCs w:val="22"/>
          <w:lang w:val="en-NZ"/>
        </w:rPr>
        <w:t>will have</w:t>
      </w:r>
      <w:r w:rsidR="000C74FE" w:rsidRPr="003C44B8">
        <w:rPr>
          <w:rFonts w:cs="Arial"/>
          <w:szCs w:val="22"/>
          <w:lang w:val="en-NZ"/>
        </w:rPr>
        <w:t xml:space="preserve"> </w:t>
      </w:r>
      <w:r w:rsidR="00C7383A" w:rsidRPr="003C44B8">
        <w:rPr>
          <w:rFonts w:cs="Arial"/>
          <w:szCs w:val="22"/>
          <w:lang w:val="en-NZ"/>
        </w:rPr>
        <w:t xml:space="preserve">to </w:t>
      </w:r>
      <w:r w:rsidR="005B3CF8" w:rsidRPr="003C44B8">
        <w:rPr>
          <w:rFonts w:cs="Arial"/>
          <w:szCs w:val="22"/>
          <w:lang w:val="en-NZ"/>
        </w:rPr>
        <w:t>attribute income earned through an associated entity from personal</w:t>
      </w:r>
      <w:r w:rsidR="00F311B7" w:rsidRPr="003C44B8">
        <w:rPr>
          <w:rFonts w:cs="Arial"/>
          <w:szCs w:val="22"/>
          <w:lang w:val="en-NZ"/>
        </w:rPr>
        <w:t xml:space="preserve"> services and will need to include the attributed income in their personal income tax returns </w:t>
      </w:r>
      <w:r w:rsidR="00E24F8A" w:rsidRPr="003C44B8">
        <w:rPr>
          <w:rFonts w:cs="Arial"/>
          <w:szCs w:val="22"/>
          <w:lang w:val="en-NZ"/>
        </w:rPr>
        <w:t>each year.</w:t>
      </w:r>
      <w:r w:rsidR="009D7A3B" w:rsidRPr="003C44B8">
        <w:rPr>
          <w:rFonts w:cs="Arial"/>
          <w:szCs w:val="22"/>
          <w:lang w:val="en-NZ"/>
        </w:rPr>
        <w:t xml:space="preserve"> In addition</w:t>
      </w:r>
      <w:r w:rsidR="00DA1481" w:rsidRPr="003C44B8">
        <w:rPr>
          <w:rFonts w:cs="Arial"/>
          <w:szCs w:val="22"/>
          <w:lang w:val="en-NZ"/>
        </w:rPr>
        <w:t>, more taxpayers w</w:t>
      </w:r>
      <w:r w:rsidR="00DA194A" w:rsidRPr="003C44B8">
        <w:rPr>
          <w:rFonts w:cs="Arial"/>
          <w:szCs w:val="22"/>
          <w:lang w:val="en-NZ"/>
        </w:rPr>
        <w:t>ould</w:t>
      </w:r>
      <w:r w:rsidR="00DA1481" w:rsidRPr="003C44B8">
        <w:rPr>
          <w:rFonts w:cs="Arial"/>
          <w:szCs w:val="22"/>
          <w:lang w:val="en-NZ"/>
        </w:rPr>
        <w:t xml:space="preserve"> need to consider whether they </w:t>
      </w:r>
      <w:r w:rsidR="00DA194A" w:rsidRPr="003C44B8">
        <w:rPr>
          <w:rFonts w:cs="Arial"/>
          <w:szCs w:val="22"/>
          <w:lang w:val="en-NZ"/>
        </w:rPr>
        <w:t>were</w:t>
      </w:r>
      <w:r w:rsidR="00DA1481" w:rsidRPr="003C44B8">
        <w:rPr>
          <w:rFonts w:cs="Arial"/>
          <w:szCs w:val="22"/>
          <w:lang w:val="en-NZ"/>
        </w:rPr>
        <w:t xml:space="preserve"> impacted by the </w:t>
      </w:r>
      <w:r w:rsidR="00DA194A" w:rsidRPr="003C44B8">
        <w:rPr>
          <w:rFonts w:cs="Arial"/>
          <w:szCs w:val="22"/>
          <w:lang w:val="en-NZ"/>
        </w:rPr>
        <w:t>rules if they were widened as proposed</w:t>
      </w:r>
      <w:r w:rsidR="007C4E2D" w:rsidRPr="003C44B8">
        <w:rPr>
          <w:rFonts w:cs="Arial"/>
          <w:szCs w:val="22"/>
          <w:lang w:val="en-NZ"/>
        </w:rPr>
        <w:t>.</w:t>
      </w:r>
    </w:p>
    <w:p w14:paraId="2C788B97" w14:textId="68C3CCE2" w:rsidR="006F39E5" w:rsidRPr="003C44B8" w:rsidRDefault="008D605A" w:rsidP="003C44B8">
      <w:pPr>
        <w:pStyle w:val="ListParagraph"/>
        <w:numPr>
          <w:ilvl w:val="0"/>
          <w:numId w:val="24"/>
        </w:numPr>
        <w:ind w:left="567" w:hanging="567"/>
        <w:rPr>
          <w:rFonts w:cs="Arial"/>
          <w:szCs w:val="22"/>
          <w:lang w:val="en-NZ"/>
        </w:rPr>
      </w:pPr>
      <w:r w:rsidRPr="003C44B8">
        <w:rPr>
          <w:rFonts w:cs="Arial"/>
          <w:szCs w:val="22"/>
          <w:lang w:val="en-NZ"/>
        </w:rPr>
        <w:t xml:space="preserve">The </w:t>
      </w:r>
      <w:r w:rsidR="00AF4AB2" w:rsidRPr="003C44B8">
        <w:rPr>
          <w:rFonts w:cs="Arial"/>
          <w:szCs w:val="22"/>
          <w:lang w:val="en-NZ"/>
        </w:rPr>
        <w:t>magnitude of the impacts is at this stage unknown</w:t>
      </w:r>
      <w:r w:rsidR="00D61751" w:rsidRPr="003C44B8">
        <w:rPr>
          <w:rFonts w:cs="Arial"/>
          <w:szCs w:val="22"/>
          <w:lang w:val="en-NZ"/>
        </w:rPr>
        <w:t>, although officials would expect the impacts for most affected taxpayers to be relatively minor</w:t>
      </w:r>
      <w:r w:rsidR="005D262D" w:rsidRPr="003C44B8">
        <w:rPr>
          <w:rFonts w:cs="Arial"/>
          <w:szCs w:val="22"/>
          <w:lang w:val="en-NZ"/>
        </w:rPr>
        <w:t>.</w:t>
      </w:r>
      <w:r w:rsidR="00221AAC" w:rsidRPr="003C44B8">
        <w:rPr>
          <w:rFonts w:cs="Arial"/>
          <w:szCs w:val="22"/>
          <w:lang w:val="en-NZ"/>
        </w:rPr>
        <w:t xml:space="preserve"> </w:t>
      </w:r>
      <w:r w:rsidR="00C424E8" w:rsidRPr="003C44B8">
        <w:rPr>
          <w:rFonts w:cs="Arial"/>
          <w:szCs w:val="22"/>
          <w:lang w:val="en-NZ"/>
        </w:rPr>
        <w:t>T</w:t>
      </w:r>
      <w:r w:rsidR="00221AAC" w:rsidRPr="003C44B8">
        <w:rPr>
          <w:rFonts w:cs="Arial"/>
          <w:szCs w:val="22"/>
          <w:lang w:val="en-NZ"/>
        </w:rPr>
        <w:t>he threshold rules would be specific</w:t>
      </w:r>
      <w:r w:rsidR="00C424E8" w:rsidRPr="003C44B8">
        <w:rPr>
          <w:rFonts w:cs="Arial"/>
          <w:szCs w:val="22"/>
          <w:lang w:val="en-NZ"/>
        </w:rPr>
        <w:t xml:space="preserve"> so</w:t>
      </w:r>
      <w:r w:rsidR="00221AAC" w:rsidRPr="003C44B8">
        <w:rPr>
          <w:rFonts w:cs="Arial"/>
          <w:szCs w:val="22"/>
          <w:lang w:val="en-NZ"/>
        </w:rPr>
        <w:t xml:space="preserve"> it should be relatively easy to determine</w:t>
      </w:r>
      <w:r w:rsidR="00C424E8" w:rsidRPr="003C44B8">
        <w:rPr>
          <w:rFonts w:cs="Arial"/>
          <w:szCs w:val="22"/>
          <w:lang w:val="en-NZ"/>
        </w:rPr>
        <w:t>,</w:t>
      </w:r>
      <w:r w:rsidR="00221AAC" w:rsidRPr="003C44B8">
        <w:rPr>
          <w:rFonts w:cs="Arial"/>
          <w:szCs w:val="22"/>
          <w:lang w:val="en-NZ"/>
        </w:rPr>
        <w:t xml:space="preserve"> based on the facts</w:t>
      </w:r>
      <w:r w:rsidR="00C424E8" w:rsidRPr="003C44B8">
        <w:rPr>
          <w:rFonts w:cs="Arial"/>
          <w:szCs w:val="22"/>
          <w:lang w:val="en-NZ"/>
        </w:rPr>
        <w:t>,</w:t>
      </w:r>
      <w:r w:rsidR="00221AAC" w:rsidRPr="003C44B8">
        <w:rPr>
          <w:rFonts w:cs="Arial"/>
          <w:szCs w:val="22"/>
          <w:lang w:val="en-NZ"/>
        </w:rPr>
        <w:t xml:space="preserve"> whether the rules apply.</w:t>
      </w:r>
      <w:r w:rsidR="00C424E8" w:rsidRPr="003C44B8">
        <w:rPr>
          <w:rFonts w:cs="Arial"/>
          <w:szCs w:val="22"/>
          <w:lang w:val="en-NZ"/>
        </w:rPr>
        <w:t xml:space="preserve"> Despite this a number of taxpayers would be likely to seek tax advice if they were concerned that they may be caught by the rules.</w:t>
      </w:r>
      <w:r w:rsidR="00D61751" w:rsidRPr="003C44B8">
        <w:rPr>
          <w:rFonts w:cs="Arial"/>
          <w:szCs w:val="22"/>
          <w:lang w:val="en-NZ"/>
        </w:rPr>
        <w:t xml:space="preserve"> Consultation on the proposals may help to inform </w:t>
      </w:r>
      <w:r w:rsidR="00A93125" w:rsidRPr="003C44B8">
        <w:rPr>
          <w:rFonts w:cs="Arial"/>
          <w:szCs w:val="22"/>
          <w:lang w:val="en-NZ"/>
        </w:rPr>
        <w:t>the likely magnitude of the impacts</w:t>
      </w:r>
      <w:r w:rsidR="009B7856" w:rsidRPr="003C44B8">
        <w:rPr>
          <w:rFonts w:cs="Arial"/>
          <w:szCs w:val="22"/>
          <w:lang w:val="en-NZ"/>
        </w:rPr>
        <w:t xml:space="preserve"> and to refine the design of the proposals to </w:t>
      </w:r>
      <w:r w:rsidR="006F5D12" w:rsidRPr="003C44B8">
        <w:rPr>
          <w:rFonts w:cs="Arial"/>
          <w:szCs w:val="22"/>
          <w:lang w:val="en-NZ"/>
        </w:rPr>
        <w:t>minimise or reduce compliance costs.</w:t>
      </w:r>
    </w:p>
    <w:p w14:paraId="01CFC9DC" w14:textId="77777777" w:rsidR="006448CF" w:rsidRDefault="006448CF" w:rsidP="006448CF">
      <w:pPr>
        <w:rPr>
          <w:lang w:val="en-NZ"/>
        </w:rPr>
      </w:pPr>
    </w:p>
    <w:p w14:paraId="5B5885BE" w14:textId="7610E937" w:rsidR="00E07BBB" w:rsidRPr="006448CF" w:rsidRDefault="00E07BBB" w:rsidP="006448CF">
      <w:pPr>
        <w:rPr>
          <w:lang w:val="en-NZ"/>
        </w:rPr>
        <w:sectPr w:rsidR="00E07BBB" w:rsidRPr="006448CF" w:rsidSect="00150D58">
          <w:headerReference w:type="even" r:id="rId8"/>
          <w:headerReference w:type="default" r:id="rId9"/>
          <w:footerReference w:type="even" r:id="rId10"/>
          <w:footerReference w:type="default" r:id="rId11"/>
          <w:pgSz w:w="11906" w:h="16838" w:code="9"/>
          <w:pgMar w:top="1134" w:right="1418" w:bottom="992" w:left="1418" w:header="454" w:footer="454" w:gutter="0"/>
          <w:cols w:space="708"/>
          <w:docGrid w:linePitch="360"/>
        </w:sectPr>
      </w:pPr>
    </w:p>
    <w:p w14:paraId="4EC02C43" w14:textId="1043091B" w:rsidR="00D71CE0" w:rsidRPr="00A864A5" w:rsidRDefault="00DB51CD" w:rsidP="001E7D01">
      <w:pPr>
        <w:pStyle w:val="Heading3"/>
        <w:rPr>
          <w:lang w:val="en-NZ"/>
        </w:rPr>
      </w:pPr>
      <w:r>
        <w:rPr>
          <w:lang w:val="en-NZ"/>
        </w:rPr>
        <w:t>How do the options compare to the status quo/counterfactual?</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4025"/>
        <w:gridCol w:w="4025"/>
        <w:gridCol w:w="4025"/>
      </w:tblGrid>
      <w:tr w:rsidR="00846C56" w:rsidRPr="002958AD" w14:paraId="64606FB2" w14:textId="77777777" w:rsidTr="006448CF">
        <w:trPr>
          <w:trHeight w:val="395"/>
        </w:trPr>
        <w:tc>
          <w:tcPr>
            <w:tcW w:w="1829" w:type="dxa"/>
            <w:shd w:val="clear" w:color="auto" w:fill="F2F2F2" w:themeFill="background1" w:themeFillShade="F2"/>
            <w:vAlign w:val="center"/>
          </w:tcPr>
          <w:p w14:paraId="3D6EF1B6" w14:textId="72EE34FD" w:rsidR="00D90DE0" w:rsidRPr="002958AD" w:rsidRDefault="00D90DE0" w:rsidP="004C056B">
            <w:pPr>
              <w:spacing w:before="60" w:after="60" w:line="276" w:lineRule="auto"/>
              <w:jc w:val="center"/>
              <w:rPr>
                <w:rFonts w:cs="Arial"/>
                <w:bCs/>
                <w:i/>
                <w:iCs/>
                <w:color w:val="FFFFFF"/>
                <w:sz w:val="20"/>
                <w:lang w:val="en-NZ"/>
              </w:rPr>
            </w:pPr>
          </w:p>
        </w:tc>
        <w:tc>
          <w:tcPr>
            <w:tcW w:w="4025" w:type="dxa"/>
            <w:shd w:val="clear" w:color="auto" w:fill="F2F2F2" w:themeFill="background1" w:themeFillShade="F2"/>
            <w:vAlign w:val="center"/>
          </w:tcPr>
          <w:p w14:paraId="643BB81E" w14:textId="334A44FC" w:rsidR="00D90DE0" w:rsidRPr="007C1E21" w:rsidRDefault="00846C56" w:rsidP="004C056B">
            <w:pPr>
              <w:spacing w:before="60" w:after="60" w:line="240" w:lineRule="auto"/>
              <w:jc w:val="center"/>
              <w:rPr>
                <w:rFonts w:cs="Arial"/>
                <w:b/>
                <w:color w:val="000000"/>
                <w:sz w:val="20"/>
                <w:lang w:val="en-NZ"/>
              </w:rPr>
            </w:pPr>
            <w:r w:rsidRPr="007C1E21">
              <w:rPr>
                <w:rFonts w:cs="Arial"/>
                <w:b/>
                <w:color w:val="000000"/>
                <w:sz w:val="20"/>
                <w:lang w:val="en-NZ"/>
              </w:rPr>
              <w:t>Option One –</w:t>
            </w:r>
            <w:r w:rsidR="00D90DE0" w:rsidRPr="007C1E21">
              <w:rPr>
                <w:rFonts w:cs="Arial"/>
                <w:b/>
                <w:color w:val="000000"/>
                <w:sz w:val="20"/>
                <w:lang w:val="en-NZ"/>
              </w:rPr>
              <w:t>Status</w:t>
            </w:r>
            <w:r w:rsidRPr="007C1E21">
              <w:rPr>
                <w:rFonts w:cs="Arial"/>
                <w:b/>
                <w:color w:val="000000"/>
                <w:sz w:val="20"/>
                <w:lang w:val="en-NZ"/>
              </w:rPr>
              <w:t xml:space="preserve"> Q</w:t>
            </w:r>
            <w:r w:rsidR="00D90DE0" w:rsidRPr="007C1E21">
              <w:rPr>
                <w:rFonts w:cs="Arial"/>
                <w:b/>
                <w:color w:val="000000"/>
                <w:sz w:val="20"/>
                <w:lang w:val="en-NZ"/>
              </w:rPr>
              <w:t>uo</w:t>
            </w:r>
          </w:p>
        </w:tc>
        <w:tc>
          <w:tcPr>
            <w:tcW w:w="4025" w:type="dxa"/>
            <w:shd w:val="clear" w:color="auto" w:fill="F2F2F2" w:themeFill="background1" w:themeFillShade="F2"/>
            <w:vAlign w:val="center"/>
          </w:tcPr>
          <w:p w14:paraId="62135168" w14:textId="0E84C87D" w:rsidR="00D90DE0" w:rsidRPr="007C1E21" w:rsidRDefault="00D90DE0" w:rsidP="004C056B">
            <w:pPr>
              <w:spacing w:before="60" w:after="60" w:line="276" w:lineRule="auto"/>
              <w:jc w:val="center"/>
              <w:rPr>
                <w:rFonts w:cs="Arial"/>
                <w:b/>
                <w:color w:val="000000"/>
                <w:sz w:val="20"/>
                <w:lang w:val="en-NZ"/>
              </w:rPr>
            </w:pPr>
            <w:r w:rsidRPr="007C1E21">
              <w:rPr>
                <w:rFonts w:cs="Arial"/>
                <w:b/>
                <w:color w:val="000000"/>
                <w:sz w:val="20"/>
                <w:lang w:val="en-NZ"/>
              </w:rPr>
              <w:t xml:space="preserve">Option </w:t>
            </w:r>
            <w:r w:rsidR="00846C56" w:rsidRPr="007C1E21">
              <w:rPr>
                <w:rFonts w:cs="Arial"/>
                <w:b/>
                <w:color w:val="000000"/>
                <w:sz w:val="20"/>
                <w:lang w:val="en-NZ"/>
              </w:rPr>
              <w:t>Two</w:t>
            </w:r>
            <w:r w:rsidRPr="007C1E21">
              <w:rPr>
                <w:rFonts w:cs="Arial"/>
                <w:b/>
                <w:color w:val="000000"/>
                <w:sz w:val="20"/>
                <w:lang w:val="en-NZ"/>
              </w:rPr>
              <w:t xml:space="preserve"> </w:t>
            </w:r>
            <w:r w:rsidR="00CC2F41" w:rsidRPr="007C1E21">
              <w:rPr>
                <w:rFonts w:cs="Arial"/>
                <w:b/>
                <w:color w:val="000000"/>
                <w:sz w:val="20"/>
                <w:lang w:val="en-NZ"/>
              </w:rPr>
              <w:t xml:space="preserve">– </w:t>
            </w:r>
            <w:r w:rsidR="0054100E" w:rsidRPr="007C1E21">
              <w:rPr>
                <w:rFonts w:cs="Arial"/>
                <w:b/>
                <w:color w:val="000000"/>
                <w:sz w:val="20"/>
                <w:lang w:val="en-NZ"/>
              </w:rPr>
              <w:t>Increased compliance activity</w:t>
            </w:r>
          </w:p>
        </w:tc>
        <w:tc>
          <w:tcPr>
            <w:tcW w:w="4025" w:type="dxa"/>
            <w:shd w:val="clear" w:color="auto" w:fill="F2F2F2" w:themeFill="background1" w:themeFillShade="F2"/>
            <w:vAlign w:val="center"/>
          </w:tcPr>
          <w:p w14:paraId="1A26DBF3" w14:textId="6428D134" w:rsidR="00D90DE0" w:rsidRPr="007C1E21" w:rsidRDefault="0054100E" w:rsidP="004C056B">
            <w:pPr>
              <w:spacing w:before="60" w:after="60" w:line="276" w:lineRule="auto"/>
              <w:jc w:val="center"/>
              <w:rPr>
                <w:rFonts w:cs="Arial"/>
                <w:b/>
                <w:color w:val="000000"/>
                <w:sz w:val="20"/>
                <w:lang w:val="en-NZ"/>
              </w:rPr>
            </w:pPr>
            <w:r w:rsidRPr="007C1E21">
              <w:rPr>
                <w:rFonts w:cs="Arial"/>
                <w:b/>
                <w:color w:val="000000"/>
                <w:sz w:val="20"/>
                <w:lang w:val="en-NZ"/>
              </w:rPr>
              <w:t>Option Three – Package of integrity measures</w:t>
            </w:r>
          </w:p>
        </w:tc>
      </w:tr>
      <w:tr w:rsidR="00846C56" w:rsidRPr="002958AD" w14:paraId="43A4983D" w14:textId="77777777" w:rsidTr="006448CF">
        <w:trPr>
          <w:trHeight w:val="615"/>
        </w:trPr>
        <w:tc>
          <w:tcPr>
            <w:tcW w:w="1829" w:type="dxa"/>
            <w:shd w:val="clear" w:color="auto" w:fill="F2F2F2" w:themeFill="background1" w:themeFillShade="F2"/>
            <w:vAlign w:val="center"/>
          </w:tcPr>
          <w:p w14:paraId="62A9F0E1" w14:textId="1A9BDBEF" w:rsidR="00D90DE0" w:rsidRPr="007C1E21" w:rsidRDefault="00F6648A" w:rsidP="004C056B">
            <w:pPr>
              <w:spacing w:before="60" w:after="60" w:line="240" w:lineRule="auto"/>
              <w:jc w:val="center"/>
              <w:rPr>
                <w:rFonts w:cs="Arial"/>
                <w:b/>
                <w:color w:val="000000"/>
                <w:sz w:val="20"/>
                <w:lang w:val="en-NZ"/>
              </w:rPr>
            </w:pPr>
            <w:r w:rsidRPr="007C1E21">
              <w:rPr>
                <w:rFonts w:cs="Arial"/>
                <w:b/>
                <w:color w:val="000000"/>
                <w:sz w:val="20"/>
                <w:lang w:val="en-NZ"/>
              </w:rPr>
              <w:t>Efficiency</w:t>
            </w:r>
          </w:p>
        </w:tc>
        <w:tc>
          <w:tcPr>
            <w:tcW w:w="4025" w:type="dxa"/>
            <w:shd w:val="clear" w:color="auto" w:fill="auto"/>
            <w:vAlign w:val="center"/>
          </w:tcPr>
          <w:p w14:paraId="2C8AD330" w14:textId="5D33D519" w:rsidR="00D90DE0" w:rsidRPr="002958AD" w:rsidRDefault="00D90DE0" w:rsidP="004C056B">
            <w:pPr>
              <w:pStyle w:val="TableText"/>
              <w:spacing w:line="276" w:lineRule="auto"/>
              <w:jc w:val="center"/>
              <w:rPr>
                <w:bCs/>
                <w:szCs w:val="20"/>
                <w:lang w:val="en-NZ"/>
              </w:rPr>
            </w:pPr>
            <w:r w:rsidRPr="002958AD">
              <w:rPr>
                <w:bCs/>
                <w:szCs w:val="20"/>
                <w:lang w:val="en-NZ"/>
              </w:rPr>
              <w:t>0</w:t>
            </w:r>
          </w:p>
        </w:tc>
        <w:tc>
          <w:tcPr>
            <w:tcW w:w="4025" w:type="dxa"/>
            <w:shd w:val="clear" w:color="auto" w:fill="auto"/>
            <w:vAlign w:val="center"/>
          </w:tcPr>
          <w:p w14:paraId="6293A25E" w14:textId="7577543C" w:rsidR="00650996" w:rsidRPr="002958AD" w:rsidRDefault="00650996" w:rsidP="00650996">
            <w:pPr>
              <w:pStyle w:val="TableText"/>
              <w:spacing w:line="276" w:lineRule="auto"/>
              <w:jc w:val="center"/>
              <w:rPr>
                <w:rFonts w:cs="Arial"/>
                <w:b/>
                <w:color w:val="FF0000"/>
                <w:szCs w:val="20"/>
              </w:rPr>
            </w:pPr>
            <w:r w:rsidRPr="002958AD">
              <w:rPr>
                <w:rFonts w:cs="Arial"/>
                <w:b/>
                <w:color w:val="FF0000"/>
                <w:szCs w:val="20"/>
              </w:rPr>
              <w:t>–</w:t>
            </w:r>
          </w:p>
          <w:p w14:paraId="64D49E0B" w14:textId="188933C4" w:rsidR="00E82795" w:rsidRPr="002958AD" w:rsidRDefault="00E82795" w:rsidP="004C056B">
            <w:pPr>
              <w:pStyle w:val="TableText"/>
              <w:spacing w:line="276" w:lineRule="auto"/>
              <w:jc w:val="center"/>
              <w:rPr>
                <w:i/>
                <w:iCs/>
                <w:szCs w:val="20"/>
                <w:lang w:val="en-NZ"/>
              </w:rPr>
            </w:pPr>
            <w:r w:rsidRPr="002958AD">
              <w:rPr>
                <w:rFonts w:cs="Arial"/>
                <w:bCs/>
                <w:szCs w:val="20"/>
              </w:rPr>
              <w:t>Reduces distortio</w:t>
            </w:r>
            <w:r w:rsidR="00E60BCD" w:rsidRPr="002958AD">
              <w:rPr>
                <w:rFonts w:cs="Arial"/>
                <w:bCs/>
                <w:szCs w:val="20"/>
              </w:rPr>
              <w:t xml:space="preserve">ns </w:t>
            </w:r>
            <w:r w:rsidR="00524032" w:rsidRPr="002958AD">
              <w:rPr>
                <w:rFonts w:cs="Arial"/>
                <w:bCs/>
                <w:szCs w:val="20"/>
              </w:rPr>
              <w:t xml:space="preserve">created by </w:t>
            </w:r>
            <w:r w:rsidR="0063451E" w:rsidRPr="002958AD">
              <w:rPr>
                <w:rFonts w:cs="Arial"/>
                <w:bCs/>
                <w:szCs w:val="20"/>
              </w:rPr>
              <w:t xml:space="preserve">differing tax rates </w:t>
            </w:r>
            <w:r w:rsidR="00524032" w:rsidRPr="002958AD">
              <w:rPr>
                <w:rFonts w:cs="Arial"/>
                <w:bCs/>
                <w:szCs w:val="20"/>
              </w:rPr>
              <w:t xml:space="preserve">but increases </w:t>
            </w:r>
            <w:r w:rsidR="0054100E" w:rsidRPr="002958AD">
              <w:rPr>
                <w:rFonts w:cs="Arial"/>
                <w:bCs/>
                <w:szCs w:val="20"/>
              </w:rPr>
              <w:t>resourcing requirements for Inland Revenue</w:t>
            </w:r>
          </w:p>
        </w:tc>
        <w:tc>
          <w:tcPr>
            <w:tcW w:w="4025" w:type="dxa"/>
            <w:shd w:val="clear" w:color="auto" w:fill="auto"/>
            <w:vAlign w:val="center"/>
          </w:tcPr>
          <w:p w14:paraId="1637DE29" w14:textId="77777777" w:rsidR="0054100E" w:rsidRPr="002958AD" w:rsidRDefault="0054100E" w:rsidP="0054100E">
            <w:pPr>
              <w:pStyle w:val="TableText"/>
              <w:spacing w:line="276" w:lineRule="auto"/>
              <w:jc w:val="center"/>
              <w:rPr>
                <w:rFonts w:cs="Arial"/>
                <w:b/>
                <w:color w:val="FF0000"/>
                <w:szCs w:val="20"/>
              </w:rPr>
            </w:pPr>
            <w:r w:rsidRPr="002958AD">
              <w:rPr>
                <w:rFonts w:cs="Arial"/>
                <w:b/>
                <w:color w:val="FF0000"/>
                <w:szCs w:val="20"/>
              </w:rPr>
              <w:t>–</w:t>
            </w:r>
          </w:p>
          <w:p w14:paraId="4BC00262" w14:textId="785288EF" w:rsidR="00D90DE0" w:rsidRPr="002958AD" w:rsidRDefault="0054100E" w:rsidP="004C056B">
            <w:pPr>
              <w:pStyle w:val="TableText"/>
              <w:spacing w:line="276" w:lineRule="auto"/>
              <w:jc w:val="center"/>
              <w:rPr>
                <w:szCs w:val="20"/>
                <w:lang w:val="en-NZ"/>
              </w:rPr>
            </w:pPr>
            <w:r w:rsidRPr="002958AD">
              <w:rPr>
                <w:rFonts w:cs="Arial"/>
                <w:bCs/>
                <w:szCs w:val="20"/>
              </w:rPr>
              <w:t>Reduces distortions created by differing tax rates but increases compliance costs</w:t>
            </w:r>
          </w:p>
        </w:tc>
      </w:tr>
      <w:tr w:rsidR="00846C56" w:rsidRPr="002958AD" w14:paraId="0F4EE0FC" w14:textId="77777777" w:rsidTr="006448CF">
        <w:trPr>
          <w:trHeight w:val="378"/>
        </w:trPr>
        <w:tc>
          <w:tcPr>
            <w:tcW w:w="1829" w:type="dxa"/>
            <w:shd w:val="clear" w:color="auto" w:fill="F2F2F2" w:themeFill="background1" w:themeFillShade="F2"/>
            <w:vAlign w:val="center"/>
          </w:tcPr>
          <w:p w14:paraId="1C714609" w14:textId="0C18C339" w:rsidR="00D90DE0" w:rsidRPr="007C1E21" w:rsidRDefault="00F6648A" w:rsidP="004C056B">
            <w:pPr>
              <w:spacing w:before="60" w:after="60" w:line="240" w:lineRule="auto"/>
              <w:jc w:val="center"/>
              <w:rPr>
                <w:rFonts w:cs="Arial"/>
                <w:b/>
                <w:color w:val="000000"/>
                <w:sz w:val="20"/>
                <w:lang w:val="en-NZ"/>
              </w:rPr>
            </w:pPr>
            <w:r w:rsidRPr="007C1E21">
              <w:rPr>
                <w:rFonts w:cs="Arial"/>
                <w:b/>
                <w:color w:val="000000"/>
                <w:sz w:val="20"/>
                <w:lang w:val="en-NZ"/>
              </w:rPr>
              <w:t>Equity</w:t>
            </w:r>
          </w:p>
        </w:tc>
        <w:tc>
          <w:tcPr>
            <w:tcW w:w="4025" w:type="dxa"/>
            <w:shd w:val="clear" w:color="auto" w:fill="auto"/>
            <w:vAlign w:val="center"/>
          </w:tcPr>
          <w:p w14:paraId="409893FF" w14:textId="4BEE49CB" w:rsidR="00D90DE0" w:rsidRPr="002958AD" w:rsidRDefault="00D90DE0" w:rsidP="004C056B">
            <w:pPr>
              <w:pStyle w:val="TableText"/>
              <w:spacing w:line="276" w:lineRule="auto"/>
              <w:jc w:val="center"/>
              <w:rPr>
                <w:bCs/>
                <w:szCs w:val="20"/>
                <w:lang w:val="en-NZ"/>
              </w:rPr>
            </w:pPr>
            <w:r w:rsidRPr="002958AD">
              <w:rPr>
                <w:bCs/>
                <w:szCs w:val="20"/>
                <w:lang w:val="en-NZ"/>
              </w:rPr>
              <w:t>0</w:t>
            </w:r>
          </w:p>
        </w:tc>
        <w:tc>
          <w:tcPr>
            <w:tcW w:w="4025" w:type="dxa"/>
            <w:shd w:val="clear" w:color="auto" w:fill="auto"/>
            <w:vAlign w:val="center"/>
          </w:tcPr>
          <w:p w14:paraId="70EFF1D4" w14:textId="77777777" w:rsidR="00466C54" w:rsidRPr="002958AD" w:rsidRDefault="00883161" w:rsidP="004C056B">
            <w:pPr>
              <w:pStyle w:val="TableText"/>
              <w:spacing w:line="276" w:lineRule="auto"/>
              <w:jc w:val="center"/>
              <w:rPr>
                <w:rFonts w:cs="Arial"/>
                <w:b/>
                <w:color w:val="00B050"/>
                <w:szCs w:val="20"/>
              </w:rPr>
            </w:pPr>
            <w:r w:rsidRPr="002958AD">
              <w:rPr>
                <w:rFonts w:cs="Arial"/>
                <w:b/>
                <w:color w:val="00B050"/>
                <w:szCs w:val="20"/>
              </w:rPr>
              <w:t>+</w:t>
            </w:r>
            <w:r w:rsidR="006B574D" w:rsidRPr="002958AD">
              <w:rPr>
                <w:rFonts w:cs="Arial"/>
                <w:b/>
                <w:color w:val="00B050"/>
                <w:szCs w:val="20"/>
              </w:rPr>
              <w:t xml:space="preserve"> </w:t>
            </w:r>
          </w:p>
          <w:p w14:paraId="3872777A" w14:textId="40BB6A75" w:rsidR="00D90DE0" w:rsidRPr="002958AD" w:rsidRDefault="00466C54" w:rsidP="004C056B">
            <w:pPr>
              <w:pStyle w:val="TableText"/>
              <w:spacing w:line="276" w:lineRule="auto"/>
              <w:jc w:val="center"/>
              <w:rPr>
                <w:bCs/>
                <w:szCs w:val="20"/>
                <w:lang w:val="en-NZ"/>
              </w:rPr>
            </w:pPr>
            <w:r w:rsidRPr="002958AD">
              <w:rPr>
                <w:rFonts w:cs="Arial"/>
                <w:bCs/>
                <w:szCs w:val="20"/>
              </w:rPr>
              <w:t>Improves vertical and horizontal equity</w:t>
            </w:r>
          </w:p>
        </w:tc>
        <w:tc>
          <w:tcPr>
            <w:tcW w:w="4025" w:type="dxa"/>
            <w:shd w:val="clear" w:color="auto" w:fill="auto"/>
            <w:vAlign w:val="center"/>
          </w:tcPr>
          <w:p w14:paraId="4CD6AC3A" w14:textId="77777777" w:rsidR="0054100E" w:rsidRPr="002958AD" w:rsidRDefault="0054100E" w:rsidP="0054100E">
            <w:pPr>
              <w:pStyle w:val="TableText"/>
              <w:spacing w:line="276" w:lineRule="auto"/>
              <w:jc w:val="center"/>
              <w:rPr>
                <w:rFonts w:cs="Arial"/>
                <w:b/>
                <w:color w:val="00B050"/>
                <w:szCs w:val="20"/>
              </w:rPr>
            </w:pPr>
            <w:r w:rsidRPr="002958AD">
              <w:rPr>
                <w:rFonts w:cs="Arial"/>
                <w:b/>
                <w:color w:val="00B050"/>
                <w:szCs w:val="20"/>
              </w:rPr>
              <w:t xml:space="preserve">+ </w:t>
            </w:r>
          </w:p>
          <w:p w14:paraId="1A5E54FF" w14:textId="629A033C" w:rsidR="00D90DE0" w:rsidRPr="002958AD" w:rsidRDefault="0054100E" w:rsidP="004C056B">
            <w:pPr>
              <w:pStyle w:val="TableText"/>
              <w:spacing w:line="276" w:lineRule="auto"/>
              <w:jc w:val="center"/>
              <w:rPr>
                <w:szCs w:val="20"/>
                <w:lang w:val="en-NZ"/>
              </w:rPr>
            </w:pPr>
            <w:r w:rsidRPr="002958AD">
              <w:rPr>
                <w:rFonts w:cs="Arial"/>
                <w:bCs/>
                <w:szCs w:val="20"/>
              </w:rPr>
              <w:t>Improves vertical and horizontal equity</w:t>
            </w:r>
          </w:p>
        </w:tc>
      </w:tr>
      <w:tr w:rsidR="00846C56" w:rsidRPr="002958AD" w14:paraId="1CB11B40" w14:textId="77777777" w:rsidTr="006448CF">
        <w:trPr>
          <w:trHeight w:val="395"/>
        </w:trPr>
        <w:tc>
          <w:tcPr>
            <w:tcW w:w="1829" w:type="dxa"/>
            <w:shd w:val="clear" w:color="auto" w:fill="F2F2F2" w:themeFill="background1" w:themeFillShade="F2"/>
            <w:vAlign w:val="center"/>
          </w:tcPr>
          <w:p w14:paraId="6019EF4C" w14:textId="2D0610C3" w:rsidR="00D90DE0" w:rsidRPr="007C1E21" w:rsidRDefault="004242C4" w:rsidP="004C056B">
            <w:pPr>
              <w:spacing w:before="60" w:after="60" w:line="240" w:lineRule="auto"/>
              <w:jc w:val="center"/>
              <w:rPr>
                <w:rFonts w:cs="Arial"/>
                <w:b/>
                <w:color w:val="000000"/>
                <w:sz w:val="20"/>
                <w:lang w:val="en-NZ"/>
              </w:rPr>
            </w:pPr>
            <w:r w:rsidRPr="007C1E21">
              <w:rPr>
                <w:rFonts w:cs="Arial"/>
                <w:b/>
                <w:color w:val="000000"/>
                <w:sz w:val="20"/>
                <w:lang w:val="en-NZ"/>
              </w:rPr>
              <w:t>Complexity</w:t>
            </w:r>
          </w:p>
        </w:tc>
        <w:tc>
          <w:tcPr>
            <w:tcW w:w="4025" w:type="dxa"/>
            <w:shd w:val="clear" w:color="auto" w:fill="auto"/>
            <w:vAlign w:val="center"/>
          </w:tcPr>
          <w:p w14:paraId="5DFE28F3" w14:textId="14E01AA2" w:rsidR="00D90DE0" w:rsidRPr="002958AD" w:rsidRDefault="00D90DE0" w:rsidP="004C056B">
            <w:pPr>
              <w:pStyle w:val="TableText"/>
              <w:spacing w:line="276" w:lineRule="auto"/>
              <w:jc w:val="center"/>
              <w:rPr>
                <w:bCs/>
                <w:szCs w:val="20"/>
                <w:lang w:val="en-NZ"/>
              </w:rPr>
            </w:pPr>
            <w:r w:rsidRPr="002958AD">
              <w:rPr>
                <w:bCs/>
                <w:szCs w:val="20"/>
                <w:lang w:val="en-NZ"/>
              </w:rPr>
              <w:t>0</w:t>
            </w:r>
          </w:p>
        </w:tc>
        <w:tc>
          <w:tcPr>
            <w:tcW w:w="4025" w:type="dxa"/>
            <w:shd w:val="clear" w:color="auto" w:fill="auto"/>
            <w:vAlign w:val="center"/>
          </w:tcPr>
          <w:p w14:paraId="7A75D328" w14:textId="762F9EFB" w:rsidR="00466C54" w:rsidRPr="002958AD" w:rsidRDefault="0054100E" w:rsidP="004C056B">
            <w:pPr>
              <w:pStyle w:val="TableText"/>
              <w:spacing w:line="276" w:lineRule="auto"/>
              <w:jc w:val="center"/>
              <w:rPr>
                <w:szCs w:val="20"/>
                <w:lang w:val="en-NZ"/>
              </w:rPr>
            </w:pPr>
            <w:r w:rsidRPr="002958AD">
              <w:rPr>
                <w:szCs w:val="20"/>
                <w:lang w:val="en-NZ"/>
              </w:rPr>
              <w:t>0</w:t>
            </w:r>
          </w:p>
        </w:tc>
        <w:tc>
          <w:tcPr>
            <w:tcW w:w="4025" w:type="dxa"/>
            <w:shd w:val="clear" w:color="auto" w:fill="auto"/>
            <w:vAlign w:val="center"/>
          </w:tcPr>
          <w:p w14:paraId="7C6E3694" w14:textId="77777777" w:rsidR="006F7459" w:rsidRPr="002958AD" w:rsidRDefault="006F7459" w:rsidP="006F7459">
            <w:pPr>
              <w:pStyle w:val="TableText"/>
              <w:spacing w:line="276" w:lineRule="auto"/>
              <w:jc w:val="center"/>
              <w:rPr>
                <w:rFonts w:cs="Arial"/>
                <w:b/>
                <w:color w:val="FF0000"/>
                <w:szCs w:val="20"/>
              </w:rPr>
            </w:pPr>
            <w:r w:rsidRPr="002958AD">
              <w:rPr>
                <w:rFonts w:cs="Arial"/>
                <w:b/>
                <w:color w:val="FF0000"/>
                <w:szCs w:val="20"/>
              </w:rPr>
              <w:t>–</w:t>
            </w:r>
          </w:p>
          <w:p w14:paraId="1532A06B" w14:textId="113ABA2D" w:rsidR="00D90DE0" w:rsidRPr="002958AD" w:rsidRDefault="0054100E" w:rsidP="004C056B">
            <w:pPr>
              <w:pStyle w:val="TableText"/>
              <w:spacing w:line="276" w:lineRule="auto"/>
              <w:jc w:val="center"/>
              <w:rPr>
                <w:szCs w:val="20"/>
                <w:lang w:val="en-NZ"/>
              </w:rPr>
            </w:pPr>
            <w:r w:rsidRPr="002958AD">
              <w:rPr>
                <w:szCs w:val="20"/>
                <w:lang w:val="en-NZ"/>
              </w:rPr>
              <w:t>Integrity measures are complex</w:t>
            </w:r>
          </w:p>
        </w:tc>
      </w:tr>
      <w:tr w:rsidR="00846C56" w:rsidRPr="002958AD" w14:paraId="1F59A3C2" w14:textId="77777777" w:rsidTr="006448CF">
        <w:trPr>
          <w:trHeight w:val="378"/>
        </w:trPr>
        <w:tc>
          <w:tcPr>
            <w:tcW w:w="1829" w:type="dxa"/>
            <w:shd w:val="clear" w:color="auto" w:fill="F2F2F2" w:themeFill="background1" w:themeFillShade="F2"/>
            <w:vAlign w:val="center"/>
          </w:tcPr>
          <w:p w14:paraId="516F19E0" w14:textId="5CBDE560" w:rsidR="00D90DE0" w:rsidRPr="007C1E21" w:rsidRDefault="004242C4" w:rsidP="004C056B">
            <w:pPr>
              <w:spacing w:before="60" w:after="60" w:line="240" w:lineRule="auto"/>
              <w:jc w:val="center"/>
              <w:rPr>
                <w:rFonts w:cs="Arial"/>
                <w:b/>
                <w:color w:val="000000"/>
                <w:sz w:val="20"/>
                <w:lang w:val="en-NZ"/>
              </w:rPr>
            </w:pPr>
            <w:r w:rsidRPr="007C1E21">
              <w:rPr>
                <w:rFonts w:cs="Arial"/>
                <w:b/>
                <w:color w:val="000000"/>
                <w:sz w:val="20"/>
                <w:lang w:val="en-NZ"/>
              </w:rPr>
              <w:t>Integrity</w:t>
            </w:r>
          </w:p>
        </w:tc>
        <w:tc>
          <w:tcPr>
            <w:tcW w:w="4025" w:type="dxa"/>
            <w:shd w:val="clear" w:color="auto" w:fill="auto"/>
            <w:vAlign w:val="center"/>
          </w:tcPr>
          <w:p w14:paraId="2E4085FC" w14:textId="2808813C" w:rsidR="00D90DE0" w:rsidRPr="002958AD" w:rsidRDefault="00D90DE0" w:rsidP="004C056B">
            <w:pPr>
              <w:pStyle w:val="TableText"/>
              <w:spacing w:line="276" w:lineRule="auto"/>
              <w:jc w:val="center"/>
              <w:rPr>
                <w:bCs/>
                <w:szCs w:val="20"/>
                <w:lang w:val="en-NZ"/>
              </w:rPr>
            </w:pPr>
            <w:r w:rsidRPr="002958AD">
              <w:rPr>
                <w:bCs/>
                <w:szCs w:val="20"/>
                <w:lang w:val="en-NZ"/>
              </w:rPr>
              <w:t>0</w:t>
            </w:r>
          </w:p>
        </w:tc>
        <w:tc>
          <w:tcPr>
            <w:tcW w:w="4025" w:type="dxa"/>
            <w:shd w:val="clear" w:color="auto" w:fill="auto"/>
            <w:vAlign w:val="center"/>
          </w:tcPr>
          <w:p w14:paraId="7E15BC5F" w14:textId="77777777" w:rsidR="00D90DE0" w:rsidRPr="002958AD" w:rsidRDefault="00883161" w:rsidP="004C056B">
            <w:pPr>
              <w:pStyle w:val="TableText"/>
              <w:spacing w:line="276" w:lineRule="auto"/>
              <w:jc w:val="center"/>
              <w:rPr>
                <w:rFonts w:cs="Arial"/>
                <w:b/>
                <w:color w:val="00B050"/>
                <w:szCs w:val="20"/>
              </w:rPr>
            </w:pPr>
            <w:r w:rsidRPr="002958AD">
              <w:rPr>
                <w:rFonts w:cs="Arial"/>
                <w:b/>
                <w:color w:val="00B050"/>
                <w:szCs w:val="20"/>
              </w:rPr>
              <w:t>+</w:t>
            </w:r>
          </w:p>
          <w:p w14:paraId="7C60E5B1" w14:textId="61E0BB1F" w:rsidR="00407AE7" w:rsidRPr="002958AD" w:rsidRDefault="0054100E" w:rsidP="004C056B">
            <w:pPr>
              <w:pStyle w:val="TableText"/>
              <w:spacing w:line="276" w:lineRule="auto"/>
              <w:jc w:val="center"/>
              <w:rPr>
                <w:szCs w:val="20"/>
                <w:lang w:val="en-NZ"/>
              </w:rPr>
            </w:pPr>
            <w:r w:rsidRPr="002958AD">
              <w:rPr>
                <w:szCs w:val="20"/>
                <w:lang w:val="en-NZ"/>
              </w:rPr>
              <w:t>Increased disincentives</w:t>
            </w:r>
            <w:r w:rsidR="003C5F3C" w:rsidRPr="002958AD">
              <w:rPr>
                <w:szCs w:val="20"/>
                <w:lang w:val="en-NZ"/>
              </w:rPr>
              <w:t xml:space="preserve"> for avoidance</w:t>
            </w:r>
          </w:p>
        </w:tc>
        <w:tc>
          <w:tcPr>
            <w:tcW w:w="4025" w:type="dxa"/>
            <w:shd w:val="clear" w:color="auto" w:fill="auto"/>
            <w:vAlign w:val="center"/>
          </w:tcPr>
          <w:p w14:paraId="15050C38" w14:textId="77777777" w:rsidR="0054100E" w:rsidRPr="002958AD" w:rsidRDefault="0054100E" w:rsidP="0054100E">
            <w:pPr>
              <w:pStyle w:val="TableText"/>
              <w:spacing w:line="276" w:lineRule="auto"/>
              <w:jc w:val="center"/>
              <w:rPr>
                <w:rFonts w:cs="Arial"/>
                <w:b/>
                <w:color w:val="00B050"/>
                <w:szCs w:val="20"/>
              </w:rPr>
            </w:pPr>
            <w:r w:rsidRPr="002958AD">
              <w:rPr>
                <w:rFonts w:cs="Arial"/>
                <w:b/>
                <w:color w:val="00B050"/>
                <w:szCs w:val="20"/>
              </w:rPr>
              <w:t>+</w:t>
            </w:r>
          </w:p>
          <w:p w14:paraId="2C58ACA4" w14:textId="7DB278D6" w:rsidR="00D90DE0" w:rsidRPr="002958AD" w:rsidRDefault="0054100E" w:rsidP="004C056B">
            <w:pPr>
              <w:pStyle w:val="TableText"/>
              <w:spacing w:line="276" w:lineRule="auto"/>
              <w:jc w:val="center"/>
              <w:rPr>
                <w:szCs w:val="20"/>
                <w:lang w:val="en-NZ"/>
              </w:rPr>
            </w:pPr>
            <w:r w:rsidRPr="002958AD">
              <w:rPr>
                <w:szCs w:val="20"/>
                <w:lang w:val="en-NZ"/>
              </w:rPr>
              <w:t>Reduced structuring incentives for avoidance</w:t>
            </w:r>
          </w:p>
        </w:tc>
      </w:tr>
      <w:tr w:rsidR="004242C4" w:rsidRPr="002958AD" w14:paraId="59FFA633" w14:textId="77777777" w:rsidTr="006448CF">
        <w:trPr>
          <w:trHeight w:val="584"/>
        </w:trPr>
        <w:tc>
          <w:tcPr>
            <w:tcW w:w="1829" w:type="dxa"/>
            <w:shd w:val="clear" w:color="auto" w:fill="F2F2F2" w:themeFill="background1" w:themeFillShade="F2"/>
            <w:vAlign w:val="center"/>
          </w:tcPr>
          <w:p w14:paraId="4B6DD9F5" w14:textId="186D2577" w:rsidR="004242C4" w:rsidRPr="007C1E21" w:rsidRDefault="004242C4" w:rsidP="004C056B">
            <w:pPr>
              <w:spacing w:before="60" w:after="60" w:line="240" w:lineRule="auto"/>
              <w:jc w:val="center"/>
              <w:rPr>
                <w:rFonts w:cs="Arial"/>
                <w:b/>
                <w:color w:val="000000"/>
                <w:sz w:val="20"/>
                <w:lang w:val="en-NZ"/>
              </w:rPr>
            </w:pPr>
            <w:r w:rsidRPr="007C1E21">
              <w:rPr>
                <w:rFonts w:cs="Arial"/>
                <w:b/>
                <w:color w:val="000000"/>
                <w:sz w:val="20"/>
                <w:lang w:val="en-NZ"/>
              </w:rPr>
              <w:t>Revenue raised</w:t>
            </w:r>
          </w:p>
        </w:tc>
        <w:tc>
          <w:tcPr>
            <w:tcW w:w="4025" w:type="dxa"/>
            <w:shd w:val="clear" w:color="auto" w:fill="auto"/>
            <w:vAlign w:val="center"/>
          </w:tcPr>
          <w:p w14:paraId="504F6ACA" w14:textId="0F09E418" w:rsidR="004242C4" w:rsidRPr="002958AD" w:rsidRDefault="002314A1" w:rsidP="004C056B">
            <w:pPr>
              <w:pStyle w:val="TableText"/>
              <w:spacing w:line="276" w:lineRule="auto"/>
              <w:jc w:val="center"/>
              <w:rPr>
                <w:szCs w:val="20"/>
                <w:lang w:val="en-NZ"/>
              </w:rPr>
            </w:pPr>
            <w:r w:rsidRPr="002958AD">
              <w:rPr>
                <w:szCs w:val="20"/>
                <w:lang w:val="en-NZ"/>
              </w:rPr>
              <w:t>0</w:t>
            </w:r>
          </w:p>
        </w:tc>
        <w:tc>
          <w:tcPr>
            <w:tcW w:w="4025" w:type="dxa"/>
            <w:shd w:val="clear" w:color="auto" w:fill="auto"/>
            <w:vAlign w:val="center"/>
          </w:tcPr>
          <w:p w14:paraId="631F318D" w14:textId="77777777" w:rsidR="004242C4" w:rsidRPr="002958AD" w:rsidRDefault="00883161" w:rsidP="004C056B">
            <w:pPr>
              <w:pStyle w:val="TableText"/>
              <w:spacing w:line="276" w:lineRule="auto"/>
              <w:jc w:val="center"/>
              <w:rPr>
                <w:rFonts w:cs="Arial"/>
                <w:b/>
                <w:color w:val="00B050"/>
                <w:szCs w:val="20"/>
              </w:rPr>
            </w:pPr>
            <w:r w:rsidRPr="002958AD">
              <w:rPr>
                <w:rFonts w:cs="Arial"/>
                <w:b/>
                <w:color w:val="00B050"/>
                <w:szCs w:val="20"/>
              </w:rPr>
              <w:t>+</w:t>
            </w:r>
          </w:p>
          <w:p w14:paraId="11C0989C" w14:textId="3711E694" w:rsidR="003C5F3C" w:rsidRPr="002958AD" w:rsidRDefault="003C5F3C" w:rsidP="004C056B">
            <w:pPr>
              <w:pStyle w:val="TableText"/>
              <w:spacing w:line="276" w:lineRule="auto"/>
              <w:jc w:val="center"/>
              <w:rPr>
                <w:szCs w:val="20"/>
                <w:lang w:val="en-NZ"/>
              </w:rPr>
            </w:pPr>
            <w:r w:rsidRPr="002958AD">
              <w:rPr>
                <w:szCs w:val="20"/>
                <w:lang w:val="en-NZ"/>
              </w:rPr>
              <w:t>Raises some revenue</w:t>
            </w:r>
          </w:p>
        </w:tc>
        <w:tc>
          <w:tcPr>
            <w:tcW w:w="4025" w:type="dxa"/>
            <w:shd w:val="clear" w:color="auto" w:fill="auto"/>
            <w:vAlign w:val="center"/>
          </w:tcPr>
          <w:p w14:paraId="42D2A84C" w14:textId="77777777" w:rsidR="0054100E" w:rsidRPr="002958AD" w:rsidRDefault="0054100E" w:rsidP="0054100E">
            <w:pPr>
              <w:pStyle w:val="TableText"/>
              <w:spacing w:line="276" w:lineRule="auto"/>
              <w:jc w:val="center"/>
              <w:rPr>
                <w:rFonts w:cs="Arial"/>
                <w:b/>
                <w:color w:val="00B050"/>
                <w:szCs w:val="20"/>
              </w:rPr>
            </w:pPr>
            <w:r w:rsidRPr="002958AD">
              <w:rPr>
                <w:rFonts w:cs="Arial"/>
                <w:b/>
                <w:color w:val="00B050"/>
                <w:szCs w:val="20"/>
              </w:rPr>
              <w:t>+</w:t>
            </w:r>
          </w:p>
          <w:p w14:paraId="24AB4841" w14:textId="268F3D82" w:rsidR="004242C4" w:rsidRPr="002958AD" w:rsidRDefault="0054100E" w:rsidP="004C056B">
            <w:pPr>
              <w:pStyle w:val="TableText"/>
              <w:spacing w:line="276" w:lineRule="auto"/>
              <w:jc w:val="center"/>
              <w:rPr>
                <w:szCs w:val="20"/>
                <w:lang w:val="en-NZ"/>
              </w:rPr>
            </w:pPr>
            <w:r w:rsidRPr="002958AD">
              <w:rPr>
                <w:szCs w:val="20"/>
                <w:lang w:val="en-NZ"/>
              </w:rPr>
              <w:t>Raises some revenue</w:t>
            </w:r>
          </w:p>
        </w:tc>
      </w:tr>
      <w:tr w:rsidR="00846C56" w:rsidRPr="002958AD" w14:paraId="610535B6" w14:textId="77777777" w:rsidTr="006448CF">
        <w:trPr>
          <w:trHeight w:val="584"/>
        </w:trPr>
        <w:tc>
          <w:tcPr>
            <w:tcW w:w="1829" w:type="dxa"/>
            <w:shd w:val="clear" w:color="auto" w:fill="F2F2F2" w:themeFill="background1" w:themeFillShade="F2"/>
            <w:vAlign w:val="center"/>
          </w:tcPr>
          <w:p w14:paraId="4CEBFF80" w14:textId="77777777" w:rsidR="00D90DE0" w:rsidRPr="007C1E21" w:rsidRDefault="00D90DE0" w:rsidP="004C056B">
            <w:pPr>
              <w:spacing w:before="60" w:after="60" w:line="240" w:lineRule="auto"/>
              <w:jc w:val="center"/>
              <w:rPr>
                <w:rFonts w:cs="Arial"/>
                <w:b/>
                <w:color w:val="000000"/>
                <w:sz w:val="20"/>
                <w:lang w:val="en-NZ"/>
              </w:rPr>
            </w:pPr>
            <w:r w:rsidRPr="007C1E21">
              <w:rPr>
                <w:rFonts w:cs="Arial"/>
                <w:b/>
                <w:color w:val="000000"/>
                <w:sz w:val="20"/>
                <w:lang w:val="en-NZ"/>
              </w:rPr>
              <w:t>Overall assessment</w:t>
            </w:r>
          </w:p>
        </w:tc>
        <w:tc>
          <w:tcPr>
            <w:tcW w:w="4025" w:type="dxa"/>
            <w:shd w:val="clear" w:color="auto" w:fill="auto"/>
            <w:vAlign w:val="center"/>
          </w:tcPr>
          <w:p w14:paraId="14B5A9EB" w14:textId="6B4DDA97" w:rsidR="00D90DE0" w:rsidRPr="002958AD" w:rsidRDefault="00CC2F41" w:rsidP="004C056B">
            <w:pPr>
              <w:pStyle w:val="TableText"/>
              <w:spacing w:line="276" w:lineRule="auto"/>
              <w:jc w:val="center"/>
              <w:rPr>
                <w:szCs w:val="20"/>
                <w:lang w:val="en-NZ"/>
              </w:rPr>
            </w:pPr>
            <w:r w:rsidRPr="002958AD">
              <w:rPr>
                <w:szCs w:val="20"/>
                <w:lang w:val="en-NZ"/>
              </w:rPr>
              <w:t>0</w:t>
            </w:r>
          </w:p>
        </w:tc>
        <w:tc>
          <w:tcPr>
            <w:tcW w:w="4025" w:type="dxa"/>
            <w:shd w:val="clear" w:color="auto" w:fill="auto"/>
            <w:vAlign w:val="center"/>
          </w:tcPr>
          <w:p w14:paraId="18445CBD" w14:textId="6D0C86FB" w:rsidR="00D90DE0" w:rsidRPr="002958AD" w:rsidRDefault="0054100E" w:rsidP="004C056B">
            <w:pPr>
              <w:pStyle w:val="TableText"/>
              <w:spacing w:line="276" w:lineRule="auto"/>
              <w:jc w:val="center"/>
              <w:rPr>
                <w:szCs w:val="20"/>
                <w:lang w:val="en-NZ"/>
              </w:rPr>
            </w:pPr>
            <w:r w:rsidRPr="002958AD">
              <w:rPr>
                <w:rFonts w:cs="Arial"/>
                <w:b/>
                <w:color w:val="00B050"/>
                <w:szCs w:val="20"/>
              </w:rPr>
              <w:t xml:space="preserve">+ </w:t>
            </w:r>
            <w:r w:rsidRPr="002958AD">
              <w:rPr>
                <w:rFonts w:cs="Arial"/>
                <w:b/>
                <w:szCs w:val="20"/>
              </w:rPr>
              <w:t>but concerns over ability to implement due to increased specialist resourcing requirements</w:t>
            </w:r>
          </w:p>
        </w:tc>
        <w:tc>
          <w:tcPr>
            <w:tcW w:w="4025" w:type="dxa"/>
            <w:shd w:val="clear" w:color="auto" w:fill="auto"/>
            <w:vAlign w:val="center"/>
          </w:tcPr>
          <w:p w14:paraId="11A67343" w14:textId="60376C28" w:rsidR="00D90DE0" w:rsidRPr="002958AD" w:rsidRDefault="0054100E" w:rsidP="004C056B">
            <w:pPr>
              <w:pStyle w:val="TableText"/>
              <w:spacing w:line="276" w:lineRule="auto"/>
              <w:jc w:val="center"/>
              <w:rPr>
                <w:szCs w:val="20"/>
                <w:lang w:val="en-NZ"/>
              </w:rPr>
            </w:pPr>
            <w:r w:rsidRPr="002958AD">
              <w:rPr>
                <w:rFonts w:cs="Arial"/>
                <w:b/>
                <w:color w:val="00B050"/>
                <w:szCs w:val="20"/>
              </w:rPr>
              <w:t>+</w:t>
            </w:r>
          </w:p>
        </w:tc>
      </w:tr>
    </w:tbl>
    <w:p w14:paraId="5DE3F48A" w14:textId="5AE3363C" w:rsidR="00EF7E1D" w:rsidRDefault="00EF7E1D"/>
    <w:p w14:paraId="3C49F6D8" w14:textId="59A491E2" w:rsidR="001958C5" w:rsidRDefault="001958C5">
      <w:r w:rsidRPr="003C44B8">
        <w:rPr>
          <w:rFonts w:cs="Arial"/>
          <w:noProof/>
          <w:szCs w:val="22"/>
          <w:lang w:val="en-NZ"/>
        </w:rPr>
        <mc:AlternateContent>
          <mc:Choice Requires="wps">
            <w:drawing>
              <wp:anchor distT="0" distB="0" distL="114300" distR="114300" simplePos="0" relativeHeight="251658240" behindDoc="0" locked="0" layoutInCell="1" allowOverlap="1" wp14:anchorId="66D76EFA" wp14:editId="646D7FE1">
                <wp:simplePos x="0" y="0"/>
                <wp:positionH relativeFrom="margin">
                  <wp:align>left</wp:align>
                </wp:positionH>
                <wp:positionV relativeFrom="paragraph">
                  <wp:posOffset>-17146</wp:posOffset>
                </wp:positionV>
                <wp:extent cx="4562475" cy="1590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90675"/>
                        </a:xfrm>
                        <a:prstGeom prst="rect">
                          <a:avLst/>
                        </a:prstGeom>
                        <a:noFill/>
                        <a:ln w="9525">
                          <a:solidFill>
                            <a:srgbClr val="000000"/>
                          </a:solidFill>
                          <a:miter lim="800000"/>
                          <a:headEnd/>
                          <a:tailEnd/>
                        </a:ln>
                        <a:effectLst/>
                      </wps:spPr>
                      <wps:txbx>
                        <w:txbxContent>
                          <w:p w14:paraId="1CD50E0D" w14:textId="2AB4E3B7" w:rsidR="00846C56" w:rsidRPr="00A864A5" w:rsidRDefault="0052361A" w:rsidP="00846C56">
                            <w:pPr>
                              <w:spacing w:after="120" w:line="276" w:lineRule="auto"/>
                              <w:rPr>
                                <w:rFonts w:cs="Arial"/>
                                <w:b/>
                                <w:sz w:val="20"/>
                              </w:rPr>
                            </w:pPr>
                            <w:r>
                              <w:rPr>
                                <w:rFonts w:cs="Arial"/>
                                <w:b/>
                                <w:sz w:val="20"/>
                              </w:rPr>
                              <w:t>K</w:t>
                            </w:r>
                            <w:r w:rsidR="00846C56" w:rsidRPr="00A864A5">
                              <w:rPr>
                                <w:rFonts w:cs="Arial"/>
                                <w:b/>
                                <w:sz w:val="20"/>
                              </w:rPr>
                              <w:t>e</w:t>
                            </w:r>
                            <w:r w:rsidR="00285C6B">
                              <w:rPr>
                                <w:rFonts w:cs="Arial"/>
                                <w:b/>
                                <w:sz w:val="20"/>
                              </w:rPr>
                              <w:t>y</w:t>
                            </w:r>
                          </w:p>
                          <w:p w14:paraId="3488C3D8" w14:textId="272FEC9D"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7DCDF501" w14:textId="31C0832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613D28C3" w14:textId="69C9BAD3"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0251B55C" w14:textId="365659B8"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13A728D9" w14:textId="05F7BAAA"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6D76EFA" id="_x0000_t202" coordsize="21600,21600" o:spt="202" path="m,l,21600r21600,l21600,xe">
                <v:stroke joinstyle="miter"/>
                <v:path gradientshapeok="t" o:connecttype="rect"/>
              </v:shapetype>
              <v:shape id="Text Box 2" o:spid="_x0000_s1026" type="#_x0000_t202" style="position:absolute;margin-left:0;margin-top:-1.35pt;width:359.25pt;height:125.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m8IwIAACsEAAAOAAAAZHJzL2Uyb0RvYy54bWysU9tu2zAMfR+wfxD0vjgx4rQx4hRdug4D&#10;ugvQ7gNoWY6FSaInKbG7rx8lp2mwvQ3TgyBedEgekpub0Wh2lM4rtBVfzOacSSuwUXZf8e9P9++u&#10;OfMBbAMaraz4s/T8Zvv2zWboS5ljh7qRjhGI9eXQV7wLoS+zzItOGvAz7KUlY4vOQCDR7bPGwUDo&#10;Rmf5fL7KBnRN71BI70l7Nxn5NuG3rRTha9t6GZiuOOUW0u3SXcc7226g3DvoOyVOacA/ZGFAWQp6&#10;hrqDAOzg1F9QRgmHHtswE2gybFslZKqBqlnM/6jmsYNeplqIHN+fafL/D1Z8OX5zTDXUu5wzC4Z6&#10;9CTHwN7jyPJIz9D7krwee/ILI6nJNZXq+wcUPzyzuOvA7uWtczh0EhpKbxF/ZhdfJxwfQerhMzYU&#10;Bg4BE9DYOhO5IzYYoVObns+tiakIUi6LVb68KjgTZFsU6/mKhBgDypfvvfPho0TD4qPijnqf4OH4&#10;4MPk+uISo1m8V1qTHkpt2VDxdZEXU2GoVRON0ebdvt5px44QJyidU1x/6WZUoDnWylT8+uwEZaTj&#10;g21SlABKT29KWtsILtOEntKLbEWCJqrCWI/0LSprbJ6JN4fT9NK20aND94uzgSa34v7nAZzkTH+y&#10;xP16sVzGUU/CsrjKSXCXlvrSAlYQVMUDZ9NzF9J6TBTdUo9aldh7zeTUWZrIxP9pe+LIX8rJ63XH&#10;t78BAAD//wMAUEsDBBQABgAIAAAAIQCl9XUm3AAAAAcBAAAPAAAAZHJzL2Rvd25yZXYueG1sTI/B&#10;TsMwEETvSPyDtUjcWqcp4BDiVIjCHUKBq5Nskwh7HcVuG/h6lhMcV7Mz86bYzM6KI05h8KRhtUxA&#10;IDW+HajTsHt9WmQgQjTUGusJNXxhgE15flaYvPUnesFjFTvBIRRyo6GPccylDE2PzoSlH5FY2/vJ&#10;mcjn1Ml2MicOd1amSXIjnRmIG3oz4kOPzWd1cIyRfuzW2+cKlTL1evv4/Xa7f7daX17M93cgIs7x&#10;7xl+8dkDJTPV/kBtEFYDD4kaFqkCwapaZdcgag3plcpAloX8z1/+AAAA//8DAFBLAQItABQABgAI&#10;AAAAIQC2gziS/gAAAOEBAAATAAAAAAAAAAAAAAAAAAAAAABbQ29udGVudF9UeXBlc10ueG1sUEsB&#10;Ai0AFAAGAAgAAAAhADj9If/WAAAAlAEAAAsAAAAAAAAAAAAAAAAALwEAAF9yZWxzLy5yZWxzUEsB&#10;Ai0AFAAGAAgAAAAhAPwtSbwjAgAAKwQAAA4AAAAAAAAAAAAAAAAALgIAAGRycy9lMm9Eb2MueG1s&#10;UEsBAi0AFAAGAAgAAAAhAKX1dSbcAAAABwEAAA8AAAAAAAAAAAAAAAAAfQQAAGRycy9kb3ducmV2&#10;LnhtbFBLBQYAAAAABAAEAPMAAACGBQAAAAA=&#10;" filled="f">
                <v:textbox>
                  <w:txbxContent>
                    <w:p w14:paraId="1CD50E0D" w14:textId="2AB4E3B7" w:rsidR="00846C56" w:rsidRPr="00A864A5" w:rsidRDefault="0052361A" w:rsidP="00846C56">
                      <w:pPr>
                        <w:spacing w:after="120" w:line="276" w:lineRule="auto"/>
                        <w:rPr>
                          <w:rFonts w:cs="Arial"/>
                          <w:b/>
                          <w:sz w:val="20"/>
                        </w:rPr>
                      </w:pPr>
                      <w:r>
                        <w:rPr>
                          <w:rFonts w:cs="Arial"/>
                          <w:b/>
                          <w:sz w:val="20"/>
                        </w:rPr>
                        <w:t>K</w:t>
                      </w:r>
                      <w:r w:rsidR="00846C56" w:rsidRPr="00A864A5">
                        <w:rPr>
                          <w:rFonts w:cs="Arial"/>
                          <w:b/>
                          <w:sz w:val="20"/>
                        </w:rPr>
                        <w:t>e</w:t>
                      </w:r>
                      <w:r w:rsidR="00285C6B">
                        <w:rPr>
                          <w:rFonts w:cs="Arial"/>
                          <w:b/>
                          <w:sz w:val="20"/>
                        </w:rPr>
                        <w:t>y</w:t>
                      </w:r>
                    </w:p>
                    <w:p w14:paraId="3488C3D8" w14:textId="272FEC9D"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7DCDF501" w14:textId="31C0832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613D28C3" w14:textId="69C9BAD3"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0251B55C" w14:textId="365659B8"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13A728D9" w14:textId="05F7BAAA"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txbxContent>
                </v:textbox>
                <w10:wrap type="square" anchorx="margin"/>
              </v:shape>
            </w:pict>
          </mc:Fallback>
        </mc:AlternateContent>
      </w:r>
    </w:p>
    <w:p w14:paraId="79DA18FD" w14:textId="495C771F" w:rsidR="00175B52" w:rsidRPr="00B84E15" w:rsidRDefault="00175B52" w:rsidP="007C1E21">
      <w:pPr>
        <w:rPr>
          <w:lang w:val="en-NZ" w:eastAsia="en-NZ"/>
        </w:rPr>
        <w:sectPr w:rsidR="00175B52" w:rsidRPr="00B84E15" w:rsidSect="007C1E21">
          <w:footerReference w:type="default" r:id="rId12"/>
          <w:pgSz w:w="16838" w:h="11906" w:orient="landscape" w:code="9"/>
          <w:pgMar w:top="1418" w:right="1134" w:bottom="992" w:left="992" w:header="454" w:footer="454" w:gutter="0"/>
          <w:cols w:space="708"/>
          <w:docGrid w:linePitch="360"/>
        </w:sectPr>
      </w:pPr>
    </w:p>
    <w:p w14:paraId="61E13344" w14:textId="363C25CE" w:rsidR="00EF7E1D" w:rsidRDefault="00EF7E1D" w:rsidP="00EF7E1D">
      <w:pPr>
        <w:pStyle w:val="Heading3"/>
      </w:pPr>
      <w:bookmarkStart w:id="9" w:name="_Hlk53565460"/>
      <w:r>
        <w:t>What option is likely to best address the problem, meet the policy objectives, and deliver the highest net benefits?</w:t>
      </w:r>
    </w:p>
    <w:p w14:paraId="0842BBD8" w14:textId="32786987" w:rsidR="00EF7E1D" w:rsidRPr="007C1E21" w:rsidRDefault="00EF7E1D" w:rsidP="007C1E21">
      <w:pPr>
        <w:pStyle w:val="ListParagraph"/>
        <w:numPr>
          <w:ilvl w:val="0"/>
          <w:numId w:val="24"/>
        </w:numPr>
        <w:ind w:left="567" w:hanging="567"/>
        <w:rPr>
          <w:rFonts w:cs="Arial"/>
          <w:lang w:val="en-NZ"/>
        </w:rPr>
      </w:pPr>
      <w:r w:rsidRPr="007C1E21">
        <w:rPr>
          <w:rFonts w:cs="Arial"/>
          <w:szCs w:val="22"/>
          <w:lang w:val="en-NZ"/>
        </w:rPr>
        <w:t xml:space="preserve">Inland Revenue considers introducing a package of integrity measures (option three) to be a more desirable option than the status quo or option two. Option three is an improvement over the status quo in relation to the integrity, </w:t>
      </w:r>
      <w:proofErr w:type="gramStart"/>
      <w:r w:rsidRPr="007C1E21">
        <w:rPr>
          <w:rFonts w:cs="Arial"/>
          <w:szCs w:val="22"/>
          <w:lang w:val="en-NZ"/>
        </w:rPr>
        <w:t>equity</w:t>
      </w:r>
      <w:proofErr w:type="gramEnd"/>
      <w:r w:rsidRPr="007C1E21">
        <w:rPr>
          <w:rFonts w:cs="Arial"/>
          <w:szCs w:val="22"/>
          <w:lang w:val="en-NZ"/>
        </w:rPr>
        <w:t xml:space="preserve"> and revenue criteria, but is worse than the status quo on the efficiency and complexity criteria which have a lower weighting than the other three criteria. Option three is also preferred to option two as there are concerns over the practical ability to implement option two. Inland Revenue concludes that option three is better than the status quo because it better meets the Government’s integrity, distributional and revenue objectives.</w:t>
      </w:r>
    </w:p>
    <w:p w14:paraId="58ACFE9B" w14:textId="0B9257E6" w:rsidR="00097119" w:rsidRDefault="00DB51CD" w:rsidP="00570E3F">
      <w:pPr>
        <w:pStyle w:val="Heading3"/>
        <w:rPr>
          <w:lang w:val="en-NZ"/>
        </w:rPr>
      </w:pPr>
      <w:r>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5F41A2">
        <w:rPr>
          <w:lang w:val="en-NZ"/>
        </w:rPr>
        <w:t>the</w:t>
      </w:r>
      <w:r w:rsidR="004625C9" w:rsidRPr="00A864A5">
        <w:rPr>
          <w:lang w:val="en-NZ"/>
        </w:rPr>
        <w:t xml:space="preserve"> option</w:t>
      </w:r>
      <w:r>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2410"/>
        <w:gridCol w:w="2410"/>
        <w:gridCol w:w="1843"/>
      </w:tblGrid>
      <w:tr w:rsidR="00136700" w:rsidRPr="001958C5" w14:paraId="5EA92CE7" w14:textId="77777777" w:rsidTr="00555CE4">
        <w:trPr>
          <w:trHeight w:val="762"/>
        </w:trPr>
        <w:tc>
          <w:tcPr>
            <w:tcW w:w="2830" w:type="dxa"/>
            <w:shd w:val="clear" w:color="auto" w:fill="F2F2F2" w:themeFill="background1" w:themeFillShade="F2"/>
          </w:tcPr>
          <w:p w14:paraId="74B32D65" w14:textId="74E49C8C" w:rsidR="009D0B82" w:rsidRPr="007C1E21" w:rsidRDefault="009D0B82" w:rsidP="009D0B82">
            <w:pPr>
              <w:pStyle w:val="TableText"/>
              <w:keepNext/>
              <w:rPr>
                <w:rFonts w:eastAsia="Calibri"/>
                <w:color w:val="000000"/>
                <w:szCs w:val="20"/>
                <w:lang w:val="en-NZ"/>
              </w:rPr>
            </w:pPr>
            <w:r w:rsidRPr="007C1E21">
              <w:rPr>
                <w:rFonts w:eastAsia="Calibri"/>
                <w:b/>
                <w:color w:val="000000"/>
                <w:szCs w:val="20"/>
                <w:lang w:val="en-NZ"/>
              </w:rPr>
              <w:t>Affected groups</w:t>
            </w:r>
          </w:p>
        </w:tc>
        <w:tc>
          <w:tcPr>
            <w:tcW w:w="2410" w:type="dxa"/>
            <w:shd w:val="clear" w:color="auto" w:fill="F2F2F2" w:themeFill="background1" w:themeFillShade="F2"/>
          </w:tcPr>
          <w:p w14:paraId="18E17B4C" w14:textId="01568D4A" w:rsidR="009D0B82" w:rsidRPr="007C1E21" w:rsidRDefault="009D0B82" w:rsidP="009D0B82">
            <w:pPr>
              <w:pStyle w:val="TableText"/>
              <w:keepNext/>
              <w:rPr>
                <w:rFonts w:eastAsia="Calibri"/>
                <w:color w:val="000000"/>
                <w:szCs w:val="20"/>
                <w:lang w:val="en-NZ"/>
              </w:rPr>
            </w:pPr>
            <w:r w:rsidRPr="007C1E21">
              <w:rPr>
                <w:rFonts w:eastAsia="Calibri"/>
                <w:b/>
                <w:color w:val="000000"/>
                <w:szCs w:val="20"/>
                <w:lang w:val="en-NZ"/>
              </w:rPr>
              <w:t>Comment</w:t>
            </w:r>
          </w:p>
        </w:tc>
        <w:tc>
          <w:tcPr>
            <w:tcW w:w="2410" w:type="dxa"/>
            <w:shd w:val="clear" w:color="auto" w:fill="F2F2F2" w:themeFill="background1" w:themeFillShade="F2"/>
          </w:tcPr>
          <w:p w14:paraId="4E01756B" w14:textId="70770F0B" w:rsidR="009D0B82" w:rsidRPr="007C1E21" w:rsidRDefault="009D0B82" w:rsidP="009D0B82">
            <w:pPr>
              <w:pStyle w:val="TableText"/>
              <w:keepNext/>
              <w:rPr>
                <w:rFonts w:eastAsia="Calibri"/>
                <w:b/>
                <w:color w:val="000000"/>
                <w:szCs w:val="20"/>
                <w:lang w:val="en-NZ"/>
              </w:rPr>
            </w:pPr>
            <w:r w:rsidRPr="007C1E21">
              <w:rPr>
                <w:rFonts w:eastAsia="Calibri"/>
                <w:b/>
                <w:color w:val="000000"/>
                <w:szCs w:val="20"/>
                <w:lang w:val="en-NZ"/>
              </w:rPr>
              <w:t>Impact</w:t>
            </w:r>
          </w:p>
        </w:tc>
        <w:tc>
          <w:tcPr>
            <w:tcW w:w="1843" w:type="dxa"/>
            <w:shd w:val="clear" w:color="auto" w:fill="F2F2F2" w:themeFill="background1" w:themeFillShade="F2"/>
          </w:tcPr>
          <w:p w14:paraId="29027758" w14:textId="77E059DE" w:rsidR="009D0B82" w:rsidRPr="001958C5" w:rsidRDefault="009D0B82" w:rsidP="009D0B82">
            <w:pPr>
              <w:pStyle w:val="TableText"/>
              <w:keepNext/>
              <w:rPr>
                <w:rFonts w:eastAsia="Calibri"/>
                <w:bCs/>
                <w:i/>
                <w:iCs/>
                <w:color w:val="000000"/>
                <w:szCs w:val="20"/>
                <w:lang w:val="en-NZ"/>
              </w:rPr>
            </w:pPr>
            <w:r w:rsidRPr="007C1E21">
              <w:rPr>
                <w:rFonts w:eastAsia="Calibri"/>
                <w:b/>
                <w:color w:val="000000"/>
                <w:szCs w:val="20"/>
                <w:lang w:val="en-NZ"/>
              </w:rPr>
              <w:t>Evidence Certainty</w:t>
            </w:r>
          </w:p>
        </w:tc>
      </w:tr>
      <w:tr w:rsidR="00136700" w:rsidRPr="001958C5" w14:paraId="3BC25AF6" w14:textId="77777777" w:rsidTr="00555CE4">
        <w:trPr>
          <w:trHeight w:val="391"/>
        </w:trPr>
        <w:tc>
          <w:tcPr>
            <w:tcW w:w="9493" w:type="dxa"/>
            <w:gridSpan w:val="4"/>
            <w:shd w:val="clear" w:color="auto" w:fill="F2F2F2" w:themeFill="background1" w:themeFillShade="F2"/>
            <w:vAlign w:val="center"/>
          </w:tcPr>
          <w:p w14:paraId="183B7348" w14:textId="74D1CAE5" w:rsidR="00136700" w:rsidRPr="007C1E21" w:rsidRDefault="00136700" w:rsidP="00792525">
            <w:pPr>
              <w:keepNext/>
              <w:spacing w:before="40" w:after="20" w:line="240" w:lineRule="auto"/>
              <w:jc w:val="center"/>
              <w:rPr>
                <w:rFonts w:eastAsia="Calibri"/>
                <w:b/>
                <w:bCs/>
                <w:color w:val="000000"/>
                <w:sz w:val="20"/>
                <w:lang w:val="en-NZ"/>
              </w:rPr>
            </w:pPr>
            <w:r w:rsidRPr="007C1E21">
              <w:rPr>
                <w:rFonts w:eastAsia="Calibri"/>
                <w:b/>
                <w:bCs/>
                <w:color w:val="000000"/>
                <w:sz w:val="20"/>
                <w:lang w:val="en-NZ"/>
              </w:rPr>
              <w:t>Additional costs of the preferred option compared to taking no action</w:t>
            </w:r>
          </w:p>
        </w:tc>
      </w:tr>
      <w:tr w:rsidR="00136700" w:rsidRPr="001958C5" w14:paraId="69C818D7" w14:textId="77777777" w:rsidTr="00555CE4">
        <w:trPr>
          <w:trHeight w:val="380"/>
        </w:trPr>
        <w:tc>
          <w:tcPr>
            <w:tcW w:w="2830" w:type="dxa"/>
            <w:shd w:val="clear" w:color="auto" w:fill="auto"/>
          </w:tcPr>
          <w:p w14:paraId="6F3E6CF4" w14:textId="48E6B2D8" w:rsidR="007365A7" w:rsidRPr="007C1E21" w:rsidRDefault="009D0B82" w:rsidP="009D0B82">
            <w:pPr>
              <w:pStyle w:val="TableText"/>
              <w:keepNext/>
              <w:rPr>
                <w:rFonts w:eastAsia="Calibri"/>
                <w:szCs w:val="20"/>
                <w:lang w:val="en-NZ"/>
              </w:rPr>
            </w:pPr>
            <w:r w:rsidRPr="007C1E21">
              <w:rPr>
                <w:rFonts w:eastAsia="Calibri"/>
                <w:szCs w:val="20"/>
                <w:lang w:val="en-NZ"/>
              </w:rPr>
              <w:t>Regulated groups</w:t>
            </w:r>
            <w:r w:rsidR="007365A7" w:rsidRPr="007C1E21">
              <w:rPr>
                <w:rFonts w:eastAsia="Calibri"/>
                <w:szCs w:val="20"/>
                <w:lang w:val="en-NZ"/>
              </w:rPr>
              <w:t xml:space="preserve"> </w:t>
            </w:r>
          </w:p>
          <w:p w14:paraId="2A2865FC" w14:textId="6621BE1F" w:rsidR="009D0B82" w:rsidRPr="003F02AC" w:rsidRDefault="00565362" w:rsidP="009D0B82">
            <w:pPr>
              <w:pStyle w:val="TableText"/>
              <w:keepNext/>
              <w:rPr>
                <w:rFonts w:eastAsia="Calibri"/>
                <w:i/>
                <w:iCs/>
                <w:szCs w:val="20"/>
                <w:lang w:val="en-NZ"/>
              </w:rPr>
            </w:pPr>
            <w:r w:rsidRPr="003F02AC">
              <w:rPr>
                <w:rFonts w:eastAsia="Calibri"/>
                <w:i/>
                <w:iCs/>
                <w:szCs w:val="20"/>
                <w:lang w:val="en-NZ"/>
              </w:rPr>
              <w:t>Self-employed persons and shareholders of closely held companies earning more than $70,000 per annum for the personal services attribution and share sales measures. All companies for the available subscribed capital and available capital distribution amount measures.</w:t>
            </w:r>
          </w:p>
        </w:tc>
        <w:tc>
          <w:tcPr>
            <w:tcW w:w="2410" w:type="dxa"/>
            <w:shd w:val="clear" w:color="auto" w:fill="auto"/>
          </w:tcPr>
          <w:p w14:paraId="3D4AEA63" w14:textId="699D4159" w:rsidR="0001612C" w:rsidRPr="007C1E21" w:rsidRDefault="001D7B15" w:rsidP="009D0B82">
            <w:pPr>
              <w:pStyle w:val="TableText"/>
              <w:keepNext/>
              <w:rPr>
                <w:rFonts w:eastAsia="Calibri"/>
                <w:szCs w:val="20"/>
                <w:lang w:val="en-NZ"/>
              </w:rPr>
            </w:pPr>
            <w:r w:rsidRPr="007C1E21">
              <w:rPr>
                <w:rFonts w:eastAsia="Calibri"/>
                <w:szCs w:val="20"/>
                <w:lang w:val="en-NZ"/>
              </w:rPr>
              <w:t>Increased complexity and compliance costs</w:t>
            </w:r>
            <w:r w:rsidR="00990F4C" w:rsidRPr="007C1E21">
              <w:rPr>
                <w:rFonts w:eastAsia="Calibri"/>
                <w:szCs w:val="20"/>
                <w:lang w:val="en-NZ"/>
              </w:rPr>
              <w:t xml:space="preserve"> </w:t>
            </w:r>
            <w:r w:rsidR="0001612C" w:rsidRPr="007C1E21">
              <w:rPr>
                <w:rFonts w:eastAsia="Calibri"/>
                <w:szCs w:val="20"/>
                <w:lang w:val="en-NZ"/>
              </w:rPr>
              <w:t>(some ongoing, some one-off)</w:t>
            </w:r>
          </w:p>
          <w:p w14:paraId="6ADD4D7C" w14:textId="2BC95C29" w:rsidR="001D7B15" w:rsidRPr="007C1E21" w:rsidRDefault="001D7B15" w:rsidP="009D0B82">
            <w:pPr>
              <w:pStyle w:val="TableText"/>
              <w:keepNext/>
              <w:rPr>
                <w:rFonts w:eastAsia="Calibri"/>
                <w:szCs w:val="20"/>
                <w:lang w:val="en-NZ"/>
              </w:rPr>
            </w:pPr>
            <w:r w:rsidRPr="007C1E21">
              <w:rPr>
                <w:rFonts w:eastAsia="Calibri"/>
                <w:szCs w:val="20"/>
                <w:lang w:val="en-NZ"/>
              </w:rPr>
              <w:t>Higher tax liabilities</w:t>
            </w:r>
            <w:r w:rsidR="00E939C5" w:rsidRPr="007C1E21">
              <w:rPr>
                <w:rFonts w:eastAsia="Calibri"/>
                <w:szCs w:val="20"/>
                <w:lang w:val="en-NZ"/>
              </w:rPr>
              <w:t xml:space="preserve"> (ongoing)</w:t>
            </w:r>
          </w:p>
        </w:tc>
        <w:tc>
          <w:tcPr>
            <w:tcW w:w="2410" w:type="dxa"/>
            <w:shd w:val="clear" w:color="auto" w:fill="auto"/>
          </w:tcPr>
          <w:p w14:paraId="46F27F30" w14:textId="58912DF0" w:rsidR="009D0B82" w:rsidRPr="007C1E21" w:rsidRDefault="00583F0C" w:rsidP="009D0B82">
            <w:pPr>
              <w:pStyle w:val="TableText"/>
              <w:keepNext/>
              <w:rPr>
                <w:rFonts w:eastAsia="Calibri"/>
                <w:szCs w:val="20"/>
                <w:lang w:val="en-NZ"/>
              </w:rPr>
            </w:pPr>
            <w:r w:rsidRPr="007C1E21">
              <w:rPr>
                <w:rFonts w:eastAsia="Calibri"/>
                <w:szCs w:val="20"/>
                <w:lang w:val="en-NZ"/>
              </w:rPr>
              <w:t>Low</w:t>
            </w:r>
          </w:p>
        </w:tc>
        <w:tc>
          <w:tcPr>
            <w:tcW w:w="1843" w:type="dxa"/>
          </w:tcPr>
          <w:p w14:paraId="60063911" w14:textId="6E839B9E" w:rsidR="009D0B82" w:rsidRPr="007C1E21" w:rsidRDefault="00583F0C" w:rsidP="009D0B82">
            <w:pPr>
              <w:pStyle w:val="TableText"/>
              <w:keepNext/>
              <w:rPr>
                <w:rFonts w:eastAsia="Calibri"/>
                <w:szCs w:val="20"/>
                <w:lang w:val="en-NZ"/>
              </w:rPr>
            </w:pPr>
            <w:r w:rsidRPr="007C1E21">
              <w:rPr>
                <w:rFonts w:eastAsia="Calibri"/>
                <w:szCs w:val="20"/>
                <w:lang w:val="en-NZ"/>
              </w:rPr>
              <w:t>Low</w:t>
            </w:r>
          </w:p>
        </w:tc>
      </w:tr>
      <w:tr w:rsidR="00136700" w:rsidRPr="001958C5" w14:paraId="6C96536B" w14:textId="77777777" w:rsidTr="00555CE4">
        <w:trPr>
          <w:trHeight w:val="380"/>
        </w:trPr>
        <w:tc>
          <w:tcPr>
            <w:tcW w:w="2830" w:type="dxa"/>
            <w:shd w:val="clear" w:color="auto" w:fill="auto"/>
          </w:tcPr>
          <w:p w14:paraId="3D1377DF" w14:textId="77777777" w:rsidR="009D0B82" w:rsidRPr="007C1E21" w:rsidRDefault="009D0B82" w:rsidP="009D0B82">
            <w:pPr>
              <w:pStyle w:val="TableText"/>
              <w:keepNext/>
              <w:rPr>
                <w:rFonts w:eastAsia="Calibri"/>
                <w:szCs w:val="20"/>
                <w:lang w:val="en-NZ"/>
              </w:rPr>
            </w:pPr>
            <w:r w:rsidRPr="007C1E21">
              <w:rPr>
                <w:rFonts w:eastAsia="Calibri"/>
                <w:szCs w:val="20"/>
                <w:lang w:val="en-NZ"/>
              </w:rPr>
              <w:t>Regulators</w:t>
            </w:r>
          </w:p>
          <w:p w14:paraId="3C6DDDE0" w14:textId="79BE629F" w:rsidR="009D0B82" w:rsidRPr="001958C5" w:rsidRDefault="000C398C" w:rsidP="009D0B82">
            <w:pPr>
              <w:pStyle w:val="TableText"/>
              <w:keepNext/>
              <w:rPr>
                <w:rFonts w:eastAsia="Calibri"/>
                <w:i/>
                <w:szCs w:val="20"/>
                <w:lang w:val="en-NZ"/>
              </w:rPr>
            </w:pPr>
            <w:r w:rsidRPr="001958C5">
              <w:rPr>
                <w:rFonts w:eastAsia="Calibri"/>
                <w:i/>
                <w:iCs/>
                <w:szCs w:val="20"/>
                <w:lang w:val="en-NZ"/>
              </w:rPr>
              <w:t>Inland Revenue</w:t>
            </w:r>
          </w:p>
        </w:tc>
        <w:tc>
          <w:tcPr>
            <w:tcW w:w="2410" w:type="dxa"/>
            <w:shd w:val="clear" w:color="auto" w:fill="auto"/>
          </w:tcPr>
          <w:p w14:paraId="5DE5B82F" w14:textId="6AB8ABE7" w:rsidR="009D0B82" w:rsidRPr="007C1E21" w:rsidRDefault="005C357E" w:rsidP="009D0B82">
            <w:pPr>
              <w:pStyle w:val="TableText"/>
              <w:keepNext/>
              <w:rPr>
                <w:rFonts w:eastAsia="Calibri"/>
                <w:szCs w:val="20"/>
                <w:lang w:val="en-NZ"/>
              </w:rPr>
            </w:pPr>
            <w:r w:rsidRPr="007C1E21">
              <w:rPr>
                <w:rFonts w:eastAsia="Calibri"/>
                <w:szCs w:val="20"/>
                <w:lang w:val="en-NZ"/>
              </w:rPr>
              <w:t xml:space="preserve">Some </w:t>
            </w:r>
            <w:r w:rsidR="00472675" w:rsidRPr="007C1E21">
              <w:rPr>
                <w:rFonts w:eastAsia="Calibri"/>
                <w:szCs w:val="20"/>
                <w:lang w:val="en-NZ"/>
              </w:rPr>
              <w:t xml:space="preserve">increase in administration costs associated with </w:t>
            </w:r>
            <w:r w:rsidR="00D575F3" w:rsidRPr="007C1E21">
              <w:rPr>
                <w:rFonts w:eastAsia="Calibri"/>
                <w:szCs w:val="20"/>
                <w:lang w:val="en-NZ"/>
              </w:rPr>
              <w:t xml:space="preserve">updating guidance and </w:t>
            </w:r>
            <w:r w:rsidR="005D22A7" w:rsidRPr="007C1E21">
              <w:rPr>
                <w:rFonts w:eastAsia="Calibri"/>
                <w:szCs w:val="20"/>
                <w:lang w:val="en-NZ"/>
              </w:rPr>
              <w:t>educating</w:t>
            </w:r>
            <w:r w:rsidR="00472675" w:rsidRPr="007C1E21">
              <w:rPr>
                <w:rFonts w:eastAsia="Calibri"/>
                <w:szCs w:val="20"/>
                <w:lang w:val="en-NZ"/>
              </w:rPr>
              <w:t xml:space="preserve"> taxpayers</w:t>
            </w:r>
            <w:r w:rsidR="00E939C5" w:rsidRPr="007C1E21">
              <w:rPr>
                <w:rFonts w:eastAsia="Calibri"/>
                <w:szCs w:val="20"/>
                <w:lang w:val="en-NZ"/>
              </w:rPr>
              <w:t xml:space="preserve"> (largely one-off, some ongoing costs </w:t>
            </w:r>
            <w:r w:rsidR="009F0715" w:rsidRPr="007C1E21">
              <w:rPr>
                <w:rFonts w:eastAsia="Calibri"/>
                <w:szCs w:val="20"/>
                <w:lang w:val="en-NZ"/>
              </w:rPr>
              <w:t>in educating taxpayers and enforcing the rules)</w:t>
            </w:r>
          </w:p>
        </w:tc>
        <w:tc>
          <w:tcPr>
            <w:tcW w:w="2410" w:type="dxa"/>
            <w:shd w:val="clear" w:color="auto" w:fill="auto"/>
          </w:tcPr>
          <w:p w14:paraId="50D7CCCC" w14:textId="5C52BD2B" w:rsidR="009D0B82" w:rsidRPr="007C1E21" w:rsidRDefault="00583F0C" w:rsidP="009D0B82">
            <w:pPr>
              <w:pStyle w:val="TableText"/>
              <w:keepNext/>
              <w:rPr>
                <w:rFonts w:eastAsia="Calibri"/>
                <w:szCs w:val="20"/>
                <w:lang w:val="en-NZ"/>
              </w:rPr>
            </w:pPr>
            <w:r w:rsidRPr="007C1E21">
              <w:rPr>
                <w:rFonts w:eastAsia="Calibri"/>
                <w:szCs w:val="20"/>
                <w:lang w:val="en-NZ"/>
              </w:rPr>
              <w:t>Low</w:t>
            </w:r>
          </w:p>
        </w:tc>
        <w:tc>
          <w:tcPr>
            <w:tcW w:w="1843" w:type="dxa"/>
          </w:tcPr>
          <w:p w14:paraId="01D89344" w14:textId="05136C6C" w:rsidR="009D0B82" w:rsidRPr="007C1E21" w:rsidRDefault="00583F0C" w:rsidP="009D0B82">
            <w:pPr>
              <w:pStyle w:val="TableText"/>
              <w:keepNext/>
              <w:rPr>
                <w:rFonts w:eastAsia="Calibri"/>
                <w:szCs w:val="20"/>
                <w:lang w:val="en-NZ"/>
              </w:rPr>
            </w:pPr>
            <w:r w:rsidRPr="007C1E21">
              <w:rPr>
                <w:rFonts w:eastAsia="Calibri"/>
                <w:szCs w:val="20"/>
                <w:lang w:val="en-NZ"/>
              </w:rPr>
              <w:t>High</w:t>
            </w:r>
          </w:p>
        </w:tc>
      </w:tr>
      <w:tr w:rsidR="00136700" w:rsidRPr="001958C5" w14:paraId="1EC05492" w14:textId="77777777" w:rsidTr="00555CE4">
        <w:trPr>
          <w:trHeight w:val="263"/>
        </w:trPr>
        <w:tc>
          <w:tcPr>
            <w:tcW w:w="2830" w:type="dxa"/>
            <w:shd w:val="clear" w:color="auto" w:fill="auto"/>
          </w:tcPr>
          <w:p w14:paraId="5E0B2728" w14:textId="25D11D5A" w:rsidR="009D0B82" w:rsidRPr="007C1E21" w:rsidRDefault="009D0B82" w:rsidP="009D0B82">
            <w:pPr>
              <w:pStyle w:val="TableText"/>
              <w:keepNext/>
              <w:rPr>
                <w:rFonts w:eastAsia="Calibri" w:cs="Arial"/>
                <w:color w:val="000000"/>
                <w:szCs w:val="20"/>
                <w:lang w:val="en-NZ"/>
              </w:rPr>
            </w:pPr>
            <w:r w:rsidRPr="007C1E21">
              <w:rPr>
                <w:rFonts w:eastAsia="Calibri"/>
                <w:color w:val="000000"/>
                <w:szCs w:val="20"/>
                <w:lang w:val="en-NZ"/>
              </w:rPr>
              <w:t>Other</w:t>
            </w:r>
            <w:r w:rsidR="0026139D" w:rsidRPr="007C1E21">
              <w:rPr>
                <w:rFonts w:eastAsia="Calibri"/>
                <w:color w:val="000000"/>
                <w:szCs w:val="20"/>
                <w:lang w:val="en-NZ"/>
              </w:rPr>
              <w:t xml:space="preserve">s </w:t>
            </w:r>
            <w:r w:rsidRPr="007C1E21">
              <w:rPr>
                <w:rFonts w:eastAsia="Calibri"/>
                <w:color w:val="000000"/>
                <w:szCs w:val="20"/>
                <w:lang w:val="en-NZ"/>
              </w:rPr>
              <w:t>(</w:t>
            </w:r>
            <w:proofErr w:type="spellStart"/>
            <w:r w:rsidR="00347572" w:rsidRPr="007C1E21">
              <w:rPr>
                <w:rFonts w:eastAsia="Calibri"/>
                <w:color w:val="000000"/>
                <w:szCs w:val="20"/>
                <w:lang w:val="en-NZ"/>
              </w:rPr>
              <w:t>eg</w:t>
            </w:r>
            <w:proofErr w:type="spellEnd"/>
            <w:r w:rsidR="00347572" w:rsidRPr="007C1E21">
              <w:rPr>
                <w:rFonts w:eastAsia="Calibri"/>
                <w:color w:val="000000"/>
                <w:szCs w:val="20"/>
                <w:lang w:val="en-NZ"/>
              </w:rPr>
              <w:t>,</w:t>
            </w:r>
            <w:r w:rsidRPr="007C1E21">
              <w:rPr>
                <w:rFonts w:eastAsia="Calibri"/>
                <w:color w:val="000000"/>
                <w:szCs w:val="20"/>
                <w:lang w:val="en-NZ"/>
              </w:rPr>
              <w:t xml:space="preserve"> wider gov</w:t>
            </w:r>
            <w:r w:rsidR="0026139D" w:rsidRPr="007C1E21">
              <w:rPr>
                <w:rFonts w:eastAsia="Calibri"/>
                <w:color w:val="000000"/>
                <w:szCs w:val="20"/>
                <w:lang w:val="en-NZ"/>
              </w:rPr>
              <w:t>t</w:t>
            </w:r>
            <w:r w:rsidRPr="007C1E21">
              <w:rPr>
                <w:rFonts w:eastAsia="Calibri"/>
                <w:color w:val="000000"/>
                <w:szCs w:val="20"/>
                <w:lang w:val="en-NZ"/>
              </w:rPr>
              <w:t>, consumers</w:t>
            </w:r>
            <w:r w:rsidR="0026139D" w:rsidRPr="007C1E21">
              <w:rPr>
                <w:rFonts w:eastAsia="Calibri"/>
                <w:color w:val="000000"/>
                <w:szCs w:val="20"/>
                <w:lang w:val="en-NZ"/>
              </w:rPr>
              <w:t>, etc.</w:t>
            </w:r>
            <w:r w:rsidRPr="007C1E21">
              <w:rPr>
                <w:rFonts w:eastAsia="Calibri"/>
                <w:color w:val="000000"/>
                <w:szCs w:val="20"/>
                <w:lang w:val="en-NZ"/>
              </w:rPr>
              <w:t>)</w:t>
            </w:r>
          </w:p>
        </w:tc>
        <w:tc>
          <w:tcPr>
            <w:tcW w:w="2410" w:type="dxa"/>
            <w:shd w:val="clear" w:color="auto" w:fill="auto"/>
          </w:tcPr>
          <w:p w14:paraId="6CEA210A" w14:textId="2D7FD7E3" w:rsidR="009D0B82" w:rsidRPr="007C1E21" w:rsidRDefault="00540162" w:rsidP="009D0B82">
            <w:pPr>
              <w:pStyle w:val="TableText"/>
              <w:keepNext/>
              <w:rPr>
                <w:rFonts w:eastAsia="Calibri"/>
                <w:szCs w:val="20"/>
                <w:lang w:val="en-NZ"/>
              </w:rPr>
            </w:pPr>
            <w:r w:rsidRPr="007C1E21">
              <w:rPr>
                <w:rFonts w:eastAsia="Calibri"/>
                <w:szCs w:val="20"/>
                <w:lang w:val="en-NZ"/>
              </w:rPr>
              <w:t>N/A</w:t>
            </w:r>
          </w:p>
        </w:tc>
        <w:tc>
          <w:tcPr>
            <w:tcW w:w="2410" w:type="dxa"/>
            <w:shd w:val="clear" w:color="auto" w:fill="auto"/>
          </w:tcPr>
          <w:p w14:paraId="6D0271F8" w14:textId="10CF681E" w:rsidR="009D0B82" w:rsidRPr="007C1E21" w:rsidRDefault="00540162" w:rsidP="009D0B82">
            <w:pPr>
              <w:pStyle w:val="TableText"/>
              <w:keepNext/>
              <w:rPr>
                <w:rFonts w:eastAsia="Calibri"/>
                <w:szCs w:val="20"/>
                <w:lang w:val="en-NZ"/>
              </w:rPr>
            </w:pPr>
            <w:r w:rsidRPr="007C1E21">
              <w:rPr>
                <w:rFonts w:eastAsia="Calibri"/>
                <w:szCs w:val="20"/>
                <w:lang w:val="en-NZ"/>
              </w:rPr>
              <w:t>N/A</w:t>
            </w:r>
          </w:p>
        </w:tc>
        <w:tc>
          <w:tcPr>
            <w:tcW w:w="1843" w:type="dxa"/>
          </w:tcPr>
          <w:p w14:paraId="11DB2252" w14:textId="31E6BA18" w:rsidR="009D0B82" w:rsidRPr="007C1E21" w:rsidRDefault="00540162" w:rsidP="009D0B82">
            <w:pPr>
              <w:pStyle w:val="TableText"/>
              <w:keepNext/>
              <w:rPr>
                <w:rFonts w:eastAsia="Calibri"/>
                <w:szCs w:val="20"/>
                <w:lang w:val="en-NZ"/>
              </w:rPr>
            </w:pPr>
            <w:r w:rsidRPr="007C1E21">
              <w:rPr>
                <w:rFonts w:eastAsia="Calibri"/>
                <w:szCs w:val="20"/>
                <w:lang w:val="en-NZ"/>
              </w:rPr>
              <w:t>N/A</w:t>
            </w:r>
          </w:p>
        </w:tc>
      </w:tr>
      <w:tr w:rsidR="00136700" w:rsidRPr="001958C5" w14:paraId="7B594653" w14:textId="77777777" w:rsidTr="00555CE4">
        <w:trPr>
          <w:trHeight w:val="263"/>
        </w:trPr>
        <w:tc>
          <w:tcPr>
            <w:tcW w:w="2830" w:type="dxa"/>
            <w:shd w:val="clear" w:color="auto" w:fill="auto"/>
          </w:tcPr>
          <w:p w14:paraId="53792208" w14:textId="77777777" w:rsidR="009D0B82" w:rsidRPr="007C1E21" w:rsidRDefault="009D0B82" w:rsidP="009D0B82">
            <w:pPr>
              <w:pStyle w:val="TableText"/>
              <w:keepNext/>
              <w:rPr>
                <w:rFonts w:eastAsia="Calibri"/>
                <w:b/>
                <w:szCs w:val="20"/>
                <w:lang w:val="en-NZ"/>
              </w:rPr>
            </w:pPr>
            <w:r w:rsidRPr="007C1E21">
              <w:rPr>
                <w:rFonts w:eastAsia="Calibri"/>
                <w:b/>
                <w:szCs w:val="20"/>
                <w:lang w:val="en-NZ"/>
              </w:rPr>
              <w:t>Total monetised costs</w:t>
            </w:r>
          </w:p>
        </w:tc>
        <w:tc>
          <w:tcPr>
            <w:tcW w:w="2410" w:type="dxa"/>
            <w:shd w:val="clear" w:color="auto" w:fill="auto"/>
          </w:tcPr>
          <w:p w14:paraId="691B6133" w14:textId="1C81E15D" w:rsidR="009D0B82" w:rsidRPr="007C1E21" w:rsidRDefault="009D0B82" w:rsidP="009D0B82">
            <w:pPr>
              <w:pStyle w:val="TableText"/>
              <w:keepNext/>
              <w:rPr>
                <w:rFonts w:eastAsia="Calibri"/>
                <w:i/>
                <w:szCs w:val="20"/>
                <w:lang w:val="en-NZ"/>
              </w:rPr>
            </w:pPr>
          </w:p>
        </w:tc>
        <w:tc>
          <w:tcPr>
            <w:tcW w:w="2410" w:type="dxa"/>
            <w:shd w:val="clear" w:color="auto" w:fill="auto"/>
          </w:tcPr>
          <w:p w14:paraId="5A6CC8A1" w14:textId="77777777" w:rsidR="009D0B82" w:rsidRPr="007C1E21" w:rsidRDefault="009D0B82" w:rsidP="009D0B82">
            <w:pPr>
              <w:pStyle w:val="TableText"/>
              <w:keepNext/>
              <w:rPr>
                <w:rFonts w:eastAsia="Calibri"/>
                <w:szCs w:val="20"/>
                <w:lang w:val="en-NZ"/>
              </w:rPr>
            </w:pPr>
          </w:p>
        </w:tc>
        <w:tc>
          <w:tcPr>
            <w:tcW w:w="1843" w:type="dxa"/>
          </w:tcPr>
          <w:p w14:paraId="1A599FEF" w14:textId="77777777" w:rsidR="009D0B82" w:rsidRPr="007C1E21" w:rsidRDefault="009D0B82" w:rsidP="009D0B82">
            <w:pPr>
              <w:pStyle w:val="TableText"/>
              <w:keepNext/>
              <w:rPr>
                <w:rFonts w:eastAsia="Calibri"/>
                <w:szCs w:val="20"/>
                <w:lang w:val="en-NZ"/>
              </w:rPr>
            </w:pPr>
          </w:p>
        </w:tc>
      </w:tr>
      <w:tr w:rsidR="00136700" w:rsidRPr="001958C5" w14:paraId="78D06DB5" w14:textId="77777777" w:rsidTr="00555CE4">
        <w:trPr>
          <w:trHeight w:val="263"/>
        </w:trPr>
        <w:tc>
          <w:tcPr>
            <w:tcW w:w="2830" w:type="dxa"/>
            <w:shd w:val="clear" w:color="auto" w:fill="auto"/>
          </w:tcPr>
          <w:p w14:paraId="2AEBC854" w14:textId="77777777" w:rsidR="009D0B82" w:rsidRPr="007C1E21" w:rsidRDefault="009D0B82" w:rsidP="009D0B82">
            <w:pPr>
              <w:pStyle w:val="TableText"/>
              <w:keepNext/>
              <w:rPr>
                <w:rFonts w:eastAsia="Calibri"/>
                <w:b/>
                <w:szCs w:val="20"/>
                <w:lang w:val="en-NZ"/>
              </w:rPr>
            </w:pPr>
            <w:r w:rsidRPr="007C1E21">
              <w:rPr>
                <w:rFonts w:eastAsia="Calibri"/>
                <w:b/>
                <w:szCs w:val="20"/>
                <w:lang w:val="en-NZ"/>
              </w:rPr>
              <w:t xml:space="preserve">Non-monetised costs </w:t>
            </w:r>
          </w:p>
        </w:tc>
        <w:tc>
          <w:tcPr>
            <w:tcW w:w="2410" w:type="dxa"/>
            <w:shd w:val="clear" w:color="auto" w:fill="auto"/>
          </w:tcPr>
          <w:p w14:paraId="327100D4" w14:textId="77777777" w:rsidR="009D0B82" w:rsidRPr="007C1E21" w:rsidRDefault="009D0B82" w:rsidP="009D0B82">
            <w:pPr>
              <w:pStyle w:val="TableText"/>
              <w:keepNext/>
              <w:rPr>
                <w:rFonts w:eastAsia="Calibri"/>
                <w:i/>
                <w:szCs w:val="20"/>
                <w:lang w:val="en-NZ"/>
              </w:rPr>
            </w:pPr>
          </w:p>
        </w:tc>
        <w:tc>
          <w:tcPr>
            <w:tcW w:w="2410" w:type="dxa"/>
            <w:shd w:val="clear" w:color="auto" w:fill="auto"/>
          </w:tcPr>
          <w:p w14:paraId="34399557" w14:textId="5EFEE18E" w:rsidR="009D0B82" w:rsidRPr="007C1E21" w:rsidRDefault="00504C3A" w:rsidP="009D0B82">
            <w:pPr>
              <w:pStyle w:val="TableText"/>
              <w:keepNext/>
              <w:rPr>
                <w:rFonts w:eastAsia="Calibri"/>
                <w:i/>
                <w:szCs w:val="20"/>
                <w:lang w:val="en-NZ"/>
              </w:rPr>
            </w:pPr>
            <w:r w:rsidRPr="007C1E21">
              <w:rPr>
                <w:rFonts w:eastAsia="Calibri"/>
                <w:i/>
                <w:szCs w:val="20"/>
                <w:lang w:val="en-NZ"/>
              </w:rPr>
              <w:t>Low</w:t>
            </w:r>
          </w:p>
        </w:tc>
        <w:tc>
          <w:tcPr>
            <w:tcW w:w="1843" w:type="dxa"/>
          </w:tcPr>
          <w:p w14:paraId="2022F9A8" w14:textId="77777777" w:rsidR="009D0B82" w:rsidRPr="007C1E21" w:rsidRDefault="009D0B82" w:rsidP="009D0B82">
            <w:pPr>
              <w:pStyle w:val="TableText"/>
              <w:keepNext/>
              <w:rPr>
                <w:rFonts w:eastAsia="Calibri"/>
                <w:i/>
                <w:szCs w:val="20"/>
                <w:lang w:val="en-NZ"/>
              </w:rPr>
            </w:pPr>
          </w:p>
        </w:tc>
      </w:tr>
      <w:tr w:rsidR="00136700" w:rsidRPr="001958C5" w14:paraId="307E8894" w14:textId="77777777" w:rsidTr="00555CE4">
        <w:trPr>
          <w:trHeight w:val="426"/>
        </w:trPr>
        <w:tc>
          <w:tcPr>
            <w:tcW w:w="9493" w:type="dxa"/>
            <w:gridSpan w:val="4"/>
            <w:shd w:val="clear" w:color="auto" w:fill="F2F2F2" w:themeFill="background1" w:themeFillShade="F2"/>
            <w:vAlign w:val="center"/>
          </w:tcPr>
          <w:p w14:paraId="795E44B3" w14:textId="40103083" w:rsidR="00136700" w:rsidRPr="007C1E21" w:rsidRDefault="00136700" w:rsidP="00792525">
            <w:pPr>
              <w:spacing w:before="40" w:after="20" w:line="240" w:lineRule="auto"/>
              <w:jc w:val="center"/>
              <w:rPr>
                <w:rFonts w:eastAsia="Calibri"/>
                <w:b/>
                <w:bCs/>
                <w:color w:val="000000"/>
                <w:sz w:val="20"/>
                <w:lang w:val="en-NZ"/>
              </w:rPr>
            </w:pPr>
            <w:r w:rsidRPr="007C1E21">
              <w:rPr>
                <w:rFonts w:eastAsia="Calibri"/>
                <w:b/>
                <w:bCs/>
                <w:color w:val="000000"/>
                <w:sz w:val="20"/>
                <w:lang w:val="en-NZ"/>
              </w:rPr>
              <w:t>Additional benefits of the preferred option compared to taking no action</w:t>
            </w:r>
          </w:p>
        </w:tc>
      </w:tr>
      <w:tr w:rsidR="00136700" w:rsidRPr="001958C5" w14:paraId="32734276" w14:textId="77777777" w:rsidTr="00555CE4">
        <w:trPr>
          <w:trHeight w:val="381"/>
        </w:trPr>
        <w:tc>
          <w:tcPr>
            <w:tcW w:w="2830" w:type="dxa"/>
            <w:shd w:val="clear" w:color="auto" w:fill="auto"/>
          </w:tcPr>
          <w:p w14:paraId="014A71DB" w14:textId="77777777" w:rsidR="009D0B82" w:rsidRPr="007C1E21" w:rsidRDefault="009D0B82" w:rsidP="009D0B82">
            <w:pPr>
              <w:pStyle w:val="TableText"/>
              <w:rPr>
                <w:rFonts w:eastAsia="Calibri"/>
                <w:szCs w:val="20"/>
                <w:lang w:val="en-NZ"/>
              </w:rPr>
            </w:pPr>
            <w:r w:rsidRPr="007C1E21">
              <w:rPr>
                <w:rFonts w:eastAsia="Calibri"/>
                <w:szCs w:val="20"/>
                <w:lang w:val="en-NZ"/>
              </w:rPr>
              <w:t>Regulated groups</w:t>
            </w:r>
          </w:p>
        </w:tc>
        <w:tc>
          <w:tcPr>
            <w:tcW w:w="2410" w:type="dxa"/>
            <w:shd w:val="clear" w:color="auto" w:fill="auto"/>
          </w:tcPr>
          <w:p w14:paraId="1FFE9B1A" w14:textId="4B97C6FC" w:rsidR="009D0B82" w:rsidRPr="007C1E21" w:rsidRDefault="00540162" w:rsidP="009D0B82">
            <w:pPr>
              <w:pStyle w:val="TableText"/>
              <w:rPr>
                <w:rFonts w:eastAsia="Calibri"/>
                <w:szCs w:val="20"/>
                <w:lang w:val="en-NZ"/>
              </w:rPr>
            </w:pPr>
            <w:r w:rsidRPr="007C1E21">
              <w:rPr>
                <w:rFonts w:eastAsia="Calibri"/>
                <w:szCs w:val="20"/>
                <w:lang w:val="en-NZ"/>
              </w:rPr>
              <w:t>N/A</w:t>
            </w:r>
          </w:p>
        </w:tc>
        <w:tc>
          <w:tcPr>
            <w:tcW w:w="2410" w:type="dxa"/>
            <w:shd w:val="clear" w:color="auto" w:fill="auto"/>
          </w:tcPr>
          <w:p w14:paraId="0591054C" w14:textId="73DD180F" w:rsidR="009D0B82" w:rsidRPr="007C1E21" w:rsidRDefault="00540162" w:rsidP="009D0B82">
            <w:pPr>
              <w:pStyle w:val="TableText"/>
              <w:rPr>
                <w:rFonts w:eastAsia="Calibri"/>
                <w:szCs w:val="20"/>
                <w:lang w:val="en-NZ"/>
              </w:rPr>
            </w:pPr>
            <w:r w:rsidRPr="007C1E21">
              <w:rPr>
                <w:rFonts w:eastAsia="Calibri"/>
                <w:szCs w:val="20"/>
                <w:lang w:val="en-NZ"/>
              </w:rPr>
              <w:t>N/A</w:t>
            </w:r>
          </w:p>
        </w:tc>
        <w:tc>
          <w:tcPr>
            <w:tcW w:w="1843" w:type="dxa"/>
          </w:tcPr>
          <w:p w14:paraId="2784F337" w14:textId="00EC5617" w:rsidR="009D0B82" w:rsidRPr="007C1E21" w:rsidRDefault="00540162" w:rsidP="009D0B82">
            <w:pPr>
              <w:pStyle w:val="TableText"/>
              <w:rPr>
                <w:rFonts w:eastAsia="Calibri"/>
                <w:szCs w:val="20"/>
                <w:lang w:val="en-NZ"/>
              </w:rPr>
            </w:pPr>
            <w:r w:rsidRPr="007C1E21">
              <w:rPr>
                <w:rFonts w:eastAsia="Calibri"/>
                <w:szCs w:val="20"/>
                <w:lang w:val="en-NZ"/>
              </w:rPr>
              <w:t>N/A</w:t>
            </w:r>
          </w:p>
        </w:tc>
      </w:tr>
      <w:tr w:rsidR="00136700" w:rsidRPr="001958C5" w14:paraId="05587945" w14:textId="77777777" w:rsidTr="00555CE4">
        <w:trPr>
          <w:trHeight w:val="381"/>
        </w:trPr>
        <w:tc>
          <w:tcPr>
            <w:tcW w:w="2830" w:type="dxa"/>
            <w:shd w:val="clear" w:color="auto" w:fill="auto"/>
          </w:tcPr>
          <w:p w14:paraId="0AC970EA" w14:textId="77777777" w:rsidR="009D0B82" w:rsidRPr="007C1E21" w:rsidRDefault="009D0B82" w:rsidP="009D0B82">
            <w:pPr>
              <w:pStyle w:val="TableText"/>
              <w:rPr>
                <w:rFonts w:eastAsia="Calibri"/>
                <w:szCs w:val="20"/>
                <w:lang w:val="en-NZ"/>
              </w:rPr>
            </w:pPr>
            <w:r w:rsidRPr="007C1E21">
              <w:rPr>
                <w:rFonts w:eastAsia="Calibri"/>
                <w:szCs w:val="20"/>
                <w:lang w:val="en-NZ"/>
              </w:rPr>
              <w:t>Regulators</w:t>
            </w:r>
          </w:p>
        </w:tc>
        <w:tc>
          <w:tcPr>
            <w:tcW w:w="2410" w:type="dxa"/>
            <w:shd w:val="clear" w:color="auto" w:fill="auto"/>
          </w:tcPr>
          <w:p w14:paraId="611627CE" w14:textId="77777777" w:rsidR="009D0B82" w:rsidRPr="007C1E21" w:rsidRDefault="005D22A7" w:rsidP="009D0B82">
            <w:pPr>
              <w:pStyle w:val="TableText"/>
              <w:rPr>
                <w:rFonts w:eastAsia="Calibri"/>
                <w:szCs w:val="20"/>
                <w:lang w:val="en-NZ"/>
              </w:rPr>
            </w:pPr>
            <w:r w:rsidRPr="007C1E21">
              <w:rPr>
                <w:rFonts w:eastAsia="Calibri"/>
                <w:szCs w:val="20"/>
                <w:lang w:val="en-NZ"/>
              </w:rPr>
              <w:t xml:space="preserve">Some reduction in administration costs associated with </w:t>
            </w:r>
            <w:r w:rsidR="0067523F" w:rsidRPr="007C1E21">
              <w:rPr>
                <w:rFonts w:eastAsia="Calibri"/>
                <w:szCs w:val="20"/>
                <w:lang w:val="en-NZ"/>
              </w:rPr>
              <w:t>taxpayers keeping better records of available subscribed capital and net capital gains</w:t>
            </w:r>
            <w:r w:rsidR="00A75AE9" w:rsidRPr="007C1E21">
              <w:rPr>
                <w:rFonts w:eastAsia="Calibri"/>
                <w:szCs w:val="20"/>
                <w:lang w:val="en-NZ"/>
              </w:rPr>
              <w:t xml:space="preserve"> (ongoing)</w:t>
            </w:r>
          </w:p>
          <w:p w14:paraId="6CFD7A23" w14:textId="0C44A7D1" w:rsidR="00FE3D9C" w:rsidRPr="007C1E21" w:rsidRDefault="00FE3D9C" w:rsidP="009D0B82">
            <w:pPr>
              <w:pStyle w:val="TableText"/>
              <w:rPr>
                <w:rFonts w:eastAsia="Calibri"/>
                <w:szCs w:val="20"/>
                <w:lang w:val="en-NZ"/>
              </w:rPr>
            </w:pPr>
            <w:r w:rsidRPr="007C1E21">
              <w:rPr>
                <w:rFonts w:eastAsia="Calibri"/>
                <w:szCs w:val="20"/>
                <w:lang w:val="en-NZ"/>
              </w:rPr>
              <w:t xml:space="preserve">Improved information flows about taxpayer’s income </w:t>
            </w:r>
            <w:r w:rsidR="00413ED9" w:rsidRPr="007C1E21">
              <w:rPr>
                <w:rFonts w:eastAsia="Calibri"/>
                <w:szCs w:val="20"/>
                <w:lang w:val="en-NZ"/>
              </w:rPr>
              <w:t>and more accurate calculations of social policy entitlements and obligations</w:t>
            </w:r>
          </w:p>
        </w:tc>
        <w:tc>
          <w:tcPr>
            <w:tcW w:w="2410" w:type="dxa"/>
            <w:shd w:val="clear" w:color="auto" w:fill="auto"/>
          </w:tcPr>
          <w:p w14:paraId="534390F4" w14:textId="37484FA4" w:rsidR="009D0B82" w:rsidRPr="007C1E21" w:rsidRDefault="00D365F8" w:rsidP="009D0B82">
            <w:pPr>
              <w:pStyle w:val="TableText"/>
              <w:rPr>
                <w:rFonts w:eastAsia="Calibri"/>
                <w:szCs w:val="20"/>
                <w:lang w:val="en-NZ"/>
              </w:rPr>
            </w:pPr>
            <w:r w:rsidRPr="007C1E21">
              <w:rPr>
                <w:rFonts w:eastAsia="Calibri"/>
                <w:szCs w:val="20"/>
                <w:lang w:val="en-NZ"/>
              </w:rPr>
              <w:t>Low</w:t>
            </w:r>
          </w:p>
        </w:tc>
        <w:tc>
          <w:tcPr>
            <w:tcW w:w="1843" w:type="dxa"/>
          </w:tcPr>
          <w:p w14:paraId="621CC904" w14:textId="2BEE34C1" w:rsidR="009D0B82" w:rsidRPr="007C1E21" w:rsidRDefault="00D365F8" w:rsidP="009D0B82">
            <w:pPr>
              <w:pStyle w:val="TableText"/>
              <w:rPr>
                <w:rFonts w:eastAsia="Calibri"/>
                <w:szCs w:val="20"/>
                <w:lang w:val="en-NZ"/>
              </w:rPr>
            </w:pPr>
            <w:r w:rsidRPr="007C1E21">
              <w:rPr>
                <w:rFonts w:eastAsia="Calibri"/>
                <w:szCs w:val="20"/>
                <w:lang w:val="en-NZ"/>
              </w:rPr>
              <w:t>Medium</w:t>
            </w:r>
          </w:p>
        </w:tc>
      </w:tr>
      <w:tr w:rsidR="00136700" w:rsidRPr="001958C5" w14:paraId="43C5CC39" w14:textId="77777777" w:rsidTr="00555CE4">
        <w:trPr>
          <w:trHeight w:val="263"/>
        </w:trPr>
        <w:tc>
          <w:tcPr>
            <w:tcW w:w="2830" w:type="dxa"/>
            <w:shd w:val="clear" w:color="auto" w:fill="auto"/>
          </w:tcPr>
          <w:p w14:paraId="2E31053D" w14:textId="3787961C" w:rsidR="009D0B82" w:rsidRPr="007C1E21" w:rsidRDefault="009D0B82" w:rsidP="009D0B82">
            <w:pPr>
              <w:pStyle w:val="TableText"/>
              <w:rPr>
                <w:rFonts w:eastAsia="Calibri"/>
                <w:szCs w:val="20"/>
                <w:lang w:val="en-NZ"/>
              </w:rPr>
            </w:pPr>
            <w:r w:rsidRPr="007C1E21">
              <w:rPr>
                <w:rFonts w:eastAsia="Calibri"/>
                <w:color w:val="000000"/>
                <w:szCs w:val="20"/>
                <w:lang w:val="en-NZ"/>
              </w:rPr>
              <w:t>Other</w:t>
            </w:r>
            <w:r w:rsidR="0026139D" w:rsidRPr="007C1E21">
              <w:rPr>
                <w:rFonts w:eastAsia="Calibri"/>
                <w:color w:val="000000"/>
                <w:szCs w:val="20"/>
                <w:lang w:val="en-NZ"/>
              </w:rPr>
              <w:t>s</w:t>
            </w:r>
          </w:p>
        </w:tc>
        <w:tc>
          <w:tcPr>
            <w:tcW w:w="2410" w:type="dxa"/>
            <w:shd w:val="clear" w:color="auto" w:fill="auto"/>
          </w:tcPr>
          <w:p w14:paraId="3E232E2B" w14:textId="4DCEFDD4" w:rsidR="009D0B82" w:rsidRPr="007C1E21" w:rsidRDefault="008762B2" w:rsidP="009D0B82">
            <w:pPr>
              <w:pStyle w:val="TableText"/>
              <w:rPr>
                <w:rFonts w:eastAsia="Calibri"/>
                <w:szCs w:val="20"/>
                <w:lang w:val="en-NZ"/>
              </w:rPr>
            </w:pPr>
            <w:r w:rsidRPr="007C1E21">
              <w:rPr>
                <w:rFonts w:eastAsia="Calibri"/>
                <w:szCs w:val="20"/>
                <w:lang w:val="en-NZ"/>
              </w:rPr>
              <w:t>Increased</w:t>
            </w:r>
            <w:r w:rsidR="004638EA" w:rsidRPr="007C1E21">
              <w:rPr>
                <w:rFonts w:eastAsia="Calibri"/>
                <w:szCs w:val="20"/>
                <w:lang w:val="en-NZ"/>
              </w:rPr>
              <w:t xml:space="preserve"> Crown</w:t>
            </w:r>
            <w:r w:rsidRPr="007C1E21">
              <w:rPr>
                <w:rFonts w:eastAsia="Calibri"/>
                <w:szCs w:val="20"/>
                <w:lang w:val="en-NZ"/>
              </w:rPr>
              <w:t xml:space="preserve"> tax revenues</w:t>
            </w:r>
            <w:r w:rsidR="00A75AE9" w:rsidRPr="007C1E21">
              <w:rPr>
                <w:rFonts w:eastAsia="Calibri"/>
                <w:szCs w:val="20"/>
                <w:lang w:val="en-NZ"/>
              </w:rPr>
              <w:t xml:space="preserve"> (ongoing)</w:t>
            </w:r>
          </w:p>
          <w:p w14:paraId="29A2BF57" w14:textId="2D97BF98" w:rsidR="008762B2" w:rsidRPr="007C1E21" w:rsidRDefault="008762B2" w:rsidP="009D0B82">
            <w:pPr>
              <w:pStyle w:val="TableText"/>
              <w:rPr>
                <w:rFonts w:eastAsia="Calibri"/>
                <w:szCs w:val="20"/>
                <w:lang w:val="en-NZ"/>
              </w:rPr>
            </w:pPr>
            <w:r w:rsidRPr="007C1E21">
              <w:rPr>
                <w:rFonts w:eastAsia="Calibri"/>
                <w:szCs w:val="20"/>
                <w:lang w:val="en-NZ"/>
              </w:rPr>
              <w:t>Improved horizontal and vertical equity</w:t>
            </w:r>
            <w:r w:rsidR="00752854" w:rsidRPr="007C1E21">
              <w:rPr>
                <w:rFonts w:eastAsia="Calibri"/>
                <w:szCs w:val="20"/>
                <w:lang w:val="en-NZ"/>
              </w:rPr>
              <w:t xml:space="preserve"> and perceptions of the integrity and fairness of the tax system</w:t>
            </w:r>
            <w:r w:rsidR="00A75AE9" w:rsidRPr="007C1E21">
              <w:rPr>
                <w:rFonts w:eastAsia="Calibri"/>
                <w:szCs w:val="20"/>
                <w:lang w:val="en-NZ"/>
              </w:rPr>
              <w:t xml:space="preserve"> (ongoing)</w:t>
            </w:r>
          </w:p>
        </w:tc>
        <w:tc>
          <w:tcPr>
            <w:tcW w:w="2410" w:type="dxa"/>
            <w:shd w:val="clear" w:color="auto" w:fill="auto"/>
          </w:tcPr>
          <w:p w14:paraId="63933FB3" w14:textId="0D2C8F2A" w:rsidR="009D0B82" w:rsidRPr="007C1E21" w:rsidRDefault="00D365F8" w:rsidP="009D0B82">
            <w:pPr>
              <w:pStyle w:val="TableText"/>
              <w:rPr>
                <w:rFonts w:eastAsia="Calibri"/>
                <w:szCs w:val="20"/>
                <w:lang w:val="en-NZ"/>
              </w:rPr>
            </w:pPr>
            <w:r w:rsidRPr="007C1E21">
              <w:rPr>
                <w:rFonts w:eastAsia="Calibri"/>
                <w:szCs w:val="20"/>
                <w:lang w:val="en-NZ"/>
              </w:rPr>
              <w:t>Medium</w:t>
            </w:r>
          </w:p>
        </w:tc>
        <w:tc>
          <w:tcPr>
            <w:tcW w:w="1843" w:type="dxa"/>
          </w:tcPr>
          <w:p w14:paraId="22FFA0BA" w14:textId="29AF89AD" w:rsidR="009D0B82" w:rsidRPr="007C1E21" w:rsidRDefault="00D365F8" w:rsidP="009D0B82">
            <w:pPr>
              <w:pStyle w:val="TableText"/>
              <w:rPr>
                <w:rFonts w:eastAsia="Calibri"/>
                <w:szCs w:val="20"/>
                <w:lang w:val="en-NZ"/>
              </w:rPr>
            </w:pPr>
            <w:r w:rsidRPr="007C1E21">
              <w:rPr>
                <w:rFonts w:eastAsia="Calibri"/>
                <w:szCs w:val="20"/>
                <w:lang w:val="en-NZ"/>
              </w:rPr>
              <w:t>Low</w:t>
            </w:r>
          </w:p>
        </w:tc>
      </w:tr>
      <w:tr w:rsidR="00136700" w:rsidRPr="001958C5" w14:paraId="0F3F57AE" w14:textId="77777777" w:rsidTr="00555CE4">
        <w:trPr>
          <w:trHeight w:val="263"/>
        </w:trPr>
        <w:tc>
          <w:tcPr>
            <w:tcW w:w="2830" w:type="dxa"/>
            <w:shd w:val="clear" w:color="auto" w:fill="auto"/>
          </w:tcPr>
          <w:p w14:paraId="16387995" w14:textId="77777777" w:rsidR="009D0B82" w:rsidRPr="007C1E21" w:rsidRDefault="009D0B82" w:rsidP="009D0B82">
            <w:pPr>
              <w:pStyle w:val="TableText"/>
              <w:rPr>
                <w:rFonts w:eastAsia="Calibri"/>
                <w:b/>
                <w:szCs w:val="20"/>
                <w:lang w:val="en-NZ"/>
              </w:rPr>
            </w:pPr>
            <w:r w:rsidRPr="007C1E21">
              <w:rPr>
                <w:rFonts w:eastAsia="Calibri"/>
                <w:b/>
                <w:szCs w:val="20"/>
                <w:lang w:val="en-NZ"/>
              </w:rPr>
              <w:t>Total monetised benefits</w:t>
            </w:r>
          </w:p>
        </w:tc>
        <w:tc>
          <w:tcPr>
            <w:tcW w:w="2410" w:type="dxa"/>
            <w:shd w:val="clear" w:color="auto" w:fill="auto"/>
          </w:tcPr>
          <w:p w14:paraId="0F9CF890" w14:textId="7FDB4E76" w:rsidR="009D0B82" w:rsidRPr="007C1E21" w:rsidRDefault="009D0B82" w:rsidP="009D0B82">
            <w:pPr>
              <w:pStyle w:val="TableText"/>
              <w:rPr>
                <w:rFonts w:eastAsia="Calibri"/>
                <w:szCs w:val="20"/>
                <w:lang w:val="en-NZ"/>
              </w:rPr>
            </w:pPr>
          </w:p>
        </w:tc>
        <w:tc>
          <w:tcPr>
            <w:tcW w:w="2410" w:type="dxa"/>
            <w:shd w:val="clear" w:color="auto" w:fill="auto"/>
          </w:tcPr>
          <w:p w14:paraId="13F85EF8" w14:textId="47E75EA7" w:rsidR="009D0B82" w:rsidRPr="007C1E21" w:rsidRDefault="009D0B82" w:rsidP="009D0B82">
            <w:pPr>
              <w:pStyle w:val="TableText"/>
              <w:rPr>
                <w:rFonts w:eastAsia="Calibri"/>
                <w:szCs w:val="20"/>
                <w:lang w:val="en-NZ"/>
              </w:rPr>
            </w:pPr>
          </w:p>
        </w:tc>
        <w:tc>
          <w:tcPr>
            <w:tcW w:w="1843" w:type="dxa"/>
          </w:tcPr>
          <w:p w14:paraId="3A5FFB7A" w14:textId="301F40DE" w:rsidR="009D0B82" w:rsidRPr="007C1E21" w:rsidRDefault="009D0B82" w:rsidP="009D0B82">
            <w:pPr>
              <w:pStyle w:val="TableText"/>
              <w:rPr>
                <w:rFonts w:eastAsia="Calibri"/>
                <w:szCs w:val="20"/>
                <w:lang w:val="en-NZ"/>
              </w:rPr>
            </w:pPr>
          </w:p>
        </w:tc>
      </w:tr>
      <w:tr w:rsidR="00136700" w:rsidRPr="001958C5" w14:paraId="2832F0D3" w14:textId="77777777" w:rsidTr="00555CE4">
        <w:trPr>
          <w:trHeight w:val="187"/>
        </w:trPr>
        <w:tc>
          <w:tcPr>
            <w:tcW w:w="2830" w:type="dxa"/>
            <w:shd w:val="clear" w:color="auto" w:fill="auto"/>
          </w:tcPr>
          <w:p w14:paraId="0C137852" w14:textId="7118D3E1" w:rsidR="009D0B82" w:rsidRPr="007C1E21" w:rsidRDefault="009D0B82" w:rsidP="009D0B82">
            <w:pPr>
              <w:pStyle w:val="TableText"/>
              <w:rPr>
                <w:rFonts w:eastAsia="Calibri"/>
                <w:b/>
                <w:szCs w:val="20"/>
                <w:lang w:val="en-NZ"/>
              </w:rPr>
            </w:pPr>
            <w:r w:rsidRPr="007C1E21">
              <w:rPr>
                <w:rFonts w:eastAsia="Calibri"/>
                <w:b/>
                <w:szCs w:val="20"/>
                <w:lang w:val="en-NZ"/>
              </w:rPr>
              <w:t>Non-monetised benefits</w:t>
            </w:r>
          </w:p>
        </w:tc>
        <w:tc>
          <w:tcPr>
            <w:tcW w:w="2410" w:type="dxa"/>
            <w:shd w:val="clear" w:color="auto" w:fill="auto"/>
          </w:tcPr>
          <w:p w14:paraId="61FB878D" w14:textId="4F7A1868" w:rsidR="009D0B82" w:rsidRPr="007C1E21" w:rsidRDefault="009D0B82" w:rsidP="009D0B82">
            <w:pPr>
              <w:pStyle w:val="TableText"/>
              <w:rPr>
                <w:rFonts w:eastAsia="Calibri"/>
                <w:szCs w:val="20"/>
                <w:lang w:val="en-NZ"/>
              </w:rPr>
            </w:pPr>
          </w:p>
        </w:tc>
        <w:tc>
          <w:tcPr>
            <w:tcW w:w="2410" w:type="dxa"/>
            <w:shd w:val="clear" w:color="auto" w:fill="auto"/>
          </w:tcPr>
          <w:p w14:paraId="098C1B0C" w14:textId="4BC8E693" w:rsidR="009D0B82" w:rsidRPr="007C1E21" w:rsidRDefault="00C62ABB" w:rsidP="009D0B82">
            <w:pPr>
              <w:pStyle w:val="TableText"/>
              <w:rPr>
                <w:rFonts w:eastAsia="Calibri"/>
                <w:i/>
                <w:szCs w:val="20"/>
                <w:lang w:val="en-NZ"/>
              </w:rPr>
            </w:pPr>
            <w:r w:rsidRPr="007C1E21">
              <w:rPr>
                <w:rFonts w:eastAsia="Calibri"/>
                <w:i/>
                <w:szCs w:val="20"/>
                <w:lang w:val="en-NZ"/>
              </w:rPr>
              <w:t>Medium</w:t>
            </w:r>
          </w:p>
        </w:tc>
        <w:tc>
          <w:tcPr>
            <w:tcW w:w="1843" w:type="dxa"/>
          </w:tcPr>
          <w:p w14:paraId="5EF64146" w14:textId="05F45BEC" w:rsidR="009D0B82" w:rsidRPr="007C1E21" w:rsidRDefault="009D0B82" w:rsidP="009D0B82">
            <w:pPr>
              <w:pStyle w:val="TableText"/>
              <w:rPr>
                <w:rFonts w:eastAsia="Calibri"/>
                <w:i/>
                <w:szCs w:val="20"/>
                <w:lang w:val="en-NZ"/>
              </w:rPr>
            </w:pPr>
          </w:p>
        </w:tc>
      </w:tr>
    </w:tbl>
    <w:p w14:paraId="574B8681" w14:textId="0D02E83D" w:rsidR="00164D97" w:rsidRPr="003C44B8" w:rsidRDefault="00DB51CD" w:rsidP="003C44B8">
      <w:pPr>
        <w:pStyle w:val="ListParagraph"/>
        <w:numPr>
          <w:ilvl w:val="0"/>
          <w:numId w:val="24"/>
        </w:numPr>
        <w:ind w:left="567" w:hanging="567"/>
        <w:rPr>
          <w:rFonts w:cs="Arial"/>
          <w:szCs w:val="22"/>
          <w:lang w:val="en-NZ"/>
        </w:rPr>
      </w:pPr>
      <w:r w:rsidRPr="003C44B8">
        <w:rPr>
          <w:rFonts w:cs="Arial"/>
          <w:szCs w:val="22"/>
          <w:lang w:val="en-NZ"/>
        </w:rPr>
        <w:t>The costs and benefits are dependent on the policy proposals that are proceeded with following the consultation process. The basic assessment of costs and benefits above is based on the suggested proposals in the discussion document and will be updated following consultation.</w:t>
      </w:r>
    </w:p>
    <w:bookmarkEnd w:id="9"/>
    <w:p w14:paraId="26080C18" w14:textId="7267B29C" w:rsidR="160FBFDB" w:rsidRPr="003C44B8" w:rsidRDefault="160FBFDB" w:rsidP="003C44B8">
      <w:pPr>
        <w:pStyle w:val="ListParagraph"/>
        <w:numPr>
          <w:ilvl w:val="0"/>
          <w:numId w:val="24"/>
        </w:numPr>
        <w:ind w:left="567" w:hanging="567"/>
        <w:rPr>
          <w:rFonts w:cs="Arial"/>
          <w:szCs w:val="22"/>
          <w:lang w:val="en-NZ"/>
        </w:rPr>
      </w:pPr>
      <w:r w:rsidRPr="003C44B8">
        <w:rPr>
          <w:rFonts w:cs="Arial"/>
          <w:szCs w:val="22"/>
          <w:lang w:val="en-NZ"/>
        </w:rPr>
        <w:t>The costs in relation to determining the application of the share sale changes and the personal services attribution rule changes proposed are treated as being low on the basis that specific rules and thresholds would apply. The clarity of the rules is important to reduce costs that would be incurred determining whether the rules apply.</w:t>
      </w:r>
    </w:p>
    <w:p w14:paraId="6EC80510" w14:textId="3FB666A4" w:rsidR="160FBFDB" w:rsidRPr="003C44B8" w:rsidRDefault="160FBFDB" w:rsidP="003C44B8">
      <w:pPr>
        <w:pStyle w:val="ListParagraph"/>
        <w:numPr>
          <w:ilvl w:val="0"/>
          <w:numId w:val="24"/>
        </w:numPr>
        <w:ind w:left="567" w:hanging="567"/>
        <w:rPr>
          <w:rFonts w:cs="Arial"/>
          <w:szCs w:val="22"/>
          <w:lang w:val="en-NZ"/>
        </w:rPr>
      </w:pPr>
      <w:r w:rsidRPr="003C44B8">
        <w:rPr>
          <w:rFonts w:cs="Arial"/>
          <w:szCs w:val="22"/>
          <w:lang w:val="en-NZ"/>
        </w:rPr>
        <w:t>The assessment of costs in relation to the available subscribed capital and the available capital distribution amount reporting proposals as being low is based on the understanding that companies will be accounting for the transactions already and are required to determine whether any gains or losses are capital or revenue already.</w:t>
      </w:r>
    </w:p>
    <w:p w14:paraId="359F3995" w14:textId="3C469151" w:rsidR="160FBFDB" w:rsidRPr="003C44B8" w:rsidRDefault="160FBFDB" w:rsidP="003C44B8">
      <w:pPr>
        <w:pStyle w:val="ListParagraph"/>
        <w:numPr>
          <w:ilvl w:val="0"/>
          <w:numId w:val="24"/>
        </w:numPr>
        <w:ind w:left="567" w:hanging="567"/>
        <w:rPr>
          <w:rFonts w:cs="Arial"/>
          <w:szCs w:val="22"/>
          <w:lang w:val="en-NZ"/>
        </w:rPr>
      </w:pPr>
      <w:r w:rsidRPr="003C44B8">
        <w:rPr>
          <w:rFonts w:cs="Arial"/>
          <w:szCs w:val="22"/>
          <w:lang w:val="en-NZ"/>
        </w:rPr>
        <w:t>MBIE ha</w:t>
      </w:r>
      <w:r w:rsidR="009614BD">
        <w:rPr>
          <w:rFonts w:cs="Arial"/>
          <w:szCs w:val="22"/>
          <w:lang w:val="en-NZ"/>
        </w:rPr>
        <w:t>s</w:t>
      </w:r>
      <w:r w:rsidRPr="003C44B8">
        <w:rPr>
          <w:rFonts w:cs="Arial"/>
          <w:szCs w:val="22"/>
          <w:lang w:val="en-NZ"/>
        </w:rPr>
        <w:t xml:space="preserve"> expressed concern that the proposed changes could put off investors from investing in start-up companies. Inland Revenue officials consider that this risk is limited due to the proposed share sale changes being limited to controlling interests. Start-up companies also tend to make losses initially so there is less likelihood that there will be much of any early sale price that represents retained earnings.</w:t>
      </w:r>
    </w:p>
    <w:p w14:paraId="75F637CC" w14:textId="00F71C1B" w:rsidR="00A0728D" w:rsidRPr="00A864A5" w:rsidRDefault="00417B4A" w:rsidP="007C1E21">
      <w:pPr>
        <w:pStyle w:val="Heading2"/>
        <w:pageBreakBefore/>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E0870A6" w:rsidR="006B5794" w:rsidRPr="00A864A5" w:rsidRDefault="00A16B89" w:rsidP="006B5794">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6A728090" w14:textId="1E4A610A" w:rsidR="00792525" w:rsidRPr="003C44B8" w:rsidRDefault="00A80B2F" w:rsidP="003C44B8">
      <w:pPr>
        <w:pStyle w:val="ListParagraph"/>
        <w:numPr>
          <w:ilvl w:val="0"/>
          <w:numId w:val="24"/>
        </w:numPr>
        <w:ind w:left="567" w:hanging="567"/>
        <w:rPr>
          <w:rFonts w:cs="Arial"/>
          <w:szCs w:val="22"/>
          <w:lang w:val="en-NZ"/>
        </w:rPr>
      </w:pPr>
      <w:r w:rsidRPr="003C44B8">
        <w:rPr>
          <w:rFonts w:cs="Arial"/>
          <w:szCs w:val="22"/>
          <w:lang w:val="en-NZ"/>
        </w:rPr>
        <w:t xml:space="preserve">If </w:t>
      </w:r>
      <w:r w:rsidR="002A04A9" w:rsidRPr="003C44B8">
        <w:rPr>
          <w:rFonts w:cs="Arial"/>
          <w:szCs w:val="22"/>
          <w:lang w:val="en-NZ"/>
        </w:rPr>
        <w:t xml:space="preserve">the Government decides to proceed with the proposed integrity measures following public consultation, the new rules </w:t>
      </w:r>
      <w:r w:rsidR="000C759E" w:rsidRPr="003C44B8">
        <w:rPr>
          <w:rFonts w:cs="Arial"/>
          <w:szCs w:val="22"/>
          <w:lang w:val="en-NZ"/>
        </w:rPr>
        <w:t>are currently planned to</w:t>
      </w:r>
      <w:r w:rsidR="002A04A9" w:rsidRPr="003C44B8">
        <w:rPr>
          <w:rFonts w:cs="Arial"/>
          <w:szCs w:val="22"/>
          <w:lang w:val="en-NZ"/>
        </w:rPr>
        <w:t xml:space="preserve"> be introduced in an omnibus tax bi</w:t>
      </w:r>
      <w:r w:rsidR="00BC05EA" w:rsidRPr="003C44B8">
        <w:rPr>
          <w:rFonts w:cs="Arial"/>
          <w:szCs w:val="22"/>
          <w:lang w:val="en-NZ"/>
        </w:rPr>
        <w:t>ll in the second half of 2022</w:t>
      </w:r>
      <w:r w:rsidR="00AD4186" w:rsidRPr="003C44B8">
        <w:rPr>
          <w:rFonts w:cs="Arial"/>
          <w:szCs w:val="22"/>
          <w:lang w:val="en-NZ"/>
        </w:rPr>
        <w:t xml:space="preserve">, with </w:t>
      </w:r>
      <w:r w:rsidR="00E10596" w:rsidRPr="003C44B8">
        <w:rPr>
          <w:rFonts w:cs="Arial"/>
          <w:szCs w:val="22"/>
          <w:lang w:val="en-NZ"/>
        </w:rPr>
        <w:t xml:space="preserve">application from the </w:t>
      </w:r>
      <w:r w:rsidR="00C424E8" w:rsidRPr="003C44B8">
        <w:rPr>
          <w:rFonts w:cs="Arial"/>
          <w:szCs w:val="22"/>
          <w:lang w:val="en-NZ"/>
        </w:rPr>
        <w:t>2023</w:t>
      </w:r>
      <w:r w:rsidR="00E10596" w:rsidRPr="003C44B8">
        <w:rPr>
          <w:rFonts w:cs="Arial"/>
          <w:szCs w:val="22"/>
          <w:lang w:val="en-NZ"/>
        </w:rPr>
        <w:t>–</w:t>
      </w:r>
      <w:r w:rsidR="00C424E8" w:rsidRPr="003C44B8">
        <w:rPr>
          <w:rFonts w:cs="Arial"/>
          <w:szCs w:val="22"/>
          <w:lang w:val="en-NZ"/>
        </w:rPr>
        <w:t xml:space="preserve">24 </w:t>
      </w:r>
      <w:r w:rsidR="00E10596" w:rsidRPr="003C44B8">
        <w:rPr>
          <w:rFonts w:cs="Arial"/>
          <w:szCs w:val="22"/>
          <w:lang w:val="en-NZ"/>
        </w:rPr>
        <w:t>income year</w:t>
      </w:r>
      <w:r w:rsidR="00BC05EA" w:rsidRPr="003C44B8">
        <w:rPr>
          <w:rFonts w:cs="Arial"/>
          <w:szCs w:val="22"/>
          <w:lang w:val="en-NZ"/>
        </w:rPr>
        <w:t xml:space="preserve">. </w:t>
      </w:r>
    </w:p>
    <w:p w14:paraId="25113152" w14:textId="67968AC2" w:rsidR="000A0FEF" w:rsidRPr="00245603" w:rsidRDefault="008005EF" w:rsidP="003C44B8">
      <w:pPr>
        <w:pStyle w:val="ListParagraph"/>
        <w:numPr>
          <w:ilvl w:val="0"/>
          <w:numId w:val="24"/>
        </w:numPr>
        <w:ind w:left="567" w:hanging="567"/>
        <w:rPr>
          <w:lang w:val="en-NZ"/>
        </w:rPr>
      </w:pPr>
      <w:r w:rsidRPr="003C44B8">
        <w:rPr>
          <w:rFonts w:cs="Arial"/>
          <w:szCs w:val="22"/>
          <w:lang w:val="en-NZ"/>
        </w:rPr>
        <w:t xml:space="preserve">Inland Revenue will be responsible for the implementation and ongoing administration of the new rules. </w:t>
      </w:r>
      <w:r w:rsidR="00C2224F" w:rsidRPr="003C44B8">
        <w:rPr>
          <w:rFonts w:cs="Arial"/>
          <w:szCs w:val="22"/>
          <w:lang w:val="en-NZ"/>
        </w:rPr>
        <w:t xml:space="preserve">As </w:t>
      </w:r>
      <w:r w:rsidR="00E3027E" w:rsidRPr="003C44B8">
        <w:rPr>
          <w:rFonts w:cs="Arial"/>
          <w:szCs w:val="22"/>
          <w:lang w:val="en-NZ"/>
        </w:rPr>
        <w:t>public consultation on the proposals has not yet taken place and</w:t>
      </w:r>
      <w:r w:rsidR="00F315B1" w:rsidRPr="003C44B8">
        <w:rPr>
          <w:rFonts w:cs="Arial"/>
          <w:szCs w:val="22"/>
          <w:lang w:val="en-NZ"/>
        </w:rPr>
        <w:t xml:space="preserve">, at the time </w:t>
      </w:r>
      <w:r w:rsidR="004A091A" w:rsidRPr="003C44B8">
        <w:rPr>
          <w:rFonts w:cs="Arial"/>
          <w:szCs w:val="22"/>
          <w:lang w:val="en-NZ"/>
        </w:rPr>
        <w:t xml:space="preserve">of writing this Impact Statement, Cabinet has not </w:t>
      </w:r>
      <w:proofErr w:type="gramStart"/>
      <w:r w:rsidR="004A091A" w:rsidRPr="003C44B8">
        <w:rPr>
          <w:rFonts w:cs="Arial"/>
          <w:szCs w:val="22"/>
          <w:lang w:val="en-NZ"/>
        </w:rPr>
        <w:t>made a decision</w:t>
      </w:r>
      <w:proofErr w:type="gramEnd"/>
      <w:r w:rsidR="004A091A" w:rsidRPr="003C44B8">
        <w:rPr>
          <w:rFonts w:cs="Arial"/>
          <w:szCs w:val="22"/>
          <w:lang w:val="en-NZ"/>
        </w:rPr>
        <w:t xml:space="preserve"> (in-principle or otherwise) </w:t>
      </w:r>
      <w:r w:rsidR="00E64D7C" w:rsidRPr="003C44B8">
        <w:rPr>
          <w:rFonts w:cs="Arial"/>
          <w:szCs w:val="22"/>
          <w:lang w:val="en-NZ"/>
        </w:rPr>
        <w:t xml:space="preserve">to proceed with the proposals, </w:t>
      </w:r>
      <w:r w:rsidR="00EF47B9" w:rsidRPr="003C44B8">
        <w:rPr>
          <w:rFonts w:cs="Arial"/>
          <w:szCs w:val="22"/>
          <w:lang w:val="en-NZ"/>
        </w:rPr>
        <w:t>c</w:t>
      </w:r>
      <w:r w:rsidR="00A625DD" w:rsidRPr="003C44B8">
        <w:rPr>
          <w:rFonts w:cs="Arial"/>
          <w:szCs w:val="22"/>
          <w:lang w:val="en-NZ"/>
        </w:rPr>
        <w:t xml:space="preserve">omprehensive consideration of how the policy will be implemented has not yet </w:t>
      </w:r>
      <w:r w:rsidR="00E50C1B" w:rsidRPr="003C44B8">
        <w:rPr>
          <w:rFonts w:cs="Arial"/>
          <w:szCs w:val="22"/>
          <w:lang w:val="en-NZ"/>
        </w:rPr>
        <w:t xml:space="preserve">occurred. </w:t>
      </w:r>
      <w:r w:rsidR="00B6321B" w:rsidRPr="003C44B8">
        <w:rPr>
          <w:rFonts w:cs="Arial"/>
          <w:szCs w:val="22"/>
          <w:lang w:val="en-NZ"/>
        </w:rPr>
        <w:t xml:space="preserve">However, Inland Revenue will provide </w:t>
      </w:r>
      <w:r w:rsidR="00E63117" w:rsidRPr="003C44B8">
        <w:rPr>
          <w:rFonts w:cs="Arial"/>
          <w:szCs w:val="22"/>
          <w:lang w:val="en-NZ"/>
        </w:rPr>
        <w:t xml:space="preserve">information to increase awareness and support </w:t>
      </w:r>
      <w:r w:rsidR="00FC69AA" w:rsidRPr="003C44B8">
        <w:rPr>
          <w:rFonts w:cs="Arial"/>
          <w:szCs w:val="22"/>
          <w:lang w:val="en-NZ"/>
        </w:rPr>
        <w:t>taxpay</w:t>
      </w:r>
      <w:r w:rsidR="00E63117" w:rsidRPr="003C44B8">
        <w:rPr>
          <w:rFonts w:cs="Arial"/>
          <w:szCs w:val="22"/>
          <w:lang w:val="en-NZ"/>
        </w:rPr>
        <w:t xml:space="preserve">ers </w:t>
      </w:r>
      <w:r w:rsidR="00FC69AA" w:rsidRPr="003C44B8">
        <w:rPr>
          <w:rFonts w:cs="Arial"/>
          <w:szCs w:val="22"/>
          <w:lang w:val="en-NZ"/>
        </w:rPr>
        <w:t>to comply with the new rules</w:t>
      </w:r>
      <w:r w:rsidR="00E63117" w:rsidRPr="003C44B8">
        <w:rPr>
          <w:rFonts w:cs="Arial"/>
          <w:szCs w:val="22"/>
          <w:lang w:val="en-NZ"/>
        </w:rPr>
        <w:t xml:space="preserve">. This will include producing a relevant </w:t>
      </w:r>
      <w:r w:rsidR="00E63117" w:rsidRPr="003C44B8">
        <w:rPr>
          <w:rFonts w:cs="Arial"/>
          <w:i/>
          <w:szCs w:val="22"/>
          <w:lang w:val="en-NZ"/>
        </w:rPr>
        <w:t>Tax Information Bulletin</w:t>
      </w:r>
      <w:r w:rsidR="00E63117" w:rsidRPr="003C44B8">
        <w:rPr>
          <w:rFonts w:cs="Arial"/>
          <w:szCs w:val="22"/>
          <w:lang w:val="en-NZ"/>
        </w:rPr>
        <w:t xml:space="preserve"> item</w:t>
      </w:r>
      <w:r w:rsidR="00FC69AA" w:rsidRPr="003C44B8">
        <w:rPr>
          <w:rFonts w:cs="Arial"/>
          <w:szCs w:val="22"/>
          <w:lang w:val="en-NZ"/>
        </w:rPr>
        <w:t xml:space="preserve"> and </w:t>
      </w:r>
      <w:r w:rsidR="00E63117" w:rsidRPr="003C44B8">
        <w:rPr>
          <w:rFonts w:cs="Arial"/>
          <w:szCs w:val="22"/>
          <w:lang w:val="en-NZ"/>
        </w:rPr>
        <w:t>updating guidance on Inland Revenue’s website</w:t>
      </w:r>
      <w:r w:rsidR="00FC69AA" w:rsidRPr="003C44B8">
        <w:rPr>
          <w:rFonts w:cs="Arial"/>
          <w:szCs w:val="22"/>
          <w:lang w:val="en-NZ"/>
        </w:rPr>
        <w:t xml:space="preserve">. </w:t>
      </w:r>
      <w:r w:rsidR="003B2793" w:rsidRPr="003C44B8">
        <w:rPr>
          <w:rFonts w:cs="Arial"/>
          <w:szCs w:val="22"/>
          <w:lang w:val="en-NZ"/>
        </w:rPr>
        <w:t>Overall, Inland Revenue expects that relatively minor alterations to systems and operations will be needed.</w:t>
      </w:r>
    </w:p>
    <w:p w14:paraId="5AA39C72" w14:textId="19F3185C" w:rsidR="006B5794" w:rsidRPr="00A864A5" w:rsidRDefault="0099086E" w:rsidP="006B5794">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2B80053F" w14:textId="24E84323" w:rsidR="0012651B" w:rsidRPr="003C44B8" w:rsidRDefault="009976EE" w:rsidP="003C44B8">
      <w:pPr>
        <w:pStyle w:val="ListParagraph"/>
        <w:numPr>
          <w:ilvl w:val="0"/>
          <w:numId w:val="24"/>
        </w:numPr>
        <w:ind w:left="567" w:hanging="567"/>
        <w:rPr>
          <w:rFonts w:cs="Arial"/>
          <w:szCs w:val="22"/>
          <w:lang w:val="en-NZ"/>
        </w:rPr>
      </w:pPr>
      <w:r w:rsidRPr="003C44B8">
        <w:rPr>
          <w:rFonts w:cs="Arial"/>
          <w:b/>
          <w:szCs w:val="22"/>
          <w:lang w:val="en-NZ"/>
        </w:rPr>
        <w:t>Monitoring:</w:t>
      </w:r>
      <w:r w:rsidR="008D509D" w:rsidRPr="003C44B8">
        <w:rPr>
          <w:rFonts w:cs="Arial"/>
          <w:szCs w:val="22"/>
          <w:lang w:val="en-NZ"/>
        </w:rPr>
        <w:t xml:space="preserve"> </w:t>
      </w:r>
      <w:r w:rsidR="00A201CF" w:rsidRPr="003C44B8">
        <w:rPr>
          <w:rFonts w:cs="Arial"/>
          <w:szCs w:val="22"/>
          <w:lang w:val="en-NZ"/>
        </w:rPr>
        <w:t xml:space="preserve">The revenue impact of </w:t>
      </w:r>
      <w:r w:rsidR="009959C6" w:rsidRPr="003C44B8">
        <w:rPr>
          <w:rFonts w:cs="Arial"/>
          <w:szCs w:val="22"/>
          <w:lang w:val="en-NZ"/>
        </w:rPr>
        <w:t>the proposed integrity measures</w:t>
      </w:r>
      <w:r w:rsidR="00A201CF" w:rsidRPr="003C44B8">
        <w:rPr>
          <w:rFonts w:cs="Arial"/>
          <w:szCs w:val="22"/>
          <w:lang w:val="en-NZ"/>
        </w:rPr>
        <w:t xml:space="preserve"> will be estimated through tax collected by Inland Revenue. In practice, it will be difficult to evaluate the effect that </w:t>
      </w:r>
      <w:r w:rsidR="00F6643E" w:rsidRPr="003C44B8">
        <w:rPr>
          <w:rFonts w:cs="Arial"/>
          <w:szCs w:val="22"/>
          <w:lang w:val="en-NZ"/>
        </w:rPr>
        <w:t>the proposed measures have</w:t>
      </w:r>
      <w:r w:rsidR="00A201CF" w:rsidRPr="003C44B8">
        <w:rPr>
          <w:rFonts w:cs="Arial"/>
          <w:szCs w:val="22"/>
          <w:lang w:val="en-NZ"/>
        </w:rPr>
        <w:t xml:space="preserve"> on minimising top-rate avoidance. However, investigations that rely on the proposed integrity measures will indicate how effective those measures are from a legal perspective. Inland Revenue also records data on its customer compliance and customer support activities, so existing systems are already in place to record new administrative impacts arising from this proposal.</w:t>
      </w:r>
    </w:p>
    <w:p w14:paraId="59C38634" w14:textId="7DFB531E" w:rsidR="008321F8" w:rsidRPr="003C44B8" w:rsidRDefault="00F030E4" w:rsidP="003C44B8">
      <w:pPr>
        <w:pStyle w:val="ListParagraph"/>
        <w:numPr>
          <w:ilvl w:val="0"/>
          <w:numId w:val="24"/>
        </w:numPr>
        <w:ind w:left="567" w:hanging="567"/>
        <w:rPr>
          <w:rFonts w:cs="Arial"/>
          <w:szCs w:val="22"/>
          <w:lang w:val="en-NZ"/>
        </w:rPr>
      </w:pPr>
      <w:r w:rsidRPr="003C44B8">
        <w:rPr>
          <w:rFonts w:cs="Arial"/>
          <w:b/>
          <w:szCs w:val="22"/>
          <w:lang w:val="en-NZ"/>
        </w:rPr>
        <w:t>Review:</w:t>
      </w:r>
      <w:r w:rsidRPr="003C44B8">
        <w:rPr>
          <w:rFonts w:cs="Arial"/>
          <w:szCs w:val="22"/>
          <w:lang w:val="en-NZ"/>
        </w:rPr>
        <w:t xml:space="preserve"> </w:t>
      </w:r>
      <w:r w:rsidR="008D509D" w:rsidRPr="003C44B8">
        <w:rPr>
          <w:rFonts w:cs="Arial"/>
          <w:szCs w:val="22"/>
          <w:lang w:val="en-NZ"/>
        </w:rPr>
        <w:t>Inland Revenue regularly reviews tax settings on an ongoing basis and provides advice and updates to the Government accordingly. Policy officials maintain strong communication channels with stakeholders in the tax advisory community, including through the generic tax policy process, and these stakeholders will be able to correspond with officials about the operation of the new rules at any time. If problems emerge, they will be dealt with either operationally, or by way of legislative amendment if agreed by Parliament.</w:t>
      </w:r>
    </w:p>
    <w:sectPr w:rsidR="008321F8" w:rsidRPr="003C44B8"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F580" w14:textId="77777777" w:rsidR="00A414D7" w:rsidRDefault="00A414D7">
      <w:pPr>
        <w:spacing w:after="0" w:line="240" w:lineRule="auto"/>
      </w:pPr>
      <w:r>
        <w:separator/>
      </w:r>
    </w:p>
    <w:p w14:paraId="14C1FD94" w14:textId="77777777" w:rsidR="00A414D7" w:rsidRDefault="00A414D7"/>
  </w:endnote>
  <w:endnote w:type="continuationSeparator" w:id="0">
    <w:p w14:paraId="6CCD2C59" w14:textId="77777777" w:rsidR="00A414D7" w:rsidRDefault="00A414D7">
      <w:pPr>
        <w:spacing w:after="0" w:line="240" w:lineRule="auto"/>
      </w:pPr>
      <w:r>
        <w:continuationSeparator/>
      </w:r>
    </w:p>
    <w:p w14:paraId="162B3278" w14:textId="77777777" w:rsidR="00A414D7" w:rsidRDefault="00A414D7"/>
  </w:endnote>
  <w:endnote w:type="continuationNotice" w:id="1">
    <w:p w14:paraId="1D48561C" w14:textId="77777777" w:rsidR="00A414D7" w:rsidRDefault="00A41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4B6F7D" w:rsidRDefault="004B6F7D" w:rsidP="006448CF">
    <w:pPr>
      <w:pStyle w:val="Footer"/>
    </w:pPr>
  </w:p>
  <w:p w14:paraId="6E40FA9B" w14:textId="77777777" w:rsidR="006777C4" w:rsidRDefault="00677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37D6EF45" w:rsidR="004B6F7D" w:rsidRPr="00743278" w:rsidRDefault="00743278" w:rsidP="006448CF">
    <w:pPr>
      <w:pStyle w:val="Footer"/>
    </w:pPr>
    <w:r>
      <w:rPr>
        <w:sz w:val="14"/>
      </w:rPr>
      <w:tab/>
    </w:r>
    <w:r w:rsidR="000132F6">
      <w:t>Regulatory</w:t>
    </w:r>
    <w:r w:rsidR="0092176D">
      <w:t xml:space="preserve"> I</w:t>
    </w:r>
    <w:r>
      <w:t xml:space="preserve">mpact Statement </w:t>
    </w:r>
    <w:r w:rsidR="00150D58">
      <w:t xml:space="preserve"> </w:t>
    </w:r>
    <w:r w:rsidRPr="009435C4">
      <w:t>|</w:t>
    </w:r>
    <w:r w:rsidR="00150D58">
      <w:t xml:space="preserve"> </w:t>
    </w:r>
    <w:r w:rsidRPr="009435C4">
      <w:t xml:space="preserve"> </w:t>
    </w:r>
    <w:r w:rsidRPr="009435C4">
      <w:rPr>
        <w:color w:val="2B579A"/>
        <w:shd w:val="clear" w:color="auto" w:fill="E6E6E6"/>
      </w:rPr>
      <w:fldChar w:fldCharType="begin"/>
    </w:r>
    <w:r w:rsidRPr="009435C4">
      <w:instrText xml:space="preserve"> PAGE </w:instrText>
    </w:r>
    <w:r w:rsidRPr="009435C4">
      <w:rPr>
        <w:color w:val="2B579A"/>
        <w:shd w:val="clear" w:color="auto" w:fill="E6E6E6"/>
      </w:rPr>
      <w:fldChar w:fldCharType="separate"/>
    </w:r>
    <w:r w:rsidR="00BF4DAE">
      <w:t>11</w:t>
    </w:r>
    <w:r w:rsidRPr="009435C4">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6448CF" w:rsidRPr="00743278" w:rsidRDefault="006448CF" w:rsidP="006448CF">
    <w:pPr>
      <w:pStyle w:val="Footer"/>
    </w:pPr>
    <w:r>
      <w:rPr>
        <w:sz w:val="14"/>
      </w:rPr>
      <w:tab/>
    </w:r>
    <w:r>
      <w:t>Regulatory Impact Statement</w:t>
    </w:r>
    <w:r w:rsidR="00150D58">
      <w:t xml:space="preserve"> </w:t>
    </w:r>
    <w:r>
      <w:t xml:space="preserve"> </w:t>
    </w:r>
    <w:r w:rsidRPr="009435C4">
      <w:t>|</w:t>
    </w:r>
    <w:r w:rsidR="00150D58">
      <w:t xml:space="preserve"> </w:t>
    </w:r>
    <w:r w:rsidRPr="009435C4">
      <w:t xml:space="preserve"> </w:t>
    </w:r>
    <w:r w:rsidRPr="009435C4">
      <w:rPr>
        <w:color w:val="2B579A"/>
        <w:shd w:val="clear" w:color="auto" w:fill="E6E6E6"/>
      </w:rPr>
      <w:fldChar w:fldCharType="begin"/>
    </w:r>
    <w:r w:rsidRPr="009435C4">
      <w:instrText xml:space="preserve"> PAGE </w:instrText>
    </w:r>
    <w:r w:rsidRPr="009435C4">
      <w:rPr>
        <w:color w:val="2B579A"/>
        <w:shd w:val="clear" w:color="auto" w:fill="E6E6E6"/>
      </w:rPr>
      <w:fldChar w:fldCharType="separate"/>
    </w:r>
    <w:r>
      <w:t>11</w:t>
    </w:r>
    <w:r w:rsidRPr="009435C4">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58F5" w14:textId="77777777" w:rsidR="00A414D7" w:rsidRDefault="00A414D7">
      <w:pPr>
        <w:spacing w:after="0" w:line="240" w:lineRule="auto"/>
      </w:pPr>
      <w:r>
        <w:separator/>
      </w:r>
    </w:p>
    <w:p w14:paraId="695A84CB" w14:textId="77777777" w:rsidR="00A414D7" w:rsidRDefault="00A414D7"/>
  </w:footnote>
  <w:footnote w:type="continuationSeparator" w:id="0">
    <w:p w14:paraId="733F205E" w14:textId="77777777" w:rsidR="00A414D7" w:rsidRDefault="00A414D7">
      <w:pPr>
        <w:spacing w:after="0" w:line="240" w:lineRule="auto"/>
      </w:pPr>
      <w:r>
        <w:continuationSeparator/>
      </w:r>
    </w:p>
    <w:p w14:paraId="57C9BCDE" w14:textId="77777777" w:rsidR="00A414D7" w:rsidRDefault="00A414D7"/>
  </w:footnote>
  <w:footnote w:type="continuationNotice" w:id="1">
    <w:p w14:paraId="77EEE7C4" w14:textId="77777777" w:rsidR="00A414D7" w:rsidRDefault="00A41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4B6F7D" w:rsidRDefault="004B6F7D">
    <w:pPr>
      <w:pStyle w:val="Header"/>
    </w:pPr>
  </w:p>
  <w:p w14:paraId="5B68D6FF" w14:textId="77777777" w:rsidR="006777C4" w:rsidRDefault="00677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F3F" w14:textId="076E727D" w:rsidR="006777C4" w:rsidRDefault="003D7300" w:rsidP="007C1E21">
    <w:pPr>
      <w:tabs>
        <w:tab w:val="center" w:pos="4253"/>
      </w:tabs>
      <w:spacing w:after="0"/>
    </w:pPr>
    <w:r>
      <w:rPr>
        <w:noProof/>
        <w:color w:val="2B579A"/>
        <w:shd w:val="clear" w:color="auto" w:fill="E6E6E6"/>
      </w:rPr>
      <mc:AlternateContent>
        <mc:Choice Requires="wps">
          <w:drawing>
            <wp:anchor distT="0" distB="0" distL="114300" distR="114300" simplePos="0" relativeHeight="251658240" behindDoc="0" locked="0" layoutInCell="0" allowOverlap="1" wp14:anchorId="4D0D39FB" wp14:editId="1DD2E312">
              <wp:simplePos x="0" y="0"/>
              <wp:positionH relativeFrom="page">
                <wp:align>center</wp:align>
              </wp:positionH>
              <wp:positionV relativeFrom="page">
                <wp:align>top</wp:align>
              </wp:positionV>
              <wp:extent cx="7772400" cy="462280"/>
              <wp:effectExtent l="0" t="0" r="0" b="13970"/>
              <wp:wrapNone/>
              <wp:docPr id="15" name="MSIPCM67ed4307988d5221fc059b82" descr="{&quot;HashCode&quot;:130510670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CD235" w14:textId="07DC4325" w:rsidR="003D7300" w:rsidRPr="00B33988" w:rsidRDefault="00B33988" w:rsidP="00B33988">
                          <w:pPr>
                            <w:spacing w:after="0"/>
                            <w:jc w:val="center"/>
                            <w:rPr>
                              <w:rFonts w:ascii="Verdana" w:hAnsi="Verdana"/>
                              <w:color w:val="000000"/>
                              <w:sz w:val="20"/>
                            </w:rPr>
                          </w:pPr>
                          <w:r w:rsidRPr="00B33988">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0D39FB" id="_x0000_t202" coordsize="21600,21600" o:spt="202" path="m,l,21600r21600,l21600,xe">
              <v:stroke joinstyle="miter"/>
              <v:path gradientshapeok="t" o:connecttype="rect"/>
            </v:shapetype>
            <v:shape id="MSIPCM67ed4307988d5221fc059b82" o:spid="_x0000_s1027" type="#_x0000_t202" alt="{&quot;HashCode&quot;:1305106702,&quot;Height&quot;:9999999.0,&quot;Width&quot;:9999999.0,&quot;Placement&quot;:&quot;Header&quot;,&quot;Index&quot;:&quot;Primary&quot;,&quot;Section&quot;:1,&quot;Top&quot;:0.0,&quot;Left&quot;:0.0}" style="position:absolute;margin-left:0;margin-top:0;width:612pt;height:36.4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OqrAIAAFEFAAAOAAAAZHJzL2Uyb0RvYy54bWysVMlu2zAQvRfoPxA89NRaS7yqkQPXQdoA&#10;TmLAKXKmKdISIC4h6Vhu0X/vkJKcNG0vRXWghvOGs8+cXzSiRk/M2ErJHCeDGCMmqSoqucvx1/ur&#10;D1OMrCOyILWSLMdHZvHF/O2b84POWKpKVRfMIFAibXbQOS6d01kUWVoyQexAaSYB5MoI4uBqdlFh&#10;yAG0izpK43gcHZQptFGUWQvcyxbE86Cfc0bdHeeWOVTnGHxz4TTh3Pozmp+TbGeILivauUH+wQtB&#10;KglGT6ouiSNob6rfVImKGmUVdwOqRKQ4rygLMUA0Sfwqmk1JNAuxQHKsPqXJ/j+19PZpbVBVQO1G&#10;GEkioEY3m+v18mY8YcXwLJ7MptNilKYJp/Fotp2mGBXMUkjh93ePe+U+fiG2XKqCtbcsOYtHSTye&#10;xOn7DmfVrnQdOmu/QdyBD1Xhyr9g65pQJpjs3/bqCHRMS3dKrmXBmk5J+1ubShBz/EVqA70ATdrJ&#10;Jd3be6U7TnxyasV4bxOYP3yPHLTNIFUbDclyzSfVQL56vgWmL33DjfB/KCoCHLrteOow1jhEgTmZ&#10;TNJhDBAFbDhO02lowej5tTbWfWZKIE/k2IDXobHI08o68AREexFvTKqrqq5DF9cSHXI8PhvF4cEJ&#10;gRe1hIc+htZXT7lm23SBbVVxhLiMaqfDanpVgfEVsW5NDIwD+Asj7u7g4LUCI6qjMCqV+fYnvpeH&#10;LgUUowOMV47t454YhlF9LaF/Z8lw6OcxXIAwL7nbniv3YqlgchNYIpoG0su6uie5UeIBNsDCWwOI&#10;SAo2c0yd6S9LB3eAYIdQtlgEGmZPE7eSG029cp9In9T75oEY3WXeQc1uVT+CJHtVgFa2LcFi7xSv&#10;QnV8att8dhmHuQ1F63aMXwwv70HqeRPOfwIAAP//AwBQSwMEFAAGAAgAAAAhAH05zNvaAAAABQEA&#10;AA8AAABkcnMvZG93bnJldi54bWxMj0tPwzAQhO9I/AdrkbhRB4NKlcapeAgJTqiBS29uvHlAvI5i&#10;tzH/ni0XuKw0mtnZb4tNcoM44hR6TxquFxkIpNrbnloNH+/PVysQIRqyZvCEGr4xwKY8PytMbv1M&#10;WzxWsRVcQiE3GroYx1zKUHfoTFj4EYm9xk/ORJZTK+1kZi53g1RZtpTO9MQXOjPiY4f1V3VwjOHH&#10;V/W5nLOnm7SrXlLz9tDHRuvLi3S/BhExxb8wnPB5B0pm2vsD2SAGDfxI/J0nT6lb1nsNd2oFsizk&#10;f/ryBwAA//8DAFBLAQItABQABgAIAAAAIQC2gziS/gAAAOEBAAATAAAAAAAAAAAAAAAAAAAAAABb&#10;Q29udGVudF9UeXBlc10ueG1sUEsBAi0AFAAGAAgAAAAhADj9If/WAAAAlAEAAAsAAAAAAAAAAAAA&#10;AAAALwEAAF9yZWxzLy5yZWxzUEsBAi0AFAAGAAgAAAAhABi1w6qsAgAAUQUAAA4AAAAAAAAAAAAA&#10;AAAALgIAAGRycy9lMm9Eb2MueG1sUEsBAi0AFAAGAAgAAAAhAH05zNvaAAAABQEAAA8AAAAAAAAA&#10;AAAAAAAABgUAAGRycy9kb3ducmV2LnhtbFBLBQYAAAAABAAEAPMAAAANBgAAAAA=&#10;" o:allowincell="f" filled="f" stroked="f" strokeweight=".5pt">
              <v:textbox inset=",0,,0">
                <w:txbxContent>
                  <w:p w14:paraId="24ACD235" w14:textId="07DC4325" w:rsidR="003D7300" w:rsidRPr="00B33988" w:rsidRDefault="00B33988" w:rsidP="00B33988">
                    <w:pPr>
                      <w:spacing w:after="0"/>
                      <w:jc w:val="center"/>
                      <w:rPr>
                        <w:rFonts w:ascii="Verdana" w:hAnsi="Verdana"/>
                        <w:color w:val="000000"/>
                        <w:sz w:val="20"/>
                      </w:rPr>
                    </w:pPr>
                    <w:r w:rsidRPr="00B33988">
                      <w:rPr>
                        <w:rFonts w:ascii="Verdana" w:hAnsi="Verdana"/>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937852"/>
    <w:multiLevelType w:val="hybridMultilevel"/>
    <w:tmpl w:val="5D784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96330E"/>
    <w:multiLevelType w:val="hybridMultilevel"/>
    <w:tmpl w:val="AD867E48"/>
    <w:lvl w:ilvl="0" w:tplc="099C0EF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FA20F1"/>
    <w:multiLevelType w:val="hybridMultilevel"/>
    <w:tmpl w:val="E77044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E62F65"/>
    <w:multiLevelType w:val="hybridMultilevel"/>
    <w:tmpl w:val="46CA4452"/>
    <w:lvl w:ilvl="0" w:tplc="1409000F">
      <w:start w:val="1"/>
      <w:numFmt w:val="decimal"/>
      <w:lvlText w:val="%1."/>
      <w:lvlJc w:val="left"/>
      <w:pPr>
        <w:ind w:left="720" w:hanging="360"/>
      </w:pPr>
    </w:lvl>
    <w:lvl w:ilvl="1" w:tplc="7C3A3D0C">
      <w:start w:val="1"/>
      <w:numFmt w:val="lowerLetter"/>
      <w:lvlText w:val="%2."/>
      <w:lvlJc w:val="left"/>
      <w:pPr>
        <w:ind w:left="1440" w:hanging="360"/>
      </w:pPr>
      <w:rPr>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1F7DD7"/>
    <w:multiLevelType w:val="hybridMultilevel"/>
    <w:tmpl w:val="66A653CC"/>
    <w:lvl w:ilvl="0" w:tplc="31CCB586">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7201D6"/>
    <w:multiLevelType w:val="hybridMultilevel"/>
    <w:tmpl w:val="50F2D4B6"/>
    <w:lvl w:ilvl="0" w:tplc="7C3A3D0C">
      <w:start w:val="1"/>
      <w:numFmt w:val="lowerLetter"/>
      <w:lvlText w:val="%1."/>
      <w:lvlJc w:val="left"/>
      <w:pPr>
        <w:ind w:left="144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BB017B"/>
    <w:multiLevelType w:val="multilevel"/>
    <w:tmpl w:val="5FC44558"/>
    <w:lvl w:ilvl="0">
      <w:start w:val="1"/>
      <w:numFmt w:val="decimal"/>
      <w:suff w:val="nothing"/>
      <w:lvlText w:val="CHAPTER %1"/>
      <w:lvlJc w:val="left"/>
      <w:pPr>
        <w:ind w:left="4536"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DD7E64"/>
    <w:multiLevelType w:val="hybridMultilevel"/>
    <w:tmpl w:val="7F22D250"/>
    <w:lvl w:ilvl="0" w:tplc="FC2A6B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D05F57"/>
    <w:multiLevelType w:val="hybridMultilevel"/>
    <w:tmpl w:val="6BB8E90A"/>
    <w:lvl w:ilvl="0" w:tplc="EBF22DA6">
      <w:start w:val="1"/>
      <w:numFmt w:val="decimal"/>
      <w:lvlText w:val="%1."/>
      <w:lvlJc w:val="left"/>
      <w:pPr>
        <w:ind w:left="928" w:hanging="360"/>
      </w:pPr>
      <w:rPr>
        <w:rFonts w:ascii="Arial" w:hAnsi="Arial" w:cs="Arial" w:hint="default"/>
        <w:b w:val="0"/>
        <w:bCs/>
        <w:i w:val="0"/>
        <w:i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285490A"/>
    <w:multiLevelType w:val="hybridMultilevel"/>
    <w:tmpl w:val="6FAA3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9291538"/>
    <w:multiLevelType w:val="hybridMultilevel"/>
    <w:tmpl w:val="46CA4452"/>
    <w:lvl w:ilvl="0" w:tplc="1409000F">
      <w:start w:val="1"/>
      <w:numFmt w:val="decimal"/>
      <w:lvlText w:val="%1."/>
      <w:lvlJc w:val="left"/>
      <w:pPr>
        <w:ind w:left="360" w:hanging="360"/>
      </w:pPr>
    </w:lvl>
    <w:lvl w:ilvl="1" w:tplc="7C3A3D0C">
      <w:start w:val="1"/>
      <w:numFmt w:val="lowerLetter"/>
      <w:lvlText w:val="%2."/>
      <w:lvlJc w:val="left"/>
      <w:pPr>
        <w:ind w:left="1440" w:hanging="360"/>
      </w:pPr>
      <w:rPr>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6753EB4"/>
    <w:multiLevelType w:val="hybridMultilevel"/>
    <w:tmpl w:val="33360198"/>
    <w:lvl w:ilvl="0" w:tplc="F356CA2A">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BFF47DC"/>
    <w:multiLevelType w:val="hybridMultilevel"/>
    <w:tmpl w:val="1690F3C6"/>
    <w:lvl w:ilvl="0" w:tplc="14090001">
      <w:start w:val="1"/>
      <w:numFmt w:val="bullet"/>
      <w:lvlText w:val=""/>
      <w:lvlJc w:val="left"/>
      <w:pPr>
        <w:ind w:left="1080" w:hanging="360"/>
      </w:pPr>
      <w:rPr>
        <w:rFonts w:ascii="Symbol" w:hAnsi="Symbol" w:hint="default"/>
      </w:rPr>
    </w:lvl>
    <w:lvl w:ilvl="1" w:tplc="7C3A3D0C">
      <w:start w:val="1"/>
      <w:numFmt w:val="lowerLetter"/>
      <w:lvlText w:val="%2."/>
      <w:lvlJc w:val="left"/>
      <w:pPr>
        <w:ind w:left="2160" w:hanging="360"/>
      </w:pPr>
      <w:rPr>
        <w:b w:val="0"/>
        <w:bCs w:val="0"/>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9"/>
  </w:num>
  <w:num w:numId="2">
    <w:abstractNumId w:val="20"/>
  </w:num>
  <w:num w:numId="3">
    <w:abstractNumId w:val="12"/>
  </w:num>
  <w:num w:numId="4">
    <w:abstractNumId w:val="11"/>
  </w:num>
  <w:num w:numId="5">
    <w:abstractNumId w:val="0"/>
  </w:num>
  <w:num w:numId="6">
    <w:abstractNumId w:val="6"/>
  </w:num>
  <w:num w:numId="7">
    <w:abstractNumId w:val="7"/>
  </w:num>
  <w:num w:numId="8">
    <w:abstractNumId w:val="27"/>
  </w:num>
  <w:num w:numId="9">
    <w:abstractNumId w:val="17"/>
  </w:num>
  <w:num w:numId="10">
    <w:abstractNumId w:val="25"/>
  </w:num>
  <w:num w:numId="11">
    <w:abstractNumId w:val="2"/>
  </w:num>
  <w:num w:numId="12">
    <w:abstractNumId w:val="16"/>
  </w:num>
  <w:num w:numId="13">
    <w:abstractNumId w:val="12"/>
  </w:num>
  <w:num w:numId="14">
    <w:abstractNumId w:val="21"/>
  </w:num>
  <w:num w:numId="15">
    <w:abstractNumId w:val="12"/>
  </w:num>
  <w:num w:numId="16">
    <w:abstractNumId w:val="2"/>
  </w:num>
  <w:num w:numId="17">
    <w:abstractNumId w:val="5"/>
  </w:num>
  <w:num w:numId="18">
    <w:abstractNumId w:val="18"/>
  </w:num>
  <w:num w:numId="19">
    <w:abstractNumId w:val="12"/>
  </w:num>
  <w:num w:numId="20">
    <w:abstractNumId w:val="12"/>
  </w:num>
  <w:num w:numId="21">
    <w:abstractNumId w:val="12"/>
  </w:num>
  <w:num w:numId="22">
    <w:abstractNumId w:val="12"/>
  </w:num>
  <w:num w:numId="23">
    <w:abstractNumId w:val="1"/>
  </w:num>
  <w:num w:numId="24">
    <w:abstractNumId w:val="9"/>
  </w:num>
  <w:num w:numId="25">
    <w:abstractNumId w:val="8"/>
  </w:num>
  <w:num w:numId="26">
    <w:abstractNumId w:val="24"/>
  </w:num>
  <w:num w:numId="27">
    <w:abstractNumId w:val="28"/>
  </w:num>
  <w:num w:numId="28">
    <w:abstractNumId w:val="22"/>
  </w:num>
  <w:num w:numId="29">
    <w:abstractNumId w:val="15"/>
  </w:num>
  <w:num w:numId="30">
    <w:abstractNumId w:val="12"/>
  </w:num>
  <w:num w:numId="31">
    <w:abstractNumId w:val="12"/>
  </w:num>
  <w:num w:numId="32">
    <w:abstractNumId w:val="12"/>
  </w:num>
  <w:num w:numId="33">
    <w:abstractNumId w:val="12"/>
  </w:num>
  <w:num w:numId="34">
    <w:abstractNumId w:val="12"/>
  </w:num>
  <w:num w:numId="35">
    <w:abstractNumId w:val="14"/>
  </w:num>
  <w:num w:numId="36">
    <w:abstractNumId w:val="23"/>
  </w:num>
  <w:num w:numId="37">
    <w:abstractNumId w:val="26"/>
  </w:num>
  <w:num w:numId="38">
    <w:abstractNumId w:val="4"/>
  </w:num>
  <w:num w:numId="39">
    <w:abstractNumId w:val="29"/>
  </w:num>
  <w:num w:numId="40">
    <w:abstractNumId w:val="3"/>
  </w:num>
  <w:num w:numId="41">
    <w:abstractNumId w:val="10"/>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A06"/>
    <w:rsid w:val="0000160E"/>
    <w:rsid w:val="00001C08"/>
    <w:rsid w:val="0000201A"/>
    <w:rsid w:val="00002481"/>
    <w:rsid w:val="0000328A"/>
    <w:rsid w:val="00003E56"/>
    <w:rsid w:val="000043B8"/>
    <w:rsid w:val="000048D4"/>
    <w:rsid w:val="000057E0"/>
    <w:rsid w:val="000062DD"/>
    <w:rsid w:val="00006974"/>
    <w:rsid w:val="00006D1D"/>
    <w:rsid w:val="00007237"/>
    <w:rsid w:val="0000724E"/>
    <w:rsid w:val="000077F1"/>
    <w:rsid w:val="00007FD3"/>
    <w:rsid w:val="0001267C"/>
    <w:rsid w:val="00012998"/>
    <w:rsid w:val="00012F77"/>
    <w:rsid w:val="000132F6"/>
    <w:rsid w:val="000139FC"/>
    <w:rsid w:val="00013CC0"/>
    <w:rsid w:val="00013D7C"/>
    <w:rsid w:val="00014FB7"/>
    <w:rsid w:val="0001612C"/>
    <w:rsid w:val="00016910"/>
    <w:rsid w:val="00020DF2"/>
    <w:rsid w:val="00020F75"/>
    <w:rsid w:val="000210ED"/>
    <w:rsid w:val="0002225B"/>
    <w:rsid w:val="0002257F"/>
    <w:rsid w:val="0002262C"/>
    <w:rsid w:val="00023EBA"/>
    <w:rsid w:val="00024303"/>
    <w:rsid w:val="00024730"/>
    <w:rsid w:val="00024979"/>
    <w:rsid w:val="0002598A"/>
    <w:rsid w:val="000264B6"/>
    <w:rsid w:val="00026C4C"/>
    <w:rsid w:val="00027420"/>
    <w:rsid w:val="00030190"/>
    <w:rsid w:val="0003055A"/>
    <w:rsid w:val="0003127F"/>
    <w:rsid w:val="0003269E"/>
    <w:rsid w:val="00032740"/>
    <w:rsid w:val="00032E00"/>
    <w:rsid w:val="00032E26"/>
    <w:rsid w:val="00033EBB"/>
    <w:rsid w:val="00034615"/>
    <w:rsid w:val="00034DD7"/>
    <w:rsid w:val="00037DBD"/>
    <w:rsid w:val="00037F29"/>
    <w:rsid w:val="00040952"/>
    <w:rsid w:val="00040B59"/>
    <w:rsid w:val="00041909"/>
    <w:rsid w:val="00041FC0"/>
    <w:rsid w:val="000424B7"/>
    <w:rsid w:val="00042E51"/>
    <w:rsid w:val="00043437"/>
    <w:rsid w:val="00043545"/>
    <w:rsid w:val="000441C4"/>
    <w:rsid w:val="00045047"/>
    <w:rsid w:val="00046A04"/>
    <w:rsid w:val="00047162"/>
    <w:rsid w:val="00051193"/>
    <w:rsid w:val="000520A7"/>
    <w:rsid w:val="000524A6"/>
    <w:rsid w:val="00053750"/>
    <w:rsid w:val="000548CE"/>
    <w:rsid w:val="0005691A"/>
    <w:rsid w:val="000569D5"/>
    <w:rsid w:val="000626D7"/>
    <w:rsid w:val="00063943"/>
    <w:rsid w:val="00063B78"/>
    <w:rsid w:val="00064320"/>
    <w:rsid w:val="00070300"/>
    <w:rsid w:val="00070396"/>
    <w:rsid w:val="00070C64"/>
    <w:rsid w:val="0007158C"/>
    <w:rsid w:val="0007168A"/>
    <w:rsid w:val="00071DB1"/>
    <w:rsid w:val="00072C3E"/>
    <w:rsid w:val="00073EF1"/>
    <w:rsid w:val="0007474B"/>
    <w:rsid w:val="00075861"/>
    <w:rsid w:val="00076095"/>
    <w:rsid w:val="00076343"/>
    <w:rsid w:val="00076368"/>
    <w:rsid w:val="00076AC0"/>
    <w:rsid w:val="000805AD"/>
    <w:rsid w:val="00080FED"/>
    <w:rsid w:val="0008107D"/>
    <w:rsid w:val="00081791"/>
    <w:rsid w:val="000825AF"/>
    <w:rsid w:val="00082ABA"/>
    <w:rsid w:val="00082F53"/>
    <w:rsid w:val="00083856"/>
    <w:rsid w:val="0008397A"/>
    <w:rsid w:val="00083D3C"/>
    <w:rsid w:val="000845F9"/>
    <w:rsid w:val="000919E0"/>
    <w:rsid w:val="00092264"/>
    <w:rsid w:val="000931FF"/>
    <w:rsid w:val="00093469"/>
    <w:rsid w:val="00093E9C"/>
    <w:rsid w:val="000940D1"/>
    <w:rsid w:val="00095802"/>
    <w:rsid w:val="00095F7A"/>
    <w:rsid w:val="00097119"/>
    <w:rsid w:val="000A0CBB"/>
    <w:rsid w:val="000A0FEF"/>
    <w:rsid w:val="000A2B04"/>
    <w:rsid w:val="000A2D24"/>
    <w:rsid w:val="000A2E9E"/>
    <w:rsid w:val="000A3F56"/>
    <w:rsid w:val="000A4DDC"/>
    <w:rsid w:val="000A5D4E"/>
    <w:rsid w:val="000A5FF9"/>
    <w:rsid w:val="000A673F"/>
    <w:rsid w:val="000A75A6"/>
    <w:rsid w:val="000B0005"/>
    <w:rsid w:val="000B0361"/>
    <w:rsid w:val="000B0D4D"/>
    <w:rsid w:val="000B2320"/>
    <w:rsid w:val="000B3BF7"/>
    <w:rsid w:val="000B5AB4"/>
    <w:rsid w:val="000B60B3"/>
    <w:rsid w:val="000B663D"/>
    <w:rsid w:val="000B796C"/>
    <w:rsid w:val="000B7AB6"/>
    <w:rsid w:val="000C0BCF"/>
    <w:rsid w:val="000C173F"/>
    <w:rsid w:val="000C268D"/>
    <w:rsid w:val="000C28EE"/>
    <w:rsid w:val="000C299F"/>
    <w:rsid w:val="000C29FA"/>
    <w:rsid w:val="000C333D"/>
    <w:rsid w:val="000C356C"/>
    <w:rsid w:val="000C398C"/>
    <w:rsid w:val="000C3D36"/>
    <w:rsid w:val="000C4659"/>
    <w:rsid w:val="000C6503"/>
    <w:rsid w:val="000C69A5"/>
    <w:rsid w:val="000C69A9"/>
    <w:rsid w:val="000C7053"/>
    <w:rsid w:val="000C7068"/>
    <w:rsid w:val="000C74FE"/>
    <w:rsid w:val="000C759E"/>
    <w:rsid w:val="000C7FD5"/>
    <w:rsid w:val="000D00D7"/>
    <w:rsid w:val="000D09D5"/>
    <w:rsid w:val="000D0ED0"/>
    <w:rsid w:val="000D1CD1"/>
    <w:rsid w:val="000D3150"/>
    <w:rsid w:val="000D34D3"/>
    <w:rsid w:val="000D4A90"/>
    <w:rsid w:val="000D4E8A"/>
    <w:rsid w:val="000D5EE1"/>
    <w:rsid w:val="000D6339"/>
    <w:rsid w:val="000D6B55"/>
    <w:rsid w:val="000D7A0D"/>
    <w:rsid w:val="000E00AF"/>
    <w:rsid w:val="000E04A3"/>
    <w:rsid w:val="000E1484"/>
    <w:rsid w:val="000E2E34"/>
    <w:rsid w:val="000E35FF"/>
    <w:rsid w:val="000E3B0A"/>
    <w:rsid w:val="000E4BD1"/>
    <w:rsid w:val="000E5120"/>
    <w:rsid w:val="000E6B1C"/>
    <w:rsid w:val="000E7EE9"/>
    <w:rsid w:val="000F0555"/>
    <w:rsid w:val="000F1AE1"/>
    <w:rsid w:val="000F35B5"/>
    <w:rsid w:val="000F4297"/>
    <w:rsid w:val="000F5D1D"/>
    <w:rsid w:val="000F62E0"/>
    <w:rsid w:val="000F6A12"/>
    <w:rsid w:val="000F6B2E"/>
    <w:rsid w:val="000F720E"/>
    <w:rsid w:val="000F740F"/>
    <w:rsid w:val="000F7FE1"/>
    <w:rsid w:val="00101FE6"/>
    <w:rsid w:val="00103EC6"/>
    <w:rsid w:val="0010467F"/>
    <w:rsid w:val="001049D4"/>
    <w:rsid w:val="00105D66"/>
    <w:rsid w:val="00105EB3"/>
    <w:rsid w:val="00107790"/>
    <w:rsid w:val="00110F43"/>
    <w:rsid w:val="0011219D"/>
    <w:rsid w:val="0011514E"/>
    <w:rsid w:val="00115834"/>
    <w:rsid w:val="001163EB"/>
    <w:rsid w:val="00116F99"/>
    <w:rsid w:val="001207CA"/>
    <w:rsid w:val="00120F0D"/>
    <w:rsid w:val="00121778"/>
    <w:rsid w:val="001220BD"/>
    <w:rsid w:val="001222CE"/>
    <w:rsid w:val="00122D7C"/>
    <w:rsid w:val="00122E7A"/>
    <w:rsid w:val="001231AD"/>
    <w:rsid w:val="0012385E"/>
    <w:rsid w:val="00124FA4"/>
    <w:rsid w:val="00125437"/>
    <w:rsid w:val="001254BF"/>
    <w:rsid w:val="00125743"/>
    <w:rsid w:val="0012593A"/>
    <w:rsid w:val="001263BA"/>
    <w:rsid w:val="0012651B"/>
    <w:rsid w:val="00130E4B"/>
    <w:rsid w:val="0013119E"/>
    <w:rsid w:val="00131607"/>
    <w:rsid w:val="00132393"/>
    <w:rsid w:val="0013264B"/>
    <w:rsid w:val="0013290F"/>
    <w:rsid w:val="00132BD4"/>
    <w:rsid w:val="00134AFD"/>
    <w:rsid w:val="00135B24"/>
    <w:rsid w:val="00136004"/>
    <w:rsid w:val="00136700"/>
    <w:rsid w:val="00136946"/>
    <w:rsid w:val="00137414"/>
    <w:rsid w:val="001402E8"/>
    <w:rsid w:val="00140D52"/>
    <w:rsid w:val="001412AC"/>
    <w:rsid w:val="00141BF0"/>
    <w:rsid w:val="00143F2D"/>
    <w:rsid w:val="00144E43"/>
    <w:rsid w:val="0014500B"/>
    <w:rsid w:val="00145684"/>
    <w:rsid w:val="0014601B"/>
    <w:rsid w:val="00146637"/>
    <w:rsid w:val="00150D58"/>
    <w:rsid w:val="0015101C"/>
    <w:rsid w:val="00151CB6"/>
    <w:rsid w:val="00153476"/>
    <w:rsid w:val="00153A96"/>
    <w:rsid w:val="00153AF2"/>
    <w:rsid w:val="001541E1"/>
    <w:rsid w:val="001547C9"/>
    <w:rsid w:val="001554EC"/>
    <w:rsid w:val="001557D4"/>
    <w:rsid w:val="001568CA"/>
    <w:rsid w:val="001569D8"/>
    <w:rsid w:val="00156EE7"/>
    <w:rsid w:val="00161844"/>
    <w:rsid w:val="001626F2"/>
    <w:rsid w:val="001627AD"/>
    <w:rsid w:val="00162F31"/>
    <w:rsid w:val="00163169"/>
    <w:rsid w:val="00164445"/>
    <w:rsid w:val="00164D97"/>
    <w:rsid w:val="00165130"/>
    <w:rsid w:val="00165EDA"/>
    <w:rsid w:val="00166DF4"/>
    <w:rsid w:val="00166E76"/>
    <w:rsid w:val="00167308"/>
    <w:rsid w:val="00167871"/>
    <w:rsid w:val="001706B3"/>
    <w:rsid w:val="0017116F"/>
    <w:rsid w:val="001721BA"/>
    <w:rsid w:val="001732F4"/>
    <w:rsid w:val="001739BE"/>
    <w:rsid w:val="0017406E"/>
    <w:rsid w:val="001757C7"/>
    <w:rsid w:val="00175B52"/>
    <w:rsid w:val="00175BA7"/>
    <w:rsid w:val="00176B68"/>
    <w:rsid w:val="00176E9B"/>
    <w:rsid w:val="001770D0"/>
    <w:rsid w:val="001802E8"/>
    <w:rsid w:val="001806B4"/>
    <w:rsid w:val="001817F4"/>
    <w:rsid w:val="00182FAD"/>
    <w:rsid w:val="001831CF"/>
    <w:rsid w:val="0018349A"/>
    <w:rsid w:val="001837C1"/>
    <w:rsid w:val="00184416"/>
    <w:rsid w:val="00185A12"/>
    <w:rsid w:val="00186592"/>
    <w:rsid w:val="00190F33"/>
    <w:rsid w:val="001915F1"/>
    <w:rsid w:val="0019250D"/>
    <w:rsid w:val="00193819"/>
    <w:rsid w:val="00193917"/>
    <w:rsid w:val="00193935"/>
    <w:rsid w:val="00194446"/>
    <w:rsid w:val="00194CF7"/>
    <w:rsid w:val="001958C5"/>
    <w:rsid w:val="001967D5"/>
    <w:rsid w:val="001977DD"/>
    <w:rsid w:val="001A0281"/>
    <w:rsid w:val="001A07B8"/>
    <w:rsid w:val="001A0CDB"/>
    <w:rsid w:val="001A1856"/>
    <w:rsid w:val="001A2A0A"/>
    <w:rsid w:val="001A4B31"/>
    <w:rsid w:val="001A4F55"/>
    <w:rsid w:val="001A6552"/>
    <w:rsid w:val="001A6638"/>
    <w:rsid w:val="001B01AC"/>
    <w:rsid w:val="001B083F"/>
    <w:rsid w:val="001B20A2"/>
    <w:rsid w:val="001B2EF9"/>
    <w:rsid w:val="001B3EB2"/>
    <w:rsid w:val="001B40EA"/>
    <w:rsid w:val="001B59C5"/>
    <w:rsid w:val="001B5F41"/>
    <w:rsid w:val="001B6C43"/>
    <w:rsid w:val="001B6E1D"/>
    <w:rsid w:val="001C012C"/>
    <w:rsid w:val="001C1532"/>
    <w:rsid w:val="001C18C3"/>
    <w:rsid w:val="001C4A82"/>
    <w:rsid w:val="001C5AB8"/>
    <w:rsid w:val="001C6453"/>
    <w:rsid w:val="001C66CD"/>
    <w:rsid w:val="001D0138"/>
    <w:rsid w:val="001D0AA6"/>
    <w:rsid w:val="001D1874"/>
    <w:rsid w:val="001D2752"/>
    <w:rsid w:val="001D34AC"/>
    <w:rsid w:val="001D43EE"/>
    <w:rsid w:val="001D4DEC"/>
    <w:rsid w:val="001D515A"/>
    <w:rsid w:val="001D599D"/>
    <w:rsid w:val="001D7B15"/>
    <w:rsid w:val="001D7B9B"/>
    <w:rsid w:val="001E0EE2"/>
    <w:rsid w:val="001E166B"/>
    <w:rsid w:val="001E1A1E"/>
    <w:rsid w:val="001E34C4"/>
    <w:rsid w:val="001E740C"/>
    <w:rsid w:val="001E795F"/>
    <w:rsid w:val="001E7D01"/>
    <w:rsid w:val="001F12A6"/>
    <w:rsid w:val="001F18D2"/>
    <w:rsid w:val="001F2420"/>
    <w:rsid w:val="001F2972"/>
    <w:rsid w:val="001F29E6"/>
    <w:rsid w:val="001F3DC6"/>
    <w:rsid w:val="001F42BF"/>
    <w:rsid w:val="001F535C"/>
    <w:rsid w:val="001F65A2"/>
    <w:rsid w:val="001F6FBD"/>
    <w:rsid w:val="001F7853"/>
    <w:rsid w:val="00200DA1"/>
    <w:rsid w:val="002034E1"/>
    <w:rsid w:val="00204C15"/>
    <w:rsid w:val="00204E51"/>
    <w:rsid w:val="00205E4B"/>
    <w:rsid w:val="002060EC"/>
    <w:rsid w:val="00206D1A"/>
    <w:rsid w:val="00206D29"/>
    <w:rsid w:val="0020768F"/>
    <w:rsid w:val="00210A69"/>
    <w:rsid w:val="00210C3D"/>
    <w:rsid w:val="002112EA"/>
    <w:rsid w:val="00212395"/>
    <w:rsid w:val="002124FA"/>
    <w:rsid w:val="00212A84"/>
    <w:rsid w:val="002167FC"/>
    <w:rsid w:val="00216981"/>
    <w:rsid w:val="002170DC"/>
    <w:rsid w:val="002176E2"/>
    <w:rsid w:val="00217E71"/>
    <w:rsid w:val="00220403"/>
    <w:rsid w:val="00221017"/>
    <w:rsid w:val="00221AAC"/>
    <w:rsid w:val="00221C0F"/>
    <w:rsid w:val="0022201B"/>
    <w:rsid w:val="00222441"/>
    <w:rsid w:val="00222855"/>
    <w:rsid w:val="00224479"/>
    <w:rsid w:val="002254E4"/>
    <w:rsid w:val="0022557C"/>
    <w:rsid w:val="00225D6C"/>
    <w:rsid w:val="00225D91"/>
    <w:rsid w:val="00230B93"/>
    <w:rsid w:val="00230BE0"/>
    <w:rsid w:val="002314A1"/>
    <w:rsid w:val="00231673"/>
    <w:rsid w:val="002316E5"/>
    <w:rsid w:val="002318BF"/>
    <w:rsid w:val="0023241A"/>
    <w:rsid w:val="00232EA6"/>
    <w:rsid w:val="002336F2"/>
    <w:rsid w:val="00233E46"/>
    <w:rsid w:val="00233EF7"/>
    <w:rsid w:val="00234A4D"/>
    <w:rsid w:val="002352C4"/>
    <w:rsid w:val="0023694C"/>
    <w:rsid w:val="00236BC0"/>
    <w:rsid w:val="00240EAC"/>
    <w:rsid w:val="0024101D"/>
    <w:rsid w:val="002428A4"/>
    <w:rsid w:val="002446EF"/>
    <w:rsid w:val="00245365"/>
    <w:rsid w:val="002453CF"/>
    <w:rsid w:val="00245603"/>
    <w:rsid w:val="002472FB"/>
    <w:rsid w:val="0024733A"/>
    <w:rsid w:val="002501DE"/>
    <w:rsid w:val="00250F16"/>
    <w:rsid w:val="00251491"/>
    <w:rsid w:val="002526BA"/>
    <w:rsid w:val="00253110"/>
    <w:rsid w:val="00253987"/>
    <w:rsid w:val="002546A9"/>
    <w:rsid w:val="00254858"/>
    <w:rsid w:val="002600C6"/>
    <w:rsid w:val="0026013C"/>
    <w:rsid w:val="002601F7"/>
    <w:rsid w:val="002607D5"/>
    <w:rsid w:val="0026139D"/>
    <w:rsid w:val="0026379C"/>
    <w:rsid w:val="0026379E"/>
    <w:rsid w:val="00263991"/>
    <w:rsid w:val="00263BC6"/>
    <w:rsid w:val="00263D08"/>
    <w:rsid w:val="00264331"/>
    <w:rsid w:val="002643F3"/>
    <w:rsid w:val="002663F5"/>
    <w:rsid w:val="00266C27"/>
    <w:rsid w:val="00270CF8"/>
    <w:rsid w:val="00272683"/>
    <w:rsid w:val="0027298C"/>
    <w:rsid w:val="00273014"/>
    <w:rsid w:val="00273C81"/>
    <w:rsid w:val="00275103"/>
    <w:rsid w:val="0027622D"/>
    <w:rsid w:val="002771A5"/>
    <w:rsid w:val="00277A91"/>
    <w:rsid w:val="002809E2"/>
    <w:rsid w:val="00280E07"/>
    <w:rsid w:val="00281606"/>
    <w:rsid w:val="00282154"/>
    <w:rsid w:val="0028425B"/>
    <w:rsid w:val="0028538B"/>
    <w:rsid w:val="0028581B"/>
    <w:rsid w:val="00285C6B"/>
    <w:rsid w:val="0028666F"/>
    <w:rsid w:val="00286BB6"/>
    <w:rsid w:val="00290FB2"/>
    <w:rsid w:val="00291243"/>
    <w:rsid w:val="00293C1C"/>
    <w:rsid w:val="00293D8D"/>
    <w:rsid w:val="0029421E"/>
    <w:rsid w:val="002943E2"/>
    <w:rsid w:val="00294646"/>
    <w:rsid w:val="00294FC9"/>
    <w:rsid w:val="00295393"/>
    <w:rsid w:val="002958AD"/>
    <w:rsid w:val="002958E5"/>
    <w:rsid w:val="0029653F"/>
    <w:rsid w:val="002966E6"/>
    <w:rsid w:val="00296845"/>
    <w:rsid w:val="00297017"/>
    <w:rsid w:val="00297B7A"/>
    <w:rsid w:val="002A04A9"/>
    <w:rsid w:val="002A0D7D"/>
    <w:rsid w:val="002A275F"/>
    <w:rsid w:val="002A28DE"/>
    <w:rsid w:val="002A2C43"/>
    <w:rsid w:val="002A3F0A"/>
    <w:rsid w:val="002A6334"/>
    <w:rsid w:val="002A63E4"/>
    <w:rsid w:val="002A688D"/>
    <w:rsid w:val="002A6977"/>
    <w:rsid w:val="002A7477"/>
    <w:rsid w:val="002A7820"/>
    <w:rsid w:val="002A7F3C"/>
    <w:rsid w:val="002B01D8"/>
    <w:rsid w:val="002B1665"/>
    <w:rsid w:val="002B1915"/>
    <w:rsid w:val="002B27D8"/>
    <w:rsid w:val="002B39BB"/>
    <w:rsid w:val="002B426E"/>
    <w:rsid w:val="002B55CB"/>
    <w:rsid w:val="002B61F2"/>
    <w:rsid w:val="002C0E77"/>
    <w:rsid w:val="002C23C1"/>
    <w:rsid w:val="002C2785"/>
    <w:rsid w:val="002C3104"/>
    <w:rsid w:val="002C346F"/>
    <w:rsid w:val="002C379C"/>
    <w:rsid w:val="002C3826"/>
    <w:rsid w:val="002C3926"/>
    <w:rsid w:val="002C717E"/>
    <w:rsid w:val="002C7C74"/>
    <w:rsid w:val="002D0694"/>
    <w:rsid w:val="002D0CDC"/>
    <w:rsid w:val="002D25BC"/>
    <w:rsid w:val="002D2932"/>
    <w:rsid w:val="002D2FB2"/>
    <w:rsid w:val="002D3EC2"/>
    <w:rsid w:val="002D4675"/>
    <w:rsid w:val="002D4908"/>
    <w:rsid w:val="002D5018"/>
    <w:rsid w:val="002D52C3"/>
    <w:rsid w:val="002D59A9"/>
    <w:rsid w:val="002D6FA5"/>
    <w:rsid w:val="002D714A"/>
    <w:rsid w:val="002D7865"/>
    <w:rsid w:val="002E06CC"/>
    <w:rsid w:val="002E140F"/>
    <w:rsid w:val="002E1635"/>
    <w:rsid w:val="002E1639"/>
    <w:rsid w:val="002E314C"/>
    <w:rsid w:val="002E3402"/>
    <w:rsid w:val="002E3773"/>
    <w:rsid w:val="002E3AD3"/>
    <w:rsid w:val="002E3B5B"/>
    <w:rsid w:val="002E402B"/>
    <w:rsid w:val="002E4437"/>
    <w:rsid w:val="002E487F"/>
    <w:rsid w:val="002E4A55"/>
    <w:rsid w:val="002E5E49"/>
    <w:rsid w:val="002E7AA9"/>
    <w:rsid w:val="002F1611"/>
    <w:rsid w:val="002F18D1"/>
    <w:rsid w:val="002F18FF"/>
    <w:rsid w:val="002F25FF"/>
    <w:rsid w:val="002F37D3"/>
    <w:rsid w:val="002F456E"/>
    <w:rsid w:val="002F59DB"/>
    <w:rsid w:val="002F5F1C"/>
    <w:rsid w:val="002F5F85"/>
    <w:rsid w:val="002F70C1"/>
    <w:rsid w:val="002F73BC"/>
    <w:rsid w:val="002F7B32"/>
    <w:rsid w:val="0030027E"/>
    <w:rsid w:val="00300C34"/>
    <w:rsid w:val="003028A6"/>
    <w:rsid w:val="00302B23"/>
    <w:rsid w:val="003032D4"/>
    <w:rsid w:val="00303371"/>
    <w:rsid w:val="003038E0"/>
    <w:rsid w:val="0030464E"/>
    <w:rsid w:val="00304F94"/>
    <w:rsid w:val="00307959"/>
    <w:rsid w:val="00310035"/>
    <w:rsid w:val="00310142"/>
    <w:rsid w:val="00310839"/>
    <w:rsid w:val="00312EE0"/>
    <w:rsid w:val="00314080"/>
    <w:rsid w:val="00314476"/>
    <w:rsid w:val="00315A06"/>
    <w:rsid w:val="00317720"/>
    <w:rsid w:val="00317F29"/>
    <w:rsid w:val="003200BD"/>
    <w:rsid w:val="00320A62"/>
    <w:rsid w:val="00321FF6"/>
    <w:rsid w:val="003225E9"/>
    <w:rsid w:val="00322D2C"/>
    <w:rsid w:val="003236DB"/>
    <w:rsid w:val="00323A55"/>
    <w:rsid w:val="0032495B"/>
    <w:rsid w:val="00324B1F"/>
    <w:rsid w:val="00324E1E"/>
    <w:rsid w:val="00326162"/>
    <w:rsid w:val="0032661D"/>
    <w:rsid w:val="00327661"/>
    <w:rsid w:val="00327C3D"/>
    <w:rsid w:val="003311F3"/>
    <w:rsid w:val="00331507"/>
    <w:rsid w:val="0033231A"/>
    <w:rsid w:val="003335DC"/>
    <w:rsid w:val="00334D92"/>
    <w:rsid w:val="003369A9"/>
    <w:rsid w:val="0034030A"/>
    <w:rsid w:val="003413A4"/>
    <w:rsid w:val="00341836"/>
    <w:rsid w:val="00342509"/>
    <w:rsid w:val="00344640"/>
    <w:rsid w:val="003450C7"/>
    <w:rsid w:val="00345279"/>
    <w:rsid w:val="00345C3F"/>
    <w:rsid w:val="00346116"/>
    <w:rsid w:val="0034624F"/>
    <w:rsid w:val="00346B30"/>
    <w:rsid w:val="00347572"/>
    <w:rsid w:val="0034784B"/>
    <w:rsid w:val="00347B9B"/>
    <w:rsid w:val="00347BA1"/>
    <w:rsid w:val="00350637"/>
    <w:rsid w:val="00351FEA"/>
    <w:rsid w:val="003523FC"/>
    <w:rsid w:val="00352CAD"/>
    <w:rsid w:val="0035368F"/>
    <w:rsid w:val="00354B19"/>
    <w:rsid w:val="00354DA8"/>
    <w:rsid w:val="00354F55"/>
    <w:rsid w:val="00357502"/>
    <w:rsid w:val="00357EEF"/>
    <w:rsid w:val="003614D8"/>
    <w:rsid w:val="00362D1F"/>
    <w:rsid w:val="00363092"/>
    <w:rsid w:val="00363B61"/>
    <w:rsid w:val="00364156"/>
    <w:rsid w:val="00364C4C"/>
    <w:rsid w:val="0036500B"/>
    <w:rsid w:val="003651B6"/>
    <w:rsid w:val="003652A3"/>
    <w:rsid w:val="0036646F"/>
    <w:rsid w:val="003672D0"/>
    <w:rsid w:val="00367A1E"/>
    <w:rsid w:val="00367CF2"/>
    <w:rsid w:val="00370688"/>
    <w:rsid w:val="00370D9E"/>
    <w:rsid w:val="00373851"/>
    <w:rsid w:val="00373CD5"/>
    <w:rsid w:val="003741C4"/>
    <w:rsid w:val="00375525"/>
    <w:rsid w:val="003760DA"/>
    <w:rsid w:val="003767F2"/>
    <w:rsid w:val="003768D9"/>
    <w:rsid w:val="00377E65"/>
    <w:rsid w:val="00380216"/>
    <w:rsid w:val="0038141B"/>
    <w:rsid w:val="003828C7"/>
    <w:rsid w:val="00382C42"/>
    <w:rsid w:val="00382CD5"/>
    <w:rsid w:val="00383276"/>
    <w:rsid w:val="0038394F"/>
    <w:rsid w:val="00384E9B"/>
    <w:rsid w:val="00384F0C"/>
    <w:rsid w:val="00385724"/>
    <w:rsid w:val="00390DC2"/>
    <w:rsid w:val="0039258F"/>
    <w:rsid w:val="003934E6"/>
    <w:rsid w:val="0039371B"/>
    <w:rsid w:val="00393E36"/>
    <w:rsid w:val="00394147"/>
    <w:rsid w:val="0039577B"/>
    <w:rsid w:val="0039645A"/>
    <w:rsid w:val="00397C8D"/>
    <w:rsid w:val="00397CFE"/>
    <w:rsid w:val="003A040D"/>
    <w:rsid w:val="003A10AF"/>
    <w:rsid w:val="003A2BB1"/>
    <w:rsid w:val="003A30C0"/>
    <w:rsid w:val="003A324C"/>
    <w:rsid w:val="003A4353"/>
    <w:rsid w:val="003A446C"/>
    <w:rsid w:val="003A5467"/>
    <w:rsid w:val="003A6757"/>
    <w:rsid w:val="003A7036"/>
    <w:rsid w:val="003A745C"/>
    <w:rsid w:val="003A780F"/>
    <w:rsid w:val="003B2793"/>
    <w:rsid w:val="003B29D5"/>
    <w:rsid w:val="003B4717"/>
    <w:rsid w:val="003B7210"/>
    <w:rsid w:val="003B77EA"/>
    <w:rsid w:val="003B7835"/>
    <w:rsid w:val="003B7D0D"/>
    <w:rsid w:val="003C01E3"/>
    <w:rsid w:val="003C3183"/>
    <w:rsid w:val="003C35C3"/>
    <w:rsid w:val="003C44B8"/>
    <w:rsid w:val="003C45ED"/>
    <w:rsid w:val="003C48E9"/>
    <w:rsid w:val="003C4DC7"/>
    <w:rsid w:val="003C5267"/>
    <w:rsid w:val="003C5339"/>
    <w:rsid w:val="003C5922"/>
    <w:rsid w:val="003C5F3C"/>
    <w:rsid w:val="003C61B5"/>
    <w:rsid w:val="003C6600"/>
    <w:rsid w:val="003D18CC"/>
    <w:rsid w:val="003D28D5"/>
    <w:rsid w:val="003D3338"/>
    <w:rsid w:val="003D39D1"/>
    <w:rsid w:val="003D4457"/>
    <w:rsid w:val="003D4BCB"/>
    <w:rsid w:val="003D4DA7"/>
    <w:rsid w:val="003D500E"/>
    <w:rsid w:val="003D6D1C"/>
    <w:rsid w:val="003D7300"/>
    <w:rsid w:val="003E0124"/>
    <w:rsid w:val="003E0648"/>
    <w:rsid w:val="003E10F2"/>
    <w:rsid w:val="003E20E0"/>
    <w:rsid w:val="003E2E60"/>
    <w:rsid w:val="003E57AE"/>
    <w:rsid w:val="003E5EFF"/>
    <w:rsid w:val="003E658C"/>
    <w:rsid w:val="003E6D64"/>
    <w:rsid w:val="003E733D"/>
    <w:rsid w:val="003E7367"/>
    <w:rsid w:val="003E7A8E"/>
    <w:rsid w:val="003F02AC"/>
    <w:rsid w:val="003F0C14"/>
    <w:rsid w:val="003F0D10"/>
    <w:rsid w:val="003F0DE2"/>
    <w:rsid w:val="003F1C16"/>
    <w:rsid w:val="003F2438"/>
    <w:rsid w:val="003F2D3B"/>
    <w:rsid w:val="003F2F6F"/>
    <w:rsid w:val="003F3813"/>
    <w:rsid w:val="003F4EE0"/>
    <w:rsid w:val="003F5628"/>
    <w:rsid w:val="003F570C"/>
    <w:rsid w:val="003F5B55"/>
    <w:rsid w:val="003F633A"/>
    <w:rsid w:val="003F775E"/>
    <w:rsid w:val="003F7F54"/>
    <w:rsid w:val="00400D89"/>
    <w:rsid w:val="00400E95"/>
    <w:rsid w:val="00400F7C"/>
    <w:rsid w:val="00401E3C"/>
    <w:rsid w:val="0040297B"/>
    <w:rsid w:val="004045D3"/>
    <w:rsid w:val="004048EB"/>
    <w:rsid w:val="0040497A"/>
    <w:rsid w:val="00405E5B"/>
    <w:rsid w:val="004068FC"/>
    <w:rsid w:val="00406AB0"/>
    <w:rsid w:val="00406AC3"/>
    <w:rsid w:val="00406EC7"/>
    <w:rsid w:val="00407AE7"/>
    <w:rsid w:val="0041056D"/>
    <w:rsid w:val="004111B8"/>
    <w:rsid w:val="0041278D"/>
    <w:rsid w:val="00413ED9"/>
    <w:rsid w:val="00413F66"/>
    <w:rsid w:val="00413FD8"/>
    <w:rsid w:val="0041418B"/>
    <w:rsid w:val="00414F7C"/>
    <w:rsid w:val="00415BD8"/>
    <w:rsid w:val="004165FE"/>
    <w:rsid w:val="00416CFE"/>
    <w:rsid w:val="004170BB"/>
    <w:rsid w:val="0041785C"/>
    <w:rsid w:val="004179F5"/>
    <w:rsid w:val="00417B4A"/>
    <w:rsid w:val="004224E3"/>
    <w:rsid w:val="00422C20"/>
    <w:rsid w:val="00422CB6"/>
    <w:rsid w:val="004242C4"/>
    <w:rsid w:val="0042454E"/>
    <w:rsid w:val="00425168"/>
    <w:rsid w:val="0042561F"/>
    <w:rsid w:val="00426E76"/>
    <w:rsid w:val="00430835"/>
    <w:rsid w:val="00430ADB"/>
    <w:rsid w:val="00431CA7"/>
    <w:rsid w:val="00432864"/>
    <w:rsid w:val="00432C40"/>
    <w:rsid w:val="004334D2"/>
    <w:rsid w:val="0043361C"/>
    <w:rsid w:val="00434211"/>
    <w:rsid w:val="00435568"/>
    <w:rsid w:val="00435906"/>
    <w:rsid w:val="00435FAA"/>
    <w:rsid w:val="00436A4B"/>
    <w:rsid w:val="00436D70"/>
    <w:rsid w:val="004400B0"/>
    <w:rsid w:val="004402CE"/>
    <w:rsid w:val="00440667"/>
    <w:rsid w:val="00441700"/>
    <w:rsid w:val="0044206D"/>
    <w:rsid w:val="00442959"/>
    <w:rsid w:val="0044335C"/>
    <w:rsid w:val="004436C6"/>
    <w:rsid w:val="00443C7A"/>
    <w:rsid w:val="00446843"/>
    <w:rsid w:val="00447453"/>
    <w:rsid w:val="004479F1"/>
    <w:rsid w:val="00447B88"/>
    <w:rsid w:val="0045085F"/>
    <w:rsid w:val="00450D9B"/>
    <w:rsid w:val="00452279"/>
    <w:rsid w:val="00452E7E"/>
    <w:rsid w:val="00453F8A"/>
    <w:rsid w:val="004543BD"/>
    <w:rsid w:val="00454FE4"/>
    <w:rsid w:val="00455FEA"/>
    <w:rsid w:val="00456F60"/>
    <w:rsid w:val="00460CD2"/>
    <w:rsid w:val="00461B41"/>
    <w:rsid w:val="004625C9"/>
    <w:rsid w:val="004628FF"/>
    <w:rsid w:val="00462C76"/>
    <w:rsid w:val="004638EA"/>
    <w:rsid w:val="00464453"/>
    <w:rsid w:val="0046685C"/>
    <w:rsid w:val="00466C54"/>
    <w:rsid w:val="00467AB7"/>
    <w:rsid w:val="00467BB0"/>
    <w:rsid w:val="00470F36"/>
    <w:rsid w:val="0047256E"/>
    <w:rsid w:val="00472675"/>
    <w:rsid w:val="00473AAA"/>
    <w:rsid w:val="00474272"/>
    <w:rsid w:val="00477E82"/>
    <w:rsid w:val="004823DB"/>
    <w:rsid w:val="004833C4"/>
    <w:rsid w:val="00483954"/>
    <w:rsid w:val="0048459D"/>
    <w:rsid w:val="00484A6C"/>
    <w:rsid w:val="004851B1"/>
    <w:rsid w:val="00487FAD"/>
    <w:rsid w:val="00490562"/>
    <w:rsid w:val="00491B66"/>
    <w:rsid w:val="00491FAD"/>
    <w:rsid w:val="0049234F"/>
    <w:rsid w:val="00493DFB"/>
    <w:rsid w:val="0049467D"/>
    <w:rsid w:val="00494DAD"/>
    <w:rsid w:val="00496339"/>
    <w:rsid w:val="00496B0A"/>
    <w:rsid w:val="00497810"/>
    <w:rsid w:val="004A091A"/>
    <w:rsid w:val="004A0AB8"/>
    <w:rsid w:val="004A11FC"/>
    <w:rsid w:val="004A1AE3"/>
    <w:rsid w:val="004A2714"/>
    <w:rsid w:val="004A29A7"/>
    <w:rsid w:val="004A39FF"/>
    <w:rsid w:val="004A3F15"/>
    <w:rsid w:val="004A4084"/>
    <w:rsid w:val="004A4CE6"/>
    <w:rsid w:val="004A4EF4"/>
    <w:rsid w:val="004A4FB3"/>
    <w:rsid w:val="004A52B9"/>
    <w:rsid w:val="004A55FB"/>
    <w:rsid w:val="004A6E33"/>
    <w:rsid w:val="004B0926"/>
    <w:rsid w:val="004B0A19"/>
    <w:rsid w:val="004B2E9A"/>
    <w:rsid w:val="004B36EE"/>
    <w:rsid w:val="004B4C9E"/>
    <w:rsid w:val="004B5837"/>
    <w:rsid w:val="004B5BBC"/>
    <w:rsid w:val="004B6F7D"/>
    <w:rsid w:val="004B7306"/>
    <w:rsid w:val="004B7BD3"/>
    <w:rsid w:val="004B7DAB"/>
    <w:rsid w:val="004C0183"/>
    <w:rsid w:val="004C056B"/>
    <w:rsid w:val="004C12D0"/>
    <w:rsid w:val="004C1E8E"/>
    <w:rsid w:val="004C321A"/>
    <w:rsid w:val="004C3F65"/>
    <w:rsid w:val="004C4603"/>
    <w:rsid w:val="004C4615"/>
    <w:rsid w:val="004C592D"/>
    <w:rsid w:val="004C6060"/>
    <w:rsid w:val="004C66C7"/>
    <w:rsid w:val="004D000C"/>
    <w:rsid w:val="004D03A7"/>
    <w:rsid w:val="004D1722"/>
    <w:rsid w:val="004D28FB"/>
    <w:rsid w:val="004D3B76"/>
    <w:rsid w:val="004D5AF6"/>
    <w:rsid w:val="004D61E8"/>
    <w:rsid w:val="004D7540"/>
    <w:rsid w:val="004D76F0"/>
    <w:rsid w:val="004E04E2"/>
    <w:rsid w:val="004E1649"/>
    <w:rsid w:val="004E1A06"/>
    <w:rsid w:val="004E26D3"/>
    <w:rsid w:val="004E3733"/>
    <w:rsid w:val="004E3F97"/>
    <w:rsid w:val="004E46A2"/>
    <w:rsid w:val="004E4BA7"/>
    <w:rsid w:val="004E5C24"/>
    <w:rsid w:val="004E5C6A"/>
    <w:rsid w:val="004F01C6"/>
    <w:rsid w:val="004F16F4"/>
    <w:rsid w:val="004F2129"/>
    <w:rsid w:val="004F317B"/>
    <w:rsid w:val="004F3551"/>
    <w:rsid w:val="004F3DA8"/>
    <w:rsid w:val="004F3E53"/>
    <w:rsid w:val="004F5B65"/>
    <w:rsid w:val="004F5C26"/>
    <w:rsid w:val="004F6DBD"/>
    <w:rsid w:val="004F7D6E"/>
    <w:rsid w:val="00500594"/>
    <w:rsid w:val="00500E14"/>
    <w:rsid w:val="00501053"/>
    <w:rsid w:val="00501623"/>
    <w:rsid w:val="00501905"/>
    <w:rsid w:val="00502062"/>
    <w:rsid w:val="0050261E"/>
    <w:rsid w:val="0050418B"/>
    <w:rsid w:val="005041F0"/>
    <w:rsid w:val="00504C3A"/>
    <w:rsid w:val="00505B2B"/>
    <w:rsid w:val="00505CFD"/>
    <w:rsid w:val="00506AAE"/>
    <w:rsid w:val="005119A7"/>
    <w:rsid w:val="00512606"/>
    <w:rsid w:val="00513104"/>
    <w:rsid w:val="00513A0B"/>
    <w:rsid w:val="00513E79"/>
    <w:rsid w:val="00514770"/>
    <w:rsid w:val="005149D0"/>
    <w:rsid w:val="005167FA"/>
    <w:rsid w:val="00516BF8"/>
    <w:rsid w:val="005172C8"/>
    <w:rsid w:val="00517BA2"/>
    <w:rsid w:val="00520E0B"/>
    <w:rsid w:val="005210C7"/>
    <w:rsid w:val="00521403"/>
    <w:rsid w:val="00521E2C"/>
    <w:rsid w:val="0052361A"/>
    <w:rsid w:val="00523D6A"/>
    <w:rsid w:val="00524032"/>
    <w:rsid w:val="005249F7"/>
    <w:rsid w:val="00524C04"/>
    <w:rsid w:val="005258E4"/>
    <w:rsid w:val="00525AAB"/>
    <w:rsid w:val="0052632E"/>
    <w:rsid w:val="0052670F"/>
    <w:rsid w:val="005275ED"/>
    <w:rsid w:val="00527C27"/>
    <w:rsid w:val="00530722"/>
    <w:rsid w:val="0053079E"/>
    <w:rsid w:val="00532B54"/>
    <w:rsid w:val="0053307C"/>
    <w:rsid w:val="0053554B"/>
    <w:rsid w:val="00537B28"/>
    <w:rsid w:val="00537B40"/>
    <w:rsid w:val="00537EFE"/>
    <w:rsid w:val="00540162"/>
    <w:rsid w:val="0054044D"/>
    <w:rsid w:val="00540AF4"/>
    <w:rsid w:val="0054100E"/>
    <w:rsid w:val="00541194"/>
    <w:rsid w:val="00541C3D"/>
    <w:rsid w:val="00542387"/>
    <w:rsid w:val="00543012"/>
    <w:rsid w:val="00543026"/>
    <w:rsid w:val="00543648"/>
    <w:rsid w:val="00544598"/>
    <w:rsid w:val="00544AD3"/>
    <w:rsid w:val="00546076"/>
    <w:rsid w:val="00546D6A"/>
    <w:rsid w:val="005473B8"/>
    <w:rsid w:val="005507A0"/>
    <w:rsid w:val="00550CEB"/>
    <w:rsid w:val="00551065"/>
    <w:rsid w:val="0055261A"/>
    <w:rsid w:val="00552E42"/>
    <w:rsid w:val="00553C18"/>
    <w:rsid w:val="00554046"/>
    <w:rsid w:val="0055445D"/>
    <w:rsid w:val="00554E8F"/>
    <w:rsid w:val="00555CE4"/>
    <w:rsid w:val="0055661D"/>
    <w:rsid w:val="00556893"/>
    <w:rsid w:val="00557728"/>
    <w:rsid w:val="00560B8C"/>
    <w:rsid w:val="00560FED"/>
    <w:rsid w:val="00561021"/>
    <w:rsid w:val="00561140"/>
    <w:rsid w:val="005615FF"/>
    <w:rsid w:val="00561981"/>
    <w:rsid w:val="00561A2B"/>
    <w:rsid w:val="00561EDF"/>
    <w:rsid w:val="00562276"/>
    <w:rsid w:val="005625FC"/>
    <w:rsid w:val="005629F8"/>
    <w:rsid w:val="0056317B"/>
    <w:rsid w:val="00564321"/>
    <w:rsid w:val="0056493A"/>
    <w:rsid w:val="00564B9F"/>
    <w:rsid w:val="00565362"/>
    <w:rsid w:val="00565421"/>
    <w:rsid w:val="0056545E"/>
    <w:rsid w:val="00565FA5"/>
    <w:rsid w:val="00566B5B"/>
    <w:rsid w:val="0056753D"/>
    <w:rsid w:val="00567740"/>
    <w:rsid w:val="00570089"/>
    <w:rsid w:val="00570E3F"/>
    <w:rsid w:val="00571736"/>
    <w:rsid w:val="00571C15"/>
    <w:rsid w:val="00571D22"/>
    <w:rsid w:val="00572421"/>
    <w:rsid w:val="005724C5"/>
    <w:rsid w:val="005724D5"/>
    <w:rsid w:val="005736B5"/>
    <w:rsid w:val="00574F49"/>
    <w:rsid w:val="00575BB1"/>
    <w:rsid w:val="00575FF9"/>
    <w:rsid w:val="005767B4"/>
    <w:rsid w:val="00576A19"/>
    <w:rsid w:val="00576C2A"/>
    <w:rsid w:val="005773AF"/>
    <w:rsid w:val="00580499"/>
    <w:rsid w:val="0058061D"/>
    <w:rsid w:val="005807BF"/>
    <w:rsid w:val="005835DA"/>
    <w:rsid w:val="00583F0C"/>
    <w:rsid w:val="005843AC"/>
    <w:rsid w:val="005855FE"/>
    <w:rsid w:val="005869E5"/>
    <w:rsid w:val="00586DCB"/>
    <w:rsid w:val="0058723F"/>
    <w:rsid w:val="005919BA"/>
    <w:rsid w:val="00593B97"/>
    <w:rsid w:val="005942EB"/>
    <w:rsid w:val="00594D2E"/>
    <w:rsid w:val="00597C89"/>
    <w:rsid w:val="00597D9A"/>
    <w:rsid w:val="00597F3D"/>
    <w:rsid w:val="005A0373"/>
    <w:rsid w:val="005A0B65"/>
    <w:rsid w:val="005A1BB6"/>
    <w:rsid w:val="005A2E71"/>
    <w:rsid w:val="005A36CF"/>
    <w:rsid w:val="005A4CB8"/>
    <w:rsid w:val="005A5398"/>
    <w:rsid w:val="005A6710"/>
    <w:rsid w:val="005A7388"/>
    <w:rsid w:val="005A78A8"/>
    <w:rsid w:val="005B0B82"/>
    <w:rsid w:val="005B19FF"/>
    <w:rsid w:val="005B253A"/>
    <w:rsid w:val="005B27FB"/>
    <w:rsid w:val="005B3CF8"/>
    <w:rsid w:val="005B3D9B"/>
    <w:rsid w:val="005B5FC4"/>
    <w:rsid w:val="005B6D43"/>
    <w:rsid w:val="005B79E8"/>
    <w:rsid w:val="005B7F3F"/>
    <w:rsid w:val="005C028F"/>
    <w:rsid w:val="005C1A57"/>
    <w:rsid w:val="005C1D93"/>
    <w:rsid w:val="005C2479"/>
    <w:rsid w:val="005C25C5"/>
    <w:rsid w:val="005C2DEA"/>
    <w:rsid w:val="005C357E"/>
    <w:rsid w:val="005C38A2"/>
    <w:rsid w:val="005C628A"/>
    <w:rsid w:val="005C655E"/>
    <w:rsid w:val="005C6911"/>
    <w:rsid w:val="005C76D8"/>
    <w:rsid w:val="005C7B09"/>
    <w:rsid w:val="005D126C"/>
    <w:rsid w:val="005D14FF"/>
    <w:rsid w:val="005D17F3"/>
    <w:rsid w:val="005D1E19"/>
    <w:rsid w:val="005D22A7"/>
    <w:rsid w:val="005D262D"/>
    <w:rsid w:val="005D2D7D"/>
    <w:rsid w:val="005D40A0"/>
    <w:rsid w:val="005D5187"/>
    <w:rsid w:val="005D5536"/>
    <w:rsid w:val="005D5B3C"/>
    <w:rsid w:val="005D65C4"/>
    <w:rsid w:val="005E09BA"/>
    <w:rsid w:val="005E0A3C"/>
    <w:rsid w:val="005E24C2"/>
    <w:rsid w:val="005E2A92"/>
    <w:rsid w:val="005E38CE"/>
    <w:rsid w:val="005E3C26"/>
    <w:rsid w:val="005E6033"/>
    <w:rsid w:val="005E6427"/>
    <w:rsid w:val="005E751E"/>
    <w:rsid w:val="005F0423"/>
    <w:rsid w:val="005F335B"/>
    <w:rsid w:val="005F3AD9"/>
    <w:rsid w:val="005F41A2"/>
    <w:rsid w:val="005F4716"/>
    <w:rsid w:val="005F4C16"/>
    <w:rsid w:val="005F4E4B"/>
    <w:rsid w:val="005F51DE"/>
    <w:rsid w:val="005F6576"/>
    <w:rsid w:val="005F6650"/>
    <w:rsid w:val="0060071B"/>
    <w:rsid w:val="00600D3E"/>
    <w:rsid w:val="00601CCD"/>
    <w:rsid w:val="006029A5"/>
    <w:rsid w:val="00602EE6"/>
    <w:rsid w:val="00602FFC"/>
    <w:rsid w:val="006032B2"/>
    <w:rsid w:val="0060504E"/>
    <w:rsid w:val="00605092"/>
    <w:rsid w:val="0060670D"/>
    <w:rsid w:val="00607305"/>
    <w:rsid w:val="00607430"/>
    <w:rsid w:val="00610A6E"/>
    <w:rsid w:val="00610AF7"/>
    <w:rsid w:val="00611301"/>
    <w:rsid w:val="00611DF6"/>
    <w:rsid w:val="0061262D"/>
    <w:rsid w:val="006129BB"/>
    <w:rsid w:val="00612ACD"/>
    <w:rsid w:val="00612D93"/>
    <w:rsid w:val="00614FFF"/>
    <w:rsid w:val="00616125"/>
    <w:rsid w:val="006172F1"/>
    <w:rsid w:val="00617C67"/>
    <w:rsid w:val="006206EF"/>
    <w:rsid w:val="00620887"/>
    <w:rsid w:val="0062170F"/>
    <w:rsid w:val="0062186E"/>
    <w:rsid w:val="0062187E"/>
    <w:rsid w:val="00621BFE"/>
    <w:rsid w:val="00623A93"/>
    <w:rsid w:val="006240EA"/>
    <w:rsid w:val="00624CAF"/>
    <w:rsid w:val="0062611F"/>
    <w:rsid w:val="006262F8"/>
    <w:rsid w:val="0062657E"/>
    <w:rsid w:val="00626C6D"/>
    <w:rsid w:val="00626D8F"/>
    <w:rsid w:val="006278DF"/>
    <w:rsid w:val="00631018"/>
    <w:rsid w:val="00631859"/>
    <w:rsid w:val="00632000"/>
    <w:rsid w:val="00632886"/>
    <w:rsid w:val="00632DD3"/>
    <w:rsid w:val="00634434"/>
    <w:rsid w:val="0063451E"/>
    <w:rsid w:val="00634E03"/>
    <w:rsid w:val="006354F8"/>
    <w:rsid w:val="006356D0"/>
    <w:rsid w:val="00636019"/>
    <w:rsid w:val="006366BE"/>
    <w:rsid w:val="0063693D"/>
    <w:rsid w:val="00637874"/>
    <w:rsid w:val="00640760"/>
    <w:rsid w:val="006413DB"/>
    <w:rsid w:val="00642209"/>
    <w:rsid w:val="006426AC"/>
    <w:rsid w:val="0064405E"/>
    <w:rsid w:val="006448CF"/>
    <w:rsid w:val="00644903"/>
    <w:rsid w:val="00644FA4"/>
    <w:rsid w:val="006452FA"/>
    <w:rsid w:val="00646D94"/>
    <w:rsid w:val="00646E15"/>
    <w:rsid w:val="006476AF"/>
    <w:rsid w:val="00647987"/>
    <w:rsid w:val="00647FE0"/>
    <w:rsid w:val="00650996"/>
    <w:rsid w:val="006514DB"/>
    <w:rsid w:val="0065273A"/>
    <w:rsid w:val="00652967"/>
    <w:rsid w:val="0065315A"/>
    <w:rsid w:val="0065489C"/>
    <w:rsid w:val="00654CEA"/>
    <w:rsid w:val="00654E6C"/>
    <w:rsid w:val="00654EE0"/>
    <w:rsid w:val="00656925"/>
    <w:rsid w:val="00657780"/>
    <w:rsid w:val="006577AD"/>
    <w:rsid w:val="00662190"/>
    <w:rsid w:val="006622D4"/>
    <w:rsid w:val="006633B7"/>
    <w:rsid w:val="00663BAA"/>
    <w:rsid w:val="00664B20"/>
    <w:rsid w:val="00664F50"/>
    <w:rsid w:val="006652FA"/>
    <w:rsid w:val="00665AA6"/>
    <w:rsid w:val="006664A0"/>
    <w:rsid w:val="006709BF"/>
    <w:rsid w:val="00670EE4"/>
    <w:rsid w:val="00671451"/>
    <w:rsid w:val="00671877"/>
    <w:rsid w:val="00673A7C"/>
    <w:rsid w:val="0067523F"/>
    <w:rsid w:val="0067547E"/>
    <w:rsid w:val="00675711"/>
    <w:rsid w:val="00676458"/>
    <w:rsid w:val="00676730"/>
    <w:rsid w:val="006767B7"/>
    <w:rsid w:val="006777C4"/>
    <w:rsid w:val="00677F1E"/>
    <w:rsid w:val="006801A3"/>
    <w:rsid w:val="00680295"/>
    <w:rsid w:val="00680876"/>
    <w:rsid w:val="0068295F"/>
    <w:rsid w:val="00682984"/>
    <w:rsid w:val="00682C09"/>
    <w:rsid w:val="00683280"/>
    <w:rsid w:val="00685983"/>
    <w:rsid w:val="00685DF9"/>
    <w:rsid w:val="00686045"/>
    <w:rsid w:val="00687118"/>
    <w:rsid w:val="00687BF9"/>
    <w:rsid w:val="0069106D"/>
    <w:rsid w:val="00693232"/>
    <w:rsid w:val="0069371C"/>
    <w:rsid w:val="006951F2"/>
    <w:rsid w:val="006979B0"/>
    <w:rsid w:val="00697C2B"/>
    <w:rsid w:val="006A13ED"/>
    <w:rsid w:val="006A184C"/>
    <w:rsid w:val="006A494F"/>
    <w:rsid w:val="006A4AAD"/>
    <w:rsid w:val="006A559C"/>
    <w:rsid w:val="006A55EB"/>
    <w:rsid w:val="006A55EE"/>
    <w:rsid w:val="006A5CC7"/>
    <w:rsid w:val="006A5ECD"/>
    <w:rsid w:val="006A5FFD"/>
    <w:rsid w:val="006A6B3A"/>
    <w:rsid w:val="006A6FAF"/>
    <w:rsid w:val="006A712B"/>
    <w:rsid w:val="006A796F"/>
    <w:rsid w:val="006B0CB6"/>
    <w:rsid w:val="006B0D54"/>
    <w:rsid w:val="006B4D26"/>
    <w:rsid w:val="006B4E2A"/>
    <w:rsid w:val="006B574D"/>
    <w:rsid w:val="006B5794"/>
    <w:rsid w:val="006B5C93"/>
    <w:rsid w:val="006B67CE"/>
    <w:rsid w:val="006B691E"/>
    <w:rsid w:val="006B7725"/>
    <w:rsid w:val="006B7B1A"/>
    <w:rsid w:val="006B7B92"/>
    <w:rsid w:val="006C1285"/>
    <w:rsid w:val="006C1313"/>
    <w:rsid w:val="006C1597"/>
    <w:rsid w:val="006C1EDF"/>
    <w:rsid w:val="006C46FF"/>
    <w:rsid w:val="006C5346"/>
    <w:rsid w:val="006C684F"/>
    <w:rsid w:val="006C77CF"/>
    <w:rsid w:val="006D05B2"/>
    <w:rsid w:val="006D0A1B"/>
    <w:rsid w:val="006D0C27"/>
    <w:rsid w:val="006D12A5"/>
    <w:rsid w:val="006D17FA"/>
    <w:rsid w:val="006D1867"/>
    <w:rsid w:val="006D225B"/>
    <w:rsid w:val="006D2587"/>
    <w:rsid w:val="006D325C"/>
    <w:rsid w:val="006D3433"/>
    <w:rsid w:val="006D3783"/>
    <w:rsid w:val="006D4FFC"/>
    <w:rsid w:val="006D5BC9"/>
    <w:rsid w:val="006D68CD"/>
    <w:rsid w:val="006D690A"/>
    <w:rsid w:val="006D697D"/>
    <w:rsid w:val="006D69F0"/>
    <w:rsid w:val="006E02BC"/>
    <w:rsid w:val="006E12E7"/>
    <w:rsid w:val="006E1F3D"/>
    <w:rsid w:val="006E34C4"/>
    <w:rsid w:val="006E3A0E"/>
    <w:rsid w:val="006E3C16"/>
    <w:rsid w:val="006E56B2"/>
    <w:rsid w:val="006F057F"/>
    <w:rsid w:val="006F0F03"/>
    <w:rsid w:val="006F1A67"/>
    <w:rsid w:val="006F29C7"/>
    <w:rsid w:val="006F34E8"/>
    <w:rsid w:val="006F39E5"/>
    <w:rsid w:val="006F3E62"/>
    <w:rsid w:val="006F4A60"/>
    <w:rsid w:val="006F5D12"/>
    <w:rsid w:val="006F7459"/>
    <w:rsid w:val="00700298"/>
    <w:rsid w:val="0070105C"/>
    <w:rsid w:val="0070164A"/>
    <w:rsid w:val="00701F4B"/>
    <w:rsid w:val="007021E1"/>
    <w:rsid w:val="007037C4"/>
    <w:rsid w:val="00703BC2"/>
    <w:rsid w:val="00704040"/>
    <w:rsid w:val="007046BF"/>
    <w:rsid w:val="00705462"/>
    <w:rsid w:val="00705775"/>
    <w:rsid w:val="00705E60"/>
    <w:rsid w:val="00705E74"/>
    <w:rsid w:val="0071177C"/>
    <w:rsid w:val="00712949"/>
    <w:rsid w:val="007138C9"/>
    <w:rsid w:val="00713DA1"/>
    <w:rsid w:val="00715855"/>
    <w:rsid w:val="0071681F"/>
    <w:rsid w:val="00716DF5"/>
    <w:rsid w:val="00721403"/>
    <w:rsid w:val="00721CE1"/>
    <w:rsid w:val="00721EEE"/>
    <w:rsid w:val="0072349B"/>
    <w:rsid w:val="007235D4"/>
    <w:rsid w:val="0072370A"/>
    <w:rsid w:val="00723A5A"/>
    <w:rsid w:val="00723C46"/>
    <w:rsid w:val="00723DF3"/>
    <w:rsid w:val="007245C5"/>
    <w:rsid w:val="00725B5D"/>
    <w:rsid w:val="00726944"/>
    <w:rsid w:val="007271F7"/>
    <w:rsid w:val="0072799F"/>
    <w:rsid w:val="00730034"/>
    <w:rsid w:val="00730156"/>
    <w:rsid w:val="00730501"/>
    <w:rsid w:val="0073109A"/>
    <w:rsid w:val="00731FAE"/>
    <w:rsid w:val="007320FE"/>
    <w:rsid w:val="007325A8"/>
    <w:rsid w:val="007334D9"/>
    <w:rsid w:val="007336C9"/>
    <w:rsid w:val="00735173"/>
    <w:rsid w:val="00735423"/>
    <w:rsid w:val="007365A7"/>
    <w:rsid w:val="0073765C"/>
    <w:rsid w:val="007379F8"/>
    <w:rsid w:val="007415A8"/>
    <w:rsid w:val="00742530"/>
    <w:rsid w:val="007426A7"/>
    <w:rsid w:val="00743278"/>
    <w:rsid w:val="0074371E"/>
    <w:rsid w:val="007439F3"/>
    <w:rsid w:val="007441E0"/>
    <w:rsid w:val="007449D2"/>
    <w:rsid w:val="00746C91"/>
    <w:rsid w:val="00747144"/>
    <w:rsid w:val="00747ED5"/>
    <w:rsid w:val="007509D6"/>
    <w:rsid w:val="00750BBA"/>
    <w:rsid w:val="00751061"/>
    <w:rsid w:val="00752854"/>
    <w:rsid w:val="00753641"/>
    <w:rsid w:val="00753C99"/>
    <w:rsid w:val="00755099"/>
    <w:rsid w:val="00755B91"/>
    <w:rsid w:val="00755DED"/>
    <w:rsid w:val="00756D92"/>
    <w:rsid w:val="00757E40"/>
    <w:rsid w:val="007609E1"/>
    <w:rsid w:val="00760A40"/>
    <w:rsid w:val="00761786"/>
    <w:rsid w:val="00761F18"/>
    <w:rsid w:val="00763449"/>
    <w:rsid w:val="0076487C"/>
    <w:rsid w:val="00765552"/>
    <w:rsid w:val="00765F82"/>
    <w:rsid w:val="00766759"/>
    <w:rsid w:val="00766C31"/>
    <w:rsid w:val="00770B26"/>
    <w:rsid w:val="00771ACE"/>
    <w:rsid w:val="0077261C"/>
    <w:rsid w:val="007730FD"/>
    <w:rsid w:val="007733A2"/>
    <w:rsid w:val="00773638"/>
    <w:rsid w:val="00773A84"/>
    <w:rsid w:val="007741CD"/>
    <w:rsid w:val="007747A1"/>
    <w:rsid w:val="00775A4C"/>
    <w:rsid w:val="00776E61"/>
    <w:rsid w:val="00777178"/>
    <w:rsid w:val="00780530"/>
    <w:rsid w:val="0078143F"/>
    <w:rsid w:val="00782B12"/>
    <w:rsid w:val="00782D71"/>
    <w:rsid w:val="00784C6F"/>
    <w:rsid w:val="00785328"/>
    <w:rsid w:val="00785862"/>
    <w:rsid w:val="00786ACD"/>
    <w:rsid w:val="007916A6"/>
    <w:rsid w:val="00792525"/>
    <w:rsid w:val="00793116"/>
    <w:rsid w:val="0079334B"/>
    <w:rsid w:val="00794104"/>
    <w:rsid w:val="0079435C"/>
    <w:rsid w:val="00794C36"/>
    <w:rsid w:val="007A06A7"/>
    <w:rsid w:val="007A2028"/>
    <w:rsid w:val="007A20DD"/>
    <w:rsid w:val="007A2192"/>
    <w:rsid w:val="007A390D"/>
    <w:rsid w:val="007A3BF5"/>
    <w:rsid w:val="007A4CCA"/>
    <w:rsid w:val="007A4FC6"/>
    <w:rsid w:val="007A5868"/>
    <w:rsid w:val="007A69A9"/>
    <w:rsid w:val="007A7736"/>
    <w:rsid w:val="007A7784"/>
    <w:rsid w:val="007B001C"/>
    <w:rsid w:val="007B024A"/>
    <w:rsid w:val="007B0612"/>
    <w:rsid w:val="007B090A"/>
    <w:rsid w:val="007B1245"/>
    <w:rsid w:val="007B1E67"/>
    <w:rsid w:val="007B2970"/>
    <w:rsid w:val="007B2E78"/>
    <w:rsid w:val="007B3598"/>
    <w:rsid w:val="007B434E"/>
    <w:rsid w:val="007B44D5"/>
    <w:rsid w:val="007B4CEA"/>
    <w:rsid w:val="007C1984"/>
    <w:rsid w:val="007C1E21"/>
    <w:rsid w:val="007C253F"/>
    <w:rsid w:val="007C3570"/>
    <w:rsid w:val="007C48C5"/>
    <w:rsid w:val="007C4A97"/>
    <w:rsid w:val="007C4E2D"/>
    <w:rsid w:val="007C57BC"/>
    <w:rsid w:val="007C6348"/>
    <w:rsid w:val="007C7E2D"/>
    <w:rsid w:val="007D0E50"/>
    <w:rsid w:val="007D2B34"/>
    <w:rsid w:val="007D412C"/>
    <w:rsid w:val="007D5A62"/>
    <w:rsid w:val="007D6E61"/>
    <w:rsid w:val="007D78A1"/>
    <w:rsid w:val="007D7A5C"/>
    <w:rsid w:val="007D7EDC"/>
    <w:rsid w:val="007E268F"/>
    <w:rsid w:val="007E272E"/>
    <w:rsid w:val="007E3441"/>
    <w:rsid w:val="007E36DB"/>
    <w:rsid w:val="007E4B37"/>
    <w:rsid w:val="007E4F5A"/>
    <w:rsid w:val="007E50D3"/>
    <w:rsid w:val="007E5F34"/>
    <w:rsid w:val="007F2441"/>
    <w:rsid w:val="007F3A27"/>
    <w:rsid w:val="007F3B1C"/>
    <w:rsid w:val="007F3C50"/>
    <w:rsid w:val="007F4B55"/>
    <w:rsid w:val="007F6004"/>
    <w:rsid w:val="007F6257"/>
    <w:rsid w:val="007F63A6"/>
    <w:rsid w:val="007F6633"/>
    <w:rsid w:val="007F6B32"/>
    <w:rsid w:val="007F7724"/>
    <w:rsid w:val="008005EF"/>
    <w:rsid w:val="00800893"/>
    <w:rsid w:val="008009CB"/>
    <w:rsid w:val="00800EDD"/>
    <w:rsid w:val="00801650"/>
    <w:rsid w:val="00801EA4"/>
    <w:rsid w:val="008021F9"/>
    <w:rsid w:val="0080250A"/>
    <w:rsid w:val="0080325D"/>
    <w:rsid w:val="008034AD"/>
    <w:rsid w:val="008039D5"/>
    <w:rsid w:val="00804865"/>
    <w:rsid w:val="00804E26"/>
    <w:rsid w:val="00805DB4"/>
    <w:rsid w:val="008064C0"/>
    <w:rsid w:val="00806635"/>
    <w:rsid w:val="00807854"/>
    <w:rsid w:val="00807C49"/>
    <w:rsid w:val="008118BF"/>
    <w:rsid w:val="00812CAB"/>
    <w:rsid w:val="00813334"/>
    <w:rsid w:val="00813D4E"/>
    <w:rsid w:val="00813D72"/>
    <w:rsid w:val="0081506E"/>
    <w:rsid w:val="008155BF"/>
    <w:rsid w:val="00815D00"/>
    <w:rsid w:val="00816332"/>
    <w:rsid w:val="00817D48"/>
    <w:rsid w:val="00817EF6"/>
    <w:rsid w:val="008203FC"/>
    <w:rsid w:val="00820B2D"/>
    <w:rsid w:val="00821749"/>
    <w:rsid w:val="00821E33"/>
    <w:rsid w:val="0082413D"/>
    <w:rsid w:val="008246BA"/>
    <w:rsid w:val="008247D6"/>
    <w:rsid w:val="00825F6B"/>
    <w:rsid w:val="008260BA"/>
    <w:rsid w:val="00826E1B"/>
    <w:rsid w:val="008270D9"/>
    <w:rsid w:val="00827E8D"/>
    <w:rsid w:val="0083060A"/>
    <w:rsid w:val="008321F8"/>
    <w:rsid w:val="00832767"/>
    <w:rsid w:val="0083296E"/>
    <w:rsid w:val="00833B14"/>
    <w:rsid w:val="008352DB"/>
    <w:rsid w:val="0083559F"/>
    <w:rsid w:val="00835CE6"/>
    <w:rsid w:val="00835EC7"/>
    <w:rsid w:val="008362DD"/>
    <w:rsid w:val="00836306"/>
    <w:rsid w:val="008365CE"/>
    <w:rsid w:val="00836D1F"/>
    <w:rsid w:val="00837552"/>
    <w:rsid w:val="008406F3"/>
    <w:rsid w:val="00840CC5"/>
    <w:rsid w:val="00840ECA"/>
    <w:rsid w:val="00842320"/>
    <w:rsid w:val="00844BA8"/>
    <w:rsid w:val="00845C01"/>
    <w:rsid w:val="00846C56"/>
    <w:rsid w:val="008479C9"/>
    <w:rsid w:val="00847E6E"/>
    <w:rsid w:val="00850C02"/>
    <w:rsid w:val="00850EFB"/>
    <w:rsid w:val="008514EE"/>
    <w:rsid w:val="0085212E"/>
    <w:rsid w:val="00853169"/>
    <w:rsid w:val="008533AA"/>
    <w:rsid w:val="00853E6C"/>
    <w:rsid w:val="0085441F"/>
    <w:rsid w:val="00855916"/>
    <w:rsid w:val="00855BBA"/>
    <w:rsid w:val="0085683D"/>
    <w:rsid w:val="008603C7"/>
    <w:rsid w:val="00860673"/>
    <w:rsid w:val="00860829"/>
    <w:rsid w:val="00860A2C"/>
    <w:rsid w:val="00861896"/>
    <w:rsid w:val="00862215"/>
    <w:rsid w:val="0086254E"/>
    <w:rsid w:val="008630F5"/>
    <w:rsid w:val="0086365F"/>
    <w:rsid w:val="008637A6"/>
    <w:rsid w:val="00863C89"/>
    <w:rsid w:val="00864A8E"/>
    <w:rsid w:val="00864D58"/>
    <w:rsid w:val="00866298"/>
    <w:rsid w:val="008676A1"/>
    <w:rsid w:val="008704DC"/>
    <w:rsid w:val="00870A56"/>
    <w:rsid w:val="00871499"/>
    <w:rsid w:val="00873951"/>
    <w:rsid w:val="00873CB9"/>
    <w:rsid w:val="00874C57"/>
    <w:rsid w:val="00875A0D"/>
    <w:rsid w:val="00875EDE"/>
    <w:rsid w:val="008762B2"/>
    <w:rsid w:val="008765C3"/>
    <w:rsid w:val="00876CCD"/>
    <w:rsid w:val="00880730"/>
    <w:rsid w:val="00880EF8"/>
    <w:rsid w:val="00880FB1"/>
    <w:rsid w:val="008810DD"/>
    <w:rsid w:val="00881A01"/>
    <w:rsid w:val="00881CA9"/>
    <w:rsid w:val="00881DF1"/>
    <w:rsid w:val="00882606"/>
    <w:rsid w:val="00882849"/>
    <w:rsid w:val="00882A34"/>
    <w:rsid w:val="00882B88"/>
    <w:rsid w:val="00883161"/>
    <w:rsid w:val="00883566"/>
    <w:rsid w:val="00883A80"/>
    <w:rsid w:val="00890436"/>
    <w:rsid w:val="0089126D"/>
    <w:rsid w:val="008913F8"/>
    <w:rsid w:val="0089145B"/>
    <w:rsid w:val="00891AF1"/>
    <w:rsid w:val="00891C2C"/>
    <w:rsid w:val="008924C2"/>
    <w:rsid w:val="0089330E"/>
    <w:rsid w:val="00893A14"/>
    <w:rsid w:val="00893EAB"/>
    <w:rsid w:val="008951F8"/>
    <w:rsid w:val="00895592"/>
    <w:rsid w:val="00895EE5"/>
    <w:rsid w:val="0089673E"/>
    <w:rsid w:val="0089735D"/>
    <w:rsid w:val="00897887"/>
    <w:rsid w:val="00897FA7"/>
    <w:rsid w:val="008A0078"/>
    <w:rsid w:val="008A1FFA"/>
    <w:rsid w:val="008A38AE"/>
    <w:rsid w:val="008A3DED"/>
    <w:rsid w:val="008A504D"/>
    <w:rsid w:val="008A5E60"/>
    <w:rsid w:val="008A5F9A"/>
    <w:rsid w:val="008A6B00"/>
    <w:rsid w:val="008A75FE"/>
    <w:rsid w:val="008A7809"/>
    <w:rsid w:val="008B0713"/>
    <w:rsid w:val="008B1ECC"/>
    <w:rsid w:val="008B2252"/>
    <w:rsid w:val="008B6509"/>
    <w:rsid w:val="008B79AF"/>
    <w:rsid w:val="008C0C0F"/>
    <w:rsid w:val="008C17AC"/>
    <w:rsid w:val="008C1879"/>
    <w:rsid w:val="008C2163"/>
    <w:rsid w:val="008C21FB"/>
    <w:rsid w:val="008C284D"/>
    <w:rsid w:val="008C38C0"/>
    <w:rsid w:val="008C4953"/>
    <w:rsid w:val="008C4DBB"/>
    <w:rsid w:val="008C53FE"/>
    <w:rsid w:val="008C69EC"/>
    <w:rsid w:val="008C69F4"/>
    <w:rsid w:val="008C7C5D"/>
    <w:rsid w:val="008C7C84"/>
    <w:rsid w:val="008D051A"/>
    <w:rsid w:val="008D0575"/>
    <w:rsid w:val="008D1BAE"/>
    <w:rsid w:val="008D22EF"/>
    <w:rsid w:val="008D265C"/>
    <w:rsid w:val="008D2A70"/>
    <w:rsid w:val="008D2A88"/>
    <w:rsid w:val="008D4437"/>
    <w:rsid w:val="008D4BEA"/>
    <w:rsid w:val="008D4C55"/>
    <w:rsid w:val="008D4DFC"/>
    <w:rsid w:val="008D509D"/>
    <w:rsid w:val="008D533F"/>
    <w:rsid w:val="008D5885"/>
    <w:rsid w:val="008D5AA9"/>
    <w:rsid w:val="008D5EE0"/>
    <w:rsid w:val="008D5FA2"/>
    <w:rsid w:val="008D605A"/>
    <w:rsid w:val="008D60C0"/>
    <w:rsid w:val="008D60CF"/>
    <w:rsid w:val="008D660C"/>
    <w:rsid w:val="008D6B47"/>
    <w:rsid w:val="008D731A"/>
    <w:rsid w:val="008E4014"/>
    <w:rsid w:val="008E428B"/>
    <w:rsid w:val="008E7FD1"/>
    <w:rsid w:val="008F02AD"/>
    <w:rsid w:val="008F02B0"/>
    <w:rsid w:val="008F0D81"/>
    <w:rsid w:val="008F0DD3"/>
    <w:rsid w:val="008F1CBB"/>
    <w:rsid w:val="008F3574"/>
    <w:rsid w:val="008F35FC"/>
    <w:rsid w:val="008F3D7F"/>
    <w:rsid w:val="008F3EA3"/>
    <w:rsid w:val="008F4F66"/>
    <w:rsid w:val="008F5746"/>
    <w:rsid w:val="008F5863"/>
    <w:rsid w:val="008F6E88"/>
    <w:rsid w:val="008F7881"/>
    <w:rsid w:val="00900485"/>
    <w:rsid w:val="00901A85"/>
    <w:rsid w:val="00902CFE"/>
    <w:rsid w:val="00902EBD"/>
    <w:rsid w:val="009037EA"/>
    <w:rsid w:val="00903EE3"/>
    <w:rsid w:val="00904D2C"/>
    <w:rsid w:val="00905207"/>
    <w:rsid w:val="0090557F"/>
    <w:rsid w:val="00905855"/>
    <w:rsid w:val="00905921"/>
    <w:rsid w:val="00905E23"/>
    <w:rsid w:val="0090696D"/>
    <w:rsid w:val="00907E5A"/>
    <w:rsid w:val="00907FA7"/>
    <w:rsid w:val="009112FB"/>
    <w:rsid w:val="00911324"/>
    <w:rsid w:val="00911941"/>
    <w:rsid w:val="00911D43"/>
    <w:rsid w:val="009125FB"/>
    <w:rsid w:val="00912FD2"/>
    <w:rsid w:val="00913334"/>
    <w:rsid w:val="00913AAD"/>
    <w:rsid w:val="00913CE6"/>
    <w:rsid w:val="009140EC"/>
    <w:rsid w:val="00914B07"/>
    <w:rsid w:val="00914D25"/>
    <w:rsid w:val="00914E7A"/>
    <w:rsid w:val="00916002"/>
    <w:rsid w:val="0091754E"/>
    <w:rsid w:val="00920842"/>
    <w:rsid w:val="009215BF"/>
    <w:rsid w:val="0092176D"/>
    <w:rsid w:val="0092193A"/>
    <w:rsid w:val="009235EA"/>
    <w:rsid w:val="00923A83"/>
    <w:rsid w:val="00924E6F"/>
    <w:rsid w:val="00925ADB"/>
    <w:rsid w:val="009269D0"/>
    <w:rsid w:val="00927ED8"/>
    <w:rsid w:val="009308E7"/>
    <w:rsid w:val="00932544"/>
    <w:rsid w:val="00936C61"/>
    <w:rsid w:val="00937E07"/>
    <w:rsid w:val="00937F08"/>
    <w:rsid w:val="00940049"/>
    <w:rsid w:val="009410E3"/>
    <w:rsid w:val="009435C4"/>
    <w:rsid w:val="00943712"/>
    <w:rsid w:val="009438E4"/>
    <w:rsid w:val="00944185"/>
    <w:rsid w:val="00944715"/>
    <w:rsid w:val="00944A19"/>
    <w:rsid w:val="00945248"/>
    <w:rsid w:val="0094584C"/>
    <w:rsid w:val="0094675D"/>
    <w:rsid w:val="009476AF"/>
    <w:rsid w:val="00952D6C"/>
    <w:rsid w:val="00954259"/>
    <w:rsid w:val="009545A1"/>
    <w:rsid w:val="00956684"/>
    <w:rsid w:val="009578F0"/>
    <w:rsid w:val="00957A1D"/>
    <w:rsid w:val="00957F6B"/>
    <w:rsid w:val="009602D5"/>
    <w:rsid w:val="00960841"/>
    <w:rsid w:val="009609C7"/>
    <w:rsid w:val="009614BD"/>
    <w:rsid w:val="00962946"/>
    <w:rsid w:val="0096306E"/>
    <w:rsid w:val="0096373A"/>
    <w:rsid w:val="00964519"/>
    <w:rsid w:val="00964E59"/>
    <w:rsid w:val="00965205"/>
    <w:rsid w:val="00965476"/>
    <w:rsid w:val="00965905"/>
    <w:rsid w:val="0096623E"/>
    <w:rsid w:val="00970321"/>
    <w:rsid w:val="009705E6"/>
    <w:rsid w:val="00970B59"/>
    <w:rsid w:val="00970B66"/>
    <w:rsid w:val="00971284"/>
    <w:rsid w:val="00971975"/>
    <w:rsid w:val="00971A61"/>
    <w:rsid w:val="009721CD"/>
    <w:rsid w:val="0097236D"/>
    <w:rsid w:val="00972B3E"/>
    <w:rsid w:val="00975D61"/>
    <w:rsid w:val="00975E0D"/>
    <w:rsid w:val="009771D0"/>
    <w:rsid w:val="0098254D"/>
    <w:rsid w:val="0098299E"/>
    <w:rsid w:val="009833E7"/>
    <w:rsid w:val="00984692"/>
    <w:rsid w:val="00984A4A"/>
    <w:rsid w:val="00987309"/>
    <w:rsid w:val="009907EE"/>
    <w:rsid w:val="0099086E"/>
    <w:rsid w:val="00990F4C"/>
    <w:rsid w:val="00990FD0"/>
    <w:rsid w:val="00991507"/>
    <w:rsid w:val="00991E5D"/>
    <w:rsid w:val="009927C0"/>
    <w:rsid w:val="00992CE2"/>
    <w:rsid w:val="00993DD9"/>
    <w:rsid w:val="009959C6"/>
    <w:rsid w:val="00996453"/>
    <w:rsid w:val="00996E19"/>
    <w:rsid w:val="00997542"/>
    <w:rsid w:val="009976EE"/>
    <w:rsid w:val="009978A6"/>
    <w:rsid w:val="009A002A"/>
    <w:rsid w:val="009A1323"/>
    <w:rsid w:val="009A1D53"/>
    <w:rsid w:val="009A3024"/>
    <w:rsid w:val="009A31B1"/>
    <w:rsid w:val="009A331F"/>
    <w:rsid w:val="009A3A75"/>
    <w:rsid w:val="009A4370"/>
    <w:rsid w:val="009A4C15"/>
    <w:rsid w:val="009A4F02"/>
    <w:rsid w:val="009A5701"/>
    <w:rsid w:val="009A7895"/>
    <w:rsid w:val="009A7923"/>
    <w:rsid w:val="009B0796"/>
    <w:rsid w:val="009B1E91"/>
    <w:rsid w:val="009B29ED"/>
    <w:rsid w:val="009B3F9F"/>
    <w:rsid w:val="009B46E2"/>
    <w:rsid w:val="009B55E4"/>
    <w:rsid w:val="009B69A4"/>
    <w:rsid w:val="009B6FE3"/>
    <w:rsid w:val="009B7856"/>
    <w:rsid w:val="009B7C06"/>
    <w:rsid w:val="009C0095"/>
    <w:rsid w:val="009C021D"/>
    <w:rsid w:val="009C0C66"/>
    <w:rsid w:val="009C1D97"/>
    <w:rsid w:val="009C21E2"/>
    <w:rsid w:val="009C2397"/>
    <w:rsid w:val="009C4129"/>
    <w:rsid w:val="009C55B2"/>
    <w:rsid w:val="009C6230"/>
    <w:rsid w:val="009C632A"/>
    <w:rsid w:val="009C6559"/>
    <w:rsid w:val="009C6C1C"/>
    <w:rsid w:val="009C730F"/>
    <w:rsid w:val="009C7442"/>
    <w:rsid w:val="009D0B82"/>
    <w:rsid w:val="009D14A8"/>
    <w:rsid w:val="009D1C90"/>
    <w:rsid w:val="009D5C57"/>
    <w:rsid w:val="009D7776"/>
    <w:rsid w:val="009D7A3B"/>
    <w:rsid w:val="009D7A43"/>
    <w:rsid w:val="009D7BC6"/>
    <w:rsid w:val="009D7CE6"/>
    <w:rsid w:val="009D7CFC"/>
    <w:rsid w:val="009E061A"/>
    <w:rsid w:val="009E0634"/>
    <w:rsid w:val="009E070E"/>
    <w:rsid w:val="009E0FB3"/>
    <w:rsid w:val="009E366C"/>
    <w:rsid w:val="009E4ECE"/>
    <w:rsid w:val="009E6303"/>
    <w:rsid w:val="009E73CA"/>
    <w:rsid w:val="009F0715"/>
    <w:rsid w:val="009F080F"/>
    <w:rsid w:val="009F1D5A"/>
    <w:rsid w:val="009F2E10"/>
    <w:rsid w:val="009F2FC8"/>
    <w:rsid w:val="009F36BA"/>
    <w:rsid w:val="009F3DFA"/>
    <w:rsid w:val="009F4B34"/>
    <w:rsid w:val="009F4D5B"/>
    <w:rsid w:val="009F50F5"/>
    <w:rsid w:val="009F52AA"/>
    <w:rsid w:val="009F5B03"/>
    <w:rsid w:val="009F6501"/>
    <w:rsid w:val="00A0104E"/>
    <w:rsid w:val="00A01203"/>
    <w:rsid w:val="00A0175E"/>
    <w:rsid w:val="00A01D69"/>
    <w:rsid w:val="00A02270"/>
    <w:rsid w:val="00A0241B"/>
    <w:rsid w:val="00A03CE3"/>
    <w:rsid w:val="00A03E72"/>
    <w:rsid w:val="00A04481"/>
    <w:rsid w:val="00A07040"/>
    <w:rsid w:val="00A0728D"/>
    <w:rsid w:val="00A07D11"/>
    <w:rsid w:val="00A100F8"/>
    <w:rsid w:val="00A12295"/>
    <w:rsid w:val="00A137FB"/>
    <w:rsid w:val="00A13E8F"/>
    <w:rsid w:val="00A1468B"/>
    <w:rsid w:val="00A149CE"/>
    <w:rsid w:val="00A14F93"/>
    <w:rsid w:val="00A15072"/>
    <w:rsid w:val="00A16654"/>
    <w:rsid w:val="00A16A68"/>
    <w:rsid w:val="00A16B89"/>
    <w:rsid w:val="00A201CF"/>
    <w:rsid w:val="00A208DE"/>
    <w:rsid w:val="00A20BA4"/>
    <w:rsid w:val="00A211D4"/>
    <w:rsid w:val="00A21330"/>
    <w:rsid w:val="00A257DE"/>
    <w:rsid w:val="00A259C9"/>
    <w:rsid w:val="00A25A8B"/>
    <w:rsid w:val="00A26456"/>
    <w:rsid w:val="00A27273"/>
    <w:rsid w:val="00A27611"/>
    <w:rsid w:val="00A27833"/>
    <w:rsid w:val="00A27BAA"/>
    <w:rsid w:val="00A30AC1"/>
    <w:rsid w:val="00A3167B"/>
    <w:rsid w:val="00A34259"/>
    <w:rsid w:val="00A3439D"/>
    <w:rsid w:val="00A355C6"/>
    <w:rsid w:val="00A35CA1"/>
    <w:rsid w:val="00A35E9A"/>
    <w:rsid w:val="00A36232"/>
    <w:rsid w:val="00A36767"/>
    <w:rsid w:val="00A4067F"/>
    <w:rsid w:val="00A40BE2"/>
    <w:rsid w:val="00A414D7"/>
    <w:rsid w:val="00A426F0"/>
    <w:rsid w:val="00A428E6"/>
    <w:rsid w:val="00A42A01"/>
    <w:rsid w:val="00A449D3"/>
    <w:rsid w:val="00A44B01"/>
    <w:rsid w:val="00A450AE"/>
    <w:rsid w:val="00A45FD5"/>
    <w:rsid w:val="00A46CE4"/>
    <w:rsid w:val="00A50469"/>
    <w:rsid w:val="00A50CA9"/>
    <w:rsid w:val="00A50D05"/>
    <w:rsid w:val="00A514B8"/>
    <w:rsid w:val="00A5166C"/>
    <w:rsid w:val="00A53113"/>
    <w:rsid w:val="00A5365F"/>
    <w:rsid w:val="00A53E1A"/>
    <w:rsid w:val="00A57D03"/>
    <w:rsid w:val="00A6057F"/>
    <w:rsid w:val="00A60FE7"/>
    <w:rsid w:val="00A61552"/>
    <w:rsid w:val="00A625DD"/>
    <w:rsid w:val="00A62AE6"/>
    <w:rsid w:val="00A63917"/>
    <w:rsid w:val="00A6431D"/>
    <w:rsid w:val="00A65C9E"/>
    <w:rsid w:val="00A6672D"/>
    <w:rsid w:val="00A66E34"/>
    <w:rsid w:val="00A713B8"/>
    <w:rsid w:val="00A7249F"/>
    <w:rsid w:val="00A759F0"/>
    <w:rsid w:val="00A75AE9"/>
    <w:rsid w:val="00A76151"/>
    <w:rsid w:val="00A7617A"/>
    <w:rsid w:val="00A77B0A"/>
    <w:rsid w:val="00A809FC"/>
    <w:rsid w:val="00A80B2F"/>
    <w:rsid w:val="00A80DEB"/>
    <w:rsid w:val="00A81198"/>
    <w:rsid w:val="00A82106"/>
    <w:rsid w:val="00A82FCC"/>
    <w:rsid w:val="00A83219"/>
    <w:rsid w:val="00A8334C"/>
    <w:rsid w:val="00A8622E"/>
    <w:rsid w:val="00A864A5"/>
    <w:rsid w:val="00A86EDA"/>
    <w:rsid w:val="00A872D9"/>
    <w:rsid w:val="00A90179"/>
    <w:rsid w:val="00A909EB"/>
    <w:rsid w:val="00A91104"/>
    <w:rsid w:val="00A9187F"/>
    <w:rsid w:val="00A92A5B"/>
    <w:rsid w:val="00A93125"/>
    <w:rsid w:val="00A931AA"/>
    <w:rsid w:val="00A94D7B"/>
    <w:rsid w:val="00A96046"/>
    <w:rsid w:val="00AA0AD9"/>
    <w:rsid w:val="00AA0F7D"/>
    <w:rsid w:val="00AA1539"/>
    <w:rsid w:val="00AA3625"/>
    <w:rsid w:val="00AA4959"/>
    <w:rsid w:val="00AA4E57"/>
    <w:rsid w:val="00AA5A3C"/>
    <w:rsid w:val="00AA6A54"/>
    <w:rsid w:val="00AA7514"/>
    <w:rsid w:val="00AB108D"/>
    <w:rsid w:val="00AB114D"/>
    <w:rsid w:val="00AB237D"/>
    <w:rsid w:val="00AB3DAF"/>
    <w:rsid w:val="00AB4580"/>
    <w:rsid w:val="00AB680D"/>
    <w:rsid w:val="00AC0444"/>
    <w:rsid w:val="00AC14DA"/>
    <w:rsid w:val="00AC202F"/>
    <w:rsid w:val="00AC2510"/>
    <w:rsid w:val="00AC2AC9"/>
    <w:rsid w:val="00AC31AE"/>
    <w:rsid w:val="00AC3229"/>
    <w:rsid w:val="00AC3695"/>
    <w:rsid w:val="00AC503C"/>
    <w:rsid w:val="00AC645F"/>
    <w:rsid w:val="00AC66CF"/>
    <w:rsid w:val="00AC6E2D"/>
    <w:rsid w:val="00AC7D08"/>
    <w:rsid w:val="00AD1450"/>
    <w:rsid w:val="00AD2AE2"/>
    <w:rsid w:val="00AD4078"/>
    <w:rsid w:val="00AD4186"/>
    <w:rsid w:val="00AD4328"/>
    <w:rsid w:val="00AD4AD1"/>
    <w:rsid w:val="00AD4C15"/>
    <w:rsid w:val="00AD631D"/>
    <w:rsid w:val="00AE3979"/>
    <w:rsid w:val="00AE4AE0"/>
    <w:rsid w:val="00AE6881"/>
    <w:rsid w:val="00AE7174"/>
    <w:rsid w:val="00AF0916"/>
    <w:rsid w:val="00AF2098"/>
    <w:rsid w:val="00AF2C01"/>
    <w:rsid w:val="00AF2F12"/>
    <w:rsid w:val="00AF33D7"/>
    <w:rsid w:val="00AF3F50"/>
    <w:rsid w:val="00AF431A"/>
    <w:rsid w:val="00AF4AB2"/>
    <w:rsid w:val="00AF5BE6"/>
    <w:rsid w:val="00AF5D3A"/>
    <w:rsid w:val="00AF6592"/>
    <w:rsid w:val="00AF6849"/>
    <w:rsid w:val="00AF6E79"/>
    <w:rsid w:val="00AF79BD"/>
    <w:rsid w:val="00AF79E9"/>
    <w:rsid w:val="00AF7E1C"/>
    <w:rsid w:val="00B01C63"/>
    <w:rsid w:val="00B020A0"/>
    <w:rsid w:val="00B024A5"/>
    <w:rsid w:val="00B0311C"/>
    <w:rsid w:val="00B038EE"/>
    <w:rsid w:val="00B04448"/>
    <w:rsid w:val="00B0453D"/>
    <w:rsid w:val="00B05FDA"/>
    <w:rsid w:val="00B061CF"/>
    <w:rsid w:val="00B06F8B"/>
    <w:rsid w:val="00B117F9"/>
    <w:rsid w:val="00B11D23"/>
    <w:rsid w:val="00B121E3"/>
    <w:rsid w:val="00B12A34"/>
    <w:rsid w:val="00B12CD6"/>
    <w:rsid w:val="00B1304E"/>
    <w:rsid w:val="00B155F3"/>
    <w:rsid w:val="00B21272"/>
    <w:rsid w:val="00B221CE"/>
    <w:rsid w:val="00B2239E"/>
    <w:rsid w:val="00B2399E"/>
    <w:rsid w:val="00B23BA6"/>
    <w:rsid w:val="00B25060"/>
    <w:rsid w:val="00B25CA4"/>
    <w:rsid w:val="00B25E2F"/>
    <w:rsid w:val="00B26F2C"/>
    <w:rsid w:val="00B27096"/>
    <w:rsid w:val="00B27AA8"/>
    <w:rsid w:val="00B27BD8"/>
    <w:rsid w:val="00B3077E"/>
    <w:rsid w:val="00B30A80"/>
    <w:rsid w:val="00B315F5"/>
    <w:rsid w:val="00B325D3"/>
    <w:rsid w:val="00B335A4"/>
    <w:rsid w:val="00B33988"/>
    <w:rsid w:val="00B342CE"/>
    <w:rsid w:val="00B34A3C"/>
    <w:rsid w:val="00B34C9B"/>
    <w:rsid w:val="00B34EF9"/>
    <w:rsid w:val="00B35319"/>
    <w:rsid w:val="00B36406"/>
    <w:rsid w:val="00B36984"/>
    <w:rsid w:val="00B40034"/>
    <w:rsid w:val="00B4047F"/>
    <w:rsid w:val="00B42A6B"/>
    <w:rsid w:val="00B43481"/>
    <w:rsid w:val="00B4589F"/>
    <w:rsid w:val="00B45CFC"/>
    <w:rsid w:val="00B46693"/>
    <w:rsid w:val="00B46CBC"/>
    <w:rsid w:val="00B4739D"/>
    <w:rsid w:val="00B47BB4"/>
    <w:rsid w:val="00B47CDD"/>
    <w:rsid w:val="00B50E4D"/>
    <w:rsid w:val="00B51988"/>
    <w:rsid w:val="00B52555"/>
    <w:rsid w:val="00B52F4D"/>
    <w:rsid w:val="00B53653"/>
    <w:rsid w:val="00B53D0C"/>
    <w:rsid w:val="00B54177"/>
    <w:rsid w:val="00B55061"/>
    <w:rsid w:val="00B5612C"/>
    <w:rsid w:val="00B56273"/>
    <w:rsid w:val="00B56556"/>
    <w:rsid w:val="00B566F4"/>
    <w:rsid w:val="00B575A3"/>
    <w:rsid w:val="00B614BE"/>
    <w:rsid w:val="00B6321B"/>
    <w:rsid w:val="00B63B03"/>
    <w:rsid w:val="00B63DE7"/>
    <w:rsid w:val="00B64126"/>
    <w:rsid w:val="00B65FCF"/>
    <w:rsid w:val="00B6693F"/>
    <w:rsid w:val="00B6752E"/>
    <w:rsid w:val="00B7144A"/>
    <w:rsid w:val="00B72858"/>
    <w:rsid w:val="00B72A07"/>
    <w:rsid w:val="00B73053"/>
    <w:rsid w:val="00B7315C"/>
    <w:rsid w:val="00B748BF"/>
    <w:rsid w:val="00B74BD4"/>
    <w:rsid w:val="00B75291"/>
    <w:rsid w:val="00B75379"/>
    <w:rsid w:val="00B76394"/>
    <w:rsid w:val="00B76A5F"/>
    <w:rsid w:val="00B778BF"/>
    <w:rsid w:val="00B7791F"/>
    <w:rsid w:val="00B80582"/>
    <w:rsid w:val="00B81C76"/>
    <w:rsid w:val="00B82732"/>
    <w:rsid w:val="00B83469"/>
    <w:rsid w:val="00B83AF4"/>
    <w:rsid w:val="00B8492F"/>
    <w:rsid w:val="00B84E15"/>
    <w:rsid w:val="00B853A7"/>
    <w:rsid w:val="00B86383"/>
    <w:rsid w:val="00B87986"/>
    <w:rsid w:val="00B87AED"/>
    <w:rsid w:val="00B90DD3"/>
    <w:rsid w:val="00B913B3"/>
    <w:rsid w:val="00B92663"/>
    <w:rsid w:val="00B927BF"/>
    <w:rsid w:val="00B92D3C"/>
    <w:rsid w:val="00B93711"/>
    <w:rsid w:val="00B95AD0"/>
    <w:rsid w:val="00B96131"/>
    <w:rsid w:val="00B96523"/>
    <w:rsid w:val="00BA1AE5"/>
    <w:rsid w:val="00BA2072"/>
    <w:rsid w:val="00BA248D"/>
    <w:rsid w:val="00BA35B4"/>
    <w:rsid w:val="00BA418C"/>
    <w:rsid w:val="00BA43F6"/>
    <w:rsid w:val="00BA5011"/>
    <w:rsid w:val="00BA5F37"/>
    <w:rsid w:val="00BA62B5"/>
    <w:rsid w:val="00BA6D07"/>
    <w:rsid w:val="00BA6DFA"/>
    <w:rsid w:val="00BA7788"/>
    <w:rsid w:val="00BA7837"/>
    <w:rsid w:val="00BB04B4"/>
    <w:rsid w:val="00BB0D68"/>
    <w:rsid w:val="00BB17FC"/>
    <w:rsid w:val="00BB2051"/>
    <w:rsid w:val="00BB4419"/>
    <w:rsid w:val="00BC0147"/>
    <w:rsid w:val="00BC05EA"/>
    <w:rsid w:val="00BC0734"/>
    <w:rsid w:val="00BC0D27"/>
    <w:rsid w:val="00BC19CE"/>
    <w:rsid w:val="00BC3EA0"/>
    <w:rsid w:val="00BC5941"/>
    <w:rsid w:val="00BC6472"/>
    <w:rsid w:val="00BD36DF"/>
    <w:rsid w:val="00BD3FC4"/>
    <w:rsid w:val="00BD509A"/>
    <w:rsid w:val="00BD5AD4"/>
    <w:rsid w:val="00BD6D30"/>
    <w:rsid w:val="00BD750B"/>
    <w:rsid w:val="00BE0EAB"/>
    <w:rsid w:val="00BE1417"/>
    <w:rsid w:val="00BE15A1"/>
    <w:rsid w:val="00BE1CBE"/>
    <w:rsid w:val="00BE1F8E"/>
    <w:rsid w:val="00BE20D3"/>
    <w:rsid w:val="00BE26F0"/>
    <w:rsid w:val="00BE3133"/>
    <w:rsid w:val="00BE36E3"/>
    <w:rsid w:val="00BE4B5F"/>
    <w:rsid w:val="00BE6153"/>
    <w:rsid w:val="00BE6C73"/>
    <w:rsid w:val="00BE75A3"/>
    <w:rsid w:val="00BE7934"/>
    <w:rsid w:val="00BF053A"/>
    <w:rsid w:val="00BF1286"/>
    <w:rsid w:val="00BF1F6F"/>
    <w:rsid w:val="00BF32E2"/>
    <w:rsid w:val="00BF4DAE"/>
    <w:rsid w:val="00BF5F05"/>
    <w:rsid w:val="00BF602C"/>
    <w:rsid w:val="00BF6130"/>
    <w:rsid w:val="00BF7672"/>
    <w:rsid w:val="00C00905"/>
    <w:rsid w:val="00C019C2"/>
    <w:rsid w:val="00C01AF1"/>
    <w:rsid w:val="00C03965"/>
    <w:rsid w:val="00C03DD0"/>
    <w:rsid w:val="00C04A9A"/>
    <w:rsid w:val="00C07559"/>
    <w:rsid w:val="00C07C5D"/>
    <w:rsid w:val="00C07D9E"/>
    <w:rsid w:val="00C07FA5"/>
    <w:rsid w:val="00C11B3B"/>
    <w:rsid w:val="00C1233E"/>
    <w:rsid w:val="00C126B5"/>
    <w:rsid w:val="00C130DF"/>
    <w:rsid w:val="00C1443A"/>
    <w:rsid w:val="00C14C7A"/>
    <w:rsid w:val="00C14F4E"/>
    <w:rsid w:val="00C15214"/>
    <w:rsid w:val="00C15F46"/>
    <w:rsid w:val="00C15F4F"/>
    <w:rsid w:val="00C17661"/>
    <w:rsid w:val="00C21A2E"/>
    <w:rsid w:val="00C2224F"/>
    <w:rsid w:val="00C222AF"/>
    <w:rsid w:val="00C22469"/>
    <w:rsid w:val="00C23DB6"/>
    <w:rsid w:val="00C23E14"/>
    <w:rsid w:val="00C24555"/>
    <w:rsid w:val="00C245E4"/>
    <w:rsid w:val="00C2648C"/>
    <w:rsid w:val="00C267C2"/>
    <w:rsid w:val="00C27170"/>
    <w:rsid w:val="00C2771A"/>
    <w:rsid w:val="00C279F5"/>
    <w:rsid w:val="00C315F7"/>
    <w:rsid w:val="00C31924"/>
    <w:rsid w:val="00C3263C"/>
    <w:rsid w:val="00C340A3"/>
    <w:rsid w:val="00C341DB"/>
    <w:rsid w:val="00C35B7A"/>
    <w:rsid w:val="00C36B2A"/>
    <w:rsid w:val="00C415D7"/>
    <w:rsid w:val="00C424E8"/>
    <w:rsid w:val="00C42CAD"/>
    <w:rsid w:val="00C45EDF"/>
    <w:rsid w:val="00C47BB1"/>
    <w:rsid w:val="00C502CB"/>
    <w:rsid w:val="00C51FB2"/>
    <w:rsid w:val="00C52225"/>
    <w:rsid w:val="00C52D29"/>
    <w:rsid w:val="00C52FF2"/>
    <w:rsid w:val="00C5300B"/>
    <w:rsid w:val="00C53DAC"/>
    <w:rsid w:val="00C54D88"/>
    <w:rsid w:val="00C5552F"/>
    <w:rsid w:val="00C603EF"/>
    <w:rsid w:val="00C60E59"/>
    <w:rsid w:val="00C62467"/>
    <w:rsid w:val="00C62569"/>
    <w:rsid w:val="00C62ABB"/>
    <w:rsid w:val="00C63290"/>
    <w:rsid w:val="00C63728"/>
    <w:rsid w:val="00C64167"/>
    <w:rsid w:val="00C64237"/>
    <w:rsid w:val="00C64A8D"/>
    <w:rsid w:val="00C65149"/>
    <w:rsid w:val="00C651AA"/>
    <w:rsid w:val="00C6578C"/>
    <w:rsid w:val="00C66C9F"/>
    <w:rsid w:val="00C67381"/>
    <w:rsid w:val="00C71268"/>
    <w:rsid w:val="00C71F36"/>
    <w:rsid w:val="00C72EE3"/>
    <w:rsid w:val="00C7383A"/>
    <w:rsid w:val="00C74254"/>
    <w:rsid w:val="00C74639"/>
    <w:rsid w:val="00C74BE4"/>
    <w:rsid w:val="00C74E78"/>
    <w:rsid w:val="00C753A9"/>
    <w:rsid w:val="00C763BC"/>
    <w:rsid w:val="00C81209"/>
    <w:rsid w:val="00C834F7"/>
    <w:rsid w:val="00C83C81"/>
    <w:rsid w:val="00C83D30"/>
    <w:rsid w:val="00C868D0"/>
    <w:rsid w:val="00C86BDF"/>
    <w:rsid w:val="00C86D91"/>
    <w:rsid w:val="00C90CBC"/>
    <w:rsid w:val="00C91E02"/>
    <w:rsid w:val="00C91E11"/>
    <w:rsid w:val="00C9235B"/>
    <w:rsid w:val="00C92395"/>
    <w:rsid w:val="00C931B2"/>
    <w:rsid w:val="00C93549"/>
    <w:rsid w:val="00C94081"/>
    <w:rsid w:val="00C94765"/>
    <w:rsid w:val="00C94830"/>
    <w:rsid w:val="00C95294"/>
    <w:rsid w:val="00C954B1"/>
    <w:rsid w:val="00CA1C8D"/>
    <w:rsid w:val="00CA320C"/>
    <w:rsid w:val="00CA4600"/>
    <w:rsid w:val="00CA4E90"/>
    <w:rsid w:val="00CA538D"/>
    <w:rsid w:val="00CA5BFE"/>
    <w:rsid w:val="00CA71DC"/>
    <w:rsid w:val="00CB08AA"/>
    <w:rsid w:val="00CB32B8"/>
    <w:rsid w:val="00CB3AC3"/>
    <w:rsid w:val="00CB3B46"/>
    <w:rsid w:val="00CB41F2"/>
    <w:rsid w:val="00CB5072"/>
    <w:rsid w:val="00CB5D02"/>
    <w:rsid w:val="00CB5D1F"/>
    <w:rsid w:val="00CB6D26"/>
    <w:rsid w:val="00CB73AD"/>
    <w:rsid w:val="00CB74ED"/>
    <w:rsid w:val="00CC028A"/>
    <w:rsid w:val="00CC1189"/>
    <w:rsid w:val="00CC2E94"/>
    <w:rsid w:val="00CC2F41"/>
    <w:rsid w:val="00CC3CAA"/>
    <w:rsid w:val="00CC427F"/>
    <w:rsid w:val="00CC49C0"/>
    <w:rsid w:val="00CC4D55"/>
    <w:rsid w:val="00CC6939"/>
    <w:rsid w:val="00CC7FFE"/>
    <w:rsid w:val="00CD1782"/>
    <w:rsid w:val="00CD1E6B"/>
    <w:rsid w:val="00CD2BDE"/>
    <w:rsid w:val="00CD3472"/>
    <w:rsid w:val="00CD3984"/>
    <w:rsid w:val="00CD3F71"/>
    <w:rsid w:val="00CD4B62"/>
    <w:rsid w:val="00CD5424"/>
    <w:rsid w:val="00CD58BD"/>
    <w:rsid w:val="00CD6192"/>
    <w:rsid w:val="00CD7ECF"/>
    <w:rsid w:val="00CE1E85"/>
    <w:rsid w:val="00CE3900"/>
    <w:rsid w:val="00CE4893"/>
    <w:rsid w:val="00CE53AE"/>
    <w:rsid w:val="00CE5474"/>
    <w:rsid w:val="00CE7AB4"/>
    <w:rsid w:val="00CF1608"/>
    <w:rsid w:val="00CF22E7"/>
    <w:rsid w:val="00CF6CB2"/>
    <w:rsid w:val="00CF6EA8"/>
    <w:rsid w:val="00CF722E"/>
    <w:rsid w:val="00D019A5"/>
    <w:rsid w:val="00D01A62"/>
    <w:rsid w:val="00D02A87"/>
    <w:rsid w:val="00D0340E"/>
    <w:rsid w:val="00D052EF"/>
    <w:rsid w:val="00D0750C"/>
    <w:rsid w:val="00D076D4"/>
    <w:rsid w:val="00D0775D"/>
    <w:rsid w:val="00D07E68"/>
    <w:rsid w:val="00D101CD"/>
    <w:rsid w:val="00D11D24"/>
    <w:rsid w:val="00D1328D"/>
    <w:rsid w:val="00D15D97"/>
    <w:rsid w:val="00D161F9"/>
    <w:rsid w:val="00D17F4C"/>
    <w:rsid w:val="00D217D9"/>
    <w:rsid w:val="00D25C1F"/>
    <w:rsid w:val="00D27410"/>
    <w:rsid w:val="00D278AA"/>
    <w:rsid w:val="00D27B36"/>
    <w:rsid w:val="00D27E7F"/>
    <w:rsid w:val="00D31545"/>
    <w:rsid w:val="00D31F56"/>
    <w:rsid w:val="00D32240"/>
    <w:rsid w:val="00D330B6"/>
    <w:rsid w:val="00D33EC0"/>
    <w:rsid w:val="00D355F2"/>
    <w:rsid w:val="00D365F8"/>
    <w:rsid w:val="00D36F00"/>
    <w:rsid w:val="00D40441"/>
    <w:rsid w:val="00D4299A"/>
    <w:rsid w:val="00D430C1"/>
    <w:rsid w:val="00D44A33"/>
    <w:rsid w:val="00D44D44"/>
    <w:rsid w:val="00D452C3"/>
    <w:rsid w:val="00D456BB"/>
    <w:rsid w:val="00D479EF"/>
    <w:rsid w:val="00D47CF9"/>
    <w:rsid w:val="00D47E19"/>
    <w:rsid w:val="00D5023A"/>
    <w:rsid w:val="00D506BF"/>
    <w:rsid w:val="00D50B0A"/>
    <w:rsid w:val="00D52136"/>
    <w:rsid w:val="00D52E5E"/>
    <w:rsid w:val="00D5307B"/>
    <w:rsid w:val="00D537BE"/>
    <w:rsid w:val="00D53A39"/>
    <w:rsid w:val="00D53CBB"/>
    <w:rsid w:val="00D54614"/>
    <w:rsid w:val="00D54898"/>
    <w:rsid w:val="00D55369"/>
    <w:rsid w:val="00D554C0"/>
    <w:rsid w:val="00D5555C"/>
    <w:rsid w:val="00D55684"/>
    <w:rsid w:val="00D575F3"/>
    <w:rsid w:val="00D57BF6"/>
    <w:rsid w:val="00D6114A"/>
    <w:rsid w:val="00D61339"/>
    <w:rsid w:val="00D61362"/>
    <w:rsid w:val="00D61751"/>
    <w:rsid w:val="00D619CC"/>
    <w:rsid w:val="00D626D5"/>
    <w:rsid w:val="00D62B30"/>
    <w:rsid w:val="00D63BCB"/>
    <w:rsid w:val="00D6670E"/>
    <w:rsid w:val="00D66A6B"/>
    <w:rsid w:val="00D6715A"/>
    <w:rsid w:val="00D67CD4"/>
    <w:rsid w:val="00D70615"/>
    <w:rsid w:val="00D71CE0"/>
    <w:rsid w:val="00D72A78"/>
    <w:rsid w:val="00D734B2"/>
    <w:rsid w:val="00D7364B"/>
    <w:rsid w:val="00D75318"/>
    <w:rsid w:val="00D75962"/>
    <w:rsid w:val="00D75F58"/>
    <w:rsid w:val="00D76D2A"/>
    <w:rsid w:val="00D774E4"/>
    <w:rsid w:val="00D81F9E"/>
    <w:rsid w:val="00D821E3"/>
    <w:rsid w:val="00D83C00"/>
    <w:rsid w:val="00D84CC0"/>
    <w:rsid w:val="00D87B25"/>
    <w:rsid w:val="00D87FB6"/>
    <w:rsid w:val="00D90DE0"/>
    <w:rsid w:val="00D91933"/>
    <w:rsid w:val="00D91EB7"/>
    <w:rsid w:val="00D91EE5"/>
    <w:rsid w:val="00D92028"/>
    <w:rsid w:val="00D923B2"/>
    <w:rsid w:val="00D92C2E"/>
    <w:rsid w:val="00D92CB5"/>
    <w:rsid w:val="00D94A6E"/>
    <w:rsid w:val="00D95268"/>
    <w:rsid w:val="00D95B0C"/>
    <w:rsid w:val="00D9660A"/>
    <w:rsid w:val="00D967D6"/>
    <w:rsid w:val="00D96EB2"/>
    <w:rsid w:val="00D97284"/>
    <w:rsid w:val="00DA1481"/>
    <w:rsid w:val="00DA194A"/>
    <w:rsid w:val="00DA1F8B"/>
    <w:rsid w:val="00DA2762"/>
    <w:rsid w:val="00DA3CD3"/>
    <w:rsid w:val="00DA3F08"/>
    <w:rsid w:val="00DA6C39"/>
    <w:rsid w:val="00DB0A69"/>
    <w:rsid w:val="00DB14FC"/>
    <w:rsid w:val="00DB51CD"/>
    <w:rsid w:val="00DB5FB9"/>
    <w:rsid w:val="00DB6D73"/>
    <w:rsid w:val="00DB723B"/>
    <w:rsid w:val="00DC018D"/>
    <w:rsid w:val="00DC0779"/>
    <w:rsid w:val="00DC08A4"/>
    <w:rsid w:val="00DC0CCA"/>
    <w:rsid w:val="00DC1B50"/>
    <w:rsid w:val="00DC341E"/>
    <w:rsid w:val="00DC36CD"/>
    <w:rsid w:val="00DC37E5"/>
    <w:rsid w:val="00DC40C5"/>
    <w:rsid w:val="00DC4AC0"/>
    <w:rsid w:val="00DC77FE"/>
    <w:rsid w:val="00DC7B77"/>
    <w:rsid w:val="00DD01C3"/>
    <w:rsid w:val="00DD202F"/>
    <w:rsid w:val="00DD2C30"/>
    <w:rsid w:val="00DD4B86"/>
    <w:rsid w:val="00DD5D03"/>
    <w:rsid w:val="00DD655A"/>
    <w:rsid w:val="00DD66A7"/>
    <w:rsid w:val="00DD7964"/>
    <w:rsid w:val="00DE0588"/>
    <w:rsid w:val="00DE0913"/>
    <w:rsid w:val="00DE0A40"/>
    <w:rsid w:val="00DE0A47"/>
    <w:rsid w:val="00DE13A2"/>
    <w:rsid w:val="00DE26AF"/>
    <w:rsid w:val="00DE37A8"/>
    <w:rsid w:val="00DE3DAC"/>
    <w:rsid w:val="00DE585C"/>
    <w:rsid w:val="00DE63FC"/>
    <w:rsid w:val="00DE7145"/>
    <w:rsid w:val="00DF0840"/>
    <w:rsid w:val="00DF1EDC"/>
    <w:rsid w:val="00DF216D"/>
    <w:rsid w:val="00DF2E7B"/>
    <w:rsid w:val="00DF3ADF"/>
    <w:rsid w:val="00DF4EFF"/>
    <w:rsid w:val="00DF537C"/>
    <w:rsid w:val="00DF5748"/>
    <w:rsid w:val="00DF5C26"/>
    <w:rsid w:val="00DF64D4"/>
    <w:rsid w:val="00DF6A6C"/>
    <w:rsid w:val="00E000A9"/>
    <w:rsid w:val="00E00614"/>
    <w:rsid w:val="00E0249E"/>
    <w:rsid w:val="00E0257A"/>
    <w:rsid w:val="00E05E45"/>
    <w:rsid w:val="00E07905"/>
    <w:rsid w:val="00E07BBB"/>
    <w:rsid w:val="00E07EC9"/>
    <w:rsid w:val="00E10596"/>
    <w:rsid w:val="00E11CD5"/>
    <w:rsid w:val="00E12F94"/>
    <w:rsid w:val="00E13905"/>
    <w:rsid w:val="00E14351"/>
    <w:rsid w:val="00E1527B"/>
    <w:rsid w:val="00E153A2"/>
    <w:rsid w:val="00E16652"/>
    <w:rsid w:val="00E169DA"/>
    <w:rsid w:val="00E16BDB"/>
    <w:rsid w:val="00E17042"/>
    <w:rsid w:val="00E22325"/>
    <w:rsid w:val="00E23A3A"/>
    <w:rsid w:val="00E23D42"/>
    <w:rsid w:val="00E24F8A"/>
    <w:rsid w:val="00E25546"/>
    <w:rsid w:val="00E25632"/>
    <w:rsid w:val="00E257C1"/>
    <w:rsid w:val="00E257EC"/>
    <w:rsid w:val="00E261AA"/>
    <w:rsid w:val="00E27819"/>
    <w:rsid w:val="00E3027E"/>
    <w:rsid w:val="00E32455"/>
    <w:rsid w:val="00E33E87"/>
    <w:rsid w:val="00E34132"/>
    <w:rsid w:val="00E365C9"/>
    <w:rsid w:val="00E368F5"/>
    <w:rsid w:val="00E36A3B"/>
    <w:rsid w:val="00E36D5D"/>
    <w:rsid w:val="00E427A8"/>
    <w:rsid w:val="00E44ECE"/>
    <w:rsid w:val="00E45B4B"/>
    <w:rsid w:val="00E45F99"/>
    <w:rsid w:val="00E47074"/>
    <w:rsid w:val="00E47110"/>
    <w:rsid w:val="00E47490"/>
    <w:rsid w:val="00E50C1B"/>
    <w:rsid w:val="00E50DD0"/>
    <w:rsid w:val="00E50FDD"/>
    <w:rsid w:val="00E52507"/>
    <w:rsid w:val="00E52B84"/>
    <w:rsid w:val="00E53385"/>
    <w:rsid w:val="00E53B2D"/>
    <w:rsid w:val="00E5441F"/>
    <w:rsid w:val="00E54BB6"/>
    <w:rsid w:val="00E56524"/>
    <w:rsid w:val="00E57AD2"/>
    <w:rsid w:val="00E60411"/>
    <w:rsid w:val="00E60BCD"/>
    <w:rsid w:val="00E63058"/>
    <w:rsid w:val="00E63117"/>
    <w:rsid w:val="00E63696"/>
    <w:rsid w:val="00E63924"/>
    <w:rsid w:val="00E6483D"/>
    <w:rsid w:val="00E64D7C"/>
    <w:rsid w:val="00E652BF"/>
    <w:rsid w:val="00E655B8"/>
    <w:rsid w:val="00E658E9"/>
    <w:rsid w:val="00E6617F"/>
    <w:rsid w:val="00E67501"/>
    <w:rsid w:val="00E67B49"/>
    <w:rsid w:val="00E71205"/>
    <w:rsid w:val="00E71539"/>
    <w:rsid w:val="00E719FD"/>
    <w:rsid w:val="00E71B32"/>
    <w:rsid w:val="00E71FA4"/>
    <w:rsid w:val="00E720B1"/>
    <w:rsid w:val="00E740D4"/>
    <w:rsid w:val="00E74246"/>
    <w:rsid w:val="00E74380"/>
    <w:rsid w:val="00E75175"/>
    <w:rsid w:val="00E755E4"/>
    <w:rsid w:val="00E7603F"/>
    <w:rsid w:val="00E7609F"/>
    <w:rsid w:val="00E7626E"/>
    <w:rsid w:val="00E76E63"/>
    <w:rsid w:val="00E77753"/>
    <w:rsid w:val="00E77CC8"/>
    <w:rsid w:val="00E81283"/>
    <w:rsid w:val="00E8143E"/>
    <w:rsid w:val="00E82795"/>
    <w:rsid w:val="00E841AD"/>
    <w:rsid w:val="00E84B19"/>
    <w:rsid w:val="00E84E17"/>
    <w:rsid w:val="00E86FB8"/>
    <w:rsid w:val="00E877AA"/>
    <w:rsid w:val="00E901E5"/>
    <w:rsid w:val="00E90212"/>
    <w:rsid w:val="00E90E25"/>
    <w:rsid w:val="00E91EAD"/>
    <w:rsid w:val="00E939C5"/>
    <w:rsid w:val="00E93A3C"/>
    <w:rsid w:val="00E93ECA"/>
    <w:rsid w:val="00E96085"/>
    <w:rsid w:val="00E96E47"/>
    <w:rsid w:val="00E96F06"/>
    <w:rsid w:val="00E97814"/>
    <w:rsid w:val="00E978C0"/>
    <w:rsid w:val="00EA088D"/>
    <w:rsid w:val="00EA0B6A"/>
    <w:rsid w:val="00EA16B3"/>
    <w:rsid w:val="00EA1FF9"/>
    <w:rsid w:val="00EA22A8"/>
    <w:rsid w:val="00EA25FD"/>
    <w:rsid w:val="00EA2DF5"/>
    <w:rsid w:val="00EA2E0C"/>
    <w:rsid w:val="00EA2E90"/>
    <w:rsid w:val="00EA2E91"/>
    <w:rsid w:val="00EA3142"/>
    <w:rsid w:val="00EA4956"/>
    <w:rsid w:val="00EA514C"/>
    <w:rsid w:val="00EA5B47"/>
    <w:rsid w:val="00EA7A19"/>
    <w:rsid w:val="00EA7ED8"/>
    <w:rsid w:val="00EA7F23"/>
    <w:rsid w:val="00EB06B8"/>
    <w:rsid w:val="00EB0798"/>
    <w:rsid w:val="00EB0B5C"/>
    <w:rsid w:val="00EB2157"/>
    <w:rsid w:val="00EB2434"/>
    <w:rsid w:val="00EB2E40"/>
    <w:rsid w:val="00EB3953"/>
    <w:rsid w:val="00EB43C0"/>
    <w:rsid w:val="00EB5D30"/>
    <w:rsid w:val="00EB68F1"/>
    <w:rsid w:val="00EB7E59"/>
    <w:rsid w:val="00EC1728"/>
    <w:rsid w:val="00EC1A39"/>
    <w:rsid w:val="00EC1FD7"/>
    <w:rsid w:val="00EC214F"/>
    <w:rsid w:val="00EC233A"/>
    <w:rsid w:val="00EC252C"/>
    <w:rsid w:val="00EC4205"/>
    <w:rsid w:val="00EC5F41"/>
    <w:rsid w:val="00ED0BB7"/>
    <w:rsid w:val="00ED18C4"/>
    <w:rsid w:val="00ED2E63"/>
    <w:rsid w:val="00ED2F27"/>
    <w:rsid w:val="00ED46A7"/>
    <w:rsid w:val="00ED58F0"/>
    <w:rsid w:val="00ED69FB"/>
    <w:rsid w:val="00ED75A8"/>
    <w:rsid w:val="00ED7AAC"/>
    <w:rsid w:val="00EE03E6"/>
    <w:rsid w:val="00EE056B"/>
    <w:rsid w:val="00EE0BE5"/>
    <w:rsid w:val="00EE0DC6"/>
    <w:rsid w:val="00EE1019"/>
    <w:rsid w:val="00EE288C"/>
    <w:rsid w:val="00EE3214"/>
    <w:rsid w:val="00EE3959"/>
    <w:rsid w:val="00EE4744"/>
    <w:rsid w:val="00EE4CFF"/>
    <w:rsid w:val="00EE4EB2"/>
    <w:rsid w:val="00EE5133"/>
    <w:rsid w:val="00EE5335"/>
    <w:rsid w:val="00EE580D"/>
    <w:rsid w:val="00EE6D3B"/>
    <w:rsid w:val="00EE6DFE"/>
    <w:rsid w:val="00EF0060"/>
    <w:rsid w:val="00EF050B"/>
    <w:rsid w:val="00EF186C"/>
    <w:rsid w:val="00EF1A94"/>
    <w:rsid w:val="00EF26D1"/>
    <w:rsid w:val="00EF43B3"/>
    <w:rsid w:val="00EF47B9"/>
    <w:rsid w:val="00EF50FD"/>
    <w:rsid w:val="00EF53D8"/>
    <w:rsid w:val="00EF6118"/>
    <w:rsid w:val="00EF646E"/>
    <w:rsid w:val="00EF7E1D"/>
    <w:rsid w:val="00F00A9D"/>
    <w:rsid w:val="00F01099"/>
    <w:rsid w:val="00F014F0"/>
    <w:rsid w:val="00F01ED1"/>
    <w:rsid w:val="00F0298C"/>
    <w:rsid w:val="00F02BDC"/>
    <w:rsid w:val="00F030E4"/>
    <w:rsid w:val="00F032B4"/>
    <w:rsid w:val="00F034D0"/>
    <w:rsid w:val="00F03786"/>
    <w:rsid w:val="00F05374"/>
    <w:rsid w:val="00F05A65"/>
    <w:rsid w:val="00F05AD9"/>
    <w:rsid w:val="00F0688A"/>
    <w:rsid w:val="00F06B0B"/>
    <w:rsid w:val="00F06BB3"/>
    <w:rsid w:val="00F0773B"/>
    <w:rsid w:val="00F10F9E"/>
    <w:rsid w:val="00F11698"/>
    <w:rsid w:val="00F11BB1"/>
    <w:rsid w:val="00F12046"/>
    <w:rsid w:val="00F13544"/>
    <w:rsid w:val="00F14415"/>
    <w:rsid w:val="00F15161"/>
    <w:rsid w:val="00F15365"/>
    <w:rsid w:val="00F15A71"/>
    <w:rsid w:val="00F163C3"/>
    <w:rsid w:val="00F16C50"/>
    <w:rsid w:val="00F17801"/>
    <w:rsid w:val="00F17963"/>
    <w:rsid w:val="00F17A85"/>
    <w:rsid w:val="00F21F7E"/>
    <w:rsid w:val="00F223C2"/>
    <w:rsid w:val="00F2296D"/>
    <w:rsid w:val="00F23703"/>
    <w:rsid w:val="00F24A97"/>
    <w:rsid w:val="00F2570A"/>
    <w:rsid w:val="00F25FDE"/>
    <w:rsid w:val="00F26C1F"/>
    <w:rsid w:val="00F310C7"/>
    <w:rsid w:val="00F311B7"/>
    <w:rsid w:val="00F31430"/>
    <w:rsid w:val="00F315B1"/>
    <w:rsid w:val="00F315FD"/>
    <w:rsid w:val="00F321A6"/>
    <w:rsid w:val="00F32232"/>
    <w:rsid w:val="00F32B97"/>
    <w:rsid w:val="00F33112"/>
    <w:rsid w:val="00F34AB9"/>
    <w:rsid w:val="00F357C5"/>
    <w:rsid w:val="00F36145"/>
    <w:rsid w:val="00F36C73"/>
    <w:rsid w:val="00F37083"/>
    <w:rsid w:val="00F402DF"/>
    <w:rsid w:val="00F40E6D"/>
    <w:rsid w:val="00F4105A"/>
    <w:rsid w:val="00F4134F"/>
    <w:rsid w:val="00F42D05"/>
    <w:rsid w:val="00F42D87"/>
    <w:rsid w:val="00F444F6"/>
    <w:rsid w:val="00F449AC"/>
    <w:rsid w:val="00F46688"/>
    <w:rsid w:val="00F47B05"/>
    <w:rsid w:val="00F5023C"/>
    <w:rsid w:val="00F516AC"/>
    <w:rsid w:val="00F51F4F"/>
    <w:rsid w:val="00F529E7"/>
    <w:rsid w:val="00F56613"/>
    <w:rsid w:val="00F5746E"/>
    <w:rsid w:val="00F57F6F"/>
    <w:rsid w:val="00F604C1"/>
    <w:rsid w:val="00F6156E"/>
    <w:rsid w:val="00F6185A"/>
    <w:rsid w:val="00F61B15"/>
    <w:rsid w:val="00F623D9"/>
    <w:rsid w:val="00F628B3"/>
    <w:rsid w:val="00F63437"/>
    <w:rsid w:val="00F637B2"/>
    <w:rsid w:val="00F638FF"/>
    <w:rsid w:val="00F648A5"/>
    <w:rsid w:val="00F64DC6"/>
    <w:rsid w:val="00F65A0B"/>
    <w:rsid w:val="00F6643E"/>
    <w:rsid w:val="00F6648A"/>
    <w:rsid w:val="00F66657"/>
    <w:rsid w:val="00F67C27"/>
    <w:rsid w:val="00F706D2"/>
    <w:rsid w:val="00F70F22"/>
    <w:rsid w:val="00F71220"/>
    <w:rsid w:val="00F714B9"/>
    <w:rsid w:val="00F71BCB"/>
    <w:rsid w:val="00F72E1C"/>
    <w:rsid w:val="00F73629"/>
    <w:rsid w:val="00F778FC"/>
    <w:rsid w:val="00F80EAC"/>
    <w:rsid w:val="00F811EF"/>
    <w:rsid w:val="00F82F97"/>
    <w:rsid w:val="00F8381D"/>
    <w:rsid w:val="00F83C17"/>
    <w:rsid w:val="00F84928"/>
    <w:rsid w:val="00F8530C"/>
    <w:rsid w:val="00F8628E"/>
    <w:rsid w:val="00F87044"/>
    <w:rsid w:val="00F87AEB"/>
    <w:rsid w:val="00F87FC7"/>
    <w:rsid w:val="00F87FDC"/>
    <w:rsid w:val="00F91B9E"/>
    <w:rsid w:val="00F945D8"/>
    <w:rsid w:val="00F94F34"/>
    <w:rsid w:val="00F9528F"/>
    <w:rsid w:val="00F963D6"/>
    <w:rsid w:val="00F964D5"/>
    <w:rsid w:val="00F96516"/>
    <w:rsid w:val="00F96D2B"/>
    <w:rsid w:val="00F9755A"/>
    <w:rsid w:val="00FA14EF"/>
    <w:rsid w:val="00FA1A5E"/>
    <w:rsid w:val="00FA1B33"/>
    <w:rsid w:val="00FA214A"/>
    <w:rsid w:val="00FA2433"/>
    <w:rsid w:val="00FA25DC"/>
    <w:rsid w:val="00FA2ADA"/>
    <w:rsid w:val="00FA3009"/>
    <w:rsid w:val="00FA37EA"/>
    <w:rsid w:val="00FA53DA"/>
    <w:rsid w:val="00FA556A"/>
    <w:rsid w:val="00FA598B"/>
    <w:rsid w:val="00FA60B6"/>
    <w:rsid w:val="00FA640A"/>
    <w:rsid w:val="00FA7EFC"/>
    <w:rsid w:val="00FB1871"/>
    <w:rsid w:val="00FB21EF"/>
    <w:rsid w:val="00FB22AD"/>
    <w:rsid w:val="00FB257B"/>
    <w:rsid w:val="00FB2C77"/>
    <w:rsid w:val="00FB2E27"/>
    <w:rsid w:val="00FB34E6"/>
    <w:rsid w:val="00FB367A"/>
    <w:rsid w:val="00FB4865"/>
    <w:rsid w:val="00FB6100"/>
    <w:rsid w:val="00FB7521"/>
    <w:rsid w:val="00FC0968"/>
    <w:rsid w:val="00FC221C"/>
    <w:rsid w:val="00FC27A3"/>
    <w:rsid w:val="00FC2BF1"/>
    <w:rsid w:val="00FC4FCD"/>
    <w:rsid w:val="00FC62A4"/>
    <w:rsid w:val="00FC6406"/>
    <w:rsid w:val="00FC69AA"/>
    <w:rsid w:val="00FD0158"/>
    <w:rsid w:val="00FD020E"/>
    <w:rsid w:val="00FD0244"/>
    <w:rsid w:val="00FD02AB"/>
    <w:rsid w:val="00FD1402"/>
    <w:rsid w:val="00FD2E59"/>
    <w:rsid w:val="00FD3349"/>
    <w:rsid w:val="00FD366D"/>
    <w:rsid w:val="00FD5497"/>
    <w:rsid w:val="00FD5815"/>
    <w:rsid w:val="00FD5B35"/>
    <w:rsid w:val="00FD5DDF"/>
    <w:rsid w:val="00FD6164"/>
    <w:rsid w:val="00FD6ACA"/>
    <w:rsid w:val="00FD6B3B"/>
    <w:rsid w:val="00FE0FCC"/>
    <w:rsid w:val="00FE1068"/>
    <w:rsid w:val="00FE1832"/>
    <w:rsid w:val="00FE2543"/>
    <w:rsid w:val="00FE267D"/>
    <w:rsid w:val="00FE292F"/>
    <w:rsid w:val="00FE2C7A"/>
    <w:rsid w:val="00FE3199"/>
    <w:rsid w:val="00FE3D9C"/>
    <w:rsid w:val="00FE3EAA"/>
    <w:rsid w:val="00FE43F5"/>
    <w:rsid w:val="00FE4848"/>
    <w:rsid w:val="00FE64F8"/>
    <w:rsid w:val="00FE6949"/>
    <w:rsid w:val="00FE7838"/>
    <w:rsid w:val="00FE7CEA"/>
    <w:rsid w:val="00FF0A6A"/>
    <w:rsid w:val="00FF1C4D"/>
    <w:rsid w:val="00FF1C5F"/>
    <w:rsid w:val="00FF2F4A"/>
    <w:rsid w:val="00FF397C"/>
    <w:rsid w:val="00FF3C1F"/>
    <w:rsid w:val="00FF3F79"/>
    <w:rsid w:val="00FF481F"/>
    <w:rsid w:val="00FF4FDF"/>
    <w:rsid w:val="00FF5928"/>
    <w:rsid w:val="00FF61B8"/>
    <w:rsid w:val="00FF7EC4"/>
    <w:rsid w:val="05434829"/>
    <w:rsid w:val="081C617A"/>
    <w:rsid w:val="11576ADA"/>
    <w:rsid w:val="13484329"/>
    <w:rsid w:val="160FBFDB"/>
    <w:rsid w:val="19192A32"/>
    <w:rsid w:val="1CF4BB90"/>
    <w:rsid w:val="21C82CB3"/>
    <w:rsid w:val="22B65985"/>
    <w:rsid w:val="23AAB970"/>
    <w:rsid w:val="2FE12F0A"/>
    <w:rsid w:val="346DE3D1"/>
    <w:rsid w:val="34D062D8"/>
    <w:rsid w:val="36683BA3"/>
    <w:rsid w:val="3E77451E"/>
    <w:rsid w:val="3EB71587"/>
    <w:rsid w:val="3F17FD79"/>
    <w:rsid w:val="408B310E"/>
    <w:rsid w:val="45DA4995"/>
    <w:rsid w:val="46FA7292"/>
    <w:rsid w:val="477619F6"/>
    <w:rsid w:val="49463DE7"/>
    <w:rsid w:val="4C7DDEA9"/>
    <w:rsid w:val="4CED6AA2"/>
    <w:rsid w:val="52ED202D"/>
    <w:rsid w:val="555B9D9E"/>
    <w:rsid w:val="5C32B161"/>
    <w:rsid w:val="5E739AD3"/>
    <w:rsid w:val="6121E52F"/>
    <w:rsid w:val="62B9BDFA"/>
    <w:rsid w:val="645985F1"/>
    <w:rsid w:val="65BD76ED"/>
    <w:rsid w:val="68C0C4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813FF26E-AAD2-466A-9F0E-F9758CE4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qFormat/>
    <w:rsid w:val="00BC6472"/>
    <w:pPr>
      <w:keepNext/>
      <w:spacing w:before="18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6472"/>
    <w:pPr>
      <w:spacing w:before="200"/>
      <w:outlineLvl w:val="2"/>
    </w:pPr>
    <w:rPr>
      <w:sz w:val="24"/>
      <w:szCs w:val="22"/>
    </w:rPr>
  </w:style>
  <w:style w:type="paragraph" w:styleId="Heading4">
    <w:name w:val="heading 4"/>
    <w:basedOn w:val="Normal"/>
    <w:next w:val="Normal"/>
    <w:link w:val="Heading4Char"/>
    <w:qFormat/>
    <w:rsid w:val="00A07D11"/>
    <w:pPr>
      <w:spacing w:before="20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A07D11"/>
    <w:pPr>
      <w:spacing w:before="180"/>
      <w:ind w:left="567"/>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BC6472"/>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6472"/>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A07D11"/>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NumberedParagraph">
    <w:name w:val="Numbered Paragraph"/>
    <w:basedOn w:val="Normal"/>
    <w:qFormat/>
    <w:rsid w:val="004A3F15"/>
    <w:pPr>
      <w:tabs>
        <w:tab w:val="num" w:pos="851"/>
      </w:tabs>
      <w:spacing w:before="240" w:after="0" w:line="240" w:lineRule="auto"/>
      <w:ind w:left="851" w:hanging="851"/>
      <w:jc w:val="both"/>
    </w:pPr>
    <w:rPr>
      <w:rFonts w:ascii="Times New Roman" w:hAnsi="Times New Roman"/>
      <w:sz w:val="24"/>
      <w:szCs w:val="24"/>
      <w:lang w:val="en-NZ" w:eastAsia="en-NZ"/>
    </w:rPr>
  </w:style>
  <w:style w:type="paragraph" w:customStyle="1" w:styleId="NumberedParagraph-BulletL1">
    <w:name w:val="Numbered Paragraph - Bullet L1"/>
    <w:basedOn w:val="NumberedParagraph"/>
    <w:rsid w:val="004A3F15"/>
    <w:pPr>
      <w:tabs>
        <w:tab w:val="clear" w:pos="851"/>
        <w:tab w:val="num" w:pos="1418"/>
      </w:tabs>
      <w:spacing w:before="120"/>
      <w:ind w:left="1418" w:hanging="567"/>
    </w:pPr>
  </w:style>
  <w:style w:type="paragraph" w:customStyle="1" w:styleId="NumberedParagraph-BulletL2">
    <w:name w:val="Numbered Paragraph - Bullet L2"/>
    <w:basedOn w:val="NumberedParagraph"/>
    <w:rsid w:val="004A3F15"/>
    <w:pPr>
      <w:tabs>
        <w:tab w:val="clear" w:pos="851"/>
        <w:tab w:val="num" w:pos="1985"/>
      </w:tabs>
      <w:spacing w:before="120"/>
      <w:ind w:left="1985" w:hanging="567"/>
    </w:pPr>
  </w:style>
  <w:style w:type="character" w:styleId="Mention">
    <w:name w:val="Mention"/>
    <w:basedOn w:val="DefaultParagraphFont"/>
    <w:uiPriority w:val="99"/>
    <w:unhideWhenUsed/>
    <w:rsid w:val="005675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304705481">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602179560">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4535</Words>
  <Characters>25854</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Regulatory impact statement - Dividend integrity and personal services income attribution (25 February 2022)</vt:lpstr>
      <vt:lpstr>Regulatory Impact Statement: Dividend integrity and personal services income att</vt:lpstr>
      <vt:lpstr>    Coversheet</vt:lpstr>
      <vt:lpstr>    Section 1: Diagnosing the policy problem</vt:lpstr>
      <vt:lpstr>        What is the context behind the policy problem and how is the status quo expected</vt:lpstr>
      <vt:lpstr>        What is the policy problem or opportunity?</vt:lpstr>
      <vt:lpstr>        What objectives are sought in relation to the policy problem?</vt:lpstr>
      <vt:lpstr>    Section 2: Deciding upon an option to address the policy problem</vt:lpstr>
      <vt:lpstr>        What criteria will be used to compare options to the status quo?</vt:lpstr>
      <vt:lpstr>        What scope will options be considered within?</vt:lpstr>
      <vt:lpstr>        What options are being considered?</vt:lpstr>
      <vt:lpstr>        How do the options compare to the status quo/counterfactual?</vt:lpstr>
      <vt:lpstr>        What option is likely to best address the problem, meet the policy objectives, a</vt:lpstr>
      <vt:lpstr>        What are the marginal costs and benefits of the option?</vt:lpstr>
      <vt:lpstr>    Section 3: Delivering an option</vt:lpstr>
      <vt:lpstr>        How will the new arrangements be implemented?</vt:lpstr>
      <vt:lpstr>        How will the new arrangements be monitored, evaluated, and reviewed?</vt:lpstr>
    </vt:vector>
  </TitlesOfParts>
  <Manager/>
  <Company>Inland Revenue</Company>
  <LinksUpToDate>false</LinksUpToDate>
  <CharactersWithSpaces>30329</CharactersWithSpaces>
  <SharedDoc>false</SharedDoc>
  <HLinks>
    <vt:vector size="12" baseType="variant">
      <vt:variant>
        <vt:i4>5046360</vt:i4>
      </vt:variant>
      <vt:variant>
        <vt:i4>3</vt:i4>
      </vt:variant>
      <vt:variant>
        <vt:i4>0</vt:i4>
      </vt:variant>
      <vt:variant>
        <vt:i4>5</vt:i4>
      </vt:variant>
      <vt:variant>
        <vt:lpwstr>https://www.treasury.govt.nz/sites/default/files/2018-03/ia-bestprac-guidance-note.pdf</vt:lpwstr>
      </vt:variant>
      <vt:variant>
        <vt:lpwstr>page=10</vt:lpwstr>
      </vt:variant>
      <vt:variant>
        <vt:i4>4456536</vt:i4>
      </vt:variant>
      <vt:variant>
        <vt:i4>0</vt:i4>
      </vt:variant>
      <vt:variant>
        <vt:i4>0</vt:i4>
      </vt:variant>
      <vt:variant>
        <vt:i4>5</vt:i4>
      </vt:variant>
      <vt:variant>
        <vt:lpwstr>https://www.treasury.govt.nz/sites/default/files/2018-03/ia-bestprac-guidance-note.pdf</vt:lpwstr>
      </vt:variant>
      <vt:variant>
        <vt:lpwstr>page=8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Dividend integrity and personal services income attribution (25 February 2022)</dc:title>
  <dc:subject/>
  <dc:creator>Policy and Regulatory Stewardship</dc:creator>
  <cp:keywords/>
  <dc:description/>
  <dcterms:created xsi:type="dcterms:W3CDTF">2022-03-16T16:22:00Z</dcterms:created>
  <dcterms:modified xsi:type="dcterms:W3CDTF">2022-03-16T16:23:00Z</dcterms:modified>
</cp:coreProperties>
</file>