
<file path=[Content_Types].xml><?xml version="1.0" encoding="utf-8"?>
<Types xmlns="http://schemas.openxmlformats.org/package/2006/content-types">
  <Default Extension="bin" ContentType="application/vnd.openxmlformats-officedocument.oleObject"/>
  <Default Extension="png" ContentType="image/png"/>
  <Default Extension="svg" ContentType="image/svg+xml"/>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5.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0CD3B" w14:textId="2B1E946A" w:rsidR="00B70CDE" w:rsidRPr="00DA11DD" w:rsidRDefault="00834748" w:rsidP="00936C85">
      <w:pPr>
        <w:pStyle w:val="Title"/>
      </w:pPr>
      <w:bookmarkStart w:id="0" w:name="_Toc429977995"/>
      <w:r>
        <w:rPr>
          <w:rFonts w:eastAsia="Calibri"/>
        </w:rPr>
        <w:t xml:space="preserve">Tax, </w:t>
      </w:r>
      <w:r w:rsidR="00D55A58">
        <w:rPr>
          <w:rFonts w:eastAsia="Calibri"/>
        </w:rPr>
        <w:t xml:space="preserve">foreign </w:t>
      </w:r>
      <w:proofErr w:type="gramStart"/>
      <w:r>
        <w:rPr>
          <w:rFonts w:eastAsia="Calibri"/>
        </w:rPr>
        <w:t>investment</w:t>
      </w:r>
      <w:proofErr w:type="gramEnd"/>
      <w:r>
        <w:rPr>
          <w:rFonts w:eastAsia="Calibri"/>
        </w:rPr>
        <w:t xml:space="preserve"> and productivity</w:t>
      </w:r>
    </w:p>
    <w:p w14:paraId="587E380F" w14:textId="228B8A4E" w:rsidR="00B70CDE" w:rsidRPr="00DA11DD" w:rsidRDefault="004519D5" w:rsidP="00702B7E">
      <w:pPr>
        <w:pStyle w:val="Subtitle"/>
      </w:pPr>
      <w:r>
        <w:t>L</w:t>
      </w:r>
      <w:r w:rsidR="00E639BB">
        <w:t>ong-term insights briefing</w:t>
      </w:r>
    </w:p>
    <w:p w14:paraId="7D39794D" w14:textId="77777777" w:rsidR="00B70CDE" w:rsidRPr="00DA11DD" w:rsidRDefault="00B70CDE"/>
    <w:p w14:paraId="20EF87B8" w14:textId="77777777" w:rsidR="00B70CDE" w:rsidRPr="00DA11DD" w:rsidRDefault="00B70CDE"/>
    <w:p w14:paraId="2036645B" w14:textId="77777777" w:rsidR="00B70CDE" w:rsidRPr="00DA11DD" w:rsidRDefault="00B70CDE"/>
    <w:p w14:paraId="61B4A79C" w14:textId="77777777" w:rsidR="00B70CDE" w:rsidRPr="00DA11DD" w:rsidRDefault="00B70CDE"/>
    <w:p w14:paraId="6A8F007C" w14:textId="77777777" w:rsidR="00B70CDE" w:rsidRPr="00DA11DD" w:rsidRDefault="00B70CDE"/>
    <w:p w14:paraId="0B1275B5" w14:textId="77777777" w:rsidR="00B70CDE" w:rsidRPr="00DA11DD" w:rsidRDefault="00B70CDE"/>
    <w:p w14:paraId="5E3A605E" w14:textId="77777777" w:rsidR="00B70CDE" w:rsidRPr="00DA11DD" w:rsidRDefault="00B70CDE"/>
    <w:p w14:paraId="008FD829" w14:textId="77777777" w:rsidR="00B70CDE" w:rsidRPr="00DA11DD" w:rsidRDefault="00B70CDE"/>
    <w:p w14:paraId="2964407D" w14:textId="77777777" w:rsidR="00B70CDE" w:rsidRPr="00DA11DD" w:rsidRDefault="00B70CDE"/>
    <w:p w14:paraId="060AB99B" w14:textId="77777777" w:rsidR="00B70CDE" w:rsidRPr="00DA11DD" w:rsidRDefault="00B70CDE"/>
    <w:p w14:paraId="647F2525" w14:textId="77777777" w:rsidR="00B70CDE" w:rsidRPr="00DA11DD" w:rsidRDefault="00B70CDE"/>
    <w:p w14:paraId="7CC0D69D" w14:textId="77777777" w:rsidR="00B70CDE" w:rsidRPr="00DA11DD" w:rsidRDefault="00B70CDE"/>
    <w:p w14:paraId="0CF64936" w14:textId="73BF6AEF" w:rsidR="00B70CDE" w:rsidRDefault="00B70CDE"/>
    <w:p w14:paraId="117654E7" w14:textId="77777777" w:rsidR="002D1AF7" w:rsidRPr="00DA11DD" w:rsidRDefault="002D1AF7"/>
    <w:p w14:paraId="5F635FFA" w14:textId="77777777" w:rsidR="00B70CDE" w:rsidRPr="00DA11DD" w:rsidRDefault="00B70CDE"/>
    <w:p w14:paraId="0265DEFA" w14:textId="100D9343" w:rsidR="00B70CDE" w:rsidRDefault="00B70CDE"/>
    <w:p w14:paraId="05081B47" w14:textId="77777777" w:rsidR="00936C85" w:rsidRPr="00DA11DD" w:rsidRDefault="00936C85"/>
    <w:p w14:paraId="1927D88A" w14:textId="77777777" w:rsidR="00B70CDE" w:rsidRPr="00DA11DD" w:rsidRDefault="00B70CDE"/>
    <w:p w14:paraId="41D4CB86" w14:textId="2B869B80" w:rsidR="00B70CDE" w:rsidRPr="00DA11DD" w:rsidRDefault="00D62707" w:rsidP="003A57E0">
      <w:pPr>
        <w:pStyle w:val="Publicationdate-Cover"/>
      </w:pPr>
      <w:r w:rsidRPr="00B95791">
        <w:t>August</w:t>
      </w:r>
      <w:r w:rsidR="007F74B9">
        <w:t xml:space="preserve"> 2022</w:t>
      </w:r>
    </w:p>
    <w:p w14:paraId="1B909BB0" w14:textId="77777777" w:rsidR="00B70CDE" w:rsidRPr="00DA11DD" w:rsidRDefault="00B70CDE" w:rsidP="00151296">
      <w:pPr>
        <w:pStyle w:val="Authorname-Agency"/>
      </w:pPr>
      <w:r w:rsidRPr="00DA11DD">
        <w:t xml:space="preserve">Prepared by Policy and </w:t>
      </w:r>
      <w:r w:rsidR="0057127B" w:rsidRPr="00DA11DD">
        <w:t>Regulat</w:t>
      </w:r>
      <w:r w:rsidR="00A85243" w:rsidRPr="00DA11DD">
        <w:t>ory Stewardship</w:t>
      </w:r>
      <w:r w:rsidRPr="00DA11DD">
        <w:t>, Inland Revenue</w:t>
      </w:r>
    </w:p>
    <w:p w14:paraId="15B177C5" w14:textId="77777777" w:rsidR="003959E1" w:rsidRPr="00DA11DD" w:rsidRDefault="003959E1" w:rsidP="00B70CDE">
      <w:r w:rsidRPr="00DA11DD">
        <w:br w:type="page"/>
      </w:r>
    </w:p>
    <w:p w14:paraId="544C8952" w14:textId="77777777" w:rsidR="003959E1" w:rsidRPr="00DA11DD" w:rsidRDefault="003959E1"/>
    <w:p w14:paraId="173CF6F1" w14:textId="77777777" w:rsidR="00D929C1" w:rsidRPr="00DA11DD" w:rsidRDefault="00D929C1"/>
    <w:p w14:paraId="18DA4176" w14:textId="77777777" w:rsidR="00D929C1" w:rsidRPr="00DA11DD" w:rsidRDefault="00D929C1"/>
    <w:p w14:paraId="080E1168" w14:textId="77777777" w:rsidR="00D929C1" w:rsidRPr="00DA11DD" w:rsidRDefault="00D929C1"/>
    <w:p w14:paraId="1EBE657A" w14:textId="77777777" w:rsidR="00D929C1" w:rsidRPr="00DA11DD" w:rsidRDefault="00D929C1"/>
    <w:p w14:paraId="0947B09F" w14:textId="77777777" w:rsidR="00D929C1" w:rsidRPr="00DA11DD" w:rsidRDefault="00D929C1"/>
    <w:p w14:paraId="1E4F7930" w14:textId="77777777" w:rsidR="00D929C1" w:rsidRPr="00DA11DD" w:rsidRDefault="00D929C1"/>
    <w:p w14:paraId="69E8ED78" w14:textId="77777777" w:rsidR="00D929C1" w:rsidRPr="00DA11DD" w:rsidRDefault="00D929C1"/>
    <w:p w14:paraId="27EAF5ED" w14:textId="77777777" w:rsidR="00D929C1" w:rsidRPr="00DA11DD" w:rsidRDefault="00D929C1"/>
    <w:p w14:paraId="7BE95D0F" w14:textId="77777777" w:rsidR="00D929C1" w:rsidRPr="00DA11DD" w:rsidRDefault="00D929C1"/>
    <w:p w14:paraId="4146A117" w14:textId="77777777" w:rsidR="00D929C1" w:rsidRPr="00DA11DD" w:rsidRDefault="00D929C1"/>
    <w:p w14:paraId="4D9EC24D" w14:textId="77777777" w:rsidR="00D929C1" w:rsidRPr="00DA11DD" w:rsidRDefault="00D929C1"/>
    <w:p w14:paraId="5E90E0BB" w14:textId="77777777" w:rsidR="00D929C1" w:rsidRPr="00DA11DD" w:rsidRDefault="00D929C1"/>
    <w:p w14:paraId="770A6130" w14:textId="77777777" w:rsidR="00D929C1" w:rsidRPr="00DA11DD" w:rsidRDefault="00D929C1"/>
    <w:p w14:paraId="6F5C4891" w14:textId="3CD53D73" w:rsidR="00D929C1" w:rsidRDefault="00D929C1"/>
    <w:p w14:paraId="5BA34C54" w14:textId="25B98100" w:rsidR="00936C85" w:rsidRDefault="00936C85"/>
    <w:p w14:paraId="480B858D" w14:textId="01A4DC65" w:rsidR="00936C85" w:rsidRPr="00DA11DD" w:rsidRDefault="00936C85"/>
    <w:p w14:paraId="4258E4E7" w14:textId="77777777" w:rsidR="00D929C1" w:rsidRDefault="00D929C1"/>
    <w:p w14:paraId="3965F0A6" w14:textId="77777777" w:rsidR="000C10CE" w:rsidRPr="00DA11DD" w:rsidRDefault="000C10CE"/>
    <w:p w14:paraId="67524011" w14:textId="77777777" w:rsidR="00D929C1" w:rsidRPr="00DA11DD" w:rsidRDefault="00D929C1"/>
    <w:p w14:paraId="5970B752" w14:textId="77777777" w:rsidR="0026287E" w:rsidRPr="00DA11DD" w:rsidRDefault="0026287E"/>
    <w:p w14:paraId="5435BB40" w14:textId="77777777" w:rsidR="00DA3080" w:rsidRPr="00DA11DD" w:rsidRDefault="00DA3080"/>
    <w:p w14:paraId="2C5D66C2" w14:textId="22FEAF18" w:rsidR="00702B7E" w:rsidRPr="00DA11DD" w:rsidRDefault="004627B9" w:rsidP="000B7839">
      <w:pPr>
        <w:pStyle w:val="InsideCover"/>
      </w:pPr>
      <w:r w:rsidRPr="00A31FA4">
        <w:t>P</w:t>
      </w:r>
      <w:r w:rsidR="00702B7E" w:rsidRPr="00A31FA4">
        <w:t xml:space="preserve">ublished in </w:t>
      </w:r>
      <w:r w:rsidR="00D62707">
        <w:t>August</w:t>
      </w:r>
      <w:r w:rsidR="00DB1DC5">
        <w:t xml:space="preserve"> </w:t>
      </w:r>
      <w:r w:rsidR="007F74B9">
        <w:t>2022</w:t>
      </w:r>
      <w:r w:rsidR="00702B7E" w:rsidRPr="00DA11DD">
        <w:t xml:space="preserve"> by Policy and </w:t>
      </w:r>
      <w:r w:rsidR="00F210A7" w:rsidRPr="00DA11DD">
        <w:t>Regulatory Stewardship</w:t>
      </w:r>
      <w:r w:rsidR="0026287E" w:rsidRPr="00DA11DD">
        <w:t xml:space="preserve">, </w:t>
      </w:r>
      <w:r w:rsidR="00702B7E" w:rsidRPr="00DA11DD">
        <w:t>Inland Revenue</w:t>
      </w:r>
      <w:r w:rsidR="00FE0012">
        <w:t>,</w:t>
      </w:r>
      <w:r w:rsidR="00FE0012">
        <w:br/>
      </w:r>
      <w:r w:rsidR="00702B7E" w:rsidRPr="00DA11DD">
        <w:t>PO Box 2198, Wellington 6140.</w:t>
      </w:r>
    </w:p>
    <w:p w14:paraId="163BF885" w14:textId="2F9659EB" w:rsidR="00702B7E" w:rsidRPr="002371B5" w:rsidRDefault="00CF2C4C" w:rsidP="000B7839">
      <w:pPr>
        <w:pStyle w:val="InsideCover"/>
        <w:rPr>
          <w:b/>
          <w:bCs/>
        </w:rPr>
      </w:pPr>
      <w:r w:rsidRPr="002371B5">
        <w:rPr>
          <w:rFonts w:eastAsia="Calibri"/>
          <w:b/>
          <w:bCs/>
          <w:lang w:eastAsia="en-US"/>
        </w:rPr>
        <w:t xml:space="preserve">Tax, foreign </w:t>
      </w:r>
      <w:proofErr w:type="gramStart"/>
      <w:r w:rsidRPr="002371B5">
        <w:rPr>
          <w:rFonts w:eastAsia="Calibri"/>
          <w:b/>
          <w:bCs/>
          <w:lang w:eastAsia="en-US"/>
        </w:rPr>
        <w:t>investment</w:t>
      </w:r>
      <w:proofErr w:type="gramEnd"/>
      <w:r w:rsidRPr="002371B5">
        <w:rPr>
          <w:rFonts w:eastAsia="Calibri"/>
          <w:b/>
          <w:bCs/>
          <w:lang w:eastAsia="en-US"/>
        </w:rPr>
        <w:t xml:space="preserve"> and productivity</w:t>
      </w:r>
      <w:r w:rsidR="0036156B" w:rsidRPr="002371B5">
        <w:rPr>
          <w:rFonts w:eastAsia="Calibri"/>
          <w:b/>
          <w:bCs/>
          <w:lang w:eastAsia="en-US"/>
        </w:rPr>
        <w:t xml:space="preserve"> – </w:t>
      </w:r>
      <w:r w:rsidR="005D07E8" w:rsidRPr="002371B5">
        <w:rPr>
          <w:rFonts w:eastAsia="Calibri"/>
          <w:b/>
          <w:bCs/>
          <w:lang w:eastAsia="en-US"/>
        </w:rPr>
        <w:t>L</w:t>
      </w:r>
      <w:r w:rsidRPr="002371B5">
        <w:rPr>
          <w:rFonts w:eastAsia="Calibri"/>
          <w:b/>
          <w:bCs/>
          <w:lang w:eastAsia="en-US"/>
        </w:rPr>
        <w:t>ong-term insights briefing</w:t>
      </w:r>
    </w:p>
    <w:p w14:paraId="117DB2FE" w14:textId="19E0D1AA" w:rsidR="00E644A6" w:rsidRPr="004768FA" w:rsidRDefault="00E644A6" w:rsidP="00E644A6">
      <w:r w:rsidRPr="00A924BD">
        <w:t xml:space="preserve">ISBN </w:t>
      </w:r>
      <w:r w:rsidR="00347026" w:rsidRPr="00A924BD">
        <w:t>978-1-98-857344-1</w:t>
      </w:r>
      <w:r w:rsidR="00452E0C" w:rsidRPr="00A924BD">
        <w:t xml:space="preserve"> (Online)</w:t>
      </w:r>
    </w:p>
    <w:p w14:paraId="138EF619" w14:textId="339327CF" w:rsidR="00702B7E" w:rsidRPr="00DA11DD" w:rsidRDefault="00376F5C" w:rsidP="00D929C1">
      <w:pPr>
        <w:spacing w:after="480"/>
      </w:pPr>
      <w:r w:rsidRPr="00DA11DD">
        <w:rPr>
          <w:noProof/>
        </w:rPr>
        <w:drawing>
          <wp:anchor distT="0" distB="0" distL="114300" distR="114300" simplePos="0" relativeHeight="251658241" behindDoc="0" locked="0" layoutInCell="1" allowOverlap="1" wp14:anchorId="76106491" wp14:editId="6DEF03C9">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82345" cy="341630"/>
                    </a:xfrm>
                    <a:prstGeom prst="rect">
                      <a:avLst/>
                    </a:prstGeom>
                  </pic:spPr>
                </pic:pic>
              </a:graphicData>
            </a:graphic>
          </wp:anchor>
        </w:drawing>
      </w:r>
      <w:r w:rsidR="00702B7E" w:rsidRPr="00DA11DD">
        <w:t>© Crown Copyright</w:t>
      </w:r>
    </w:p>
    <w:p w14:paraId="6E83E250" w14:textId="77777777" w:rsidR="00702B7E" w:rsidRPr="00DA11DD" w:rsidRDefault="00702B7E" w:rsidP="000B7839">
      <w:pPr>
        <w:pStyle w:val="InsideCover"/>
      </w:pPr>
      <w:r w:rsidRPr="00DA11DD">
        <w:t>This work is licensed under the Creative Commons Attribution 4.0 International Licence. In essence, you are free to copy, distribute and adapt the work, as long as you attribute the work to the Crown and abide by the other licence terms.</w:t>
      </w:r>
    </w:p>
    <w:p w14:paraId="548E10F8" w14:textId="451BDA7C" w:rsidR="000A6E3B" w:rsidRDefault="00702B7E" w:rsidP="000B7839">
      <w:pPr>
        <w:pStyle w:val="InsideCover"/>
      </w:pPr>
      <w:r w:rsidRPr="00DA11DD">
        <w:t>The document is available at</w:t>
      </w:r>
      <w:r w:rsidR="000A6E3B" w:rsidRPr="00DA11DD">
        <w:t xml:space="preserve"> </w:t>
      </w:r>
      <w:r w:rsidR="000B7839">
        <w:br/>
      </w:r>
      <w:hyperlink r:id="rId10" w:history="1">
        <w:r w:rsidR="003D46BF" w:rsidRPr="003D46BF">
          <w:rPr>
            <w:rStyle w:val="Hyperlink"/>
          </w:rPr>
          <w:t>https://taxpolicy.ird.govt.nz/publications/2022/2022-other-</w:t>
        </w:r>
        <w:r w:rsidR="003D46BF" w:rsidRPr="00163FA5">
          <w:rPr>
            <w:rStyle w:val="Hyperlink"/>
          </w:rPr>
          <w:t>final-</w:t>
        </w:r>
        <w:r w:rsidR="003D46BF" w:rsidRPr="00CE7B13">
          <w:rPr>
            <w:rStyle w:val="Hyperlink"/>
          </w:rPr>
          <w:t>ltib</w:t>
        </w:r>
      </w:hyperlink>
    </w:p>
    <w:p w14:paraId="12305C3F" w14:textId="77777777" w:rsidR="005C74F8" w:rsidRPr="00DA11DD" w:rsidRDefault="005C74F8" w:rsidP="000B7839">
      <w:pPr>
        <w:pStyle w:val="InsideCover"/>
      </w:pPr>
    </w:p>
    <w:p w14:paraId="21362652" w14:textId="52F79378" w:rsidR="003959E1" w:rsidRPr="00230781" w:rsidRDefault="003959E1" w:rsidP="00230781">
      <w:pPr>
        <w:spacing w:before="0" w:after="560"/>
        <w:jc w:val="center"/>
        <w:rPr>
          <w:b/>
          <w:color w:val="1F85A3"/>
          <w:sz w:val="24"/>
          <w:szCs w:val="24"/>
        </w:rPr>
      </w:pPr>
      <w:r w:rsidRPr="00230781">
        <w:rPr>
          <w:b/>
          <w:color w:val="1F85A3"/>
          <w:sz w:val="24"/>
          <w:szCs w:val="24"/>
        </w:rPr>
        <w:lastRenderedPageBreak/>
        <w:t>CONTENTS</w:t>
      </w:r>
    </w:p>
    <w:bookmarkStart w:id="1" w:name="_Hlt510587982"/>
    <w:bookmarkStart w:id="2" w:name="_Hlt478443407"/>
    <w:bookmarkStart w:id="3" w:name="_Toc14174909"/>
    <w:bookmarkEnd w:id="0"/>
    <w:bookmarkEnd w:id="1"/>
    <w:bookmarkEnd w:id="2"/>
    <w:p w14:paraId="08FA2023" w14:textId="7192A25C" w:rsidR="0066653A" w:rsidRDefault="001448F7">
      <w:pPr>
        <w:pStyle w:val="TOC1"/>
        <w:rPr>
          <w:rFonts w:asciiTheme="minorHAnsi" w:eastAsiaTheme="minorEastAsia" w:hAnsiTheme="minorHAnsi" w:cstheme="minorBidi"/>
          <w:b w:val="0"/>
          <w:sz w:val="22"/>
          <w:szCs w:val="22"/>
        </w:rPr>
      </w:pPr>
      <w:r>
        <w:fldChar w:fldCharType="begin"/>
      </w:r>
      <w:r>
        <w:instrText xml:space="preserve"> TOC \o "1-2" \h \z \u </w:instrText>
      </w:r>
      <w:r>
        <w:fldChar w:fldCharType="separate"/>
      </w:r>
      <w:hyperlink w:anchor="_Toc112857385" w:history="1">
        <w:r w:rsidR="0066653A" w:rsidRPr="00DD5DD9">
          <w:rPr>
            <w:rStyle w:val="Hyperlink"/>
          </w:rPr>
          <w:t>EXECUTIVE SUMMARY</w:t>
        </w:r>
        <w:r w:rsidR="0066653A">
          <w:rPr>
            <w:webHidden/>
          </w:rPr>
          <w:tab/>
        </w:r>
        <w:r w:rsidR="0066653A">
          <w:rPr>
            <w:webHidden/>
          </w:rPr>
          <w:fldChar w:fldCharType="begin"/>
        </w:r>
        <w:r w:rsidR="0066653A">
          <w:rPr>
            <w:webHidden/>
          </w:rPr>
          <w:instrText xml:space="preserve"> PAGEREF _Toc112857385 \h </w:instrText>
        </w:r>
        <w:r w:rsidR="0066653A">
          <w:rPr>
            <w:webHidden/>
          </w:rPr>
        </w:r>
        <w:r w:rsidR="0066653A">
          <w:rPr>
            <w:webHidden/>
          </w:rPr>
          <w:fldChar w:fldCharType="separate"/>
        </w:r>
        <w:r w:rsidR="0066653A">
          <w:rPr>
            <w:webHidden/>
          </w:rPr>
          <w:t>7</w:t>
        </w:r>
        <w:r w:rsidR="0066653A">
          <w:rPr>
            <w:webHidden/>
          </w:rPr>
          <w:fldChar w:fldCharType="end"/>
        </w:r>
      </w:hyperlink>
    </w:p>
    <w:p w14:paraId="7EAF8CB8" w14:textId="53777181" w:rsidR="0066653A" w:rsidRDefault="0066653A">
      <w:pPr>
        <w:pStyle w:val="TOC1"/>
        <w:rPr>
          <w:rFonts w:asciiTheme="minorHAnsi" w:eastAsiaTheme="minorEastAsia" w:hAnsiTheme="minorHAnsi" w:cstheme="minorBidi"/>
          <w:b w:val="0"/>
          <w:sz w:val="22"/>
          <w:szCs w:val="22"/>
        </w:rPr>
      </w:pPr>
      <w:hyperlink w:anchor="_Toc112857386" w:history="1">
        <w:r w:rsidRPr="00DD5DD9">
          <w:rPr>
            <w:rStyle w:val="Hyperlink"/>
          </w:rPr>
          <w:t xml:space="preserve">CHAPTER 1 </w:t>
        </w:r>
        <w:r>
          <w:rPr>
            <w:rStyle w:val="Hyperlink"/>
          </w:rPr>
          <w:tab/>
        </w:r>
        <w:r w:rsidRPr="00DD5DD9">
          <w:rPr>
            <w:rStyle w:val="Hyperlink"/>
          </w:rPr>
          <w:t>Introduction</w:t>
        </w:r>
        <w:r>
          <w:rPr>
            <w:webHidden/>
          </w:rPr>
          <w:tab/>
        </w:r>
        <w:r>
          <w:rPr>
            <w:webHidden/>
          </w:rPr>
          <w:fldChar w:fldCharType="begin"/>
        </w:r>
        <w:r>
          <w:rPr>
            <w:webHidden/>
          </w:rPr>
          <w:instrText xml:space="preserve"> PAGEREF _Toc112857386 \h </w:instrText>
        </w:r>
        <w:r>
          <w:rPr>
            <w:webHidden/>
          </w:rPr>
        </w:r>
        <w:r>
          <w:rPr>
            <w:webHidden/>
          </w:rPr>
          <w:fldChar w:fldCharType="separate"/>
        </w:r>
        <w:r>
          <w:rPr>
            <w:webHidden/>
          </w:rPr>
          <w:t>9</w:t>
        </w:r>
        <w:r>
          <w:rPr>
            <w:webHidden/>
          </w:rPr>
          <w:fldChar w:fldCharType="end"/>
        </w:r>
      </w:hyperlink>
    </w:p>
    <w:p w14:paraId="2FB65CEA" w14:textId="19A2F93B" w:rsidR="0066653A" w:rsidRDefault="0066653A">
      <w:pPr>
        <w:pStyle w:val="TOC2"/>
        <w:rPr>
          <w:rFonts w:asciiTheme="minorHAnsi" w:eastAsiaTheme="minorEastAsia" w:hAnsiTheme="minorHAnsi" w:cstheme="minorBidi"/>
          <w:sz w:val="22"/>
          <w:szCs w:val="22"/>
        </w:rPr>
      </w:pPr>
      <w:hyperlink w:anchor="_Toc112857387" w:history="1">
        <w:r w:rsidRPr="00DD5DD9">
          <w:rPr>
            <w:rStyle w:val="Hyperlink"/>
            <w:rFonts w:eastAsia="Calibri"/>
            <w:lang w:eastAsia="en-US"/>
          </w:rPr>
          <w:t>Background</w:t>
        </w:r>
        <w:r>
          <w:rPr>
            <w:webHidden/>
          </w:rPr>
          <w:tab/>
        </w:r>
        <w:r>
          <w:rPr>
            <w:webHidden/>
          </w:rPr>
          <w:fldChar w:fldCharType="begin"/>
        </w:r>
        <w:r>
          <w:rPr>
            <w:webHidden/>
          </w:rPr>
          <w:instrText xml:space="preserve"> PAGEREF _Toc112857387 \h </w:instrText>
        </w:r>
        <w:r>
          <w:rPr>
            <w:webHidden/>
          </w:rPr>
        </w:r>
        <w:r>
          <w:rPr>
            <w:webHidden/>
          </w:rPr>
          <w:fldChar w:fldCharType="separate"/>
        </w:r>
        <w:r>
          <w:rPr>
            <w:webHidden/>
          </w:rPr>
          <w:t>11</w:t>
        </w:r>
        <w:r>
          <w:rPr>
            <w:webHidden/>
          </w:rPr>
          <w:fldChar w:fldCharType="end"/>
        </w:r>
      </w:hyperlink>
    </w:p>
    <w:p w14:paraId="02175068" w14:textId="26DD353D" w:rsidR="0066653A" w:rsidRDefault="0066653A">
      <w:pPr>
        <w:pStyle w:val="TOC2"/>
        <w:rPr>
          <w:rFonts w:asciiTheme="minorHAnsi" w:eastAsiaTheme="minorEastAsia" w:hAnsiTheme="minorHAnsi" w:cstheme="minorBidi"/>
          <w:sz w:val="22"/>
          <w:szCs w:val="22"/>
        </w:rPr>
      </w:pPr>
      <w:hyperlink w:anchor="_Toc112857388" w:history="1">
        <w:r w:rsidRPr="00DD5DD9">
          <w:rPr>
            <w:rStyle w:val="Hyperlink"/>
            <w:rFonts w:eastAsia="Calibri"/>
            <w:lang w:eastAsia="en-US"/>
          </w:rPr>
          <w:t>Key trends and issues</w:t>
        </w:r>
        <w:r>
          <w:rPr>
            <w:webHidden/>
          </w:rPr>
          <w:tab/>
        </w:r>
        <w:r>
          <w:rPr>
            <w:webHidden/>
          </w:rPr>
          <w:fldChar w:fldCharType="begin"/>
        </w:r>
        <w:r>
          <w:rPr>
            <w:webHidden/>
          </w:rPr>
          <w:instrText xml:space="preserve"> PAGEREF _Toc112857388 \h </w:instrText>
        </w:r>
        <w:r>
          <w:rPr>
            <w:webHidden/>
          </w:rPr>
        </w:r>
        <w:r>
          <w:rPr>
            <w:webHidden/>
          </w:rPr>
          <w:fldChar w:fldCharType="separate"/>
        </w:r>
        <w:r>
          <w:rPr>
            <w:webHidden/>
          </w:rPr>
          <w:t>12</w:t>
        </w:r>
        <w:r>
          <w:rPr>
            <w:webHidden/>
          </w:rPr>
          <w:fldChar w:fldCharType="end"/>
        </w:r>
      </w:hyperlink>
    </w:p>
    <w:p w14:paraId="53745FA0" w14:textId="4B3B35DD" w:rsidR="0066653A" w:rsidRDefault="0066653A">
      <w:pPr>
        <w:pStyle w:val="TOC2"/>
        <w:rPr>
          <w:rFonts w:asciiTheme="minorHAnsi" w:eastAsiaTheme="minorEastAsia" w:hAnsiTheme="minorHAnsi" w:cstheme="minorBidi"/>
          <w:sz w:val="22"/>
          <w:szCs w:val="22"/>
        </w:rPr>
      </w:pPr>
      <w:hyperlink w:anchor="_Toc112857389" w:history="1">
        <w:r w:rsidRPr="00DD5DD9">
          <w:rPr>
            <w:rStyle w:val="Hyperlink"/>
            <w:rFonts w:eastAsia="Calibri"/>
            <w:lang w:eastAsia="en-US"/>
          </w:rPr>
          <w:t>Feedback received on the scoping paper</w:t>
        </w:r>
        <w:r>
          <w:rPr>
            <w:webHidden/>
          </w:rPr>
          <w:tab/>
        </w:r>
        <w:r>
          <w:rPr>
            <w:webHidden/>
          </w:rPr>
          <w:fldChar w:fldCharType="begin"/>
        </w:r>
        <w:r>
          <w:rPr>
            <w:webHidden/>
          </w:rPr>
          <w:instrText xml:space="preserve"> PAGEREF _Toc112857389 \h </w:instrText>
        </w:r>
        <w:r>
          <w:rPr>
            <w:webHidden/>
          </w:rPr>
        </w:r>
        <w:r>
          <w:rPr>
            <w:webHidden/>
          </w:rPr>
          <w:fldChar w:fldCharType="separate"/>
        </w:r>
        <w:r>
          <w:rPr>
            <w:webHidden/>
          </w:rPr>
          <w:t>16</w:t>
        </w:r>
        <w:r>
          <w:rPr>
            <w:webHidden/>
          </w:rPr>
          <w:fldChar w:fldCharType="end"/>
        </w:r>
      </w:hyperlink>
    </w:p>
    <w:p w14:paraId="32855FA9" w14:textId="117E7499" w:rsidR="0066653A" w:rsidRDefault="0066653A">
      <w:pPr>
        <w:pStyle w:val="TOC2"/>
        <w:rPr>
          <w:rFonts w:asciiTheme="minorHAnsi" w:eastAsiaTheme="minorEastAsia" w:hAnsiTheme="minorHAnsi" w:cstheme="minorBidi"/>
          <w:sz w:val="22"/>
          <w:szCs w:val="22"/>
        </w:rPr>
      </w:pPr>
      <w:hyperlink w:anchor="_Toc112857390" w:history="1">
        <w:r w:rsidRPr="00DD5DD9">
          <w:rPr>
            <w:rStyle w:val="Hyperlink"/>
            <w:rFonts w:eastAsia="Calibri"/>
            <w:lang w:eastAsia="en-US"/>
          </w:rPr>
          <w:t>Feedback received on the draft LTIB</w:t>
        </w:r>
        <w:r>
          <w:rPr>
            <w:webHidden/>
          </w:rPr>
          <w:tab/>
        </w:r>
        <w:r>
          <w:rPr>
            <w:webHidden/>
          </w:rPr>
          <w:fldChar w:fldCharType="begin"/>
        </w:r>
        <w:r>
          <w:rPr>
            <w:webHidden/>
          </w:rPr>
          <w:instrText xml:space="preserve"> PAGEREF _Toc112857390 \h </w:instrText>
        </w:r>
        <w:r>
          <w:rPr>
            <w:webHidden/>
          </w:rPr>
        </w:r>
        <w:r>
          <w:rPr>
            <w:webHidden/>
          </w:rPr>
          <w:fldChar w:fldCharType="separate"/>
        </w:r>
        <w:r>
          <w:rPr>
            <w:webHidden/>
          </w:rPr>
          <w:t>18</w:t>
        </w:r>
        <w:r>
          <w:rPr>
            <w:webHidden/>
          </w:rPr>
          <w:fldChar w:fldCharType="end"/>
        </w:r>
      </w:hyperlink>
    </w:p>
    <w:p w14:paraId="41B39B67" w14:textId="6A83597F" w:rsidR="0066653A" w:rsidRDefault="0066653A">
      <w:pPr>
        <w:pStyle w:val="TOC2"/>
        <w:rPr>
          <w:rFonts w:asciiTheme="minorHAnsi" w:eastAsiaTheme="minorEastAsia" w:hAnsiTheme="minorHAnsi" w:cstheme="minorBidi"/>
          <w:sz w:val="22"/>
          <w:szCs w:val="22"/>
        </w:rPr>
      </w:pPr>
      <w:hyperlink w:anchor="_Toc112857391" w:history="1">
        <w:r w:rsidRPr="00DD5DD9">
          <w:rPr>
            <w:rStyle w:val="Hyperlink"/>
            <w:rFonts w:eastAsia="Calibri"/>
            <w:lang w:eastAsia="en-US"/>
          </w:rPr>
          <w:t>Outline of the LTIB</w:t>
        </w:r>
        <w:r>
          <w:rPr>
            <w:webHidden/>
          </w:rPr>
          <w:tab/>
        </w:r>
        <w:r>
          <w:rPr>
            <w:webHidden/>
          </w:rPr>
          <w:fldChar w:fldCharType="begin"/>
        </w:r>
        <w:r>
          <w:rPr>
            <w:webHidden/>
          </w:rPr>
          <w:instrText xml:space="preserve"> PAGEREF _Toc112857391 \h </w:instrText>
        </w:r>
        <w:r>
          <w:rPr>
            <w:webHidden/>
          </w:rPr>
        </w:r>
        <w:r>
          <w:rPr>
            <w:webHidden/>
          </w:rPr>
          <w:fldChar w:fldCharType="separate"/>
        </w:r>
        <w:r>
          <w:rPr>
            <w:webHidden/>
          </w:rPr>
          <w:t>19</w:t>
        </w:r>
        <w:r>
          <w:rPr>
            <w:webHidden/>
          </w:rPr>
          <w:fldChar w:fldCharType="end"/>
        </w:r>
      </w:hyperlink>
    </w:p>
    <w:p w14:paraId="225DA36C" w14:textId="2C1E0DD3" w:rsidR="0066653A" w:rsidRDefault="0066653A">
      <w:pPr>
        <w:pStyle w:val="TOC1"/>
        <w:rPr>
          <w:rFonts w:asciiTheme="minorHAnsi" w:eastAsiaTheme="minorEastAsia" w:hAnsiTheme="minorHAnsi" w:cstheme="minorBidi"/>
          <w:b w:val="0"/>
          <w:sz w:val="22"/>
          <w:szCs w:val="22"/>
        </w:rPr>
      </w:pPr>
      <w:hyperlink w:anchor="_Toc112857392" w:history="1">
        <w:r w:rsidRPr="00DD5DD9">
          <w:rPr>
            <w:rStyle w:val="Hyperlink"/>
          </w:rPr>
          <w:t>CHAPTER 2 Taxing inbound investment income – modelling economic effects and trade-offs</w:t>
        </w:r>
        <w:r>
          <w:rPr>
            <w:webHidden/>
          </w:rPr>
          <w:tab/>
        </w:r>
        <w:r>
          <w:rPr>
            <w:webHidden/>
          </w:rPr>
          <w:fldChar w:fldCharType="begin"/>
        </w:r>
        <w:r>
          <w:rPr>
            <w:webHidden/>
          </w:rPr>
          <w:instrText xml:space="preserve"> PAGEREF _Toc112857392 \h </w:instrText>
        </w:r>
        <w:r>
          <w:rPr>
            <w:webHidden/>
          </w:rPr>
        </w:r>
        <w:r>
          <w:rPr>
            <w:webHidden/>
          </w:rPr>
          <w:fldChar w:fldCharType="separate"/>
        </w:r>
        <w:r>
          <w:rPr>
            <w:webHidden/>
          </w:rPr>
          <w:t>21</w:t>
        </w:r>
        <w:r>
          <w:rPr>
            <w:webHidden/>
          </w:rPr>
          <w:fldChar w:fldCharType="end"/>
        </w:r>
      </w:hyperlink>
    </w:p>
    <w:p w14:paraId="7D533A60" w14:textId="6550C88C" w:rsidR="0066653A" w:rsidRDefault="0066653A">
      <w:pPr>
        <w:pStyle w:val="TOC2"/>
        <w:rPr>
          <w:rFonts w:asciiTheme="minorHAnsi" w:eastAsiaTheme="minorEastAsia" w:hAnsiTheme="minorHAnsi" w:cstheme="minorBidi"/>
          <w:sz w:val="22"/>
          <w:szCs w:val="22"/>
        </w:rPr>
      </w:pPr>
      <w:hyperlink w:anchor="_Toc112857393" w:history="1">
        <w:r w:rsidRPr="00DD5DD9">
          <w:rPr>
            <w:rStyle w:val="Hyperlink"/>
            <w:rFonts w:eastAsia="Calibri"/>
            <w:lang w:eastAsia="en-US"/>
          </w:rPr>
          <w:t>Introduction</w:t>
        </w:r>
        <w:r>
          <w:rPr>
            <w:webHidden/>
          </w:rPr>
          <w:tab/>
        </w:r>
        <w:r>
          <w:rPr>
            <w:webHidden/>
          </w:rPr>
          <w:fldChar w:fldCharType="begin"/>
        </w:r>
        <w:r>
          <w:rPr>
            <w:webHidden/>
          </w:rPr>
          <w:instrText xml:space="preserve"> PAGEREF _Toc112857393 \h </w:instrText>
        </w:r>
        <w:r>
          <w:rPr>
            <w:webHidden/>
          </w:rPr>
        </w:r>
        <w:r>
          <w:rPr>
            <w:webHidden/>
          </w:rPr>
          <w:fldChar w:fldCharType="separate"/>
        </w:r>
        <w:r>
          <w:rPr>
            <w:webHidden/>
          </w:rPr>
          <w:t>21</w:t>
        </w:r>
        <w:r>
          <w:rPr>
            <w:webHidden/>
          </w:rPr>
          <w:fldChar w:fldCharType="end"/>
        </w:r>
      </w:hyperlink>
    </w:p>
    <w:p w14:paraId="7CF37466" w14:textId="4BC9171A" w:rsidR="0066653A" w:rsidRDefault="0066653A">
      <w:pPr>
        <w:pStyle w:val="TOC2"/>
        <w:rPr>
          <w:rFonts w:asciiTheme="minorHAnsi" w:eastAsiaTheme="minorEastAsia" w:hAnsiTheme="minorHAnsi" w:cstheme="minorBidi"/>
          <w:sz w:val="22"/>
          <w:szCs w:val="22"/>
        </w:rPr>
      </w:pPr>
      <w:hyperlink w:anchor="_Toc112857394" w:history="1">
        <w:r w:rsidRPr="00DD5DD9">
          <w:rPr>
            <w:rStyle w:val="Hyperlink"/>
            <w:rFonts w:eastAsia="Calibri"/>
            <w:lang w:eastAsia="en-US"/>
          </w:rPr>
          <w:t>The effects of source-based taxes on inbound investment income in a small open economy – a simple model</w:t>
        </w:r>
        <w:r>
          <w:rPr>
            <w:webHidden/>
          </w:rPr>
          <w:tab/>
        </w:r>
        <w:r>
          <w:rPr>
            <w:webHidden/>
          </w:rPr>
          <w:fldChar w:fldCharType="begin"/>
        </w:r>
        <w:r>
          <w:rPr>
            <w:webHidden/>
          </w:rPr>
          <w:instrText xml:space="preserve"> PAGEREF _Toc112857394 \h </w:instrText>
        </w:r>
        <w:r>
          <w:rPr>
            <w:webHidden/>
          </w:rPr>
        </w:r>
        <w:r>
          <w:rPr>
            <w:webHidden/>
          </w:rPr>
          <w:fldChar w:fldCharType="separate"/>
        </w:r>
        <w:r>
          <w:rPr>
            <w:webHidden/>
          </w:rPr>
          <w:t>22</w:t>
        </w:r>
        <w:r>
          <w:rPr>
            <w:webHidden/>
          </w:rPr>
          <w:fldChar w:fldCharType="end"/>
        </w:r>
      </w:hyperlink>
    </w:p>
    <w:p w14:paraId="22C57341" w14:textId="14C1CF2F" w:rsidR="0066653A" w:rsidRDefault="0066653A">
      <w:pPr>
        <w:pStyle w:val="TOC2"/>
        <w:rPr>
          <w:rFonts w:asciiTheme="minorHAnsi" w:eastAsiaTheme="minorEastAsia" w:hAnsiTheme="minorHAnsi" w:cstheme="minorBidi"/>
          <w:sz w:val="22"/>
          <w:szCs w:val="22"/>
        </w:rPr>
      </w:pPr>
      <w:hyperlink w:anchor="_Toc112857395" w:history="1">
        <w:r w:rsidRPr="00DD5DD9">
          <w:rPr>
            <w:rStyle w:val="Hyperlink"/>
            <w:rFonts w:eastAsia="Calibri"/>
            <w:lang w:eastAsia="en-US"/>
          </w:rPr>
          <w:t>Different types of capital inflows and different costs of capital</w:t>
        </w:r>
        <w:r>
          <w:rPr>
            <w:webHidden/>
          </w:rPr>
          <w:tab/>
        </w:r>
        <w:r>
          <w:rPr>
            <w:webHidden/>
          </w:rPr>
          <w:fldChar w:fldCharType="begin"/>
        </w:r>
        <w:r>
          <w:rPr>
            <w:webHidden/>
          </w:rPr>
          <w:instrText xml:space="preserve"> PAGEREF _Toc112857395 \h </w:instrText>
        </w:r>
        <w:r>
          <w:rPr>
            <w:webHidden/>
          </w:rPr>
        </w:r>
        <w:r>
          <w:rPr>
            <w:webHidden/>
          </w:rPr>
          <w:fldChar w:fldCharType="separate"/>
        </w:r>
        <w:r>
          <w:rPr>
            <w:webHidden/>
          </w:rPr>
          <w:t>25</w:t>
        </w:r>
        <w:r>
          <w:rPr>
            <w:webHidden/>
          </w:rPr>
          <w:fldChar w:fldCharType="end"/>
        </w:r>
      </w:hyperlink>
    </w:p>
    <w:p w14:paraId="0BE34461" w14:textId="347E31D8" w:rsidR="0066653A" w:rsidRDefault="0066653A">
      <w:pPr>
        <w:pStyle w:val="TOC2"/>
        <w:rPr>
          <w:rFonts w:asciiTheme="minorHAnsi" w:eastAsiaTheme="minorEastAsia" w:hAnsiTheme="minorHAnsi" w:cstheme="minorBidi"/>
          <w:sz w:val="22"/>
          <w:szCs w:val="22"/>
        </w:rPr>
      </w:pPr>
      <w:hyperlink w:anchor="_Toc112857396" w:history="1">
        <w:r w:rsidRPr="00DD5DD9">
          <w:rPr>
            <w:rStyle w:val="Hyperlink"/>
            <w:rFonts w:eastAsia="Calibri"/>
            <w:lang w:eastAsia="en-US"/>
          </w:rPr>
          <w:t>How important are source-based taxes likely to be in determining FDI and broader levels of capital stock in New Zealand?</w:t>
        </w:r>
        <w:r>
          <w:rPr>
            <w:webHidden/>
          </w:rPr>
          <w:tab/>
        </w:r>
        <w:r>
          <w:rPr>
            <w:webHidden/>
          </w:rPr>
          <w:fldChar w:fldCharType="begin"/>
        </w:r>
        <w:r>
          <w:rPr>
            <w:webHidden/>
          </w:rPr>
          <w:instrText xml:space="preserve"> PAGEREF _Toc112857396 \h </w:instrText>
        </w:r>
        <w:r>
          <w:rPr>
            <w:webHidden/>
          </w:rPr>
        </w:r>
        <w:r>
          <w:rPr>
            <w:webHidden/>
          </w:rPr>
          <w:fldChar w:fldCharType="separate"/>
        </w:r>
        <w:r>
          <w:rPr>
            <w:webHidden/>
          </w:rPr>
          <w:t>26</w:t>
        </w:r>
        <w:r>
          <w:rPr>
            <w:webHidden/>
          </w:rPr>
          <w:fldChar w:fldCharType="end"/>
        </w:r>
      </w:hyperlink>
    </w:p>
    <w:p w14:paraId="28C306D2" w14:textId="68EC7CAA" w:rsidR="0066653A" w:rsidRDefault="0066653A">
      <w:pPr>
        <w:pStyle w:val="TOC1"/>
        <w:rPr>
          <w:rFonts w:asciiTheme="minorHAnsi" w:eastAsiaTheme="minorEastAsia" w:hAnsiTheme="minorHAnsi" w:cstheme="minorBidi"/>
          <w:b w:val="0"/>
          <w:sz w:val="22"/>
          <w:szCs w:val="22"/>
        </w:rPr>
      </w:pPr>
      <w:hyperlink w:anchor="_Toc112857397" w:history="1">
        <w:r w:rsidRPr="00DD5DD9">
          <w:rPr>
            <w:rStyle w:val="Hyperlink"/>
            <w:rFonts w:eastAsia="Calibri"/>
          </w:rPr>
          <w:t xml:space="preserve">CHAPTER 3 </w:t>
        </w:r>
        <w:r>
          <w:rPr>
            <w:rStyle w:val="Hyperlink"/>
            <w:rFonts w:eastAsia="Calibri"/>
          </w:rPr>
          <w:tab/>
        </w:r>
        <w:r w:rsidRPr="00DD5DD9">
          <w:rPr>
            <w:rStyle w:val="Hyperlink"/>
            <w:rFonts w:eastAsia="Calibri"/>
          </w:rPr>
          <w:t>Benchmarking New Zealand’s costs of capital and EMTRs against those of other OECD countries</w:t>
        </w:r>
        <w:r>
          <w:rPr>
            <w:webHidden/>
          </w:rPr>
          <w:tab/>
        </w:r>
        <w:r>
          <w:rPr>
            <w:webHidden/>
          </w:rPr>
          <w:fldChar w:fldCharType="begin"/>
        </w:r>
        <w:r>
          <w:rPr>
            <w:webHidden/>
          </w:rPr>
          <w:instrText xml:space="preserve"> PAGEREF _Toc112857397 \h </w:instrText>
        </w:r>
        <w:r>
          <w:rPr>
            <w:webHidden/>
          </w:rPr>
        </w:r>
        <w:r>
          <w:rPr>
            <w:webHidden/>
          </w:rPr>
          <w:fldChar w:fldCharType="separate"/>
        </w:r>
        <w:r>
          <w:rPr>
            <w:webHidden/>
          </w:rPr>
          <w:t>29</w:t>
        </w:r>
        <w:r>
          <w:rPr>
            <w:webHidden/>
          </w:rPr>
          <w:fldChar w:fldCharType="end"/>
        </w:r>
      </w:hyperlink>
    </w:p>
    <w:p w14:paraId="5CE96800" w14:textId="27720A5D" w:rsidR="0066653A" w:rsidRDefault="0066653A">
      <w:pPr>
        <w:pStyle w:val="TOC2"/>
        <w:rPr>
          <w:rFonts w:asciiTheme="minorHAnsi" w:eastAsiaTheme="minorEastAsia" w:hAnsiTheme="minorHAnsi" w:cstheme="minorBidi"/>
          <w:sz w:val="22"/>
          <w:szCs w:val="22"/>
        </w:rPr>
      </w:pPr>
      <w:hyperlink w:anchor="_Toc112857398" w:history="1">
        <w:r w:rsidRPr="00DD5DD9">
          <w:rPr>
            <w:rStyle w:val="Hyperlink"/>
            <w:rFonts w:eastAsia="Calibri"/>
            <w:lang w:eastAsia="en-US"/>
          </w:rPr>
          <w:t>Introduction</w:t>
        </w:r>
        <w:r>
          <w:rPr>
            <w:webHidden/>
          </w:rPr>
          <w:tab/>
        </w:r>
        <w:r>
          <w:rPr>
            <w:webHidden/>
          </w:rPr>
          <w:fldChar w:fldCharType="begin"/>
        </w:r>
        <w:r>
          <w:rPr>
            <w:webHidden/>
          </w:rPr>
          <w:instrText xml:space="preserve"> PAGEREF _Toc112857398 \h </w:instrText>
        </w:r>
        <w:r>
          <w:rPr>
            <w:webHidden/>
          </w:rPr>
        </w:r>
        <w:r>
          <w:rPr>
            <w:webHidden/>
          </w:rPr>
          <w:fldChar w:fldCharType="separate"/>
        </w:r>
        <w:r>
          <w:rPr>
            <w:webHidden/>
          </w:rPr>
          <w:t>29</w:t>
        </w:r>
        <w:r>
          <w:rPr>
            <w:webHidden/>
          </w:rPr>
          <w:fldChar w:fldCharType="end"/>
        </w:r>
      </w:hyperlink>
    </w:p>
    <w:p w14:paraId="0147AD4F" w14:textId="1507F489" w:rsidR="0066653A" w:rsidRDefault="0066653A">
      <w:pPr>
        <w:pStyle w:val="TOC2"/>
        <w:rPr>
          <w:rFonts w:asciiTheme="minorHAnsi" w:eastAsiaTheme="minorEastAsia" w:hAnsiTheme="minorHAnsi" w:cstheme="minorBidi"/>
          <w:sz w:val="22"/>
          <w:szCs w:val="22"/>
        </w:rPr>
      </w:pPr>
      <w:hyperlink w:anchor="_Toc112857399" w:history="1">
        <w:r w:rsidRPr="00DD5DD9">
          <w:rPr>
            <w:rStyle w:val="Hyperlink"/>
            <w:rFonts w:eastAsia="Calibri"/>
            <w:lang w:eastAsia="en-US"/>
          </w:rPr>
          <w:t>The OECD modelling and some key assumptions</w:t>
        </w:r>
        <w:r>
          <w:rPr>
            <w:webHidden/>
          </w:rPr>
          <w:tab/>
        </w:r>
        <w:r>
          <w:rPr>
            <w:webHidden/>
          </w:rPr>
          <w:fldChar w:fldCharType="begin"/>
        </w:r>
        <w:r>
          <w:rPr>
            <w:webHidden/>
          </w:rPr>
          <w:instrText xml:space="preserve"> PAGEREF _Toc112857399 \h </w:instrText>
        </w:r>
        <w:r>
          <w:rPr>
            <w:webHidden/>
          </w:rPr>
        </w:r>
        <w:r>
          <w:rPr>
            <w:webHidden/>
          </w:rPr>
          <w:fldChar w:fldCharType="separate"/>
        </w:r>
        <w:r>
          <w:rPr>
            <w:webHidden/>
          </w:rPr>
          <w:t>30</w:t>
        </w:r>
        <w:r>
          <w:rPr>
            <w:webHidden/>
          </w:rPr>
          <w:fldChar w:fldCharType="end"/>
        </w:r>
      </w:hyperlink>
    </w:p>
    <w:p w14:paraId="35D052FE" w14:textId="135E5CBE" w:rsidR="0066653A" w:rsidRDefault="0066653A">
      <w:pPr>
        <w:pStyle w:val="TOC2"/>
        <w:rPr>
          <w:rFonts w:asciiTheme="minorHAnsi" w:eastAsiaTheme="minorEastAsia" w:hAnsiTheme="minorHAnsi" w:cstheme="minorBidi"/>
          <w:sz w:val="22"/>
          <w:szCs w:val="22"/>
        </w:rPr>
      </w:pPr>
      <w:hyperlink w:anchor="_Toc112857400" w:history="1">
        <w:r w:rsidRPr="00DD5DD9">
          <w:rPr>
            <w:rStyle w:val="Hyperlink"/>
            <w:rFonts w:eastAsia="Calibri"/>
            <w:lang w:eastAsia="en-US"/>
          </w:rPr>
          <w:t>The OECD estimates of costs of capital and EMTRs</w:t>
        </w:r>
        <w:r>
          <w:rPr>
            <w:webHidden/>
          </w:rPr>
          <w:tab/>
        </w:r>
        <w:r>
          <w:rPr>
            <w:webHidden/>
          </w:rPr>
          <w:fldChar w:fldCharType="begin"/>
        </w:r>
        <w:r>
          <w:rPr>
            <w:webHidden/>
          </w:rPr>
          <w:instrText xml:space="preserve"> PAGEREF _Toc112857400 \h </w:instrText>
        </w:r>
        <w:r>
          <w:rPr>
            <w:webHidden/>
          </w:rPr>
        </w:r>
        <w:r>
          <w:rPr>
            <w:webHidden/>
          </w:rPr>
          <w:fldChar w:fldCharType="separate"/>
        </w:r>
        <w:r>
          <w:rPr>
            <w:webHidden/>
          </w:rPr>
          <w:t>33</w:t>
        </w:r>
        <w:r>
          <w:rPr>
            <w:webHidden/>
          </w:rPr>
          <w:fldChar w:fldCharType="end"/>
        </w:r>
      </w:hyperlink>
    </w:p>
    <w:p w14:paraId="140CA2F5" w14:textId="2FAFDE85" w:rsidR="0066653A" w:rsidRDefault="0066653A">
      <w:pPr>
        <w:pStyle w:val="TOC2"/>
        <w:rPr>
          <w:rFonts w:asciiTheme="minorHAnsi" w:eastAsiaTheme="minorEastAsia" w:hAnsiTheme="minorHAnsi" w:cstheme="minorBidi"/>
          <w:sz w:val="22"/>
          <w:szCs w:val="22"/>
        </w:rPr>
      </w:pPr>
      <w:hyperlink w:anchor="_Toc112857401" w:history="1">
        <w:r w:rsidRPr="00DD5DD9">
          <w:rPr>
            <w:rStyle w:val="Hyperlink"/>
            <w:rFonts w:eastAsia="Calibri"/>
            <w:lang w:eastAsia="en-US"/>
          </w:rPr>
          <w:t>EMTRs in different studies</w:t>
        </w:r>
        <w:r>
          <w:rPr>
            <w:webHidden/>
          </w:rPr>
          <w:tab/>
        </w:r>
        <w:r>
          <w:rPr>
            <w:webHidden/>
          </w:rPr>
          <w:fldChar w:fldCharType="begin"/>
        </w:r>
        <w:r>
          <w:rPr>
            <w:webHidden/>
          </w:rPr>
          <w:instrText xml:space="preserve"> PAGEREF _Toc112857401 \h </w:instrText>
        </w:r>
        <w:r>
          <w:rPr>
            <w:webHidden/>
          </w:rPr>
        </w:r>
        <w:r>
          <w:rPr>
            <w:webHidden/>
          </w:rPr>
          <w:fldChar w:fldCharType="separate"/>
        </w:r>
        <w:r>
          <w:rPr>
            <w:webHidden/>
          </w:rPr>
          <w:t>37</w:t>
        </w:r>
        <w:r>
          <w:rPr>
            <w:webHidden/>
          </w:rPr>
          <w:fldChar w:fldCharType="end"/>
        </w:r>
      </w:hyperlink>
    </w:p>
    <w:p w14:paraId="43D45749" w14:textId="0894704B" w:rsidR="0066653A" w:rsidRDefault="0066653A">
      <w:pPr>
        <w:pStyle w:val="TOC2"/>
        <w:rPr>
          <w:rFonts w:asciiTheme="minorHAnsi" w:eastAsiaTheme="minorEastAsia" w:hAnsiTheme="minorHAnsi" w:cstheme="minorBidi"/>
          <w:sz w:val="22"/>
          <w:szCs w:val="22"/>
        </w:rPr>
      </w:pPr>
      <w:hyperlink w:anchor="_Toc112857402" w:history="1">
        <w:r w:rsidRPr="00DD5DD9">
          <w:rPr>
            <w:rStyle w:val="Hyperlink"/>
            <w:rFonts w:eastAsia="Calibri"/>
            <w:lang w:eastAsia="en-US"/>
          </w:rPr>
          <w:t>Concluding comments</w:t>
        </w:r>
        <w:r>
          <w:rPr>
            <w:webHidden/>
          </w:rPr>
          <w:tab/>
        </w:r>
        <w:r>
          <w:rPr>
            <w:webHidden/>
          </w:rPr>
          <w:fldChar w:fldCharType="begin"/>
        </w:r>
        <w:r>
          <w:rPr>
            <w:webHidden/>
          </w:rPr>
          <w:instrText xml:space="preserve"> PAGEREF _Toc112857402 \h </w:instrText>
        </w:r>
        <w:r>
          <w:rPr>
            <w:webHidden/>
          </w:rPr>
        </w:r>
        <w:r>
          <w:rPr>
            <w:webHidden/>
          </w:rPr>
          <w:fldChar w:fldCharType="separate"/>
        </w:r>
        <w:r>
          <w:rPr>
            <w:webHidden/>
          </w:rPr>
          <w:t>39</w:t>
        </w:r>
        <w:r>
          <w:rPr>
            <w:webHidden/>
          </w:rPr>
          <w:fldChar w:fldCharType="end"/>
        </w:r>
      </w:hyperlink>
    </w:p>
    <w:p w14:paraId="442573E5" w14:textId="680D7FCB" w:rsidR="0066653A" w:rsidRDefault="0066653A">
      <w:pPr>
        <w:pStyle w:val="TOC1"/>
        <w:rPr>
          <w:rFonts w:asciiTheme="minorHAnsi" w:eastAsiaTheme="minorEastAsia" w:hAnsiTheme="minorHAnsi" w:cstheme="minorBidi"/>
          <w:b w:val="0"/>
          <w:sz w:val="22"/>
          <w:szCs w:val="22"/>
        </w:rPr>
      </w:pPr>
      <w:hyperlink w:anchor="_Toc112857403" w:history="1">
        <w:r w:rsidRPr="00DD5DD9">
          <w:rPr>
            <w:rStyle w:val="Hyperlink"/>
          </w:rPr>
          <w:t xml:space="preserve">CHAPTER 4 </w:t>
        </w:r>
        <w:r>
          <w:rPr>
            <w:rStyle w:val="Hyperlink"/>
          </w:rPr>
          <w:tab/>
        </w:r>
        <w:r w:rsidRPr="00DD5DD9">
          <w:rPr>
            <w:rStyle w:val="Hyperlink"/>
          </w:rPr>
          <w:t xml:space="preserve">A </w:t>
        </w:r>
        <w:r w:rsidRPr="00DD5DD9">
          <w:rPr>
            <w:rStyle w:val="Hyperlink"/>
            <w:rFonts w:eastAsia="Calibri"/>
            <w:lang w:eastAsia="en-US"/>
          </w:rPr>
          <w:t>deeper look at costs of capital and EMTRs for New Zealand</w:t>
        </w:r>
        <w:r>
          <w:rPr>
            <w:webHidden/>
          </w:rPr>
          <w:tab/>
        </w:r>
        <w:r>
          <w:rPr>
            <w:webHidden/>
          </w:rPr>
          <w:fldChar w:fldCharType="begin"/>
        </w:r>
        <w:r>
          <w:rPr>
            <w:webHidden/>
          </w:rPr>
          <w:instrText xml:space="preserve"> PAGEREF _Toc112857403 \h </w:instrText>
        </w:r>
        <w:r>
          <w:rPr>
            <w:webHidden/>
          </w:rPr>
        </w:r>
        <w:r>
          <w:rPr>
            <w:webHidden/>
          </w:rPr>
          <w:fldChar w:fldCharType="separate"/>
        </w:r>
        <w:r>
          <w:rPr>
            <w:webHidden/>
          </w:rPr>
          <w:t>40</w:t>
        </w:r>
        <w:r>
          <w:rPr>
            <w:webHidden/>
          </w:rPr>
          <w:fldChar w:fldCharType="end"/>
        </w:r>
      </w:hyperlink>
    </w:p>
    <w:p w14:paraId="6BDBF301" w14:textId="27CDC6B9" w:rsidR="0066653A" w:rsidRDefault="0066653A">
      <w:pPr>
        <w:pStyle w:val="TOC2"/>
        <w:rPr>
          <w:rFonts w:asciiTheme="minorHAnsi" w:eastAsiaTheme="minorEastAsia" w:hAnsiTheme="minorHAnsi" w:cstheme="minorBidi"/>
          <w:sz w:val="22"/>
          <w:szCs w:val="22"/>
        </w:rPr>
      </w:pPr>
      <w:hyperlink w:anchor="_Toc112857404" w:history="1">
        <w:r w:rsidRPr="00DD5DD9">
          <w:rPr>
            <w:rStyle w:val="Hyperlink"/>
            <w:rFonts w:eastAsia="Calibri"/>
            <w:lang w:eastAsia="en-US"/>
          </w:rPr>
          <w:t>Introduction</w:t>
        </w:r>
        <w:r>
          <w:rPr>
            <w:webHidden/>
          </w:rPr>
          <w:tab/>
        </w:r>
        <w:r>
          <w:rPr>
            <w:webHidden/>
          </w:rPr>
          <w:fldChar w:fldCharType="begin"/>
        </w:r>
        <w:r>
          <w:rPr>
            <w:webHidden/>
          </w:rPr>
          <w:instrText xml:space="preserve"> PAGEREF _Toc112857404 \h </w:instrText>
        </w:r>
        <w:r>
          <w:rPr>
            <w:webHidden/>
          </w:rPr>
        </w:r>
        <w:r>
          <w:rPr>
            <w:webHidden/>
          </w:rPr>
          <w:fldChar w:fldCharType="separate"/>
        </w:r>
        <w:r>
          <w:rPr>
            <w:webHidden/>
          </w:rPr>
          <w:t>40</w:t>
        </w:r>
        <w:r>
          <w:rPr>
            <w:webHidden/>
          </w:rPr>
          <w:fldChar w:fldCharType="end"/>
        </w:r>
      </w:hyperlink>
    </w:p>
    <w:p w14:paraId="70064CE5" w14:textId="45783833" w:rsidR="0066653A" w:rsidRDefault="0066653A">
      <w:pPr>
        <w:pStyle w:val="TOC2"/>
        <w:rPr>
          <w:rFonts w:asciiTheme="minorHAnsi" w:eastAsiaTheme="minorEastAsia" w:hAnsiTheme="minorHAnsi" w:cstheme="minorBidi"/>
          <w:sz w:val="22"/>
          <w:szCs w:val="22"/>
        </w:rPr>
      </w:pPr>
      <w:hyperlink w:anchor="_Toc112857405" w:history="1">
        <w:r w:rsidRPr="00DD5DD9">
          <w:rPr>
            <w:rStyle w:val="Hyperlink"/>
            <w:rFonts w:eastAsia="Calibri"/>
            <w:lang w:eastAsia="en-US"/>
          </w:rPr>
          <w:t>New Zealand’s tax rules: some basics</w:t>
        </w:r>
        <w:r>
          <w:rPr>
            <w:webHidden/>
          </w:rPr>
          <w:tab/>
        </w:r>
        <w:r>
          <w:rPr>
            <w:webHidden/>
          </w:rPr>
          <w:fldChar w:fldCharType="begin"/>
        </w:r>
        <w:r>
          <w:rPr>
            <w:webHidden/>
          </w:rPr>
          <w:instrText xml:space="preserve"> PAGEREF _Toc112857405 \h </w:instrText>
        </w:r>
        <w:r>
          <w:rPr>
            <w:webHidden/>
          </w:rPr>
        </w:r>
        <w:r>
          <w:rPr>
            <w:webHidden/>
          </w:rPr>
          <w:fldChar w:fldCharType="separate"/>
        </w:r>
        <w:r>
          <w:rPr>
            <w:webHidden/>
          </w:rPr>
          <w:t>42</w:t>
        </w:r>
        <w:r>
          <w:rPr>
            <w:webHidden/>
          </w:rPr>
          <w:fldChar w:fldCharType="end"/>
        </w:r>
      </w:hyperlink>
    </w:p>
    <w:p w14:paraId="3CC0DDCF" w14:textId="50E08963" w:rsidR="0066653A" w:rsidRDefault="0066653A">
      <w:pPr>
        <w:pStyle w:val="TOC2"/>
        <w:rPr>
          <w:rFonts w:asciiTheme="minorHAnsi" w:eastAsiaTheme="minorEastAsia" w:hAnsiTheme="minorHAnsi" w:cstheme="minorBidi"/>
          <w:sz w:val="22"/>
          <w:szCs w:val="22"/>
        </w:rPr>
      </w:pPr>
      <w:hyperlink w:anchor="_Toc112857406" w:history="1">
        <w:r w:rsidRPr="00DD5DD9">
          <w:rPr>
            <w:rStyle w:val="Hyperlink"/>
            <w:rFonts w:eastAsia="Calibri"/>
            <w:lang w:eastAsia="en-US"/>
          </w:rPr>
          <w:t>Modifying the OECD analysis for New Zealand settings</w:t>
        </w:r>
        <w:r>
          <w:rPr>
            <w:webHidden/>
          </w:rPr>
          <w:tab/>
        </w:r>
        <w:r>
          <w:rPr>
            <w:webHidden/>
          </w:rPr>
          <w:fldChar w:fldCharType="begin"/>
        </w:r>
        <w:r>
          <w:rPr>
            <w:webHidden/>
          </w:rPr>
          <w:instrText xml:space="preserve"> PAGEREF _Toc112857406 \h </w:instrText>
        </w:r>
        <w:r>
          <w:rPr>
            <w:webHidden/>
          </w:rPr>
        </w:r>
        <w:r>
          <w:rPr>
            <w:webHidden/>
          </w:rPr>
          <w:fldChar w:fldCharType="separate"/>
        </w:r>
        <w:r>
          <w:rPr>
            <w:webHidden/>
          </w:rPr>
          <w:t>43</w:t>
        </w:r>
        <w:r>
          <w:rPr>
            <w:webHidden/>
          </w:rPr>
          <w:fldChar w:fldCharType="end"/>
        </w:r>
      </w:hyperlink>
    </w:p>
    <w:p w14:paraId="4E0A2856" w14:textId="73264C4F" w:rsidR="0066653A" w:rsidRDefault="0066653A">
      <w:pPr>
        <w:pStyle w:val="TOC2"/>
        <w:rPr>
          <w:rFonts w:asciiTheme="minorHAnsi" w:eastAsiaTheme="minorEastAsia" w:hAnsiTheme="minorHAnsi" w:cstheme="minorBidi"/>
          <w:sz w:val="22"/>
          <w:szCs w:val="22"/>
        </w:rPr>
      </w:pPr>
      <w:hyperlink w:anchor="_Toc112857407" w:history="1">
        <w:r w:rsidRPr="00DD5DD9">
          <w:rPr>
            <w:rStyle w:val="Hyperlink"/>
            <w:rFonts w:eastAsia="Calibri"/>
            <w:lang w:eastAsia="en-US"/>
          </w:rPr>
          <w:t>Domestic companies with marginal foreign portfolio shareholders</w:t>
        </w:r>
        <w:r>
          <w:rPr>
            <w:webHidden/>
          </w:rPr>
          <w:tab/>
        </w:r>
        <w:r>
          <w:rPr>
            <w:webHidden/>
          </w:rPr>
          <w:fldChar w:fldCharType="begin"/>
        </w:r>
        <w:r>
          <w:rPr>
            <w:webHidden/>
          </w:rPr>
          <w:instrText xml:space="preserve"> PAGEREF _Toc112857407 \h </w:instrText>
        </w:r>
        <w:r>
          <w:rPr>
            <w:webHidden/>
          </w:rPr>
        </w:r>
        <w:r>
          <w:rPr>
            <w:webHidden/>
          </w:rPr>
          <w:fldChar w:fldCharType="separate"/>
        </w:r>
        <w:r>
          <w:rPr>
            <w:webHidden/>
          </w:rPr>
          <w:t>45</w:t>
        </w:r>
        <w:r>
          <w:rPr>
            <w:webHidden/>
          </w:rPr>
          <w:fldChar w:fldCharType="end"/>
        </w:r>
      </w:hyperlink>
    </w:p>
    <w:p w14:paraId="76BA58C9" w14:textId="668BD822" w:rsidR="0066653A" w:rsidRDefault="0066653A">
      <w:pPr>
        <w:pStyle w:val="TOC2"/>
        <w:rPr>
          <w:rFonts w:asciiTheme="minorHAnsi" w:eastAsiaTheme="minorEastAsia" w:hAnsiTheme="minorHAnsi" w:cstheme="minorBidi"/>
          <w:sz w:val="22"/>
          <w:szCs w:val="22"/>
        </w:rPr>
      </w:pPr>
      <w:hyperlink w:anchor="_Toc112857408" w:history="1">
        <w:r w:rsidRPr="00DD5DD9">
          <w:rPr>
            <w:rStyle w:val="Hyperlink"/>
            <w:rFonts w:eastAsia="Calibri"/>
            <w:lang w:eastAsia="en-US"/>
          </w:rPr>
          <w:t>Non-resident withholding tax (NRWT) on interest and foreign-controlled companies</w:t>
        </w:r>
        <w:r>
          <w:rPr>
            <w:webHidden/>
          </w:rPr>
          <w:tab/>
        </w:r>
        <w:r>
          <w:rPr>
            <w:webHidden/>
          </w:rPr>
          <w:fldChar w:fldCharType="begin"/>
        </w:r>
        <w:r>
          <w:rPr>
            <w:webHidden/>
          </w:rPr>
          <w:instrText xml:space="preserve"> PAGEREF _Toc112857408 \h </w:instrText>
        </w:r>
        <w:r>
          <w:rPr>
            <w:webHidden/>
          </w:rPr>
        </w:r>
        <w:r>
          <w:rPr>
            <w:webHidden/>
          </w:rPr>
          <w:fldChar w:fldCharType="separate"/>
        </w:r>
        <w:r>
          <w:rPr>
            <w:webHidden/>
          </w:rPr>
          <w:t>48</w:t>
        </w:r>
        <w:r>
          <w:rPr>
            <w:webHidden/>
          </w:rPr>
          <w:fldChar w:fldCharType="end"/>
        </w:r>
      </w:hyperlink>
    </w:p>
    <w:p w14:paraId="65ED0649" w14:textId="0F90C60B" w:rsidR="0066653A" w:rsidRDefault="0066653A">
      <w:pPr>
        <w:pStyle w:val="TOC2"/>
        <w:rPr>
          <w:rFonts w:asciiTheme="minorHAnsi" w:eastAsiaTheme="minorEastAsia" w:hAnsiTheme="minorHAnsi" w:cstheme="minorBidi"/>
          <w:sz w:val="22"/>
          <w:szCs w:val="22"/>
        </w:rPr>
      </w:pPr>
      <w:hyperlink w:anchor="_Toc112857409" w:history="1">
        <w:r w:rsidRPr="00DD5DD9">
          <w:rPr>
            <w:rStyle w:val="Hyperlink"/>
            <w:rFonts w:eastAsia="Calibri"/>
            <w:lang w:eastAsia="en-US"/>
          </w:rPr>
          <w:t>SMEs where there may be little or no shareholding by non-residents</w:t>
        </w:r>
        <w:r>
          <w:rPr>
            <w:webHidden/>
          </w:rPr>
          <w:tab/>
        </w:r>
        <w:r>
          <w:rPr>
            <w:webHidden/>
          </w:rPr>
          <w:fldChar w:fldCharType="begin"/>
        </w:r>
        <w:r>
          <w:rPr>
            <w:webHidden/>
          </w:rPr>
          <w:instrText xml:space="preserve"> PAGEREF _Toc112857409 \h </w:instrText>
        </w:r>
        <w:r>
          <w:rPr>
            <w:webHidden/>
          </w:rPr>
        </w:r>
        <w:r>
          <w:rPr>
            <w:webHidden/>
          </w:rPr>
          <w:fldChar w:fldCharType="separate"/>
        </w:r>
        <w:r>
          <w:rPr>
            <w:webHidden/>
          </w:rPr>
          <w:t>50</w:t>
        </w:r>
        <w:r>
          <w:rPr>
            <w:webHidden/>
          </w:rPr>
          <w:fldChar w:fldCharType="end"/>
        </w:r>
      </w:hyperlink>
    </w:p>
    <w:p w14:paraId="511714AE" w14:textId="55CE57DC" w:rsidR="0066653A" w:rsidRDefault="0066653A">
      <w:pPr>
        <w:pStyle w:val="TOC1"/>
        <w:rPr>
          <w:rFonts w:asciiTheme="minorHAnsi" w:eastAsiaTheme="minorEastAsia" w:hAnsiTheme="minorHAnsi" w:cstheme="minorBidi"/>
          <w:b w:val="0"/>
          <w:sz w:val="22"/>
          <w:szCs w:val="22"/>
        </w:rPr>
      </w:pPr>
      <w:hyperlink w:anchor="_Toc112857410" w:history="1">
        <w:r w:rsidRPr="00DD5DD9">
          <w:rPr>
            <w:rStyle w:val="Hyperlink"/>
            <w:rFonts w:eastAsia="Calibri"/>
            <w:lang w:eastAsia="en-US"/>
          </w:rPr>
          <w:t xml:space="preserve">CHAPTER 5 </w:t>
        </w:r>
        <w:r>
          <w:rPr>
            <w:rStyle w:val="Hyperlink"/>
            <w:rFonts w:eastAsia="Calibri"/>
            <w:lang w:eastAsia="en-US"/>
          </w:rPr>
          <w:tab/>
        </w:r>
        <w:r w:rsidRPr="00DD5DD9">
          <w:rPr>
            <w:rStyle w:val="Hyperlink"/>
            <w:rFonts w:eastAsia="Calibri"/>
            <w:lang w:eastAsia="en-US"/>
          </w:rPr>
          <w:t>Tax changes to reduce New Zealand’s costs of capital and EMTRs and make them more neutral</w:t>
        </w:r>
        <w:r>
          <w:rPr>
            <w:webHidden/>
          </w:rPr>
          <w:tab/>
        </w:r>
        <w:r>
          <w:rPr>
            <w:webHidden/>
          </w:rPr>
          <w:fldChar w:fldCharType="begin"/>
        </w:r>
        <w:r>
          <w:rPr>
            <w:webHidden/>
          </w:rPr>
          <w:instrText xml:space="preserve"> PAGEREF _Toc112857410 \h </w:instrText>
        </w:r>
        <w:r>
          <w:rPr>
            <w:webHidden/>
          </w:rPr>
        </w:r>
        <w:r>
          <w:rPr>
            <w:webHidden/>
          </w:rPr>
          <w:fldChar w:fldCharType="separate"/>
        </w:r>
        <w:r>
          <w:rPr>
            <w:webHidden/>
          </w:rPr>
          <w:t>53</w:t>
        </w:r>
        <w:r>
          <w:rPr>
            <w:webHidden/>
          </w:rPr>
          <w:fldChar w:fldCharType="end"/>
        </w:r>
      </w:hyperlink>
    </w:p>
    <w:p w14:paraId="7D814235" w14:textId="2202394D" w:rsidR="0066653A" w:rsidRDefault="0066653A">
      <w:pPr>
        <w:pStyle w:val="TOC2"/>
        <w:rPr>
          <w:rFonts w:asciiTheme="minorHAnsi" w:eastAsiaTheme="minorEastAsia" w:hAnsiTheme="minorHAnsi" w:cstheme="minorBidi"/>
          <w:sz w:val="22"/>
          <w:szCs w:val="22"/>
        </w:rPr>
      </w:pPr>
      <w:hyperlink w:anchor="_Toc112857411" w:history="1">
        <w:r w:rsidRPr="00DD5DD9">
          <w:rPr>
            <w:rStyle w:val="Hyperlink"/>
            <w:rFonts w:eastAsia="Calibri"/>
            <w:lang w:eastAsia="en-US"/>
          </w:rPr>
          <w:t>Costs and benefits of reducing costs of capital and EMTRs</w:t>
        </w:r>
        <w:r>
          <w:rPr>
            <w:webHidden/>
          </w:rPr>
          <w:tab/>
        </w:r>
        <w:r>
          <w:rPr>
            <w:webHidden/>
          </w:rPr>
          <w:fldChar w:fldCharType="begin"/>
        </w:r>
        <w:r>
          <w:rPr>
            <w:webHidden/>
          </w:rPr>
          <w:instrText xml:space="preserve"> PAGEREF _Toc112857411 \h </w:instrText>
        </w:r>
        <w:r>
          <w:rPr>
            <w:webHidden/>
          </w:rPr>
        </w:r>
        <w:r>
          <w:rPr>
            <w:webHidden/>
          </w:rPr>
          <w:fldChar w:fldCharType="separate"/>
        </w:r>
        <w:r>
          <w:rPr>
            <w:webHidden/>
          </w:rPr>
          <w:t>53</w:t>
        </w:r>
        <w:r>
          <w:rPr>
            <w:webHidden/>
          </w:rPr>
          <w:fldChar w:fldCharType="end"/>
        </w:r>
      </w:hyperlink>
    </w:p>
    <w:p w14:paraId="62D5D3C7" w14:textId="33207929" w:rsidR="0066653A" w:rsidRDefault="0066653A">
      <w:pPr>
        <w:pStyle w:val="TOC2"/>
        <w:rPr>
          <w:rFonts w:asciiTheme="minorHAnsi" w:eastAsiaTheme="minorEastAsia" w:hAnsiTheme="minorHAnsi" w:cstheme="minorBidi"/>
          <w:sz w:val="22"/>
          <w:szCs w:val="22"/>
        </w:rPr>
      </w:pPr>
      <w:hyperlink w:anchor="_Toc112857412" w:history="1">
        <w:r w:rsidRPr="00DD5DD9">
          <w:rPr>
            <w:rStyle w:val="Hyperlink"/>
            <w:rFonts w:eastAsia="Calibri"/>
            <w:lang w:eastAsia="en-US"/>
          </w:rPr>
          <w:t>Choosing between different methods of reducing taxes on inbound investment</w:t>
        </w:r>
        <w:r>
          <w:rPr>
            <w:webHidden/>
          </w:rPr>
          <w:tab/>
        </w:r>
        <w:r>
          <w:rPr>
            <w:webHidden/>
          </w:rPr>
          <w:fldChar w:fldCharType="begin"/>
        </w:r>
        <w:r>
          <w:rPr>
            <w:webHidden/>
          </w:rPr>
          <w:instrText xml:space="preserve"> PAGEREF _Toc112857412 \h </w:instrText>
        </w:r>
        <w:r>
          <w:rPr>
            <w:webHidden/>
          </w:rPr>
        </w:r>
        <w:r>
          <w:rPr>
            <w:webHidden/>
          </w:rPr>
          <w:fldChar w:fldCharType="separate"/>
        </w:r>
        <w:r>
          <w:rPr>
            <w:webHidden/>
          </w:rPr>
          <w:t>54</w:t>
        </w:r>
        <w:r>
          <w:rPr>
            <w:webHidden/>
          </w:rPr>
          <w:fldChar w:fldCharType="end"/>
        </w:r>
      </w:hyperlink>
    </w:p>
    <w:p w14:paraId="402A621E" w14:textId="694647D6" w:rsidR="0066653A" w:rsidRDefault="0066653A">
      <w:pPr>
        <w:pStyle w:val="TOC2"/>
        <w:rPr>
          <w:rFonts w:asciiTheme="minorHAnsi" w:eastAsiaTheme="minorEastAsia" w:hAnsiTheme="minorHAnsi" w:cstheme="minorBidi"/>
          <w:sz w:val="22"/>
          <w:szCs w:val="22"/>
        </w:rPr>
      </w:pPr>
      <w:hyperlink w:anchor="_Toc112857413" w:history="1">
        <w:r w:rsidRPr="00DD5DD9">
          <w:rPr>
            <w:rStyle w:val="Hyperlink"/>
            <w:rFonts w:eastAsia="Calibri"/>
            <w:lang w:eastAsia="en-US"/>
          </w:rPr>
          <w:t>Possible options</w:t>
        </w:r>
        <w:r>
          <w:rPr>
            <w:webHidden/>
          </w:rPr>
          <w:tab/>
        </w:r>
        <w:r>
          <w:rPr>
            <w:webHidden/>
          </w:rPr>
          <w:fldChar w:fldCharType="begin"/>
        </w:r>
        <w:r>
          <w:rPr>
            <w:webHidden/>
          </w:rPr>
          <w:instrText xml:space="preserve"> PAGEREF _Toc112857413 \h </w:instrText>
        </w:r>
        <w:r>
          <w:rPr>
            <w:webHidden/>
          </w:rPr>
        </w:r>
        <w:r>
          <w:rPr>
            <w:webHidden/>
          </w:rPr>
          <w:fldChar w:fldCharType="separate"/>
        </w:r>
        <w:r>
          <w:rPr>
            <w:webHidden/>
          </w:rPr>
          <w:t>55</w:t>
        </w:r>
        <w:r>
          <w:rPr>
            <w:webHidden/>
          </w:rPr>
          <w:fldChar w:fldCharType="end"/>
        </w:r>
      </w:hyperlink>
    </w:p>
    <w:p w14:paraId="3502F729" w14:textId="02D58EA7" w:rsidR="0066653A" w:rsidRDefault="0066653A">
      <w:pPr>
        <w:pStyle w:val="TOC1"/>
        <w:rPr>
          <w:rFonts w:asciiTheme="minorHAnsi" w:eastAsiaTheme="minorEastAsia" w:hAnsiTheme="minorHAnsi" w:cstheme="minorBidi"/>
          <w:b w:val="0"/>
          <w:sz w:val="22"/>
          <w:szCs w:val="22"/>
        </w:rPr>
      </w:pPr>
      <w:hyperlink w:anchor="_Toc112857414" w:history="1">
        <w:r w:rsidRPr="00DD5DD9">
          <w:rPr>
            <w:rStyle w:val="Hyperlink"/>
            <w:rFonts w:eastAsia="Calibri"/>
            <w:lang w:eastAsia="en-US"/>
          </w:rPr>
          <w:t xml:space="preserve">CHAPTER 6 </w:t>
        </w:r>
        <w:r>
          <w:rPr>
            <w:rStyle w:val="Hyperlink"/>
            <w:rFonts w:eastAsia="Calibri"/>
            <w:lang w:eastAsia="en-US"/>
          </w:rPr>
          <w:tab/>
        </w:r>
        <w:r w:rsidRPr="00DD5DD9">
          <w:rPr>
            <w:rStyle w:val="Hyperlink"/>
            <w:rFonts w:eastAsia="Calibri"/>
            <w:lang w:eastAsia="en-US"/>
          </w:rPr>
          <w:t>Reducing the company tax rate</w:t>
        </w:r>
        <w:r>
          <w:rPr>
            <w:webHidden/>
          </w:rPr>
          <w:tab/>
        </w:r>
        <w:r>
          <w:rPr>
            <w:webHidden/>
          </w:rPr>
          <w:fldChar w:fldCharType="begin"/>
        </w:r>
        <w:r>
          <w:rPr>
            <w:webHidden/>
          </w:rPr>
          <w:instrText xml:space="preserve"> PAGEREF _Toc112857414 \h </w:instrText>
        </w:r>
        <w:r>
          <w:rPr>
            <w:webHidden/>
          </w:rPr>
        </w:r>
        <w:r>
          <w:rPr>
            <w:webHidden/>
          </w:rPr>
          <w:fldChar w:fldCharType="separate"/>
        </w:r>
        <w:r>
          <w:rPr>
            <w:webHidden/>
          </w:rPr>
          <w:t>59</w:t>
        </w:r>
        <w:r>
          <w:rPr>
            <w:webHidden/>
          </w:rPr>
          <w:fldChar w:fldCharType="end"/>
        </w:r>
      </w:hyperlink>
    </w:p>
    <w:p w14:paraId="4DD0A6B4" w14:textId="75C04C9A" w:rsidR="0066653A" w:rsidRDefault="0066653A">
      <w:pPr>
        <w:pStyle w:val="TOC2"/>
        <w:rPr>
          <w:rFonts w:asciiTheme="minorHAnsi" w:eastAsiaTheme="minorEastAsia" w:hAnsiTheme="minorHAnsi" w:cstheme="minorBidi"/>
          <w:sz w:val="22"/>
          <w:szCs w:val="22"/>
        </w:rPr>
      </w:pPr>
      <w:hyperlink w:anchor="_Toc112857415" w:history="1">
        <w:r w:rsidRPr="00DD5DD9">
          <w:rPr>
            <w:rStyle w:val="Hyperlink"/>
            <w:rFonts w:eastAsia="Calibri"/>
            <w:lang w:eastAsia="en-US"/>
          </w:rPr>
          <w:t>Introduction</w:t>
        </w:r>
        <w:r>
          <w:rPr>
            <w:webHidden/>
          </w:rPr>
          <w:tab/>
        </w:r>
        <w:r>
          <w:rPr>
            <w:webHidden/>
          </w:rPr>
          <w:fldChar w:fldCharType="begin"/>
        </w:r>
        <w:r>
          <w:rPr>
            <w:webHidden/>
          </w:rPr>
          <w:instrText xml:space="preserve"> PAGEREF _Toc112857415 \h </w:instrText>
        </w:r>
        <w:r>
          <w:rPr>
            <w:webHidden/>
          </w:rPr>
        </w:r>
        <w:r>
          <w:rPr>
            <w:webHidden/>
          </w:rPr>
          <w:fldChar w:fldCharType="separate"/>
        </w:r>
        <w:r>
          <w:rPr>
            <w:webHidden/>
          </w:rPr>
          <w:t>59</w:t>
        </w:r>
        <w:r>
          <w:rPr>
            <w:webHidden/>
          </w:rPr>
          <w:fldChar w:fldCharType="end"/>
        </w:r>
      </w:hyperlink>
    </w:p>
    <w:p w14:paraId="589813D1" w14:textId="5733473A" w:rsidR="0066653A" w:rsidRDefault="0066653A">
      <w:pPr>
        <w:pStyle w:val="TOC2"/>
        <w:rPr>
          <w:rFonts w:asciiTheme="minorHAnsi" w:eastAsiaTheme="minorEastAsia" w:hAnsiTheme="minorHAnsi" w:cstheme="minorBidi"/>
          <w:sz w:val="22"/>
          <w:szCs w:val="22"/>
        </w:rPr>
      </w:pPr>
      <w:hyperlink w:anchor="_Toc112857416" w:history="1">
        <w:r w:rsidRPr="00DD5DD9">
          <w:rPr>
            <w:rStyle w:val="Hyperlink"/>
            <w:rFonts w:eastAsia="Calibri"/>
            <w:lang w:eastAsia="en-US"/>
          </w:rPr>
          <w:t>The dual role of company tax</w:t>
        </w:r>
        <w:r>
          <w:rPr>
            <w:webHidden/>
          </w:rPr>
          <w:tab/>
        </w:r>
        <w:r>
          <w:rPr>
            <w:webHidden/>
          </w:rPr>
          <w:fldChar w:fldCharType="begin"/>
        </w:r>
        <w:r>
          <w:rPr>
            <w:webHidden/>
          </w:rPr>
          <w:instrText xml:space="preserve"> PAGEREF _Toc112857416 \h </w:instrText>
        </w:r>
        <w:r>
          <w:rPr>
            <w:webHidden/>
          </w:rPr>
        </w:r>
        <w:r>
          <w:rPr>
            <w:webHidden/>
          </w:rPr>
          <w:fldChar w:fldCharType="separate"/>
        </w:r>
        <w:r>
          <w:rPr>
            <w:webHidden/>
          </w:rPr>
          <w:t>59</w:t>
        </w:r>
        <w:r>
          <w:rPr>
            <w:webHidden/>
          </w:rPr>
          <w:fldChar w:fldCharType="end"/>
        </w:r>
      </w:hyperlink>
    </w:p>
    <w:p w14:paraId="5D3D1D41" w14:textId="24AC5A27" w:rsidR="0066653A" w:rsidRDefault="0066653A">
      <w:pPr>
        <w:pStyle w:val="TOC2"/>
        <w:rPr>
          <w:rFonts w:asciiTheme="minorHAnsi" w:eastAsiaTheme="minorEastAsia" w:hAnsiTheme="minorHAnsi" w:cstheme="minorBidi"/>
          <w:sz w:val="22"/>
          <w:szCs w:val="22"/>
        </w:rPr>
      </w:pPr>
      <w:hyperlink w:anchor="_Toc112857417" w:history="1">
        <w:r w:rsidRPr="00DD5DD9">
          <w:rPr>
            <w:rStyle w:val="Hyperlink"/>
            <w:rFonts w:eastAsia="Calibri"/>
            <w:lang w:eastAsia="en-US"/>
          </w:rPr>
          <w:t>Impact on costs of capital and EMTRs</w:t>
        </w:r>
        <w:r>
          <w:rPr>
            <w:webHidden/>
          </w:rPr>
          <w:tab/>
        </w:r>
        <w:r>
          <w:rPr>
            <w:webHidden/>
          </w:rPr>
          <w:fldChar w:fldCharType="begin"/>
        </w:r>
        <w:r>
          <w:rPr>
            <w:webHidden/>
          </w:rPr>
          <w:instrText xml:space="preserve"> PAGEREF _Toc112857417 \h </w:instrText>
        </w:r>
        <w:r>
          <w:rPr>
            <w:webHidden/>
          </w:rPr>
        </w:r>
        <w:r>
          <w:rPr>
            <w:webHidden/>
          </w:rPr>
          <w:fldChar w:fldCharType="separate"/>
        </w:r>
        <w:r>
          <w:rPr>
            <w:webHidden/>
          </w:rPr>
          <w:t>60</w:t>
        </w:r>
        <w:r>
          <w:rPr>
            <w:webHidden/>
          </w:rPr>
          <w:fldChar w:fldCharType="end"/>
        </w:r>
      </w:hyperlink>
    </w:p>
    <w:p w14:paraId="0C9828C6" w14:textId="2423DBEC" w:rsidR="0066653A" w:rsidRDefault="0066653A">
      <w:pPr>
        <w:pStyle w:val="TOC2"/>
        <w:rPr>
          <w:rFonts w:asciiTheme="minorHAnsi" w:eastAsiaTheme="minorEastAsia" w:hAnsiTheme="minorHAnsi" w:cstheme="minorBidi"/>
          <w:sz w:val="22"/>
          <w:szCs w:val="22"/>
        </w:rPr>
      </w:pPr>
      <w:hyperlink w:anchor="_Toc112857418" w:history="1">
        <w:r w:rsidRPr="00DD5DD9">
          <w:rPr>
            <w:rStyle w:val="Hyperlink"/>
            <w:rFonts w:eastAsia="Calibri"/>
            <w:lang w:eastAsia="en-US"/>
          </w:rPr>
          <w:t>Pros</w:t>
        </w:r>
        <w:r>
          <w:rPr>
            <w:webHidden/>
          </w:rPr>
          <w:tab/>
        </w:r>
        <w:r>
          <w:rPr>
            <w:webHidden/>
          </w:rPr>
          <w:fldChar w:fldCharType="begin"/>
        </w:r>
        <w:r>
          <w:rPr>
            <w:webHidden/>
          </w:rPr>
          <w:instrText xml:space="preserve"> PAGEREF _Toc112857418 \h </w:instrText>
        </w:r>
        <w:r>
          <w:rPr>
            <w:webHidden/>
          </w:rPr>
        </w:r>
        <w:r>
          <w:rPr>
            <w:webHidden/>
          </w:rPr>
          <w:fldChar w:fldCharType="separate"/>
        </w:r>
        <w:r>
          <w:rPr>
            <w:webHidden/>
          </w:rPr>
          <w:t>61</w:t>
        </w:r>
        <w:r>
          <w:rPr>
            <w:webHidden/>
          </w:rPr>
          <w:fldChar w:fldCharType="end"/>
        </w:r>
      </w:hyperlink>
    </w:p>
    <w:p w14:paraId="4460E575" w14:textId="18A3FD6B" w:rsidR="0066653A" w:rsidRDefault="0066653A">
      <w:pPr>
        <w:pStyle w:val="TOC2"/>
        <w:rPr>
          <w:rFonts w:asciiTheme="minorHAnsi" w:eastAsiaTheme="minorEastAsia" w:hAnsiTheme="minorHAnsi" w:cstheme="minorBidi"/>
          <w:sz w:val="22"/>
          <w:szCs w:val="22"/>
        </w:rPr>
      </w:pPr>
      <w:hyperlink w:anchor="_Toc112857419" w:history="1">
        <w:r w:rsidRPr="00DD5DD9">
          <w:rPr>
            <w:rStyle w:val="Hyperlink"/>
            <w:rFonts w:eastAsia="Calibri"/>
            <w:lang w:eastAsia="en-US"/>
          </w:rPr>
          <w:t>Cons</w:t>
        </w:r>
        <w:r>
          <w:rPr>
            <w:webHidden/>
          </w:rPr>
          <w:tab/>
        </w:r>
        <w:r>
          <w:rPr>
            <w:webHidden/>
          </w:rPr>
          <w:fldChar w:fldCharType="begin"/>
        </w:r>
        <w:r>
          <w:rPr>
            <w:webHidden/>
          </w:rPr>
          <w:instrText xml:space="preserve"> PAGEREF _Toc112857419 \h </w:instrText>
        </w:r>
        <w:r>
          <w:rPr>
            <w:webHidden/>
          </w:rPr>
        </w:r>
        <w:r>
          <w:rPr>
            <w:webHidden/>
          </w:rPr>
          <w:fldChar w:fldCharType="separate"/>
        </w:r>
        <w:r>
          <w:rPr>
            <w:webHidden/>
          </w:rPr>
          <w:t>62</w:t>
        </w:r>
        <w:r>
          <w:rPr>
            <w:webHidden/>
          </w:rPr>
          <w:fldChar w:fldCharType="end"/>
        </w:r>
      </w:hyperlink>
    </w:p>
    <w:p w14:paraId="544F95D1" w14:textId="779C814D" w:rsidR="0066653A" w:rsidRDefault="0066653A">
      <w:pPr>
        <w:pStyle w:val="TOC2"/>
        <w:rPr>
          <w:rFonts w:asciiTheme="minorHAnsi" w:eastAsiaTheme="minorEastAsia" w:hAnsiTheme="minorHAnsi" w:cstheme="minorBidi"/>
          <w:sz w:val="22"/>
          <w:szCs w:val="22"/>
        </w:rPr>
      </w:pPr>
      <w:hyperlink w:anchor="_Toc112857420" w:history="1">
        <w:r w:rsidRPr="00DD5DD9">
          <w:rPr>
            <w:rStyle w:val="Hyperlink"/>
            <w:rFonts w:eastAsia="Calibri"/>
            <w:lang w:eastAsia="en-US"/>
          </w:rPr>
          <w:t>International experience</w:t>
        </w:r>
        <w:r>
          <w:rPr>
            <w:webHidden/>
          </w:rPr>
          <w:tab/>
        </w:r>
        <w:r>
          <w:rPr>
            <w:webHidden/>
          </w:rPr>
          <w:fldChar w:fldCharType="begin"/>
        </w:r>
        <w:r>
          <w:rPr>
            <w:webHidden/>
          </w:rPr>
          <w:instrText xml:space="preserve"> PAGEREF _Toc112857420 \h </w:instrText>
        </w:r>
        <w:r>
          <w:rPr>
            <w:webHidden/>
          </w:rPr>
        </w:r>
        <w:r>
          <w:rPr>
            <w:webHidden/>
          </w:rPr>
          <w:fldChar w:fldCharType="separate"/>
        </w:r>
        <w:r>
          <w:rPr>
            <w:webHidden/>
          </w:rPr>
          <w:t>65</w:t>
        </w:r>
        <w:r>
          <w:rPr>
            <w:webHidden/>
          </w:rPr>
          <w:fldChar w:fldCharType="end"/>
        </w:r>
      </w:hyperlink>
    </w:p>
    <w:p w14:paraId="0C334460" w14:textId="0C8E0548" w:rsidR="0066653A" w:rsidRDefault="0066653A">
      <w:pPr>
        <w:pStyle w:val="TOC2"/>
        <w:rPr>
          <w:rFonts w:asciiTheme="minorHAnsi" w:eastAsiaTheme="minorEastAsia" w:hAnsiTheme="minorHAnsi" w:cstheme="minorBidi"/>
          <w:sz w:val="22"/>
          <w:szCs w:val="22"/>
        </w:rPr>
      </w:pPr>
      <w:hyperlink w:anchor="_Toc112857421" w:history="1">
        <w:r w:rsidRPr="00DD5DD9">
          <w:rPr>
            <w:rStyle w:val="Hyperlink"/>
            <w:rFonts w:eastAsia="Calibri"/>
            <w:lang w:eastAsia="en-US"/>
          </w:rPr>
          <w:t>Should future company tax rate cuts be signalled in advance?</w:t>
        </w:r>
        <w:r>
          <w:rPr>
            <w:webHidden/>
          </w:rPr>
          <w:tab/>
        </w:r>
        <w:r>
          <w:rPr>
            <w:webHidden/>
          </w:rPr>
          <w:fldChar w:fldCharType="begin"/>
        </w:r>
        <w:r>
          <w:rPr>
            <w:webHidden/>
          </w:rPr>
          <w:instrText xml:space="preserve"> PAGEREF _Toc112857421 \h </w:instrText>
        </w:r>
        <w:r>
          <w:rPr>
            <w:webHidden/>
          </w:rPr>
        </w:r>
        <w:r>
          <w:rPr>
            <w:webHidden/>
          </w:rPr>
          <w:fldChar w:fldCharType="separate"/>
        </w:r>
        <w:r>
          <w:rPr>
            <w:webHidden/>
          </w:rPr>
          <w:t>66</w:t>
        </w:r>
        <w:r>
          <w:rPr>
            <w:webHidden/>
          </w:rPr>
          <w:fldChar w:fldCharType="end"/>
        </w:r>
      </w:hyperlink>
    </w:p>
    <w:p w14:paraId="25D2DB5D" w14:textId="13EE13EB" w:rsidR="0066653A" w:rsidRDefault="0066653A">
      <w:pPr>
        <w:pStyle w:val="TOC2"/>
        <w:rPr>
          <w:rFonts w:asciiTheme="minorHAnsi" w:eastAsiaTheme="minorEastAsia" w:hAnsiTheme="minorHAnsi" w:cstheme="minorBidi"/>
          <w:sz w:val="22"/>
          <w:szCs w:val="22"/>
        </w:rPr>
      </w:pPr>
      <w:hyperlink w:anchor="_Toc112857422" w:history="1">
        <w:r w:rsidRPr="00DD5DD9">
          <w:rPr>
            <w:rStyle w:val="Hyperlink"/>
            <w:rFonts w:eastAsia="Calibri"/>
            <w:lang w:eastAsia="en-US"/>
          </w:rPr>
          <w:t>Implications for unincorporated enterprises and domestic SMEs operating as companies</w:t>
        </w:r>
        <w:r>
          <w:rPr>
            <w:webHidden/>
          </w:rPr>
          <w:tab/>
        </w:r>
        <w:r>
          <w:rPr>
            <w:webHidden/>
          </w:rPr>
          <w:fldChar w:fldCharType="begin"/>
        </w:r>
        <w:r>
          <w:rPr>
            <w:webHidden/>
          </w:rPr>
          <w:instrText xml:space="preserve"> PAGEREF _Toc112857422 \h </w:instrText>
        </w:r>
        <w:r>
          <w:rPr>
            <w:webHidden/>
          </w:rPr>
        </w:r>
        <w:r>
          <w:rPr>
            <w:webHidden/>
          </w:rPr>
          <w:fldChar w:fldCharType="separate"/>
        </w:r>
        <w:r>
          <w:rPr>
            <w:webHidden/>
          </w:rPr>
          <w:t>66</w:t>
        </w:r>
        <w:r>
          <w:rPr>
            <w:webHidden/>
          </w:rPr>
          <w:fldChar w:fldCharType="end"/>
        </w:r>
      </w:hyperlink>
    </w:p>
    <w:p w14:paraId="25363303" w14:textId="10441DB7" w:rsidR="0066653A" w:rsidRDefault="0066653A">
      <w:pPr>
        <w:pStyle w:val="TOC2"/>
        <w:rPr>
          <w:rFonts w:asciiTheme="minorHAnsi" w:eastAsiaTheme="minorEastAsia" w:hAnsiTheme="minorHAnsi" w:cstheme="minorBidi"/>
          <w:sz w:val="22"/>
          <w:szCs w:val="22"/>
        </w:rPr>
      </w:pPr>
      <w:hyperlink w:anchor="_Toc112857423" w:history="1">
        <w:r w:rsidRPr="00DD5DD9">
          <w:rPr>
            <w:rStyle w:val="Hyperlink"/>
            <w:rFonts w:eastAsia="Calibri"/>
            <w:lang w:eastAsia="en-US"/>
          </w:rPr>
          <w:t>Views of stakeholders</w:t>
        </w:r>
        <w:r>
          <w:rPr>
            <w:webHidden/>
          </w:rPr>
          <w:tab/>
        </w:r>
        <w:r>
          <w:rPr>
            <w:webHidden/>
          </w:rPr>
          <w:fldChar w:fldCharType="begin"/>
        </w:r>
        <w:r>
          <w:rPr>
            <w:webHidden/>
          </w:rPr>
          <w:instrText xml:space="preserve"> PAGEREF _Toc112857423 \h </w:instrText>
        </w:r>
        <w:r>
          <w:rPr>
            <w:webHidden/>
          </w:rPr>
        </w:r>
        <w:r>
          <w:rPr>
            <w:webHidden/>
          </w:rPr>
          <w:fldChar w:fldCharType="separate"/>
        </w:r>
        <w:r>
          <w:rPr>
            <w:webHidden/>
          </w:rPr>
          <w:t>67</w:t>
        </w:r>
        <w:r>
          <w:rPr>
            <w:webHidden/>
          </w:rPr>
          <w:fldChar w:fldCharType="end"/>
        </w:r>
      </w:hyperlink>
    </w:p>
    <w:p w14:paraId="2B4FC4B8" w14:textId="3CD64303" w:rsidR="0066653A" w:rsidRDefault="0066653A">
      <w:pPr>
        <w:pStyle w:val="TOC1"/>
        <w:rPr>
          <w:rFonts w:asciiTheme="minorHAnsi" w:eastAsiaTheme="minorEastAsia" w:hAnsiTheme="minorHAnsi" w:cstheme="minorBidi"/>
          <w:b w:val="0"/>
          <w:sz w:val="22"/>
          <w:szCs w:val="22"/>
        </w:rPr>
      </w:pPr>
      <w:hyperlink w:anchor="_Toc112857424" w:history="1">
        <w:r w:rsidRPr="00DD5DD9">
          <w:rPr>
            <w:rStyle w:val="Hyperlink"/>
            <w:rFonts w:eastAsia="Calibri"/>
            <w:lang w:eastAsia="en-US"/>
          </w:rPr>
          <w:t xml:space="preserve">CHAPTER 7 </w:t>
        </w:r>
        <w:r>
          <w:rPr>
            <w:rStyle w:val="Hyperlink"/>
            <w:rFonts w:eastAsia="Calibri"/>
            <w:lang w:eastAsia="en-US"/>
          </w:rPr>
          <w:tab/>
        </w:r>
        <w:r w:rsidRPr="00DD5DD9">
          <w:rPr>
            <w:rStyle w:val="Hyperlink"/>
            <w:rFonts w:eastAsia="Calibri"/>
            <w:lang w:eastAsia="en-US"/>
          </w:rPr>
          <w:t>Accelerated Depreciation</w:t>
        </w:r>
        <w:r>
          <w:rPr>
            <w:webHidden/>
          </w:rPr>
          <w:tab/>
        </w:r>
        <w:r>
          <w:rPr>
            <w:webHidden/>
          </w:rPr>
          <w:fldChar w:fldCharType="begin"/>
        </w:r>
        <w:r>
          <w:rPr>
            <w:webHidden/>
          </w:rPr>
          <w:instrText xml:space="preserve"> PAGEREF _Toc112857424 \h </w:instrText>
        </w:r>
        <w:r>
          <w:rPr>
            <w:webHidden/>
          </w:rPr>
        </w:r>
        <w:r>
          <w:rPr>
            <w:webHidden/>
          </w:rPr>
          <w:fldChar w:fldCharType="separate"/>
        </w:r>
        <w:r>
          <w:rPr>
            <w:webHidden/>
          </w:rPr>
          <w:t>68</w:t>
        </w:r>
        <w:r>
          <w:rPr>
            <w:webHidden/>
          </w:rPr>
          <w:fldChar w:fldCharType="end"/>
        </w:r>
      </w:hyperlink>
    </w:p>
    <w:p w14:paraId="2E3A9D63" w14:textId="6D9192E4" w:rsidR="0066653A" w:rsidRDefault="0066653A">
      <w:pPr>
        <w:pStyle w:val="TOC2"/>
        <w:rPr>
          <w:rFonts w:asciiTheme="minorHAnsi" w:eastAsiaTheme="minorEastAsia" w:hAnsiTheme="minorHAnsi" w:cstheme="minorBidi"/>
          <w:sz w:val="22"/>
          <w:szCs w:val="22"/>
        </w:rPr>
      </w:pPr>
      <w:hyperlink w:anchor="_Toc112857425" w:history="1">
        <w:r w:rsidRPr="00DD5DD9">
          <w:rPr>
            <w:rStyle w:val="Hyperlink"/>
            <w:rFonts w:eastAsia="Calibri"/>
            <w:lang w:eastAsia="en-US"/>
          </w:rPr>
          <w:t>Introduction</w:t>
        </w:r>
        <w:r>
          <w:rPr>
            <w:webHidden/>
          </w:rPr>
          <w:tab/>
        </w:r>
        <w:r>
          <w:rPr>
            <w:webHidden/>
          </w:rPr>
          <w:fldChar w:fldCharType="begin"/>
        </w:r>
        <w:r>
          <w:rPr>
            <w:webHidden/>
          </w:rPr>
          <w:instrText xml:space="preserve"> PAGEREF _Toc112857425 \h </w:instrText>
        </w:r>
        <w:r>
          <w:rPr>
            <w:webHidden/>
          </w:rPr>
        </w:r>
        <w:r>
          <w:rPr>
            <w:webHidden/>
          </w:rPr>
          <w:fldChar w:fldCharType="separate"/>
        </w:r>
        <w:r>
          <w:rPr>
            <w:webHidden/>
          </w:rPr>
          <w:t>68</w:t>
        </w:r>
        <w:r>
          <w:rPr>
            <w:webHidden/>
          </w:rPr>
          <w:fldChar w:fldCharType="end"/>
        </w:r>
      </w:hyperlink>
    </w:p>
    <w:p w14:paraId="19B4B0F0" w14:textId="601AE19E" w:rsidR="0066653A" w:rsidRDefault="0066653A">
      <w:pPr>
        <w:pStyle w:val="TOC2"/>
        <w:rPr>
          <w:rFonts w:asciiTheme="minorHAnsi" w:eastAsiaTheme="minorEastAsia" w:hAnsiTheme="minorHAnsi" w:cstheme="minorBidi"/>
          <w:sz w:val="22"/>
          <w:szCs w:val="22"/>
        </w:rPr>
      </w:pPr>
      <w:hyperlink w:anchor="_Toc112857426" w:history="1">
        <w:r w:rsidRPr="00DD5DD9">
          <w:rPr>
            <w:rStyle w:val="Hyperlink"/>
            <w:rFonts w:eastAsia="Calibri"/>
            <w:lang w:eastAsia="en-US"/>
          </w:rPr>
          <w:t>Possible accelerated depreciation measures</w:t>
        </w:r>
        <w:r>
          <w:rPr>
            <w:webHidden/>
          </w:rPr>
          <w:tab/>
        </w:r>
        <w:r>
          <w:rPr>
            <w:webHidden/>
          </w:rPr>
          <w:fldChar w:fldCharType="begin"/>
        </w:r>
        <w:r>
          <w:rPr>
            <w:webHidden/>
          </w:rPr>
          <w:instrText xml:space="preserve"> PAGEREF _Toc112857426 \h </w:instrText>
        </w:r>
        <w:r>
          <w:rPr>
            <w:webHidden/>
          </w:rPr>
        </w:r>
        <w:r>
          <w:rPr>
            <w:webHidden/>
          </w:rPr>
          <w:fldChar w:fldCharType="separate"/>
        </w:r>
        <w:r>
          <w:rPr>
            <w:webHidden/>
          </w:rPr>
          <w:t>68</w:t>
        </w:r>
        <w:r>
          <w:rPr>
            <w:webHidden/>
          </w:rPr>
          <w:fldChar w:fldCharType="end"/>
        </w:r>
      </w:hyperlink>
    </w:p>
    <w:p w14:paraId="43F4B616" w14:textId="0FCAE067" w:rsidR="0066653A" w:rsidRDefault="0066653A">
      <w:pPr>
        <w:pStyle w:val="TOC2"/>
        <w:rPr>
          <w:rFonts w:asciiTheme="minorHAnsi" w:eastAsiaTheme="minorEastAsia" w:hAnsiTheme="minorHAnsi" w:cstheme="minorBidi"/>
          <w:sz w:val="22"/>
          <w:szCs w:val="22"/>
        </w:rPr>
      </w:pPr>
      <w:hyperlink w:anchor="_Toc112857427" w:history="1">
        <w:r w:rsidRPr="00DD5DD9">
          <w:rPr>
            <w:rStyle w:val="Hyperlink"/>
            <w:rFonts w:eastAsia="Calibri"/>
            <w:lang w:eastAsia="en-US"/>
          </w:rPr>
          <w:t>Impacts on costs of capital and EMTRs</w:t>
        </w:r>
        <w:r>
          <w:rPr>
            <w:webHidden/>
          </w:rPr>
          <w:tab/>
        </w:r>
        <w:r>
          <w:rPr>
            <w:webHidden/>
          </w:rPr>
          <w:fldChar w:fldCharType="begin"/>
        </w:r>
        <w:r>
          <w:rPr>
            <w:webHidden/>
          </w:rPr>
          <w:instrText xml:space="preserve"> PAGEREF _Toc112857427 \h </w:instrText>
        </w:r>
        <w:r>
          <w:rPr>
            <w:webHidden/>
          </w:rPr>
        </w:r>
        <w:r>
          <w:rPr>
            <w:webHidden/>
          </w:rPr>
          <w:fldChar w:fldCharType="separate"/>
        </w:r>
        <w:r>
          <w:rPr>
            <w:webHidden/>
          </w:rPr>
          <w:t>69</w:t>
        </w:r>
        <w:r>
          <w:rPr>
            <w:webHidden/>
          </w:rPr>
          <w:fldChar w:fldCharType="end"/>
        </w:r>
      </w:hyperlink>
    </w:p>
    <w:p w14:paraId="1DFA4E19" w14:textId="556E93FB" w:rsidR="0066653A" w:rsidRDefault="0066653A">
      <w:pPr>
        <w:pStyle w:val="TOC2"/>
        <w:rPr>
          <w:rFonts w:asciiTheme="minorHAnsi" w:eastAsiaTheme="minorEastAsia" w:hAnsiTheme="minorHAnsi" w:cstheme="minorBidi"/>
          <w:sz w:val="22"/>
          <w:szCs w:val="22"/>
        </w:rPr>
      </w:pPr>
      <w:hyperlink w:anchor="_Toc112857428" w:history="1">
        <w:r w:rsidRPr="00DD5DD9">
          <w:rPr>
            <w:rStyle w:val="Hyperlink"/>
            <w:rFonts w:eastAsia="Calibri"/>
            <w:lang w:eastAsia="en-US"/>
          </w:rPr>
          <w:t>Effects of the two accelerated depreciation schemes on neutrality</w:t>
        </w:r>
        <w:r>
          <w:rPr>
            <w:webHidden/>
          </w:rPr>
          <w:tab/>
        </w:r>
        <w:r>
          <w:rPr>
            <w:webHidden/>
          </w:rPr>
          <w:fldChar w:fldCharType="begin"/>
        </w:r>
        <w:r>
          <w:rPr>
            <w:webHidden/>
          </w:rPr>
          <w:instrText xml:space="preserve"> PAGEREF _Toc112857428 \h </w:instrText>
        </w:r>
        <w:r>
          <w:rPr>
            <w:webHidden/>
          </w:rPr>
        </w:r>
        <w:r>
          <w:rPr>
            <w:webHidden/>
          </w:rPr>
          <w:fldChar w:fldCharType="separate"/>
        </w:r>
        <w:r>
          <w:rPr>
            <w:webHidden/>
          </w:rPr>
          <w:t>70</w:t>
        </w:r>
        <w:r>
          <w:rPr>
            <w:webHidden/>
          </w:rPr>
          <w:fldChar w:fldCharType="end"/>
        </w:r>
      </w:hyperlink>
    </w:p>
    <w:p w14:paraId="2692E256" w14:textId="1A257D39" w:rsidR="0066653A" w:rsidRDefault="0066653A">
      <w:pPr>
        <w:pStyle w:val="TOC2"/>
        <w:rPr>
          <w:rFonts w:asciiTheme="minorHAnsi" w:eastAsiaTheme="minorEastAsia" w:hAnsiTheme="minorHAnsi" w:cstheme="minorBidi"/>
          <w:sz w:val="22"/>
          <w:szCs w:val="22"/>
        </w:rPr>
      </w:pPr>
      <w:hyperlink w:anchor="_Toc112857429" w:history="1">
        <w:r w:rsidRPr="00DD5DD9">
          <w:rPr>
            <w:rStyle w:val="Hyperlink"/>
            <w:rFonts w:eastAsia="Calibri"/>
            <w:lang w:eastAsia="en-US"/>
          </w:rPr>
          <w:t>Design issues</w:t>
        </w:r>
        <w:r>
          <w:rPr>
            <w:webHidden/>
          </w:rPr>
          <w:tab/>
        </w:r>
        <w:r>
          <w:rPr>
            <w:webHidden/>
          </w:rPr>
          <w:fldChar w:fldCharType="begin"/>
        </w:r>
        <w:r>
          <w:rPr>
            <w:webHidden/>
          </w:rPr>
          <w:instrText xml:space="preserve"> PAGEREF _Toc112857429 \h </w:instrText>
        </w:r>
        <w:r>
          <w:rPr>
            <w:webHidden/>
          </w:rPr>
        </w:r>
        <w:r>
          <w:rPr>
            <w:webHidden/>
          </w:rPr>
          <w:fldChar w:fldCharType="separate"/>
        </w:r>
        <w:r>
          <w:rPr>
            <w:webHidden/>
          </w:rPr>
          <w:t>71</w:t>
        </w:r>
        <w:r>
          <w:rPr>
            <w:webHidden/>
          </w:rPr>
          <w:fldChar w:fldCharType="end"/>
        </w:r>
      </w:hyperlink>
    </w:p>
    <w:p w14:paraId="6C01BB21" w14:textId="61691388" w:rsidR="0066653A" w:rsidRDefault="0066653A">
      <w:pPr>
        <w:pStyle w:val="TOC2"/>
        <w:rPr>
          <w:rFonts w:asciiTheme="minorHAnsi" w:eastAsiaTheme="minorEastAsia" w:hAnsiTheme="minorHAnsi" w:cstheme="minorBidi"/>
          <w:sz w:val="22"/>
          <w:szCs w:val="22"/>
        </w:rPr>
      </w:pPr>
      <w:hyperlink w:anchor="_Toc112857430" w:history="1">
        <w:r w:rsidRPr="00DD5DD9">
          <w:rPr>
            <w:rStyle w:val="Hyperlink"/>
            <w:rFonts w:eastAsia="Calibri"/>
            <w:lang w:eastAsia="en-US"/>
          </w:rPr>
          <w:t>International experience</w:t>
        </w:r>
        <w:r>
          <w:rPr>
            <w:webHidden/>
          </w:rPr>
          <w:tab/>
        </w:r>
        <w:r>
          <w:rPr>
            <w:webHidden/>
          </w:rPr>
          <w:fldChar w:fldCharType="begin"/>
        </w:r>
        <w:r>
          <w:rPr>
            <w:webHidden/>
          </w:rPr>
          <w:instrText xml:space="preserve"> PAGEREF _Toc112857430 \h </w:instrText>
        </w:r>
        <w:r>
          <w:rPr>
            <w:webHidden/>
          </w:rPr>
        </w:r>
        <w:r>
          <w:rPr>
            <w:webHidden/>
          </w:rPr>
          <w:fldChar w:fldCharType="separate"/>
        </w:r>
        <w:r>
          <w:rPr>
            <w:webHidden/>
          </w:rPr>
          <w:t>72</w:t>
        </w:r>
        <w:r>
          <w:rPr>
            <w:webHidden/>
          </w:rPr>
          <w:fldChar w:fldCharType="end"/>
        </w:r>
      </w:hyperlink>
    </w:p>
    <w:p w14:paraId="1974E28B" w14:textId="2D825855" w:rsidR="0066653A" w:rsidRDefault="0066653A">
      <w:pPr>
        <w:pStyle w:val="TOC2"/>
        <w:rPr>
          <w:rFonts w:asciiTheme="minorHAnsi" w:eastAsiaTheme="minorEastAsia" w:hAnsiTheme="minorHAnsi" w:cstheme="minorBidi"/>
          <w:sz w:val="22"/>
          <w:szCs w:val="22"/>
        </w:rPr>
      </w:pPr>
      <w:hyperlink w:anchor="_Toc112857431" w:history="1">
        <w:r w:rsidRPr="00DD5DD9">
          <w:rPr>
            <w:rStyle w:val="Hyperlink"/>
            <w:rFonts w:eastAsia="Calibri"/>
            <w:lang w:eastAsia="en-US"/>
          </w:rPr>
          <w:t>Pros and cons of accelerated depreciation</w:t>
        </w:r>
        <w:r>
          <w:rPr>
            <w:webHidden/>
          </w:rPr>
          <w:tab/>
        </w:r>
        <w:r>
          <w:rPr>
            <w:webHidden/>
          </w:rPr>
          <w:fldChar w:fldCharType="begin"/>
        </w:r>
        <w:r>
          <w:rPr>
            <w:webHidden/>
          </w:rPr>
          <w:instrText xml:space="preserve"> PAGEREF _Toc112857431 \h </w:instrText>
        </w:r>
        <w:r>
          <w:rPr>
            <w:webHidden/>
          </w:rPr>
        </w:r>
        <w:r>
          <w:rPr>
            <w:webHidden/>
          </w:rPr>
          <w:fldChar w:fldCharType="separate"/>
        </w:r>
        <w:r>
          <w:rPr>
            <w:webHidden/>
          </w:rPr>
          <w:t>73</w:t>
        </w:r>
        <w:r>
          <w:rPr>
            <w:webHidden/>
          </w:rPr>
          <w:fldChar w:fldCharType="end"/>
        </w:r>
      </w:hyperlink>
    </w:p>
    <w:p w14:paraId="3423A439" w14:textId="15922B32" w:rsidR="0066653A" w:rsidRDefault="0066653A">
      <w:pPr>
        <w:pStyle w:val="TOC2"/>
        <w:rPr>
          <w:rFonts w:asciiTheme="minorHAnsi" w:eastAsiaTheme="minorEastAsia" w:hAnsiTheme="minorHAnsi" w:cstheme="minorBidi"/>
          <w:sz w:val="22"/>
          <w:szCs w:val="22"/>
        </w:rPr>
      </w:pPr>
      <w:hyperlink w:anchor="_Toc112857432" w:history="1">
        <w:r w:rsidRPr="00DD5DD9">
          <w:rPr>
            <w:rStyle w:val="Hyperlink"/>
            <w:rFonts w:eastAsia="Calibri"/>
            <w:lang w:eastAsia="en-US"/>
          </w:rPr>
          <w:t>Views of stakeholders</w:t>
        </w:r>
        <w:r>
          <w:rPr>
            <w:webHidden/>
          </w:rPr>
          <w:tab/>
        </w:r>
        <w:r>
          <w:rPr>
            <w:webHidden/>
          </w:rPr>
          <w:fldChar w:fldCharType="begin"/>
        </w:r>
        <w:r>
          <w:rPr>
            <w:webHidden/>
          </w:rPr>
          <w:instrText xml:space="preserve"> PAGEREF _Toc112857432 \h </w:instrText>
        </w:r>
        <w:r>
          <w:rPr>
            <w:webHidden/>
          </w:rPr>
        </w:r>
        <w:r>
          <w:rPr>
            <w:webHidden/>
          </w:rPr>
          <w:fldChar w:fldCharType="separate"/>
        </w:r>
        <w:r>
          <w:rPr>
            <w:webHidden/>
          </w:rPr>
          <w:t>74</w:t>
        </w:r>
        <w:r>
          <w:rPr>
            <w:webHidden/>
          </w:rPr>
          <w:fldChar w:fldCharType="end"/>
        </w:r>
      </w:hyperlink>
    </w:p>
    <w:p w14:paraId="565FDB40" w14:textId="5F8CEFBE" w:rsidR="0066653A" w:rsidRDefault="0066653A">
      <w:pPr>
        <w:pStyle w:val="TOC1"/>
        <w:rPr>
          <w:rFonts w:asciiTheme="minorHAnsi" w:eastAsiaTheme="minorEastAsia" w:hAnsiTheme="minorHAnsi" w:cstheme="minorBidi"/>
          <w:b w:val="0"/>
          <w:sz w:val="22"/>
          <w:szCs w:val="22"/>
        </w:rPr>
      </w:pPr>
      <w:hyperlink w:anchor="_Toc112857433" w:history="1">
        <w:r w:rsidRPr="00DD5DD9">
          <w:rPr>
            <w:rStyle w:val="Hyperlink"/>
            <w:rFonts w:eastAsia="Calibri"/>
            <w:lang w:eastAsia="en-US"/>
          </w:rPr>
          <w:t xml:space="preserve">CHAPTER 8 </w:t>
        </w:r>
        <w:r>
          <w:rPr>
            <w:rStyle w:val="Hyperlink"/>
            <w:rFonts w:eastAsia="Calibri"/>
            <w:lang w:eastAsia="en-US"/>
          </w:rPr>
          <w:tab/>
        </w:r>
        <w:r w:rsidRPr="00DD5DD9">
          <w:rPr>
            <w:rStyle w:val="Hyperlink"/>
            <w:rFonts w:eastAsia="Calibri"/>
            <w:lang w:eastAsia="en-US"/>
          </w:rPr>
          <w:t>Indexation</w:t>
        </w:r>
        <w:r>
          <w:rPr>
            <w:webHidden/>
          </w:rPr>
          <w:tab/>
        </w:r>
        <w:r>
          <w:rPr>
            <w:webHidden/>
          </w:rPr>
          <w:fldChar w:fldCharType="begin"/>
        </w:r>
        <w:r>
          <w:rPr>
            <w:webHidden/>
          </w:rPr>
          <w:instrText xml:space="preserve"> PAGEREF _Toc112857433 \h </w:instrText>
        </w:r>
        <w:r>
          <w:rPr>
            <w:webHidden/>
          </w:rPr>
        </w:r>
        <w:r>
          <w:rPr>
            <w:webHidden/>
          </w:rPr>
          <w:fldChar w:fldCharType="separate"/>
        </w:r>
        <w:r>
          <w:rPr>
            <w:webHidden/>
          </w:rPr>
          <w:t>75</w:t>
        </w:r>
        <w:r>
          <w:rPr>
            <w:webHidden/>
          </w:rPr>
          <w:fldChar w:fldCharType="end"/>
        </w:r>
      </w:hyperlink>
    </w:p>
    <w:p w14:paraId="366AF719" w14:textId="049CD051" w:rsidR="0066653A" w:rsidRDefault="0066653A">
      <w:pPr>
        <w:pStyle w:val="TOC2"/>
        <w:rPr>
          <w:rFonts w:asciiTheme="minorHAnsi" w:eastAsiaTheme="minorEastAsia" w:hAnsiTheme="minorHAnsi" w:cstheme="minorBidi"/>
          <w:sz w:val="22"/>
          <w:szCs w:val="22"/>
        </w:rPr>
      </w:pPr>
      <w:hyperlink w:anchor="_Toc112857434" w:history="1">
        <w:r w:rsidRPr="00DD5DD9">
          <w:rPr>
            <w:rStyle w:val="Hyperlink"/>
            <w:rFonts w:eastAsia="Calibri"/>
            <w:lang w:eastAsia="en-US"/>
          </w:rPr>
          <w:t>Introduction</w:t>
        </w:r>
        <w:r>
          <w:rPr>
            <w:webHidden/>
          </w:rPr>
          <w:tab/>
        </w:r>
        <w:r>
          <w:rPr>
            <w:webHidden/>
          </w:rPr>
          <w:fldChar w:fldCharType="begin"/>
        </w:r>
        <w:r>
          <w:rPr>
            <w:webHidden/>
          </w:rPr>
          <w:instrText xml:space="preserve"> PAGEREF _Toc112857434 \h </w:instrText>
        </w:r>
        <w:r>
          <w:rPr>
            <w:webHidden/>
          </w:rPr>
        </w:r>
        <w:r>
          <w:rPr>
            <w:webHidden/>
          </w:rPr>
          <w:fldChar w:fldCharType="separate"/>
        </w:r>
        <w:r>
          <w:rPr>
            <w:webHidden/>
          </w:rPr>
          <w:t>75</w:t>
        </w:r>
        <w:r>
          <w:rPr>
            <w:webHidden/>
          </w:rPr>
          <w:fldChar w:fldCharType="end"/>
        </w:r>
      </w:hyperlink>
    </w:p>
    <w:p w14:paraId="4096538C" w14:textId="3125ED49" w:rsidR="0066653A" w:rsidRDefault="0066653A">
      <w:pPr>
        <w:pStyle w:val="TOC2"/>
        <w:rPr>
          <w:rFonts w:asciiTheme="minorHAnsi" w:eastAsiaTheme="minorEastAsia" w:hAnsiTheme="minorHAnsi" w:cstheme="minorBidi"/>
          <w:sz w:val="22"/>
          <w:szCs w:val="22"/>
        </w:rPr>
      </w:pPr>
      <w:hyperlink w:anchor="_Toc112857435" w:history="1">
        <w:r w:rsidRPr="00DD5DD9">
          <w:rPr>
            <w:rStyle w:val="Hyperlink"/>
            <w:rFonts w:eastAsia="Calibri"/>
            <w:lang w:eastAsia="en-US"/>
          </w:rPr>
          <w:t>How might the tax system be indexed for inflation?</w:t>
        </w:r>
        <w:r>
          <w:rPr>
            <w:webHidden/>
          </w:rPr>
          <w:tab/>
        </w:r>
        <w:r>
          <w:rPr>
            <w:webHidden/>
          </w:rPr>
          <w:fldChar w:fldCharType="begin"/>
        </w:r>
        <w:r>
          <w:rPr>
            <w:webHidden/>
          </w:rPr>
          <w:instrText xml:space="preserve"> PAGEREF _Toc112857435 \h </w:instrText>
        </w:r>
        <w:r>
          <w:rPr>
            <w:webHidden/>
          </w:rPr>
        </w:r>
        <w:r>
          <w:rPr>
            <w:webHidden/>
          </w:rPr>
          <w:fldChar w:fldCharType="separate"/>
        </w:r>
        <w:r>
          <w:rPr>
            <w:webHidden/>
          </w:rPr>
          <w:t>76</w:t>
        </w:r>
        <w:r>
          <w:rPr>
            <w:webHidden/>
          </w:rPr>
          <w:fldChar w:fldCharType="end"/>
        </w:r>
      </w:hyperlink>
    </w:p>
    <w:p w14:paraId="620FF70D" w14:textId="02E5D368" w:rsidR="0066653A" w:rsidRDefault="0066653A">
      <w:pPr>
        <w:pStyle w:val="TOC2"/>
        <w:rPr>
          <w:rFonts w:asciiTheme="minorHAnsi" w:eastAsiaTheme="minorEastAsia" w:hAnsiTheme="minorHAnsi" w:cstheme="minorBidi"/>
          <w:sz w:val="22"/>
          <w:szCs w:val="22"/>
        </w:rPr>
      </w:pPr>
      <w:hyperlink w:anchor="_Toc112857436" w:history="1">
        <w:r w:rsidRPr="00DD5DD9">
          <w:rPr>
            <w:rStyle w:val="Hyperlink"/>
            <w:rFonts w:eastAsia="Calibri"/>
            <w:lang w:eastAsia="en-US"/>
          </w:rPr>
          <w:t>Impacts on costs of capital</w:t>
        </w:r>
        <w:r>
          <w:rPr>
            <w:webHidden/>
          </w:rPr>
          <w:tab/>
        </w:r>
        <w:r>
          <w:rPr>
            <w:webHidden/>
          </w:rPr>
          <w:fldChar w:fldCharType="begin"/>
        </w:r>
        <w:r>
          <w:rPr>
            <w:webHidden/>
          </w:rPr>
          <w:instrText xml:space="preserve"> PAGEREF _Toc112857436 \h </w:instrText>
        </w:r>
        <w:r>
          <w:rPr>
            <w:webHidden/>
          </w:rPr>
        </w:r>
        <w:r>
          <w:rPr>
            <w:webHidden/>
          </w:rPr>
          <w:fldChar w:fldCharType="separate"/>
        </w:r>
        <w:r>
          <w:rPr>
            <w:webHidden/>
          </w:rPr>
          <w:t>77</w:t>
        </w:r>
        <w:r>
          <w:rPr>
            <w:webHidden/>
          </w:rPr>
          <w:fldChar w:fldCharType="end"/>
        </w:r>
      </w:hyperlink>
    </w:p>
    <w:p w14:paraId="19859BB8" w14:textId="4972448E" w:rsidR="0066653A" w:rsidRDefault="0066653A">
      <w:pPr>
        <w:pStyle w:val="TOC2"/>
        <w:rPr>
          <w:rFonts w:asciiTheme="minorHAnsi" w:eastAsiaTheme="minorEastAsia" w:hAnsiTheme="minorHAnsi" w:cstheme="minorBidi"/>
          <w:sz w:val="22"/>
          <w:szCs w:val="22"/>
        </w:rPr>
      </w:pPr>
      <w:hyperlink w:anchor="_Toc112857437" w:history="1">
        <w:r w:rsidRPr="00DD5DD9">
          <w:rPr>
            <w:rStyle w:val="Hyperlink"/>
            <w:rFonts w:eastAsia="Calibri"/>
            <w:lang w:eastAsia="en-US"/>
          </w:rPr>
          <w:t>Pros and cons of comprehensive indexation</w:t>
        </w:r>
        <w:r>
          <w:rPr>
            <w:webHidden/>
          </w:rPr>
          <w:tab/>
        </w:r>
        <w:r>
          <w:rPr>
            <w:webHidden/>
          </w:rPr>
          <w:fldChar w:fldCharType="begin"/>
        </w:r>
        <w:r>
          <w:rPr>
            <w:webHidden/>
          </w:rPr>
          <w:instrText xml:space="preserve"> PAGEREF _Toc112857437 \h </w:instrText>
        </w:r>
        <w:r>
          <w:rPr>
            <w:webHidden/>
          </w:rPr>
        </w:r>
        <w:r>
          <w:rPr>
            <w:webHidden/>
          </w:rPr>
          <w:fldChar w:fldCharType="separate"/>
        </w:r>
        <w:r>
          <w:rPr>
            <w:webHidden/>
          </w:rPr>
          <w:t>79</w:t>
        </w:r>
        <w:r>
          <w:rPr>
            <w:webHidden/>
          </w:rPr>
          <w:fldChar w:fldCharType="end"/>
        </w:r>
      </w:hyperlink>
    </w:p>
    <w:p w14:paraId="35B3AE32" w14:textId="2A6C7465" w:rsidR="0066653A" w:rsidRDefault="0066653A">
      <w:pPr>
        <w:pStyle w:val="TOC2"/>
        <w:rPr>
          <w:rFonts w:asciiTheme="minorHAnsi" w:eastAsiaTheme="minorEastAsia" w:hAnsiTheme="minorHAnsi" w:cstheme="minorBidi"/>
          <w:sz w:val="22"/>
          <w:szCs w:val="22"/>
        </w:rPr>
      </w:pPr>
      <w:hyperlink w:anchor="_Toc112857438" w:history="1">
        <w:r w:rsidRPr="00DD5DD9">
          <w:rPr>
            <w:rStyle w:val="Hyperlink"/>
            <w:rFonts w:eastAsia="Calibri"/>
            <w:lang w:eastAsia="en-US"/>
          </w:rPr>
          <w:t>Pros and cons of partial indexation</w:t>
        </w:r>
        <w:r>
          <w:rPr>
            <w:webHidden/>
          </w:rPr>
          <w:tab/>
        </w:r>
        <w:r>
          <w:rPr>
            <w:webHidden/>
          </w:rPr>
          <w:fldChar w:fldCharType="begin"/>
        </w:r>
        <w:r>
          <w:rPr>
            <w:webHidden/>
          </w:rPr>
          <w:instrText xml:space="preserve"> PAGEREF _Toc112857438 \h </w:instrText>
        </w:r>
        <w:r>
          <w:rPr>
            <w:webHidden/>
          </w:rPr>
        </w:r>
        <w:r>
          <w:rPr>
            <w:webHidden/>
          </w:rPr>
          <w:fldChar w:fldCharType="separate"/>
        </w:r>
        <w:r>
          <w:rPr>
            <w:webHidden/>
          </w:rPr>
          <w:t>80</w:t>
        </w:r>
        <w:r>
          <w:rPr>
            <w:webHidden/>
          </w:rPr>
          <w:fldChar w:fldCharType="end"/>
        </w:r>
      </w:hyperlink>
    </w:p>
    <w:p w14:paraId="492E9186" w14:textId="6BCFB1A6" w:rsidR="0066653A" w:rsidRDefault="0066653A">
      <w:pPr>
        <w:pStyle w:val="TOC2"/>
        <w:rPr>
          <w:rFonts w:asciiTheme="minorHAnsi" w:eastAsiaTheme="minorEastAsia" w:hAnsiTheme="minorHAnsi" w:cstheme="minorBidi"/>
          <w:sz w:val="22"/>
          <w:szCs w:val="22"/>
        </w:rPr>
      </w:pPr>
      <w:hyperlink w:anchor="_Toc112857439" w:history="1">
        <w:r w:rsidRPr="00DD5DD9">
          <w:rPr>
            <w:rStyle w:val="Hyperlink"/>
            <w:rFonts w:eastAsia="Calibri"/>
            <w:lang w:eastAsia="en-US"/>
          </w:rPr>
          <w:t>The appropriate index</w:t>
        </w:r>
        <w:r>
          <w:rPr>
            <w:webHidden/>
          </w:rPr>
          <w:tab/>
        </w:r>
        <w:r>
          <w:rPr>
            <w:webHidden/>
          </w:rPr>
          <w:fldChar w:fldCharType="begin"/>
        </w:r>
        <w:r>
          <w:rPr>
            <w:webHidden/>
          </w:rPr>
          <w:instrText xml:space="preserve"> PAGEREF _Toc112857439 \h </w:instrText>
        </w:r>
        <w:r>
          <w:rPr>
            <w:webHidden/>
          </w:rPr>
        </w:r>
        <w:r>
          <w:rPr>
            <w:webHidden/>
          </w:rPr>
          <w:fldChar w:fldCharType="separate"/>
        </w:r>
        <w:r>
          <w:rPr>
            <w:webHidden/>
          </w:rPr>
          <w:t>80</w:t>
        </w:r>
        <w:r>
          <w:rPr>
            <w:webHidden/>
          </w:rPr>
          <w:fldChar w:fldCharType="end"/>
        </w:r>
      </w:hyperlink>
    </w:p>
    <w:p w14:paraId="1A91A7F6" w14:textId="2B440C0F" w:rsidR="0066653A" w:rsidRDefault="0066653A">
      <w:pPr>
        <w:pStyle w:val="TOC2"/>
        <w:rPr>
          <w:rFonts w:asciiTheme="minorHAnsi" w:eastAsiaTheme="minorEastAsia" w:hAnsiTheme="minorHAnsi" w:cstheme="minorBidi"/>
          <w:sz w:val="22"/>
          <w:szCs w:val="22"/>
        </w:rPr>
      </w:pPr>
      <w:hyperlink w:anchor="_Toc112857440" w:history="1">
        <w:r w:rsidRPr="00DD5DD9">
          <w:rPr>
            <w:rStyle w:val="Hyperlink"/>
            <w:rFonts w:eastAsia="Calibri"/>
            <w:lang w:eastAsia="en-US"/>
          </w:rPr>
          <w:t>Views of stakeholders</w:t>
        </w:r>
        <w:r>
          <w:rPr>
            <w:webHidden/>
          </w:rPr>
          <w:tab/>
        </w:r>
        <w:r>
          <w:rPr>
            <w:webHidden/>
          </w:rPr>
          <w:fldChar w:fldCharType="begin"/>
        </w:r>
        <w:r>
          <w:rPr>
            <w:webHidden/>
          </w:rPr>
          <w:instrText xml:space="preserve"> PAGEREF _Toc112857440 \h </w:instrText>
        </w:r>
        <w:r>
          <w:rPr>
            <w:webHidden/>
          </w:rPr>
        </w:r>
        <w:r>
          <w:rPr>
            <w:webHidden/>
          </w:rPr>
          <w:fldChar w:fldCharType="separate"/>
        </w:r>
        <w:r>
          <w:rPr>
            <w:webHidden/>
          </w:rPr>
          <w:t>80</w:t>
        </w:r>
        <w:r>
          <w:rPr>
            <w:webHidden/>
          </w:rPr>
          <w:fldChar w:fldCharType="end"/>
        </w:r>
      </w:hyperlink>
    </w:p>
    <w:p w14:paraId="60E53985" w14:textId="2E1B11F7" w:rsidR="0066653A" w:rsidRDefault="0066653A">
      <w:pPr>
        <w:pStyle w:val="TOC1"/>
        <w:rPr>
          <w:rFonts w:asciiTheme="minorHAnsi" w:eastAsiaTheme="minorEastAsia" w:hAnsiTheme="minorHAnsi" w:cstheme="minorBidi"/>
          <w:b w:val="0"/>
          <w:sz w:val="22"/>
          <w:szCs w:val="22"/>
        </w:rPr>
      </w:pPr>
      <w:hyperlink w:anchor="_Toc112857441" w:history="1">
        <w:r w:rsidRPr="00DD5DD9">
          <w:rPr>
            <w:rStyle w:val="Hyperlink"/>
            <w:rFonts w:eastAsia="Calibri"/>
            <w:lang w:eastAsia="en-US"/>
          </w:rPr>
          <w:t xml:space="preserve">CHAPTER 9 </w:t>
        </w:r>
        <w:r>
          <w:rPr>
            <w:rStyle w:val="Hyperlink"/>
            <w:rFonts w:eastAsia="Calibri"/>
            <w:lang w:eastAsia="en-US"/>
          </w:rPr>
          <w:tab/>
        </w:r>
        <w:r w:rsidRPr="00DD5DD9">
          <w:rPr>
            <w:rStyle w:val="Hyperlink"/>
            <w:rFonts w:eastAsia="Calibri"/>
            <w:lang w:eastAsia="en-US"/>
          </w:rPr>
          <w:t>Thin capitalisation</w:t>
        </w:r>
        <w:r>
          <w:rPr>
            <w:webHidden/>
          </w:rPr>
          <w:tab/>
        </w:r>
        <w:r>
          <w:rPr>
            <w:webHidden/>
          </w:rPr>
          <w:fldChar w:fldCharType="begin"/>
        </w:r>
        <w:r>
          <w:rPr>
            <w:webHidden/>
          </w:rPr>
          <w:instrText xml:space="preserve"> PAGEREF _Toc112857441 \h </w:instrText>
        </w:r>
        <w:r>
          <w:rPr>
            <w:webHidden/>
          </w:rPr>
        </w:r>
        <w:r>
          <w:rPr>
            <w:webHidden/>
          </w:rPr>
          <w:fldChar w:fldCharType="separate"/>
        </w:r>
        <w:r>
          <w:rPr>
            <w:webHidden/>
          </w:rPr>
          <w:t>82</w:t>
        </w:r>
        <w:r>
          <w:rPr>
            <w:webHidden/>
          </w:rPr>
          <w:fldChar w:fldCharType="end"/>
        </w:r>
      </w:hyperlink>
    </w:p>
    <w:p w14:paraId="54DC8326" w14:textId="769E570B" w:rsidR="0066653A" w:rsidRDefault="0066653A">
      <w:pPr>
        <w:pStyle w:val="TOC2"/>
        <w:rPr>
          <w:rFonts w:asciiTheme="minorHAnsi" w:eastAsiaTheme="minorEastAsia" w:hAnsiTheme="minorHAnsi" w:cstheme="minorBidi"/>
          <w:sz w:val="22"/>
          <w:szCs w:val="22"/>
        </w:rPr>
      </w:pPr>
      <w:hyperlink w:anchor="_Toc112857442" w:history="1">
        <w:r w:rsidRPr="00DD5DD9">
          <w:rPr>
            <w:rStyle w:val="Hyperlink"/>
            <w:rFonts w:eastAsia="Calibri"/>
            <w:lang w:eastAsia="en-US"/>
          </w:rPr>
          <w:t>Introduction</w:t>
        </w:r>
        <w:r>
          <w:rPr>
            <w:webHidden/>
          </w:rPr>
          <w:tab/>
        </w:r>
        <w:r>
          <w:rPr>
            <w:webHidden/>
          </w:rPr>
          <w:fldChar w:fldCharType="begin"/>
        </w:r>
        <w:r>
          <w:rPr>
            <w:webHidden/>
          </w:rPr>
          <w:instrText xml:space="preserve"> PAGEREF _Toc112857442 \h </w:instrText>
        </w:r>
        <w:r>
          <w:rPr>
            <w:webHidden/>
          </w:rPr>
        </w:r>
        <w:r>
          <w:rPr>
            <w:webHidden/>
          </w:rPr>
          <w:fldChar w:fldCharType="separate"/>
        </w:r>
        <w:r>
          <w:rPr>
            <w:webHidden/>
          </w:rPr>
          <w:t>82</w:t>
        </w:r>
        <w:r>
          <w:rPr>
            <w:webHidden/>
          </w:rPr>
          <w:fldChar w:fldCharType="end"/>
        </w:r>
      </w:hyperlink>
    </w:p>
    <w:p w14:paraId="2AA02EDC" w14:textId="2D43A754" w:rsidR="0066653A" w:rsidRDefault="0066653A">
      <w:pPr>
        <w:pStyle w:val="TOC2"/>
        <w:rPr>
          <w:rFonts w:asciiTheme="minorHAnsi" w:eastAsiaTheme="minorEastAsia" w:hAnsiTheme="minorHAnsi" w:cstheme="minorBidi"/>
          <w:sz w:val="22"/>
          <w:szCs w:val="22"/>
        </w:rPr>
      </w:pPr>
      <w:hyperlink w:anchor="_Toc112857443" w:history="1">
        <w:r w:rsidRPr="00DD5DD9">
          <w:rPr>
            <w:rStyle w:val="Hyperlink"/>
            <w:rFonts w:eastAsia="Calibri"/>
            <w:lang w:eastAsia="en-US"/>
          </w:rPr>
          <w:t>Thin capitalisation rules</w:t>
        </w:r>
        <w:r>
          <w:rPr>
            <w:webHidden/>
          </w:rPr>
          <w:tab/>
        </w:r>
        <w:r>
          <w:rPr>
            <w:webHidden/>
          </w:rPr>
          <w:fldChar w:fldCharType="begin"/>
        </w:r>
        <w:r>
          <w:rPr>
            <w:webHidden/>
          </w:rPr>
          <w:instrText xml:space="preserve"> PAGEREF _Toc112857443 \h </w:instrText>
        </w:r>
        <w:r>
          <w:rPr>
            <w:webHidden/>
          </w:rPr>
        </w:r>
        <w:r>
          <w:rPr>
            <w:webHidden/>
          </w:rPr>
          <w:fldChar w:fldCharType="separate"/>
        </w:r>
        <w:r>
          <w:rPr>
            <w:webHidden/>
          </w:rPr>
          <w:t>83</w:t>
        </w:r>
        <w:r>
          <w:rPr>
            <w:webHidden/>
          </w:rPr>
          <w:fldChar w:fldCharType="end"/>
        </w:r>
      </w:hyperlink>
    </w:p>
    <w:p w14:paraId="5E327088" w14:textId="55027597" w:rsidR="0066653A" w:rsidRDefault="0066653A">
      <w:pPr>
        <w:pStyle w:val="TOC2"/>
        <w:rPr>
          <w:rFonts w:asciiTheme="minorHAnsi" w:eastAsiaTheme="minorEastAsia" w:hAnsiTheme="minorHAnsi" w:cstheme="minorBidi"/>
          <w:sz w:val="22"/>
          <w:szCs w:val="22"/>
        </w:rPr>
      </w:pPr>
      <w:hyperlink w:anchor="_Toc112857444" w:history="1">
        <w:r w:rsidRPr="00DD5DD9">
          <w:rPr>
            <w:rStyle w:val="Hyperlink"/>
            <w:rFonts w:eastAsia="Calibri"/>
            <w:lang w:eastAsia="en-US"/>
          </w:rPr>
          <w:t>International evidence on thin capitalisation rules and investment</w:t>
        </w:r>
        <w:r>
          <w:rPr>
            <w:webHidden/>
          </w:rPr>
          <w:tab/>
        </w:r>
        <w:r>
          <w:rPr>
            <w:webHidden/>
          </w:rPr>
          <w:fldChar w:fldCharType="begin"/>
        </w:r>
        <w:r>
          <w:rPr>
            <w:webHidden/>
          </w:rPr>
          <w:instrText xml:space="preserve"> PAGEREF _Toc112857444 \h </w:instrText>
        </w:r>
        <w:r>
          <w:rPr>
            <w:webHidden/>
          </w:rPr>
        </w:r>
        <w:r>
          <w:rPr>
            <w:webHidden/>
          </w:rPr>
          <w:fldChar w:fldCharType="separate"/>
        </w:r>
        <w:r>
          <w:rPr>
            <w:webHidden/>
          </w:rPr>
          <w:t>84</w:t>
        </w:r>
        <w:r>
          <w:rPr>
            <w:webHidden/>
          </w:rPr>
          <w:fldChar w:fldCharType="end"/>
        </w:r>
      </w:hyperlink>
    </w:p>
    <w:p w14:paraId="5013FD9A" w14:textId="2FE16489" w:rsidR="0066653A" w:rsidRDefault="0066653A">
      <w:pPr>
        <w:pStyle w:val="TOC2"/>
        <w:rPr>
          <w:rFonts w:asciiTheme="minorHAnsi" w:eastAsiaTheme="minorEastAsia" w:hAnsiTheme="minorHAnsi" w:cstheme="minorBidi"/>
          <w:sz w:val="22"/>
          <w:szCs w:val="22"/>
        </w:rPr>
      </w:pPr>
      <w:hyperlink w:anchor="_Toc112857445" w:history="1">
        <w:r w:rsidRPr="00DD5DD9">
          <w:rPr>
            <w:rStyle w:val="Hyperlink"/>
            <w:rFonts w:eastAsia="Calibri"/>
            <w:lang w:eastAsia="en-US"/>
          </w:rPr>
          <w:t>Impact on costs of capital and EMTRs</w:t>
        </w:r>
        <w:r>
          <w:rPr>
            <w:webHidden/>
          </w:rPr>
          <w:tab/>
        </w:r>
        <w:r>
          <w:rPr>
            <w:webHidden/>
          </w:rPr>
          <w:fldChar w:fldCharType="begin"/>
        </w:r>
        <w:r>
          <w:rPr>
            <w:webHidden/>
          </w:rPr>
          <w:instrText xml:space="preserve"> PAGEREF _Toc112857445 \h </w:instrText>
        </w:r>
        <w:r>
          <w:rPr>
            <w:webHidden/>
          </w:rPr>
        </w:r>
        <w:r>
          <w:rPr>
            <w:webHidden/>
          </w:rPr>
          <w:fldChar w:fldCharType="separate"/>
        </w:r>
        <w:r>
          <w:rPr>
            <w:webHidden/>
          </w:rPr>
          <w:t>84</w:t>
        </w:r>
        <w:r>
          <w:rPr>
            <w:webHidden/>
          </w:rPr>
          <w:fldChar w:fldCharType="end"/>
        </w:r>
      </w:hyperlink>
    </w:p>
    <w:p w14:paraId="29F4E1E0" w14:textId="77304780" w:rsidR="0066653A" w:rsidRDefault="0066653A">
      <w:pPr>
        <w:pStyle w:val="TOC2"/>
        <w:rPr>
          <w:rFonts w:asciiTheme="minorHAnsi" w:eastAsiaTheme="minorEastAsia" w:hAnsiTheme="minorHAnsi" w:cstheme="minorBidi"/>
          <w:sz w:val="22"/>
          <w:szCs w:val="22"/>
        </w:rPr>
      </w:pPr>
      <w:hyperlink w:anchor="_Toc112857446" w:history="1">
        <w:r w:rsidRPr="00DD5DD9">
          <w:rPr>
            <w:rStyle w:val="Hyperlink"/>
            <w:rFonts w:eastAsia="Calibri"/>
            <w:lang w:eastAsia="en-US"/>
          </w:rPr>
          <w:t>Increasing the safe harbour threshold: policy considerations</w:t>
        </w:r>
        <w:r>
          <w:rPr>
            <w:webHidden/>
          </w:rPr>
          <w:tab/>
        </w:r>
        <w:r>
          <w:rPr>
            <w:webHidden/>
          </w:rPr>
          <w:fldChar w:fldCharType="begin"/>
        </w:r>
        <w:r>
          <w:rPr>
            <w:webHidden/>
          </w:rPr>
          <w:instrText xml:space="preserve"> PAGEREF _Toc112857446 \h </w:instrText>
        </w:r>
        <w:r>
          <w:rPr>
            <w:webHidden/>
          </w:rPr>
        </w:r>
        <w:r>
          <w:rPr>
            <w:webHidden/>
          </w:rPr>
          <w:fldChar w:fldCharType="separate"/>
        </w:r>
        <w:r>
          <w:rPr>
            <w:webHidden/>
          </w:rPr>
          <w:t>86</w:t>
        </w:r>
        <w:r>
          <w:rPr>
            <w:webHidden/>
          </w:rPr>
          <w:fldChar w:fldCharType="end"/>
        </w:r>
      </w:hyperlink>
    </w:p>
    <w:p w14:paraId="328A1B8D" w14:textId="45AB760F" w:rsidR="0066653A" w:rsidRDefault="0066653A">
      <w:pPr>
        <w:pStyle w:val="TOC2"/>
        <w:rPr>
          <w:rFonts w:asciiTheme="minorHAnsi" w:eastAsiaTheme="minorEastAsia" w:hAnsiTheme="minorHAnsi" w:cstheme="minorBidi"/>
          <w:sz w:val="22"/>
          <w:szCs w:val="22"/>
        </w:rPr>
      </w:pPr>
      <w:hyperlink w:anchor="_Toc112857447" w:history="1">
        <w:r w:rsidRPr="00DD5DD9">
          <w:rPr>
            <w:rStyle w:val="Hyperlink"/>
            <w:rFonts w:eastAsia="Calibri"/>
            <w:lang w:eastAsia="en-US"/>
          </w:rPr>
          <w:t>Other solutions</w:t>
        </w:r>
        <w:r>
          <w:rPr>
            <w:webHidden/>
          </w:rPr>
          <w:tab/>
        </w:r>
        <w:r>
          <w:rPr>
            <w:webHidden/>
          </w:rPr>
          <w:fldChar w:fldCharType="begin"/>
        </w:r>
        <w:r>
          <w:rPr>
            <w:webHidden/>
          </w:rPr>
          <w:instrText xml:space="preserve"> PAGEREF _Toc112857447 \h </w:instrText>
        </w:r>
        <w:r>
          <w:rPr>
            <w:webHidden/>
          </w:rPr>
        </w:r>
        <w:r>
          <w:rPr>
            <w:webHidden/>
          </w:rPr>
          <w:fldChar w:fldCharType="separate"/>
        </w:r>
        <w:r>
          <w:rPr>
            <w:webHidden/>
          </w:rPr>
          <w:t>88</w:t>
        </w:r>
        <w:r>
          <w:rPr>
            <w:webHidden/>
          </w:rPr>
          <w:fldChar w:fldCharType="end"/>
        </w:r>
      </w:hyperlink>
    </w:p>
    <w:p w14:paraId="774FCD81" w14:textId="5C0EF32A" w:rsidR="0066653A" w:rsidRDefault="0066653A">
      <w:pPr>
        <w:pStyle w:val="TOC2"/>
        <w:rPr>
          <w:rFonts w:asciiTheme="minorHAnsi" w:eastAsiaTheme="minorEastAsia" w:hAnsiTheme="minorHAnsi" w:cstheme="minorBidi"/>
          <w:sz w:val="22"/>
          <w:szCs w:val="22"/>
        </w:rPr>
      </w:pPr>
      <w:hyperlink w:anchor="_Toc112857448" w:history="1">
        <w:r w:rsidRPr="00DD5DD9">
          <w:rPr>
            <w:rStyle w:val="Hyperlink"/>
            <w:rFonts w:eastAsia="Calibri"/>
            <w:lang w:eastAsia="en-US"/>
          </w:rPr>
          <w:t>Views of stakeholders</w:t>
        </w:r>
        <w:r>
          <w:rPr>
            <w:webHidden/>
          </w:rPr>
          <w:tab/>
        </w:r>
        <w:r>
          <w:rPr>
            <w:webHidden/>
          </w:rPr>
          <w:fldChar w:fldCharType="begin"/>
        </w:r>
        <w:r>
          <w:rPr>
            <w:webHidden/>
          </w:rPr>
          <w:instrText xml:space="preserve"> PAGEREF _Toc112857448 \h </w:instrText>
        </w:r>
        <w:r>
          <w:rPr>
            <w:webHidden/>
          </w:rPr>
        </w:r>
        <w:r>
          <w:rPr>
            <w:webHidden/>
          </w:rPr>
          <w:fldChar w:fldCharType="separate"/>
        </w:r>
        <w:r>
          <w:rPr>
            <w:webHidden/>
          </w:rPr>
          <w:t>88</w:t>
        </w:r>
        <w:r>
          <w:rPr>
            <w:webHidden/>
          </w:rPr>
          <w:fldChar w:fldCharType="end"/>
        </w:r>
      </w:hyperlink>
    </w:p>
    <w:p w14:paraId="4B8BD389" w14:textId="0363FE2F" w:rsidR="0066653A" w:rsidRDefault="0066653A">
      <w:pPr>
        <w:pStyle w:val="TOC1"/>
        <w:rPr>
          <w:rFonts w:asciiTheme="minorHAnsi" w:eastAsiaTheme="minorEastAsia" w:hAnsiTheme="minorHAnsi" w:cstheme="minorBidi"/>
          <w:b w:val="0"/>
          <w:sz w:val="22"/>
          <w:szCs w:val="22"/>
        </w:rPr>
      </w:pPr>
      <w:hyperlink w:anchor="_Toc112857449" w:history="1">
        <w:r w:rsidRPr="00DD5DD9">
          <w:rPr>
            <w:rStyle w:val="Hyperlink"/>
            <w:rFonts w:eastAsia="Calibri"/>
            <w:lang w:eastAsia="en-US"/>
          </w:rPr>
          <w:t xml:space="preserve">CHAPTER 10 </w:t>
        </w:r>
        <w:r>
          <w:rPr>
            <w:rStyle w:val="Hyperlink"/>
            <w:rFonts w:eastAsia="Calibri"/>
            <w:lang w:eastAsia="en-US"/>
          </w:rPr>
          <w:tab/>
        </w:r>
        <w:r w:rsidRPr="00DD5DD9">
          <w:rPr>
            <w:rStyle w:val="Hyperlink"/>
            <w:rFonts w:eastAsia="Calibri"/>
            <w:lang w:eastAsia="en-US"/>
          </w:rPr>
          <w:t>Allowance for corporate equity</w:t>
        </w:r>
        <w:r>
          <w:rPr>
            <w:webHidden/>
          </w:rPr>
          <w:tab/>
        </w:r>
        <w:r>
          <w:rPr>
            <w:webHidden/>
          </w:rPr>
          <w:fldChar w:fldCharType="begin"/>
        </w:r>
        <w:r>
          <w:rPr>
            <w:webHidden/>
          </w:rPr>
          <w:instrText xml:space="preserve"> PAGEREF _Toc112857449 \h </w:instrText>
        </w:r>
        <w:r>
          <w:rPr>
            <w:webHidden/>
          </w:rPr>
        </w:r>
        <w:r>
          <w:rPr>
            <w:webHidden/>
          </w:rPr>
          <w:fldChar w:fldCharType="separate"/>
        </w:r>
        <w:r>
          <w:rPr>
            <w:webHidden/>
          </w:rPr>
          <w:t>89</w:t>
        </w:r>
        <w:r>
          <w:rPr>
            <w:webHidden/>
          </w:rPr>
          <w:fldChar w:fldCharType="end"/>
        </w:r>
      </w:hyperlink>
    </w:p>
    <w:p w14:paraId="4E3F0A68" w14:textId="5CACF538" w:rsidR="0066653A" w:rsidRDefault="0066653A">
      <w:pPr>
        <w:pStyle w:val="TOC2"/>
        <w:rPr>
          <w:rFonts w:asciiTheme="minorHAnsi" w:eastAsiaTheme="minorEastAsia" w:hAnsiTheme="minorHAnsi" w:cstheme="minorBidi"/>
          <w:sz w:val="22"/>
          <w:szCs w:val="22"/>
        </w:rPr>
      </w:pPr>
      <w:hyperlink w:anchor="_Toc112857450" w:history="1">
        <w:r w:rsidRPr="00DD5DD9">
          <w:rPr>
            <w:rStyle w:val="Hyperlink"/>
            <w:rFonts w:eastAsia="Calibri"/>
            <w:lang w:eastAsia="en-US"/>
          </w:rPr>
          <w:t>Introduction</w:t>
        </w:r>
        <w:r>
          <w:rPr>
            <w:webHidden/>
          </w:rPr>
          <w:tab/>
        </w:r>
        <w:r>
          <w:rPr>
            <w:webHidden/>
          </w:rPr>
          <w:fldChar w:fldCharType="begin"/>
        </w:r>
        <w:r>
          <w:rPr>
            <w:webHidden/>
          </w:rPr>
          <w:instrText xml:space="preserve"> PAGEREF _Toc112857450 \h </w:instrText>
        </w:r>
        <w:r>
          <w:rPr>
            <w:webHidden/>
          </w:rPr>
        </w:r>
        <w:r>
          <w:rPr>
            <w:webHidden/>
          </w:rPr>
          <w:fldChar w:fldCharType="separate"/>
        </w:r>
        <w:r>
          <w:rPr>
            <w:webHidden/>
          </w:rPr>
          <w:t>89</w:t>
        </w:r>
        <w:r>
          <w:rPr>
            <w:webHidden/>
          </w:rPr>
          <w:fldChar w:fldCharType="end"/>
        </w:r>
      </w:hyperlink>
    </w:p>
    <w:p w14:paraId="637F173D" w14:textId="04826022" w:rsidR="0066653A" w:rsidRDefault="0066653A">
      <w:pPr>
        <w:pStyle w:val="TOC2"/>
        <w:rPr>
          <w:rFonts w:asciiTheme="minorHAnsi" w:eastAsiaTheme="minorEastAsia" w:hAnsiTheme="minorHAnsi" w:cstheme="minorBidi"/>
          <w:sz w:val="22"/>
          <w:szCs w:val="22"/>
        </w:rPr>
      </w:pPr>
      <w:hyperlink w:anchor="_Toc112857451" w:history="1">
        <w:r w:rsidRPr="00DD5DD9">
          <w:rPr>
            <w:rStyle w:val="Hyperlink"/>
            <w:rFonts w:eastAsia="Calibri"/>
            <w:lang w:eastAsia="en-US"/>
          </w:rPr>
          <w:t>Policy objectives</w:t>
        </w:r>
        <w:r>
          <w:rPr>
            <w:webHidden/>
          </w:rPr>
          <w:tab/>
        </w:r>
        <w:r>
          <w:rPr>
            <w:webHidden/>
          </w:rPr>
          <w:fldChar w:fldCharType="begin"/>
        </w:r>
        <w:r>
          <w:rPr>
            <w:webHidden/>
          </w:rPr>
          <w:instrText xml:space="preserve"> PAGEREF _Toc112857451 \h </w:instrText>
        </w:r>
        <w:r>
          <w:rPr>
            <w:webHidden/>
          </w:rPr>
        </w:r>
        <w:r>
          <w:rPr>
            <w:webHidden/>
          </w:rPr>
          <w:fldChar w:fldCharType="separate"/>
        </w:r>
        <w:r>
          <w:rPr>
            <w:webHidden/>
          </w:rPr>
          <w:t>90</w:t>
        </w:r>
        <w:r>
          <w:rPr>
            <w:webHidden/>
          </w:rPr>
          <w:fldChar w:fldCharType="end"/>
        </w:r>
      </w:hyperlink>
    </w:p>
    <w:p w14:paraId="1DAB68BD" w14:textId="2E2E53C3" w:rsidR="0066653A" w:rsidRDefault="0066653A">
      <w:pPr>
        <w:pStyle w:val="TOC2"/>
        <w:rPr>
          <w:rFonts w:asciiTheme="minorHAnsi" w:eastAsiaTheme="minorEastAsia" w:hAnsiTheme="minorHAnsi" w:cstheme="minorBidi"/>
          <w:sz w:val="22"/>
          <w:szCs w:val="22"/>
        </w:rPr>
      </w:pPr>
      <w:hyperlink w:anchor="_Toc112857452" w:history="1">
        <w:r w:rsidRPr="00DD5DD9">
          <w:rPr>
            <w:rStyle w:val="Hyperlink"/>
            <w:rFonts w:eastAsia="Calibri"/>
            <w:lang w:eastAsia="en-US"/>
          </w:rPr>
          <w:t>Design issues</w:t>
        </w:r>
        <w:r>
          <w:rPr>
            <w:webHidden/>
          </w:rPr>
          <w:tab/>
        </w:r>
        <w:r>
          <w:rPr>
            <w:webHidden/>
          </w:rPr>
          <w:fldChar w:fldCharType="begin"/>
        </w:r>
        <w:r>
          <w:rPr>
            <w:webHidden/>
          </w:rPr>
          <w:instrText xml:space="preserve"> PAGEREF _Toc112857452 \h </w:instrText>
        </w:r>
        <w:r>
          <w:rPr>
            <w:webHidden/>
          </w:rPr>
        </w:r>
        <w:r>
          <w:rPr>
            <w:webHidden/>
          </w:rPr>
          <w:fldChar w:fldCharType="separate"/>
        </w:r>
        <w:r>
          <w:rPr>
            <w:webHidden/>
          </w:rPr>
          <w:t>91</w:t>
        </w:r>
        <w:r>
          <w:rPr>
            <w:webHidden/>
          </w:rPr>
          <w:fldChar w:fldCharType="end"/>
        </w:r>
      </w:hyperlink>
    </w:p>
    <w:p w14:paraId="53DDCB83" w14:textId="181A5A4F" w:rsidR="0066653A" w:rsidRDefault="0066653A">
      <w:pPr>
        <w:pStyle w:val="TOC2"/>
        <w:rPr>
          <w:rFonts w:asciiTheme="minorHAnsi" w:eastAsiaTheme="minorEastAsia" w:hAnsiTheme="minorHAnsi" w:cstheme="minorBidi"/>
          <w:sz w:val="22"/>
          <w:szCs w:val="22"/>
        </w:rPr>
      </w:pPr>
      <w:hyperlink w:anchor="_Toc112857453" w:history="1">
        <w:r w:rsidRPr="00DD5DD9">
          <w:rPr>
            <w:rStyle w:val="Hyperlink"/>
            <w:rFonts w:eastAsia="Calibri"/>
            <w:lang w:eastAsia="en-US"/>
          </w:rPr>
          <w:t>The cash flow tax alternative</w:t>
        </w:r>
        <w:r>
          <w:rPr>
            <w:webHidden/>
          </w:rPr>
          <w:tab/>
        </w:r>
        <w:r>
          <w:rPr>
            <w:webHidden/>
          </w:rPr>
          <w:fldChar w:fldCharType="begin"/>
        </w:r>
        <w:r>
          <w:rPr>
            <w:webHidden/>
          </w:rPr>
          <w:instrText xml:space="preserve"> PAGEREF _Toc112857453 \h </w:instrText>
        </w:r>
        <w:r>
          <w:rPr>
            <w:webHidden/>
          </w:rPr>
        </w:r>
        <w:r>
          <w:rPr>
            <w:webHidden/>
          </w:rPr>
          <w:fldChar w:fldCharType="separate"/>
        </w:r>
        <w:r>
          <w:rPr>
            <w:webHidden/>
          </w:rPr>
          <w:t>94</w:t>
        </w:r>
        <w:r>
          <w:rPr>
            <w:webHidden/>
          </w:rPr>
          <w:fldChar w:fldCharType="end"/>
        </w:r>
      </w:hyperlink>
    </w:p>
    <w:p w14:paraId="7ED54AE9" w14:textId="35E86A08" w:rsidR="0066653A" w:rsidRDefault="0066653A">
      <w:pPr>
        <w:pStyle w:val="TOC2"/>
        <w:rPr>
          <w:rFonts w:asciiTheme="minorHAnsi" w:eastAsiaTheme="minorEastAsia" w:hAnsiTheme="minorHAnsi" w:cstheme="minorBidi"/>
          <w:sz w:val="22"/>
          <w:szCs w:val="22"/>
        </w:rPr>
      </w:pPr>
      <w:hyperlink w:anchor="_Toc112857454" w:history="1">
        <w:r w:rsidRPr="00DD5DD9">
          <w:rPr>
            <w:rStyle w:val="Hyperlink"/>
            <w:rFonts w:eastAsia="Calibri"/>
            <w:lang w:eastAsia="en-US"/>
          </w:rPr>
          <w:t>Views of stakeholders</w:t>
        </w:r>
        <w:r>
          <w:rPr>
            <w:webHidden/>
          </w:rPr>
          <w:tab/>
        </w:r>
        <w:r>
          <w:rPr>
            <w:webHidden/>
          </w:rPr>
          <w:fldChar w:fldCharType="begin"/>
        </w:r>
        <w:r>
          <w:rPr>
            <w:webHidden/>
          </w:rPr>
          <w:instrText xml:space="preserve"> PAGEREF _Toc112857454 \h </w:instrText>
        </w:r>
        <w:r>
          <w:rPr>
            <w:webHidden/>
          </w:rPr>
        </w:r>
        <w:r>
          <w:rPr>
            <w:webHidden/>
          </w:rPr>
          <w:fldChar w:fldCharType="separate"/>
        </w:r>
        <w:r>
          <w:rPr>
            <w:webHidden/>
          </w:rPr>
          <w:t>95</w:t>
        </w:r>
        <w:r>
          <w:rPr>
            <w:webHidden/>
          </w:rPr>
          <w:fldChar w:fldCharType="end"/>
        </w:r>
      </w:hyperlink>
    </w:p>
    <w:p w14:paraId="57A7C32E" w14:textId="4A6AEF1D" w:rsidR="0066653A" w:rsidRDefault="0066653A">
      <w:pPr>
        <w:pStyle w:val="TOC1"/>
        <w:rPr>
          <w:rFonts w:asciiTheme="minorHAnsi" w:eastAsiaTheme="minorEastAsia" w:hAnsiTheme="minorHAnsi" w:cstheme="minorBidi"/>
          <w:b w:val="0"/>
          <w:sz w:val="22"/>
          <w:szCs w:val="22"/>
        </w:rPr>
      </w:pPr>
      <w:hyperlink w:anchor="_Toc112857455" w:history="1">
        <w:r w:rsidRPr="00DD5DD9">
          <w:rPr>
            <w:rStyle w:val="Hyperlink"/>
            <w:rFonts w:eastAsia="Calibri"/>
            <w:lang w:eastAsia="en-US"/>
          </w:rPr>
          <w:t xml:space="preserve">CHAPTER 11 </w:t>
        </w:r>
        <w:r>
          <w:rPr>
            <w:rStyle w:val="Hyperlink"/>
            <w:rFonts w:eastAsia="Calibri"/>
            <w:lang w:eastAsia="en-US"/>
          </w:rPr>
          <w:tab/>
        </w:r>
        <w:r w:rsidRPr="00DD5DD9">
          <w:rPr>
            <w:rStyle w:val="Hyperlink"/>
            <w:rFonts w:eastAsia="Calibri"/>
            <w:lang w:eastAsia="en-US"/>
          </w:rPr>
          <w:t>Incentives for specific businesses or industries</w:t>
        </w:r>
        <w:r>
          <w:rPr>
            <w:webHidden/>
          </w:rPr>
          <w:tab/>
        </w:r>
        <w:r>
          <w:rPr>
            <w:webHidden/>
          </w:rPr>
          <w:fldChar w:fldCharType="begin"/>
        </w:r>
        <w:r>
          <w:rPr>
            <w:webHidden/>
          </w:rPr>
          <w:instrText xml:space="preserve"> PAGEREF _Toc112857455 \h </w:instrText>
        </w:r>
        <w:r>
          <w:rPr>
            <w:webHidden/>
          </w:rPr>
        </w:r>
        <w:r>
          <w:rPr>
            <w:webHidden/>
          </w:rPr>
          <w:fldChar w:fldCharType="separate"/>
        </w:r>
        <w:r>
          <w:rPr>
            <w:webHidden/>
          </w:rPr>
          <w:t>96</w:t>
        </w:r>
        <w:r>
          <w:rPr>
            <w:webHidden/>
          </w:rPr>
          <w:fldChar w:fldCharType="end"/>
        </w:r>
      </w:hyperlink>
    </w:p>
    <w:p w14:paraId="59F7A356" w14:textId="7BD32030" w:rsidR="0066653A" w:rsidRDefault="0066653A">
      <w:pPr>
        <w:pStyle w:val="TOC2"/>
        <w:rPr>
          <w:rFonts w:asciiTheme="minorHAnsi" w:eastAsiaTheme="minorEastAsia" w:hAnsiTheme="minorHAnsi" w:cstheme="minorBidi"/>
          <w:sz w:val="22"/>
          <w:szCs w:val="22"/>
        </w:rPr>
      </w:pPr>
      <w:hyperlink w:anchor="_Toc112857456" w:history="1">
        <w:r w:rsidRPr="00DD5DD9">
          <w:rPr>
            <w:rStyle w:val="Hyperlink"/>
            <w:rFonts w:eastAsia="Calibri"/>
            <w:lang w:eastAsia="en-US"/>
          </w:rPr>
          <w:t>Introduction</w:t>
        </w:r>
        <w:r>
          <w:rPr>
            <w:webHidden/>
          </w:rPr>
          <w:tab/>
        </w:r>
        <w:r>
          <w:rPr>
            <w:webHidden/>
          </w:rPr>
          <w:fldChar w:fldCharType="begin"/>
        </w:r>
        <w:r>
          <w:rPr>
            <w:webHidden/>
          </w:rPr>
          <w:instrText xml:space="preserve"> PAGEREF _Toc112857456 \h </w:instrText>
        </w:r>
        <w:r>
          <w:rPr>
            <w:webHidden/>
          </w:rPr>
        </w:r>
        <w:r>
          <w:rPr>
            <w:webHidden/>
          </w:rPr>
          <w:fldChar w:fldCharType="separate"/>
        </w:r>
        <w:r>
          <w:rPr>
            <w:webHidden/>
          </w:rPr>
          <w:t>96</w:t>
        </w:r>
        <w:r>
          <w:rPr>
            <w:webHidden/>
          </w:rPr>
          <w:fldChar w:fldCharType="end"/>
        </w:r>
      </w:hyperlink>
    </w:p>
    <w:p w14:paraId="0C41FC1A" w14:textId="498021E7" w:rsidR="0066653A" w:rsidRDefault="0066653A">
      <w:pPr>
        <w:pStyle w:val="TOC2"/>
        <w:rPr>
          <w:rFonts w:asciiTheme="minorHAnsi" w:eastAsiaTheme="minorEastAsia" w:hAnsiTheme="minorHAnsi" w:cstheme="minorBidi"/>
          <w:sz w:val="22"/>
          <w:szCs w:val="22"/>
        </w:rPr>
      </w:pPr>
      <w:hyperlink w:anchor="_Toc112857457" w:history="1">
        <w:r w:rsidRPr="00DD5DD9">
          <w:rPr>
            <w:rStyle w:val="Hyperlink"/>
            <w:rFonts w:eastAsia="Calibri"/>
            <w:lang w:eastAsia="en-US"/>
          </w:rPr>
          <w:t>Pros</w:t>
        </w:r>
        <w:r>
          <w:rPr>
            <w:webHidden/>
          </w:rPr>
          <w:tab/>
        </w:r>
        <w:r>
          <w:rPr>
            <w:webHidden/>
          </w:rPr>
          <w:fldChar w:fldCharType="begin"/>
        </w:r>
        <w:r>
          <w:rPr>
            <w:webHidden/>
          </w:rPr>
          <w:instrText xml:space="preserve"> PAGEREF _Toc112857457 \h </w:instrText>
        </w:r>
        <w:r>
          <w:rPr>
            <w:webHidden/>
          </w:rPr>
        </w:r>
        <w:r>
          <w:rPr>
            <w:webHidden/>
          </w:rPr>
          <w:fldChar w:fldCharType="separate"/>
        </w:r>
        <w:r>
          <w:rPr>
            <w:webHidden/>
          </w:rPr>
          <w:t>97</w:t>
        </w:r>
        <w:r>
          <w:rPr>
            <w:webHidden/>
          </w:rPr>
          <w:fldChar w:fldCharType="end"/>
        </w:r>
      </w:hyperlink>
    </w:p>
    <w:p w14:paraId="5A712D76" w14:textId="1359472E" w:rsidR="0066653A" w:rsidRDefault="0066653A">
      <w:pPr>
        <w:pStyle w:val="TOC2"/>
        <w:rPr>
          <w:rFonts w:asciiTheme="minorHAnsi" w:eastAsiaTheme="minorEastAsia" w:hAnsiTheme="minorHAnsi" w:cstheme="minorBidi"/>
          <w:sz w:val="22"/>
          <w:szCs w:val="22"/>
        </w:rPr>
      </w:pPr>
      <w:hyperlink w:anchor="_Toc112857458" w:history="1">
        <w:r w:rsidRPr="00DD5DD9">
          <w:rPr>
            <w:rStyle w:val="Hyperlink"/>
            <w:rFonts w:eastAsia="Calibri"/>
            <w:lang w:eastAsia="en-US"/>
          </w:rPr>
          <w:t>Cons</w:t>
        </w:r>
        <w:r>
          <w:rPr>
            <w:webHidden/>
          </w:rPr>
          <w:tab/>
        </w:r>
        <w:r>
          <w:rPr>
            <w:webHidden/>
          </w:rPr>
          <w:fldChar w:fldCharType="begin"/>
        </w:r>
        <w:r>
          <w:rPr>
            <w:webHidden/>
          </w:rPr>
          <w:instrText xml:space="preserve"> PAGEREF _Toc112857458 \h </w:instrText>
        </w:r>
        <w:r>
          <w:rPr>
            <w:webHidden/>
          </w:rPr>
        </w:r>
        <w:r>
          <w:rPr>
            <w:webHidden/>
          </w:rPr>
          <w:fldChar w:fldCharType="separate"/>
        </w:r>
        <w:r>
          <w:rPr>
            <w:webHidden/>
          </w:rPr>
          <w:t>97</w:t>
        </w:r>
        <w:r>
          <w:rPr>
            <w:webHidden/>
          </w:rPr>
          <w:fldChar w:fldCharType="end"/>
        </w:r>
      </w:hyperlink>
    </w:p>
    <w:p w14:paraId="42E9F4AA" w14:textId="0F82FBDD" w:rsidR="0066653A" w:rsidRDefault="0066653A">
      <w:pPr>
        <w:pStyle w:val="TOC2"/>
        <w:rPr>
          <w:rFonts w:asciiTheme="minorHAnsi" w:eastAsiaTheme="minorEastAsia" w:hAnsiTheme="minorHAnsi" w:cstheme="minorBidi"/>
          <w:sz w:val="22"/>
          <w:szCs w:val="22"/>
        </w:rPr>
      </w:pPr>
      <w:hyperlink w:anchor="_Toc112857459" w:history="1">
        <w:r w:rsidRPr="00DD5DD9">
          <w:rPr>
            <w:rStyle w:val="Hyperlink"/>
            <w:rFonts w:eastAsia="Calibri"/>
            <w:lang w:eastAsia="en-US"/>
          </w:rPr>
          <w:t>International experience</w:t>
        </w:r>
        <w:r>
          <w:rPr>
            <w:webHidden/>
          </w:rPr>
          <w:tab/>
        </w:r>
        <w:r>
          <w:rPr>
            <w:webHidden/>
          </w:rPr>
          <w:fldChar w:fldCharType="begin"/>
        </w:r>
        <w:r>
          <w:rPr>
            <w:webHidden/>
          </w:rPr>
          <w:instrText xml:space="preserve"> PAGEREF _Toc112857459 \h </w:instrText>
        </w:r>
        <w:r>
          <w:rPr>
            <w:webHidden/>
          </w:rPr>
        </w:r>
        <w:r>
          <w:rPr>
            <w:webHidden/>
          </w:rPr>
          <w:fldChar w:fldCharType="separate"/>
        </w:r>
        <w:r>
          <w:rPr>
            <w:webHidden/>
          </w:rPr>
          <w:t>99</w:t>
        </w:r>
        <w:r>
          <w:rPr>
            <w:webHidden/>
          </w:rPr>
          <w:fldChar w:fldCharType="end"/>
        </w:r>
      </w:hyperlink>
    </w:p>
    <w:p w14:paraId="245BEDB5" w14:textId="26B96C24" w:rsidR="0066653A" w:rsidRDefault="0066653A">
      <w:pPr>
        <w:pStyle w:val="TOC2"/>
        <w:rPr>
          <w:rFonts w:asciiTheme="minorHAnsi" w:eastAsiaTheme="minorEastAsia" w:hAnsiTheme="minorHAnsi" w:cstheme="minorBidi"/>
          <w:sz w:val="22"/>
          <w:szCs w:val="22"/>
        </w:rPr>
      </w:pPr>
      <w:hyperlink w:anchor="_Toc112857460" w:history="1">
        <w:r w:rsidRPr="00DD5DD9">
          <w:rPr>
            <w:rStyle w:val="Hyperlink"/>
            <w:rFonts w:eastAsia="Calibri"/>
            <w:lang w:eastAsia="en-US"/>
          </w:rPr>
          <w:t>Views of stakeholders</w:t>
        </w:r>
        <w:r>
          <w:rPr>
            <w:webHidden/>
          </w:rPr>
          <w:tab/>
        </w:r>
        <w:r>
          <w:rPr>
            <w:webHidden/>
          </w:rPr>
          <w:fldChar w:fldCharType="begin"/>
        </w:r>
        <w:r>
          <w:rPr>
            <w:webHidden/>
          </w:rPr>
          <w:instrText xml:space="preserve"> PAGEREF _Toc112857460 \h </w:instrText>
        </w:r>
        <w:r>
          <w:rPr>
            <w:webHidden/>
          </w:rPr>
        </w:r>
        <w:r>
          <w:rPr>
            <w:webHidden/>
          </w:rPr>
          <w:fldChar w:fldCharType="separate"/>
        </w:r>
        <w:r>
          <w:rPr>
            <w:webHidden/>
          </w:rPr>
          <w:t>100</w:t>
        </w:r>
        <w:r>
          <w:rPr>
            <w:webHidden/>
          </w:rPr>
          <w:fldChar w:fldCharType="end"/>
        </w:r>
      </w:hyperlink>
    </w:p>
    <w:p w14:paraId="75BB0B52" w14:textId="74BB2442" w:rsidR="0066653A" w:rsidRDefault="0066653A">
      <w:pPr>
        <w:pStyle w:val="TOC1"/>
        <w:rPr>
          <w:rFonts w:asciiTheme="minorHAnsi" w:eastAsiaTheme="minorEastAsia" w:hAnsiTheme="minorHAnsi" w:cstheme="minorBidi"/>
          <w:b w:val="0"/>
          <w:sz w:val="22"/>
          <w:szCs w:val="22"/>
        </w:rPr>
      </w:pPr>
      <w:hyperlink w:anchor="_Toc112857461" w:history="1">
        <w:r w:rsidRPr="00DD5DD9">
          <w:rPr>
            <w:rStyle w:val="Hyperlink"/>
            <w:rFonts w:eastAsia="Calibri"/>
            <w:lang w:eastAsia="en-US"/>
          </w:rPr>
          <w:t>CHAPTER 12</w:t>
        </w:r>
        <w:r>
          <w:rPr>
            <w:rStyle w:val="Hyperlink"/>
            <w:rFonts w:eastAsia="Calibri"/>
            <w:lang w:eastAsia="en-US"/>
          </w:rPr>
          <w:tab/>
        </w:r>
        <w:r w:rsidRPr="00DD5DD9">
          <w:rPr>
            <w:rStyle w:val="Hyperlink"/>
            <w:rFonts w:eastAsia="Calibri"/>
            <w:lang w:eastAsia="en-US"/>
          </w:rPr>
          <w:t xml:space="preserve"> Dual income tax system</w:t>
        </w:r>
        <w:r>
          <w:rPr>
            <w:webHidden/>
          </w:rPr>
          <w:tab/>
        </w:r>
        <w:r>
          <w:rPr>
            <w:webHidden/>
          </w:rPr>
          <w:fldChar w:fldCharType="begin"/>
        </w:r>
        <w:r>
          <w:rPr>
            <w:webHidden/>
          </w:rPr>
          <w:instrText xml:space="preserve"> PAGEREF _Toc112857461 \h </w:instrText>
        </w:r>
        <w:r>
          <w:rPr>
            <w:webHidden/>
          </w:rPr>
        </w:r>
        <w:r>
          <w:rPr>
            <w:webHidden/>
          </w:rPr>
          <w:fldChar w:fldCharType="separate"/>
        </w:r>
        <w:r>
          <w:rPr>
            <w:webHidden/>
          </w:rPr>
          <w:t>101</w:t>
        </w:r>
        <w:r>
          <w:rPr>
            <w:webHidden/>
          </w:rPr>
          <w:fldChar w:fldCharType="end"/>
        </w:r>
      </w:hyperlink>
    </w:p>
    <w:p w14:paraId="23AE4F70" w14:textId="7CB95B82" w:rsidR="0066653A" w:rsidRDefault="0066653A">
      <w:pPr>
        <w:pStyle w:val="TOC2"/>
        <w:rPr>
          <w:rFonts w:asciiTheme="minorHAnsi" w:eastAsiaTheme="minorEastAsia" w:hAnsiTheme="minorHAnsi" w:cstheme="minorBidi"/>
          <w:sz w:val="22"/>
          <w:szCs w:val="22"/>
        </w:rPr>
      </w:pPr>
      <w:hyperlink w:anchor="_Toc112857462" w:history="1">
        <w:r w:rsidRPr="00DD5DD9">
          <w:rPr>
            <w:rStyle w:val="Hyperlink"/>
            <w:rFonts w:eastAsia="Calibri"/>
            <w:lang w:eastAsia="en-US"/>
          </w:rPr>
          <w:t>Introduction</w:t>
        </w:r>
        <w:r>
          <w:rPr>
            <w:webHidden/>
          </w:rPr>
          <w:tab/>
        </w:r>
        <w:r>
          <w:rPr>
            <w:webHidden/>
          </w:rPr>
          <w:fldChar w:fldCharType="begin"/>
        </w:r>
        <w:r>
          <w:rPr>
            <w:webHidden/>
          </w:rPr>
          <w:instrText xml:space="preserve"> PAGEREF _Toc112857462 \h </w:instrText>
        </w:r>
        <w:r>
          <w:rPr>
            <w:webHidden/>
          </w:rPr>
        </w:r>
        <w:r>
          <w:rPr>
            <w:webHidden/>
          </w:rPr>
          <w:fldChar w:fldCharType="separate"/>
        </w:r>
        <w:r>
          <w:rPr>
            <w:webHidden/>
          </w:rPr>
          <w:t>101</w:t>
        </w:r>
        <w:r>
          <w:rPr>
            <w:webHidden/>
          </w:rPr>
          <w:fldChar w:fldCharType="end"/>
        </w:r>
      </w:hyperlink>
    </w:p>
    <w:p w14:paraId="712A3EE5" w14:textId="17ADC7F6" w:rsidR="0066653A" w:rsidRDefault="0066653A">
      <w:pPr>
        <w:pStyle w:val="TOC2"/>
        <w:rPr>
          <w:rFonts w:asciiTheme="minorHAnsi" w:eastAsiaTheme="minorEastAsia" w:hAnsiTheme="minorHAnsi" w:cstheme="minorBidi"/>
          <w:sz w:val="22"/>
          <w:szCs w:val="22"/>
        </w:rPr>
      </w:pPr>
      <w:hyperlink w:anchor="_Toc112857463" w:history="1">
        <w:r w:rsidRPr="00DD5DD9">
          <w:rPr>
            <w:rStyle w:val="Hyperlink"/>
            <w:rFonts w:eastAsia="Calibri"/>
            <w:lang w:eastAsia="en-US"/>
          </w:rPr>
          <w:t>Pros and cons</w:t>
        </w:r>
        <w:r>
          <w:rPr>
            <w:webHidden/>
          </w:rPr>
          <w:tab/>
        </w:r>
        <w:r>
          <w:rPr>
            <w:webHidden/>
          </w:rPr>
          <w:fldChar w:fldCharType="begin"/>
        </w:r>
        <w:r>
          <w:rPr>
            <w:webHidden/>
          </w:rPr>
          <w:instrText xml:space="preserve"> PAGEREF _Toc112857463 \h </w:instrText>
        </w:r>
        <w:r>
          <w:rPr>
            <w:webHidden/>
          </w:rPr>
        </w:r>
        <w:r>
          <w:rPr>
            <w:webHidden/>
          </w:rPr>
          <w:fldChar w:fldCharType="separate"/>
        </w:r>
        <w:r>
          <w:rPr>
            <w:webHidden/>
          </w:rPr>
          <w:t>105</w:t>
        </w:r>
        <w:r>
          <w:rPr>
            <w:webHidden/>
          </w:rPr>
          <w:fldChar w:fldCharType="end"/>
        </w:r>
      </w:hyperlink>
    </w:p>
    <w:p w14:paraId="7CBBD4C5" w14:textId="7A361150" w:rsidR="0066653A" w:rsidRDefault="0066653A">
      <w:pPr>
        <w:pStyle w:val="TOC2"/>
        <w:rPr>
          <w:rFonts w:asciiTheme="minorHAnsi" w:eastAsiaTheme="minorEastAsia" w:hAnsiTheme="minorHAnsi" w:cstheme="minorBidi"/>
          <w:sz w:val="22"/>
          <w:szCs w:val="22"/>
        </w:rPr>
      </w:pPr>
      <w:hyperlink w:anchor="_Toc112857464" w:history="1">
        <w:r w:rsidRPr="00DD5DD9">
          <w:rPr>
            <w:rStyle w:val="Hyperlink"/>
            <w:rFonts w:eastAsia="Calibri"/>
            <w:lang w:eastAsia="en-US"/>
          </w:rPr>
          <w:t>Views of stakeholders</w:t>
        </w:r>
        <w:r>
          <w:rPr>
            <w:webHidden/>
          </w:rPr>
          <w:tab/>
        </w:r>
        <w:r>
          <w:rPr>
            <w:webHidden/>
          </w:rPr>
          <w:fldChar w:fldCharType="begin"/>
        </w:r>
        <w:r>
          <w:rPr>
            <w:webHidden/>
          </w:rPr>
          <w:instrText xml:space="preserve"> PAGEREF _Toc112857464 \h </w:instrText>
        </w:r>
        <w:r>
          <w:rPr>
            <w:webHidden/>
          </w:rPr>
        </w:r>
        <w:r>
          <w:rPr>
            <w:webHidden/>
          </w:rPr>
          <w:fldChar w:fldCharType="separate"/>
        </w:r>
        <w:r>
          <w:rPr>
            <w:webHidden/>
          </w:rPr>
          <w:t>108</w:t>
        </w:r>
        <w:r>
          <w:rPr>
            <w:webHidden/>
          </w:rPr>
          <w:fldChar w:fldCharType="end"/>
        </w:r>
      </w:hyperlink>
    </w:p>
    <w:p w14:paraId="4CDE73E4" w14:textId="11012A29" w:rsidR="0066653A" w:rsidRDefault="0066653A">
      <w:pPr>
        <w:pStyle w:val="TOC1"/>
        <w:rPr>
          <w:rFonts w:asciiTheme="minorHAnsi" w:eastAsiaTheme="minorEastAsia" w:hAnsiTheme="minorHAnsi" w:cstheme="minorBidi"/>
          <w:b w:val="0"/>
          <w:sz w:val="22"/>
          <w:szCs w:val="22"/>
        </w:rPr>
      </w:pPr>
      <w:hyperlink w:anchor="_Toc112857465" w:history="1">
        <w:r w:rsidRPr="00DD5DD9">
          <w:rPr>
            <w:rStyle w:val="Hyperlink"/>
          </w:rPr>
          <w:t>REFERENCES</w:t>
        </w:r>
        <w:r>
          <w:rPr>
            <w:webHidden/>
          </w:rPr>
          <w:tab/>
        </w:r>
        <w:r>
          <w:rPr>
            <w:webHidden/>
          </w:rPr>
          <w:tab/>
        </w:r>
        <w:r>
          <w:rPr>
            <w:webHidden/>
          </w:rPr>
          <w:fldChar w:fldCharType="begin"/>
        </w:r>
        <w:r>
          <w:rPr>
            <w:webHidden/>
          </w:rPr>
          <w:instrText xml:space="preserve"> PAGEREF _Toc112857465 \h </w:instrText>
        </w:r>
        <w:r>
          <w:rPr>
            <w:webHidden/>
          </w:rPr>
        </w:r>
        <w:r>
          <w:rPr>
            <w:webHidden/>
          </w:rPr>
          <w:fldChar w:fldCharType="separate"/>
        </w:r>
        <w:r>
          <w:rPr>
            <w:webHidden/>
          </w:rPr>
          <w:t>109</w:t>
        </w:r>
        <w:r>
          <w:rPr>
            <w:webHidden/>
          </w:rPr>
          <w:fldChar w:fldCharType="end"/>
        </w:r>
      </w:hyperlink>
    </w:p>
    <w:p w14:paraId="0B1757B2" w14:textId="0D10C214" w:rsidR="002714FB" w:rsidRDefault="001448F7" w:rsidP="002714FB">
      <w:pPr>
        <w:sectPr w:rsidR="002714FB" w:rsidSect="005A0858">
          <w:headerReference w:type="default" r:id="rId11"/>
          <w:headerReference w:type="first" r:id="rId12"/>
          <w:type w:val="oddPage"/>
          <w:pgSz w:w="11906" w:h="16838" w:code="9"/>
          <w:pgMar w:top="1304" w:right="1558" w:bottom="1134" w:left="1559" w:header="720" w:footer="567" w:gutter="0"/>
          <w:cols w:space="720"/>
          <w:titlePg/>
          <w:docGrid w:linePitch="326"/>
        </w:sectPr>
      </w:pPr>
      <w:r>
        <w:fldChar w:fldCharType="end"/>
      </w:r>
    </w:p>
    <w:p w14:paraId="29C94C76" w14:textId="06560400" w:rsidR="00600FCD" w:rsidRPr="00CE7498" w:rsidRDefault="00600FCD" w:rsidP="002714FB">
      <w:pPr>
        <w:pStyle w:val="Heading1-ExecutiveSummary"/>
        <w:pageBreakBefore w:val="0"/>
      </w:pPr>
      <w:bookmarkStart w:id="4" w:name="_Toc14174911"/>
      <w:bookmarkStart w:id="5" w:name="_Toc112857385"/>
      <w:bookmarkEnd w:id="3"/>
      <w:r w:rsidRPr="00CE7498">
        <w:lastRenderedPageBreak/>
        <w:t>E</w:t>
      </w:r>
      <w:r w:rsidR="00721C90">
        <w:t>XECUTIVE SUMMARY</w:t>
      </w:r>
      <w:bookmarkEnd w:id="5"/>
    </w:p>
    <w:p w14:paraId="1A64CA49" w14:textId="0900BE9B" w:rsidR="00600FCD" w:rsidRPr="00600FCD" w:rsidRDefault="00600FCD" w:rsidP="00E75272">
      <w:pPr>
        <w:pStyle w:val="ListParagraph"/>
        <w:numPr>
          <w:ilvl w:val="0"/>
          <w:numId w:val="102"/>
        </w:numPr>
        <w:ind w:left="851" w:hanging="851"/>
      </w:pPr>
      <w:proofErr w:type="gramStart"/>
      <w:r w:rsidRPr="00600FCD">
        <w:t>This long-term insights</w:t>
      </w:r>
      <w:proofErr w:type="gramEnd"/>
      <w:r w:rsidRPr="00600FCD">
        <w:t xml:space="preserve"> briefing (LTIB) examines how New Zealand’s tax settings are likely to affect incentives </w:t>
      </w:r>
      <w:r w:rsidR="00464A08">
        <w:t xml:space="preserve">for firms </w:t>
      </w:r>
      <w:r w:rsidRPr="00600FCD">
        <w:t xml:space="preserve">to invest </w:t>
      </w:r>
      <w:r w:rsidR="003B1DD9">
        <w:t xml:space="preserve">into New Zealand </w:t>
      </w:r>
      <w:r w:rsidRPr="00600FCD">
        <w:t>and benchmarks New Zealand’s tax settings against those in other countries. Inland Revenue consulted on th</w:t>
      </w:r>
      <w:r w:rsidR="00D56CAD">
        <w:t>e</w:t>
      </w:r>
      <w:r w:rsidRPr="00600FCD">
        <w:t xml:space="preserve"> </w:t>
      </w:r>
      <w:r w:rsidR="00EF6764">
        <w:t xml:space="preserve">proposal to base our LTIB on this </w:t>
      </w:r>
      <w:r w:rsidRPr="00600FCD">
        <w:t xml:space="preserve">topic in </w:t>
      </w:r>
      <w:r w:rsidR="000B7839" w:rsidRPr="00600FCD">
        <w:t>August</w:t>
      </w:r>
      <w:r w:rsidR="000B7839">
        <w:t> </w:t>
      </w:r>
      <w:r w:rsidRPr="00600FCD">
        <w:t>2021</w:t>
      </w:r>
      <w:r w:rsidR="00702353">
        <w:t xml:space="preserve">. </w:t>
      </w:r>
      <w:r w:rsidR="0005467B">
        <w:t>S</w:t>
      </w:r>
      <w:r w:rsidRPr="00600FCD">
        <w:t>ubmissions were mainly supportive of the proposal.</w:t>
      </w:r>
      <w:r w:rsidR="003B56D4">
        <w:t xml:space="preserve"> A draft LTIB </w:t>
      </w:r>
      <w:r w:rsidR="00137D5C">
        <w:t xml:space="preserve">and a </w:t>
      </w:r>
      <w:r w:rsidR="008F4D94">
        <w:t>draft</w:t>
      </w:r>
      <w:r w:rsidR="00137D5C">
        <w:t xml:space="preserve"> set of technical appendices </w:t>
      </w:r>
      <w:r w:rsidR="003B56D4">
        <w:t>w</w:t>
      </w:r>
      <w:r w:rsidR="00137D5C">
        <w:t>ere</w:t>
      </w:r>
      <w:r w:rsidR="003B56D4">
        <w:t xml:space="preserve"> issued in February 2022</w:t>
      </w:r>
      <w:r w:rsidR="00C075B7">
        <w:t>. Th</w:t>
      </w:r>
      <w:r w:rsidR="00347A21">
        <w:t>ese</w:t>
      </w:r>
      <w:r w:rsidR="00C075B7">
        <w:t xml:space="preserve"> ha</w:t>
      </w:r>
      <w:r w:rsidR="00347A21">
        <w:t>ve</w:t>
      </w:r>
      <w:r w:rsidR="00C075B7">
        <w:t xml:space="preserve"> been consulted on an</w:t>
      </w:r>
      <w:r w:rsidR="00B504F5">
        <w:t xml:space="preserve">d </w:t>
      </w:r>
      <w:r w:rsidR="00E40CE8">
        <w:t>seven</w:t>
      </w:r>
      <w:r w:rsidR="00143FD8">
        <w:t xml:space="preserve"> </w:t>
      </w:r>
      <w:r w:rsidR="00B504F5">
        <w:t xml:space="preserve">stakeholders provided </w:t>
      </w:r>
      <w:r w:rsidR="00347A21">
        <w:t xml:space="preserve">written </w:t>
      </w:r>
      <w:r w:rsidR="00CB78DF">
        <w:t>submissions</w:t>
      </w:r>
      <w:r w:rsidR="00347A21">
        <w:t>. In addition</w:t>
      </w:r>
      <w:r w:rsidR="00B2524F">
        <w:t>, the documents we</w:t>
      </w:r>
      <w:r w:rsidR="008F4D94">
        <w:t>nt to</w:t>
      </w:r>
      <w:r w:rsidR="00B2524F">
        <w:t xml:space="preserve"> two international experts, Professor Jack </w:t>
      </w:r>
      <w:proofErr w:type="gramStart"/>
      <w:r w:rsidR="00B2524F">
        <w:t>Mintz</w:t>
      </w:r>
      <w:proofErr w:type="gramEnd"/>
      <w:r w:rsidR="000A11C2">
        <w:t xml:space="preserve"> and </w:t>
      </w:r>
      <w:r w:rsidR="00763CDD" w:rsidRPr="00C41552">
        <w:t>Professor</w:t>
      </w:r>
      <w:r w:rsidR="000A11C2" w:rsidRPr="00C41552">
        <w:t xml:space="preserve"> Mic</w:t>
      </w:r>
      <w:r w:rsidR="00F12F8C" w:rsidRPr="00C41552">
        <w:t>hael</w:t>
      </w:r>
      <w:r w:rsidR="000A11C2" w:rsidRPr="00C41552">
        <w:t xml:space="preserve"> Keen</w:t>
      </w:r>
      <w:r w:rsidR="00AF72A4" w:rsidRPr="00090341">
        <w:t>,</w:t>
      </w:r>
      <w:r w:rsidR="000A11C2">
        <w:t xml:space="preserve"> who provided written reviews of the documents. This </w:t>
      </w:r>
      <w:r w:rsidR="00A86A6C">
        <w:t>LTIB and its accompanying technical appendices take account of comments received.</w:t>
      </w:r>
    </w:p>
    <w:p w14:paraId="27B11D26" w14:textId="75591033" w:rsidR="00600FCD" w:rsidRPr="00600FCD" w:rsidRDefault="00600FCD" w:rsidP="00E75272">
      <w:pPr>
        <w:pStyle w:val="ListParagraph"/>
        <w:numPr>
          <w:ilvl w:val="0"/>
          <w:numId w:val="102"/>
        </w:numPr>
        <w:ind w:left="851" w:hanging="851"/>
      </w:pPr>
      <w:r w:rsidRPr="00600FCD">
        <w:t>Compared to other OECD countries</w:t>
      </w:r>
      <w:r w:rsidR="00A14645">
        <w:t>,</w:t>
      </w:r>
      <w:r w:rsidRPr="00600FCD">
        <w:t xml:space="preserve"> New Zealand appears to have relatively high taxes on inbound investment. These taxes are likely to mean higher costs of capital (or hurdle rates of return) for investment into New Zealand than </w:t>
      </w:r>
      <w:r w:rsidR="0027017E">
        <w:t xml:space="preserve">for </w:t>
      </w:r>
      <w:r w:rsidR="0064477D">
        <w:t xml:space="preserve">investment into </w:t>
      </w:r>
      <w:r w:rsidRPr="00600FCD">
        <w:t xml:space="preserve">most other OECD countries. </w:t>
      </w:r>
      <w:r w:rsidR="00BE14AB">
        <w:t>High taxes on inbound investment</w:t>
      </w:r>
      <w:r w:rsidRPr="00600FCD">
        <w:t xml:space="preserve"> ha</w:t>
      </w:r>
      <w:r w:rsidR="00686B57">
        <w:t>ve</w:t>
      </w:r>
      <w:r w:rsidRPr="00600FCD">
        <w:t xml:space="preserve"> the potential to </w:t>
      </w:r>
      <w:r w:rsidR="00A12608">
        <w:t>reduce economic efficiency</w:t>
      </w:r>
      <w:r w:rsidR="00742914">
        <w:t xml:space="preserve"> and be costly to New Zealanders</w:t>
      </w:r>
      <w:r w:rsidR="00A12608">
        <w:t xml:space="preserve"> by </w:t>
      </w:r>
      <w:r w:rsidR="00A008F0">
        <w:t>reducing</w:t>
      </w:r>
      <w:r w:rsidRPr="00600FCD">
        <w:t xml:space="preserve"> New Zealand’s capital stock and labour productivity.</w:t>
      </w:r>
      <w:r w:rsidR="00D10310">
        <w:t xml:space="preserve"> OECD analysis suggests that</w:t>
      </w:r>
      <w:r w:rsidR="00680621">
        <w:t xml:space="preserve"> New Zealand </w:t>
      </w:r>
      <w:r w:rsidR="00A81CDA">
        <w:t>is an outlier with</w:t>
      </w:r>
      <w:r w:rsidR="003D4206">
        <w:t xml:space="preserve"> some of the highest </w:t>
      </w:r>
      <w:r w:rsidR="00535510">
        <w:t xml:space="preserve">costs of capital </w:t>
      </w:r>
      <w:r w:rsidR="003D4206">
        <w:t>in the OECD</w:t>
      </w:r>
      <w:r w:rsidR="0063209B">
        <w:t xml:space="preserve">. The OECD analysis focuses on company tax </w:t>
      </w:r>
      <w:r w:rsidR="00D37060">
        <w:t>provisions only</w:t>
      </w:r>
      <w:r w:rsidR="00A06375">
        <w:t xml:space="preserve"> but</w:t>
      </w:r>
      <w:r w:rsidR="00D37060">
        <w:t xml:space="preserve"> a broader set of taxes that are imposed in some countries, but not in New Zealand, can also increase</w:t>
      </w:r>
      <w:r w:rsidR="00C64CDE">
        <w:t xml:space="preserve"> costs of capital. If </w:t>
      </w:r>
      <w:r w:rsidR="00AE76DD">
        <w:t xml:space="preserve">a broader set of taxes is considered, this can moderate </w:t>
      </w:r>
      <w:r w:rsidR="00A91EFB">
        <w:t xml:space="preserve">conclusions about how much of an outlier New Zealand is likely to be. </w:t>
      </w:r>
      <w:r w:rsidR="00033CF2">
        <w:t xml:space="preserve">However, even if these other taxes are </w:t>
      </w:r>
      <w:proofErr w:type="gramStart"/>
      <w:r w:rsidR="00033CF2">
        <w:t>taken into account</w:t>
      </w:r>
      <w:proofErr w:type="gramEnd"/>
      <w:r w:rsidR="00033CF2">
        <w:t xml:space="preserve">, New Zealand is </w:t>
      </w:r>
      <w:r w:rsidR="004D28DF">
        <w:t>still likely to have high tax rates on inbound investment compared to most other OECD countries.</w:t>
      </w:r>
    </w:p>
    <w:p w14:paraId="50B81159" w14:textId="1386F250" w:rsidR="00600FCD" w:rsidRPr="00600FCD" w:rsidRDefault="00600FCD" w:rsidP="00E75272">
      <w:pPr>
        <w:pStyle w:val="ListParagraph"/>
        <w:numPr>
          <w:ilvl w:val="0"/>
          <w:numId w:val="102"/>
        </w:numPr>
        <w:ind w:left="851" w:hanging="851"/>
      </w:pPr>
      <w:r w:rsidRPr="00600FCD">
        <w:t>Variability in costs of capital across different types of assets or for investment into New Zealand that is financed in different ways</w:t>
      </w:r>
      <w:r w:rsidR="00562010">
        <w:t xml:space="preserve"> or for different types of compan</w:t>
      </w:r>
      <w:r w:rsidR="008501D9">
        <w:t>ies</w:t>
      </w:r>
      <w:r w:rsidRPr="00600FCD">
        <w:t xml:space="preserve"> also has the potential to reduc</w:t>
      </w:r>
      <w:r w:rsidR="00D42C8B">
        <w:t>e</w:t>
      </w:r>
      <w:r w:rsidRPr="00600FCD">
        <w:t xml:space="preserve"> productivity.</w:t>
      </w:r>
    </w:p>
    <w:p w14:paraId="407E554E" w14:textId="3B0AA2B5" w:rsidR="00600FCD" w:rsidRPr="00600FCD" w:rsidRDefault="00600FCD" w:rsidP="00E75272">
      <w:pPr>
        <w:pStyle w:val="ListParagraph"/>
        <w:numPr>
          <w:ilvl w:val="0"/>
          <w:numId w:val="102"/>
        </w:numPr>
        <w:ind w:left="851" w:hanging="851"/>
      </w:pPr>
      <w:r w:rsidRPr="00600FCD">
        <w:t xml:space="preserve">This LTIB aims to help build up an understanding of how taxes on inbound investment can combine to affect incentives to invest in New Zealand. The analysis is underpinned by modelling the costs of capital and effective marginal tax rates when </w:t>
      </w:r>
      <w:proofErr w:type="gramStart"/>
      <w:r w:rsidRPr="00600FCD">
        <w:t>taking into account</w:t>
      </w:r>
      <w:proofErr w:type="gramEnd"/>
      <w:r w:rsidRPr="00600FCD">
        <w:t xml:space="preserve"> the combined effects of company tax rates, depreciation provisions, special tax incentives</w:t>
      </w:r>
      <w:r w:rsidR="004753C4">
        <w:t>,</w:t>
      </w:r>
      <w:r w:rsidRPr="00600FCD">
        <w:t xml:space="preserve"> such as the research and development tax credit, and withholding taxes</w:t>
      </w:r>
      <w:r w:rsidR="003304F0">
        <w:t>. It does so</w:t>
      </w:r>
      <w:r w:rsidRPr="00600FCD">
        <w:t xml:space="preserve"> for investment </w:t>
      </w:r>
      <w:r w:rsidR="003E269B">
        <w:t>that</w:t>
      </w:r>
      <w:r w:rsidRPr="00600FCD">
        <w:t xml:space="preserve"> can be financed using different proportions of debt and equity.</w:t>
      </w:r>
    </w:p>
    <w:p w14:paraId="68C7C1E6" w14:textId="26DD650F" w:rsidR="00600FCD" w:rsidRPr="00600FCD" w:rsidRDefault="00600FCD" w:rsidP="00E75272">
      <w:pPr>
        <w:pStyle w:val="ListParagraph"/>
        <w:numPr>
          <w:ilvl w:val="0"/>
          <w:numId w:val="102"/>
        </w:numPr>
        <w:ind w:left="851" w:hanging="851"/>
      </w:pPr>
      <w:r w:rsidRPr="00600FCD">
        <w:t>The LTIB suggests that</w:t>
      </w:r>
      <w:r w:rsidR="00643D87">
        <w:t>,</w:t>
      </w:r>
      <w:r w:rsidRPr="00600FCD">
        <w:t xml:space="preserve"> despite New Zealand’s broad-based income tax settings, there is likely to be considerable variability in costs of capital. This variability </w:t>
      </w:r>
      <w:r w:rsidR="003304F0">
        <w:t xml:space="preserve">is </w:t>
      </w:r>
      <w:r w:rsidRPr="00600FCD">
        <w:t>increase</w:t>
      </w:r>
      <w:r w:rsidR="003304F0">
        <w:t>d</w:t>
      </w:r>
      <w:r w:rsidRPr="00600FCD">
        <w:t xml:space="preserve"> significantly by quite small levels of inflation</w:t>
      </w:r>
      <w:r w:rsidR="00F95BCE">
        <w:t>,</w:t>
      </w:r>
      <w:r w:rsidRPr="00600FCD">
        <w:t xml:space="preserve"> especially when </w:t>
      </w:r>
      <w:r w:rsidR="008F4D94">
        <w:t xml:space="preserve">real </w:t>
      </w:r>
      <w:r w:rsidRPr="00600FCD">
        <w:t>interest rates are low.</w:t>
      </w:r>
    </w:p>
    <w:p w14:paraId="5266882B" w14:textId="50AE3910" w:rsidR="00600FCD" w:rsidRPr="00600FCD" w:rsidRDefault="00600FCD" w:rsidP="00E75272">
      <w:pPr>
        <w:pStyle w:val="ListParagraph"/>
        <w:numPr>
          <w:ilvl w:val="0"/>
          <w:numId w:val="102"/>
        </w:numPr>
        <w:ind w:left="851" w:hanging="851"/>
      </w:pPr>
      <w:r w:rsidRPr="00600FCD">
        <w:t xml:space="preserve">There are likely to be ongoing questions about whether New Zealand should change its business tax settings in ways </w:t>
      </w:r>
      <w:r w:rsidR="00F95BCE">
        <w:t>that</w:t>
      </w:r>
      <w:r w:rsidRPr="00600FCD">
        <w:t xml:space="preserve"> lower costs of capital and make them more neutral</w:t>
      </w:r>
      <w:r w:rsidR="00702353">
        <w:t xml:space="preserve">. </w:t>
      </w:r>
      <w:r w:rsidRPr="00600FCD">
        <w:t xml:space="preserve">Whether to lower costs of capital is a difficult issue because measures </w:t>
      </w:r>
      <w:r w:rsidR="0030131E">
        <w:t>that</w:t>
      </w:r>
      <w:r w:rsidRPr="00600FCD">
        <w:t xml:space="preserve"> do so will normally have a fiscal cost and may often reduce the progressivity of personal income taxes. They can also</w:t>
      </w:r>
      <w:r w:rsidR="00F6118B">
        <w:t>,</w:t>
      </w:r>
      <w:r w:rsidRPr="00600FCD">
        <w:t xml:space="preserve"> at times</w:t>
      </w:r>
      <w:r w:rsidR="00F6118B">
        <w:t>,</w:t>
      </w:r>
      <w:r w:rsidRPr="00600FCD">
        <w:t xml:space="preserve"> provide windfalls to those who have invested in the past or to those who would invest in New Zealand </w:t>
      </w:r>
      <w:r w:rsidR="003A4ABD">
        <w:t xml:space="preserve">regardless of </w:t>
      </w:r>
      <w:r w:rsidRPr="00600FCD">
        <w:t>whether taxes were cut.</w:t>
      </w:r>
    </w:p>
    <w:p w14:paraId="4282BDE0" w14:textId="2C6D5324" w:rsidR="00600FCD" w:rsidRPr="00600FCD" w:rsidRDefault="00600FCD" w:rsidP="00E75272">
      <w:pPr>
        <w:pStyle w:val="ListParagraph"/>
        <w:numPr>
          <w:ilvl w:val="0"/>
          <w:numId w:val="102"/>
        </w:numPr>
        <w:ind w:left="851" w:hanging="851"/>
      </w:pPr>
      <w:r w:rsidRPr="00600FCD">
        <w:t xml:space="preserve">Changing the way in which businesses are taxed will always be a vexed issue. As well as the direct impact of any changes on business investment and productivity and growth, complex issues </w:t>
      </w:r>
      <w:r w:rsidR="002A5174">
        <w:t>arise</w:t>
      </w:r>
      <w:r w:rsidRPr="00600FCD">
        <w:t xml:space="preserve"> about how the tax system as a </w:t>
      </w:r>
      <w:proofErr w:type="gramStart"/>
      <w:r w:rsidRPr="00600FCD">
        <w:t>whole fits</w:t>
      </w:r>
      <w:proofErr w:type="gramEnd"/>
      <w:r w:rsidRPr="00600FCD">
        <w:t xml:space="preserve"> together and, ultimately, whether </w:t>
      </w:r>
      <w:r w:rsidR="0093264A">
        <w:t>i</w:t>
      </w:r>
      <w:r w:rsidRPr="00600FCD">
        <w:t xml:space="preserve">t is fair. </w:t>
      </w:r>
      <w:r w:rsidR="00CF7F5A">
        <w:t xml:space="preserve">There are important </w:t>
      </w:r>
      <w:r w:rsidR="001A323C">
        <w:lastRenderedPageBreak/>
        <w:t>q</w:t>
      </w:r>
      <w:r w:rsidRPr="00600FCD">
        <w:t xml:space="preserve">uestions of how to improve economic efficiency </w:t>
      </w:r>
      <w:r w:rsidR="00115A5B">
        <w:t>b</w:t>
      </w:r>
      <w:r w:rsidR="000607D1">
        <w:t xml:space="preserve">y funding government spending in ways </w:t>
      </w:r>
      <w:r w:rsidR="00061305">
        <w:t>that</w:t>
      </w:r>
      <w:r w:rsidR="000607D1">
        <w:t xml:space="preserve"> </w:t>
      </w:r>
      <w:r w:rsidR="0075308C">
        <w:t xml:space="preserve">impose as few economic costs </w:t>
      </w:r>
      <w:r w:rsidR="00A223F3">
        <w:t xml:space="preserve">as possible </w:t>
      </w:r>
      <w:r w:rsidR="009B67A9">
        <w:t xml:space="preserve">(that is, </w:t>
      </w:r>
      <w:r w:rsidR="00597C44">
        <w:t xml:space="preserve">in ways </w:t>
      </w:r>
      <w:r w:rsidR="008931CE">
        <w:t>that</w:t>
      </w:r>
      <w:r w:rsidR="00852E84">
        <w:t xml:space="preserve"> </w:t>
      </w:r>
      <w:r w:rsidR="00114046">
        <w:t xml:space="preserve">lower </w:t>
      </w:r>
      <w:r w:rsidR="00852E84">
        <w:t xml:space="preserve">the overall </w:t>
      </w:r>
      <w:r w:rsidR="00114046">
        <w:t>well</w:t>
      </w:r>
      <w:r w:rsidR="007D258C">
        <w:t>-</w:t>
      </w:r>
      <w:r w:rsidR="00114046">
        <w:t xml:space="preserve">being </w:t>
      </w:r>
      <w:r w:rsidR="00852E84">
        <w:t xml:space="preserve">of New Zealanders </w:t>
      </w:r>
      <w:r w:rsidR="00114046">
        <w:t>as little as possible</w:t>
      </w:r>
      <w:r w:rsidR="00597C44">
        <w:t>)</w:t>
      </w:r>
      <w:r w:rsidR="00114046">
        <w:t>.</w:t>
      </w:r>
      <w:r w:rsidR="00D6333E">
        <w:t xml:space="preserve"> </w:t>
      </w:r>
      <w:r w:rsidR="001225C0">
        <w:t>At the same time</w:t>
      </w:r>
      <w:r w:rsidR="00A62DBF">
        <w:t>,</w:t>
      </w:r>
      <w:r w:rsidR="001225C0">
        <w:t xml:space="preserve"> there will </w:t>
      </w:r>
      <w:r w:rsidR="00AA44C7">
        <w:t xml:space="preserve">also </w:t>
      </w:r>
      <w:r w:rsidR="001225C0">
        <w:t>be important question</w:t>
      </w:r>
      <w:r w:rsidR="00AA44C7">
        <w:t>s</w:t>
      </w:r>
      <w:r w:rsidR="001225C0">
        <w:t xml:space="preserve"> about whether the </w:t>
      </w:r>
      <w:r w:rsidRPr="00600FCD">
        <w:t xml:space="preserve">business tax system is </w:t>
      </w:r>
      <w:r w:rsidR="007D0999">
        <w:t>fair and whether it provides</w:t>
      </w:r>
      <w:r w:rsidRPr="00600FCD">
        <w:t xml:space="preserve"> a robust source of revenue to finance government spending.</w:t>
      </w:r>
    </w:p>
    <w:p w14:paraId="2CBB1590" w14:textId="2B778176" w:rsidR="00600FCD" w:rsidRPr="00600FCD" w:rsidRDefault="00600FCD" w:rsidP="00E75272">
      <w:pPr>
        <w:pStyle w:val="ListParagraph"/>
        <w:numPr>
          <w:ilvl w:val="0"/>
          <w:numId w:val="102"/>
        </w:numPr>
        <w:ind w:left="851" w:hanging="851"/>
      </w:pPr>
      <w:r w:rsidRPr="00600FCD">
        <w:t xml:space="preserve">When considering whether to change the business tax system and how best to change it if change is deemed desirable, there will always be </w:t>
      </w:r>
      <w:r w:rsidR="003634D3">
        <w:t>difficult</w:t>
      </w:r>
      <w:r w:rsidRPr="00600FCD">
        <w:t xml:space="preserve"> trade-offs to consider. These are likely to be ongoing issues for future governments.</w:t>
      </w:r>
    </w:p>
    <w:p w14:paraId="20371154" w14:textId="5E65571A" w:rsidR="00600FCD" w:rsidRPr="00600FCD" w:rsidRDefault="00600FCD" w:rsidP="00E75272">
      <w:pPr>
        <w:pStyle w:val="ListParagraph"/>
        <w:numPr>
          <w:ilvl w:val="0"/>
          <w:numId w:val="102"/>
        </w:numPr>
        <w:ind w:left="851" w:hanging="851"/>
      </w:pPr>
      <w:r w:rsidRPr="00600FCD">
        <w:t>The aim of this LTIB is to initiate a process of discussion on these sorts of issue</w:t>
      </w:r>
      <w:r w:rsidR="00AA6305">
        <w:t>s</w:t>
      </w:r>
      <w:r w:rsidRPr="00600FCD">
        <w:t xml:space="preserve">. It considers </w:t>
      </w:r>
      <w:r w:rsidR="00310B57">
        <w:t>several</w:t>
      </w:r>
      <w:r w:rsidRPr="00600FCD">
        <w:t xml:space="preserve"> possible tax changes, namely:</w:t>
      </w:r>
    </w:p>
    <w:p w14:paraId="7BA07916" w14:textId="77777777" w:rsidR="00600FCD" w:rsidRPr="00600FCD" w:rsidRDefault="00600FCD" w:rsidP="00075D72">
      <w:pPr>
        <w:pStyle w:val="NumberedParagraph-BulletL1"/>
      </w:pPr>
      <w:r w:rsidRPr="00600FCD">
        <w:t>a cut in the company tax rate</w:t>
      </w:r>
    </w:p>
    <w:p w14:paraId="56523C53" w14:textId="77777777" w:rsidR="00600FCD" w:rsidRPr="00600FCD" w:rsidRDefault="00600FCD" w:rsidP="00075D72">
      <w:pPr>
        <w:pStyle w:val="NumberedParagraph-BulletL1"/>
      </w:pPr>
      <w:r w:rsidRPr="00600FCD">
        <w:t>accelerated depreciation provisions</w:t>
      </w:r>
    </w:p>
    <w:p w14:paraId="2BE11565" w14:textId="77777777" w:rsidR="00600FCD" w:rsidRPr="00600FCD" w:rsidRDefault="00600FCD" w:rsidP="00075D72">
      <w:pPr>
        <w:pStyle w:val="NumberedParagraph-BulletL1"/>
      </w:pPr>
      <w:r w:rsidRPr="00600FCD">
        <w:t>inflation indexation of the tax base</w:t>
      </w:r>
    </w:p>
    <w:p w14:paraId="74FE83FA" w14:textId="77777777" w:rsidR="00600FCD" w:rsidRPr="00600FCD" w:rsidRDefault="00600FCD" w:rsidP="00075D72">
      <w:pPr>
        <w:pStyle w:val="NumberedParagraph-BulletL1"/>
      </w:pPr>
      <w:r w:rsidRPr="00600FCD">
        <w:t>a higher thin capitalisation rule safe harbour</w:t>
      </w:r>
    </w:p>
    <w:p w14:paraId="631A082D" w14:textId="77777777" w:rsidR="00600FCD" w:rsidRPr="00600FCD" w:rsidRDefault="00600FCD" w:rsidP="00075D72">
      <w:pPr>
        <w:pStyle w:val="NumberedParagraph-BulletL1"/>
      </w:pPr>
      <w:r w:rsidRPr="00600FCD">
        <w:t>an allowance for corporate equity</w:t>
      </w:r>
    </w:p>
    <w:p w14:paraId="78B89803" w14:textId="074A2AEB" w:rsidR="00600FCD" w:rsidRPr="00600FCD" w:rsidRDefault="00600FCD" w:rsidP="00075D72">
      <w:pPr>
        <w:pStyle w:val="NumberedParagraph-BulletL1"/>
      </w:pPr>
      <w:r w:rsidRPr="00600FCD">
        <w:t>special industry-specific or firm-specific incentives</w:t>
      </w:r>
      <w:r w:rsidR="004B27F4">
        <w:t>, and</w:t>
      </w:r>
    </w:p>
    <w:p w14:paraId="5CAC99FB" w14:textId="435D2DD2" w:rsidR="00600FCD" w:rsidRPr="00600FCD" w:rsidRDefault="00600FCD" w:rsidP="00075D72">
      <w:pPr>
        <w:pStyle w:val="NumberedParagraph-BulletL1"/>
      </w:pPr>
      <w:r w:rsidRPr="00600FCD">
        <w:t>a dual income tax system</w:t>
      </w:r>
      <w:r w:rsidR="004B27F4">
        <w:t>.</w:t>
      </w:r>
    </w:p>
    <w:p w14:paraId="612795F6" w14:textId="14239C49" w:rsidR="00C161A6" w:rsidRDefault="00600FCD" w:rsidP="00E75272">
      <w:pPr>
        <w:pStyle w:val="ListParagraph"/>
        <w:numPr>
          <w:ilvl w:val="0"/>
          <w:numId w:val="102"/>
        </w:numPr>
        <w:ind w:left="851" w:hanging="851"/>
      </w:pPr>
      <w:r w:rsidRPr="00600FCD">
        <w:t xml:space="preserve">These measures </w:t>
      </w:r>
      <w:r w:rsidR="001854C3">
        <w:t>are possible</w:t>
      </w:r>
      <w:r w:rsidRPr="00600FCD">
        <w:t xml:space="preserve"> ways of lowering costs of capital</w:t>
      </w:r>
      <w:r w:rsidR="00122C70">
        <w:t xml:space="preserve"> and some of these </w:t>
      </w:r>
      <w:r w:rsidR="004E51C7">
        <w:t>can also promote tax neutrality</w:t>
      </w:r>
      <w:r w:rsidRPr="00600FCD">
        <w:t xml:space="preserve">. There is unlikely to be a single </w:t>
      </w:r>
      <w:r w:rsidR="00B93E38">
        <w:t>‘</w:t>
      </w:r>
      <w:r w:rsidRPr="00600FCD">
        <w:t>best option</w:t>
      </w:r>
      <w:r w:rsidR="00B93E38">
        <w:t>’</w:t>
      </w:r>
      <w:r w:rsidRPr="00600FCD">
        <w:t>. Choices between the options will ultimately depend on the weightings that are given to different possible objectives of reforms. Feasible options are likely to depend on some quite difficult questions about the sorts of tax instruments that are desirable for New Zealand</w:t>
      </w:r>
      <w:r w:rsidR="003861E3">
        <w:t>.</w:t>
      </w:r>
    </w:p>
    <w:p w14:paraId="0A650FF9" w14:textId="77725020" w:rsidR="00062E42" w:rsidRDefault="00551578" w:rsidP="00E75272">
      <w:pPr>
        <w:pStyle w:val="ListParagraph"/>
        <w:numPr>
          <w:ilvl w:val="0"/>
          <w:numId w:val="102"/>
        </w:numPr>
        <w:ind w:left="851" w:hanging="851"/>
      </w:pPr>
      <w:r>
        <w:t xml:space="preserve">The analysis in this LTIB is supported by </w:t>
      </w:r>
      <w:r w:rsidR="00C56727" w:rsidRPr="00586800">
        <w:rPr>
          <w:rStyle w:val="Emphasis"/>
        </w:rPr>
        <w:t xml:space="preserve">Tax, foreign </w:t>
      </w:r>
      <w:proofErr w:type="gramStart"/>
      <w:r w:rsidR="00C56727" w:rsidRPr="00586800">
        <w:rPr>
          <w:rStyle w:val="Emphasis"/>
        </w:rPr>
        <w:t>investment</w:t>
      </w:r>
      <w:proofErr w:type="gramEnd"/>
      <w:r w:rsidR="00C56727" w:rsidRPr="00586800">
        <w:rPr>
          <w:rStyle w:val="Emphasis"/>
        </w:rPr>
        <w:t xml:space="preserve"> and productivity</w:t>
      </w:r>
      <w:r w:rsidR="00C56727">
        <w:rPr>
          <w:rStyle w:val="Emphasis"/>
        </w:rPr>
        <w:t xml:space="preserve">: </w:t>
      </w:r>
      <w:r w:rsidR="00901C61">
        <w:rPr>
          <w:rStyle w:val="Emphasis"/>
        </w:rPr>
        <w:t>T</w:t>
      </w:r>
      <w:r w:rsidR="00C56727" w:rsidRPr="00586800">
        <w:rPr>
          <w:rStyle w:val="Emphasis"/>
        </w:rPr>
        <w:t>echnical appendices to support Inland Revenue’s long-term insights briefing (LTIB)</w:t>
      </w:r>
      <w:r w:rsidR="0018346C">
        <w:rPr>
          <w:rStyle w:val="Emphasis"/>
        </w:rPr>
        <w:t xml:space="preserve">, </w:t>
      </w:r>
      <w:r w:rsidR="00D76280">
        <w:t>(</w:t>
      </w:r>
      <w:r w:rsidR="00655DE7">
        <w:rPr>
          <w:i/>
          <w:iCs/>
        </w:rPr>
        <w:t>Technical appendices</w:t>
      </w:r>
      <w:r w:rsidR="00470154" w:rsidRPr="00600A33">
        <w:t>)</w:t>
      </w:r>
      <w:r w:rsidR="00705648">
        <w:t>.</w:t>
      </w:r>
      <w:r w:rsidR="00705648">
        <w:rPr>
          <w:rStyle w:val="FootnoteReference"/>
        </w:rPr>
        <w:footnoteReference w:id="2"/>
      </w:r>
    </w:p>
    <w:p w14:paraId="0010697D" w14:textId="78183DFF" w:rsidR="00C34465" w:rsidRPr="00CE7498" w:rsidRDefault="00600FCD" w:rsidP="00C34465">
      <w:pPr>
        <w:pStyle w:val="ListParagraph"/>
        <w:numPr>
          <w:ilvl w:val="0"/>
          <w:numId w:val="102"/>
        </w:numPr>
        <w:ind w:left="851" w:hanging="851"/>
      </w:pPr>
      <w:r w:rsidRPr="00CE7498">
        <w:t>The aim of this LTIB is to start a conversation on what people see as the most important objectives for reform and whether particular reforms are worth considering further.</w:t>
      </w:r>
    </w:p>
    <w:bookmarkEnd w:id="4"/>
    <w:p w14:paraId="329C9610" w14:textId="0B90D50F" w:rsidR="007E5A62" w:rsidRDefault="00124931" w:rsidP="002918C4">
      <w:pPr>
        <w:pStyle w:val="Heading1"/>
        <w:numPr>
          <w:ilvl w:val="0"/>
          <w:numId w:val="64"/>
        </w:numPr>
        <w:ind w:left="0"/>
      </w:pPr>
      <w:r w:rsidRPr="00C161A6">
        <w:lastRenderedPageBreak/>
        <w:br/>
      </w:r>
      <w:r w:rsidRPr="00C161A6">
        <w:br/>
      </w:r>
      <w:bookmarkStart w:id="6" w:name="_Toc112857386"/>
      <w:r w:rsidRPr="00C161A6">
        <w:t>Introduction</w:t>
      </w:r>
      <w:bookmarkEnd w:id="6"/>
    </w:p>
    <w:tbl>
      <w:tblPr>
        <w:tblStyle w:val="SummaryBox"/>
        <w:tblW w:w="0" w:type="auto"/>
        <w:tblLayout w:type="fixed"/>
        <w:tblLook w:val="04A0" w:firstRow="1" w:lastRow="0" w:firstColumn="1" w:lastColumn="0" w:noHBand="0" w:noVBand="1"/>
      </w:tblPr>
      <w:tblGrid>
        <w:gridCol w:w="8778"/>
      </w:tblGrid>
      <w:tr w:rsidR="009A65A8" w:rsidRPr="00916874" w14:paraId="0BD2AADC" w14:textId="77777777" w:rsidTr="007D07BC">
        <w:tc>
          <w:tcPr>
            <w:tcW w:w="8778" w:type="dxa"/>
          </w:tcPr>
          <w:p w14:paraId="765C5B68" w14:textId="77777777" w:rsidR="009A65A8" w:rsidRPr="00916874" w:rsidRDefault="009A65A8" w:rsidP="00597B6B">
            <w:pPr>
              <w:pStyle w:val="ListBullet"/>
            </w:pPr>
            <w:r w:rsidRPr="00916874">
              <w:t xml:space="preserve">Inland Revenue is required to produce a </w:t>
            </w:r>
            <w:proofErr w:type="gramStart"/>
            <w:r w:rsidRPr="00916874">
              <w:t>long-term insights</w:t>
            </w:r>
            <w:proofErr w:type="gramEnd"/>
            <w:r w:rsidRPr="00916874">
              <w:t xml:space="preserve"> briefing (LTIB) at least once every three years.</w:t>
            </w:r>
          </w:p>
          <w:p w14:paraId="502B99D2" w14:textId="77777777" w:rsidR="009A65A8" w:rsidRPr="00916874" w:rsidRDefault="009A65A8" w:rsidP="00597B6B">
            <w:pPr>
              <w:pStyle w:val="ListBullet"/>
            </w:pPr>
            <w:r w:rsidRPr="00916874">
              <w:t>This is Inland Revenue’s first LTIB.</w:t>
            </w:r>
          </w:p>
          <w:p w14:paraId="33B8DCA4" w14:textId="58613EA0" w:rsidR="009A65A8" w:rsidRPr="00916874" w:rsidRDefault="009A65A8" w:rsidP="00597B6B">
            <w:pPr>
              <w:pStyle w:val="ListBullet"/>
            </w:pPr>
            <w:r w:rsidRPr="00916874">
              <w:t xml:space="preserve">It examines how </w:t>
            </w:r>
            <w:r w:rsidR="00D84931">
              <w:t>New Zealand’s</w:t>
            </w:r>
            <w:r w:rsidRPr="00916874">
              <w:t xml:space="preserve"> tax settings are likely to affect incentives to invest and benchmarks </w:t>
            </w:r>
            <w:r w:rsidR="001D6EDB">
              <w:t>our</w:t>
            </w:r>
            <w:r w:rsidRPr="00916874">
              <w:t xml:space="preserve"> tax settings against those in other countries.</w:t>
            </w:r>
          </w:p>
          <w:p w14:paraId="55F540C4" w14:textId="77777777" w:rsidR="009A65A8" w:rsidRPr="00916874" w:rsidRDefault="009A65A8" w:rsidP="00597B6B">
            <w:pPr>
              <w:pStyle w:val="ListBullet"/>
            </w:pPr>
            <w:r w:rsidRPr="00916874">
              <w:t>Concerns have been raised for many years about New Zealand’s relatively weak economic performance and the LTIB questions whether New Zealand’s tax settings might be a contributing factor.</w:t>
            </w:r>
          </w:p>
          <w:p w14:paraId="3CC27A17" w14:textId="2CB311F6" w:rsidR="009A65A8" w:rsidRPr="00916874" w:rsidRDefault="009A65A8" w:rsidP="00597B6B">
            <w:pPr>
              <w:pStyle w:val="ListBullet"/>
            </w:pPr>
            <w:r w:rsidRPr="00916874">
              <w:t xml:space="preserve">It examines </w:t>
            </w:r>
            <w:r w:rsidR="008465CB">
              <w:t xml:space="preserve">the </w:t>
            </w:r>
            <w:r w:rsidRPr="00916874">
              <w:t>pros and cons of some possible reform options.</w:t>
            </w:r>
          </w:p>
        </w:tc>
      </w:tr>
    </w:tbl>
    <w:p w14:paraId="66AADFEA" w14:textId="2055BB91" w:rsidR="00916874" w:rsidRPr="00F133F7" w:rsidRDefault="00916874" w:rsidP="00075D72">
      <w:pPr>
        <w:pStyle w:val="NumberedParagraph"/>
        <w:numPr>
          <w:ilvl w:val="1"/>
          <w:numId w:val="64"/>
        </w:numPr>
      </w:pPr>
      <w:r w:rsidRPr="00F133F7">
        <w:t xml:space="preserve">New Zealand’s poor productivity performance has been a longstanding concern. International tax reviews and the work of other agencies have often highlighted tax and its impact on investment as an important factor affecting productivity and economic performance. Despite other public sector work on productivity, no broad analysis has been undertaken of how New Zealand’s tax settings compare with </w:t>
      </w:r>
      <w:r w:rsidR="00A52069">
        <w:t xml:space="preserve">those of </w:t>
      </w:r>
      <w:r w:rsidRPr="00F133F7">
        <w:t>other countries, whether the settings are likely to be having a relatively large effect on investment and/or whether this might be contributing to New Zealand’s weak productivity performance.</w:t>
      </w:r>
    </w:p>
    <w:p w14:paraId="445CF50A" w14:textId="4B470C35" w:rsidR="00916874" w:rsidRPr="00916874" w:rsidRDefault="00916874" w:rsidP="00075D72">
      <w:pPr>
        <w:pStyle w:val="NumberedParagraph"/>
        <w:numPr>
          <w:ilvl w:val="1"/>
          <w:numId w:val="64"/>
        </w:numPr>
      </w:pPr>
      <w:r w:rsidRPr="00916874">
        <w:t>Questions of how best to address weak productivity and poor economic performance are complex, and there is unlikely to be a single ‘silver bullet’. Many other important productivity issues could be considered</w:t>
      </w:r>
      <w:r w:rsidR="004D34B2">
        <w:t>,</w:t>
      </w:r>
      <w:r w:rsidRPr="00916874">
        <w:t xml:space="preserve"> including:</w:t>
      </w:r>
    </w:p>
    <w:p w14:paraId="2AB336C2" w14:textId="77777777" w:rsidR="00916874" w:rsidRPr="00916874" w:rsidRDefault="00916874" w:rsidP="00075D72">
      <w:pPr>
        <w:pStyle w:val="NumberedParagraph-BulletL1"/>
        <w:numPr>
          <w:ilvl w:val="2"/>
          <w:numId w:val="64"/>
        </w:numPr>
      </w:pPr>
      <w:r w:rsidRPr="00916874">
        <w:t>competition policy and the degree of monopoly power</w:t>
      </w:r>
    </w:p>
    <w:p w14:paraId="38487C4E" w14:textId="77777777" w:rsidR="00916874" w:rsidRPr="00916874" w:rsidRDefault="00916874" w:rsidP="00075D72">
      <w:pPr>
        <w:pStyle w:val="NumberedParagraph-BulletL1"/>
        <w:numPr>
          <w:ilvl w:val="2"/>
          <w:numId w:val="64"/>
        </w:numPr>
      </w:pPr>
      <w:r w:rsidRPr="00916874">
        <w:t>migration settings and incentives for firms to invest in productivity-improving technology or to bring in cheaper labour, and</w:t>
      </w:r>
    </w:p>
    <w:p w14:paraId="4FD58F48" w14:textId="77777777" w:rsidR="00916874" w:rsidRPr="00916874" w:rsidRDefault="00916874" w:rsidP="00075D72">
      <w:pPr>
        <w:pStyle w:val="NumberedParagraph-BulletL1"/>
        <w:numPr>
          <w:ilvl w:val="2"/>
          <w:numId w:val="64"/>
        </w:numPr>
      </w:pPr>
      <w:r w:rsidRPr="00916874">
        <w:t>broader policy settings, which may affect the housing market and incentives to invest there.</w:t>
      </w:r>
    </w:p>
    <w:p w14:paraId="4EE699EB" w14:textId="6F7D6093" w:rsidR="00916874" w:rsidRPr="00916874" w:rsidRDefault="00916874" w:rsidP="00075D72">
      <w:pPr>
        <w:pStyle w:val="NumberedParagraph"/>
        <w:numPr>
          <w:ilvl w:val="1"/>
          <w:numId w:val="64"/>
        </w:numPr>
      </w:pPr>
      <w:r w:rsidRPr="00916874">
        <w:t xml:space="preserve">While there are likely to be many channels through which taxes affect productivity, one that may have an important influence is tax on </w:t>
      </w:r>
      <w:r w:rsidR="007967A9">
        <w:t xml:space="preserve">inbound </w:t>
      </w:r>
      <w:r w:rsidRPr="00916874">
        <w:t>investment.</w:t>
      </w:r>
    </w:p>
    <w:p w14:paraId="7FABA143" w14:textId="0ED3E94E" w:rsidR="00916874" w:rsidRPr="00916874" w:rsidRDefault="00916874" w:rsidP="00075D72">
      <w:pPr>
        <w:pStyle w:val="NumberedParagraph"/>
        <w:numPr>
          <w:ilvl w:val="1"/>
          <w:numId w:val="64"/>
        </w:numPr>
      </w:pPr>
      <w:r w:rsidRPr="00916874">
        <w:t xml:space="preserve">In its August 2021 scoping paper, Inland Revenue proposed that its 2022 LTIB should focus on tax, </w:t>
      </w:r>
      <w:proofErr w:type="gramStart"/>
      <w:r w:rsidRPr="00916874">
        <w:t>investment</w:t>
      </w:r>
      <w:proofErr w:type="gramEnd"/>
      <w:r w:rsidRPr="00916874">
        <w:t xml:space="preserve"> and productivity.</w:t>
      </w:r>
      <w:r w:rsidRPr="00916874">
        <w:rPr>
          <w:vertAlign w:val="superscript"/>
        </w:rPr>
        <w:footnoteReference w:id="3"/>
      </w:r>
      <w:r w:rsidRPr="00916874">
        <w:t xml:space="preserve"> Submissions received were mainly supportive of this suggestion and we proceed</w:t>
      </w:r>
      <w:r w:rsidR="007C5CEC">
        <w:t>ed</w:t>
      </w:r>
      <w:r w:rsidR="008C2097">
        <w:t xml:space="preserve"> </w:t>
      </w:r>
      <w:r w:rsidR="0083634C">
        <w:t xml:space="preserve">with </w:t>
      </w:r>
      <w:r w:rsidR="008C2097">
        <w:t>the</w:t>
      </w:r>
      <w:r w:rsidRPr="00916874">
        <w:t xml:space="preserve"> topic.</w:t>
      </w:r>
      <w:r w:rsidR="00376EBF">
        <w:t xml:space="preserve"> In February 2022 Inland Revenue published a </w:t>
      </w:r>
      <w:r w:rsidR="00F5718E">
        <w:t>draft LTIB</w:t>
      </w:r>
      <w:r w:rsidR="0083634C">
        <w:t>,</w:t>
      </w:r>
      <w:r w:rsidR="00C36729">
        <w:t xml:space="preserve"> as well as a set of </w:t>
      </w:r>
      <w:r w:rsidR="00E15C90">
        <w:t xml:space="preserve">draft </w:t>
      </w:r>
      <w:r w:rsidR="00C36729">
        <w:t>technical appendices</w:t>
      </w:r>
      <w:r w:rsidR="00F5718E">
        <w:t>. Th</w:t>
      </w:r>
      <w:r w:rsidR="00C36729">
        <w:t>ese</w:t>
      </w:r>
      <w:r w:rsidR="00F5718E">
        <w:t xml:space="preserve"> w</w:t>
      </w:r>
      <w:r w:rsidR="00C36729">
        <w:t>ere</w:t>
      </w:r>
      <w:r w:rsidR="00F5718E">
        <w:t xml:space="preserve"> consulted on</w:t>
      </w:r>
      <w:r w:rsidR="00D06759">
        <w:t>,</w:t>
      </w:r>
      <w:r w:rsidR="00F5718E">
        <w:t xml:space="preserve"> and </w:t>
      </w:r>
      <w:r w:rsidR="00E40CE8">
        <w:t>seven</w:t>
      </w:r>
      <w:r w:rsidR="00C36729">
        <w:t xml:space="preserve"> stakeholders provided </w:t>
      </w:r>
      <w:r w:rsidR="00F5718E">
        <w:t>written submission</w:t>
      </w:r>
      <w:r w:rsidR="009E3413">
        <w:t>s</w:t>
      </w:r>
      <w:r w:rsidR="00C36729">
        <w:t>. In addition</w:t>
      </w:r>
      <w:r w:rsidR="00D06759">
        <w:t>,</w:t>
      </w:r>
      <w:r w:rsidR="00C36729">
        <w:t xml:space="preserve"> two reviews </w:t>
      </w:r>
      <w:r w:rsidR="009E3413">
        <w:t xml:space="preserve">were </w:t>
      </w:r>
      <w:r w:rsidR="00415EB7">
        <w:t xml:space="preserve">commissioned from international experts. The final LTIB </w:t>
      </w:r>
      <w:r w:rsidR="00D47291">
        <w:t xml:space="preserve">takes account of the feedback </w:t>
      </w:r>
      <w:r w:rsidR="009E3413">
        <w:t>received</w:t>
      </w:r>
      <w:r w:rsidR="00D47291">
        <w:t>.</w:t>
      </w:r>
    </w:p>
    <w:p w14:paraId="6F729E7C" w14:textId="79F2F780" w:rsidR="00916874" w:rsidRPr="00916874" w:rsidRDefault="00916874" w:rsidP="00075D72">
      <w:pPr>
        <w:pStyle w:val="NumberedParagraph"/>
        <w:numPr>
          <w:ilvl w:val="1"/>
          <w:numId w:val="64"/>
        </w:numPr>
      </w:pPr>
      <w:bookmarkStart w:id="7" w:name="_Hlk94703759"/>
      <w:r w:rsidRPr="00916874">
        <w:lastRenderedPageBreak/>
        <w:t xml:space="preserve">Other agencies are also looking at productivity issues in their LTIBs, for example, the Ministry of Business, Innovation and Employment’s LTIB entitled </w:t>
      </w:r>
      <w:proofErr w:type="gramStart"/>
      <w:r w:rsidRPr="00075D72">
        <w:rPr>
          <w:i/>
          <w:iCs/>
        </w:rPr>
        <w:t>The</w:t>
      </w:r>
      <w:proofErr w:type="gramEnd"/>
      <w:r w:rsidRPr="00075D72">
        <w:rPr>
          <w:i/>
          <w:iCs/>
        </w:rPr>
        <w:t xml:space="preserve"> future of business for Aotearoa New Zealand</w:t>
      </w:r>
      <w:r w:rsidRPr="00916874">
        <w:t>.</w:t>
      </w:r>
      <w:r w:rsidRPr="00841507">
        <w:rPr>
          <w:vertAlign w:val="superscript"/>
        </w:rPr>
        <w:footnoteReference w:id="4"/>
      </w:r>
      <w:r w:rsidRPr="00916874">
        <w:t xml:space="preserve"> Our LTIB is narrower</w:t>
      </w:r>
      <w:r w:rsidR="009A0D45">
        <w:t xml:space="preserve"> in scope</w:t>
      </w:r>
      <w:r w:rsidRPr="00916874">
        <w:t>, but it aims to be complementary to, and supportive of, other work in this area.</w:t>
      </w:r>
    </w:p>
    <w:bookmarkEnd w:id="7"/>
    <w:p w14:paraId="1B36FD5A" w14:textId="0EDE5030" w:rsidR="00916874" w:rsidRPr="00916874" w:rsidRDefault="00916874" w:rsidP="00075D72">
      <w:pPr>
        <w:pStyle w:val="NumberedParagraph"/>
        <w:numPr>
          <w:ilvl w:val="1"/>
          <w:numId w:val="64"/>
        </w:numPr>
      </w:pPr>
      <w:r w:rsidRPr="00916874">
        <w:t>Work on this topic has been facilitated by work at the OECD that allows us to benchmark how tax provisions are likely to be affecting costs of capital in New Zealand and in other OECD countries. Costs of capital are hurdle rates of return. New Zealand’s investment demand exceeds the pool of domestic savings of domestic residents</w:t>
      </w:r>
      <w:r w:rsidR="00023397">
        <w:t>,</w:t>
      </w:r>
      <w:r w:rsidRPr="00916874">
        <w:t xml:space="preserve"> so we rely to a considerable extent on imported capital to fund domestic investments. </w:t>
      </w:r>
      <w:r w:rsidR="002E23F9">
        <w:t>F</w:t>
      </w:r>
      <w:r w:rsidRPr="00916874">
        <w:t xml:space="preserve">or investing into New Zealand to be attractive, New Zealand investments will need to generate risk-adjusted returns net of New Zealand taxes </w:t>
      </w:r>
      <w:r w:rsidR="006E1D0C" w:rsidRPr="00916874">
        <w:t xml:space="preserve">comparable </w:t>
      </w:r>
      <w:r w:rsidRPr="00916874">
        <w:t xml:space="preserve">to what non-residents are able to obtain from investing in other countries. Costs of capital are the hurdle pre-tax rates of return </w:t>
      </w:r>
      <w:r w:rsidR="00681A4D">
        <w:t>that</w:t>
      </w:r>
      <w:r w:rsidRPr="00916874">
        <w:t xml:space="preserve"> will make investment in New Zealand marginal, that is, just worth undertaking. These will affect inbound investment into New Zealand and the level and composition of New Zealand’s capital stock.</w:t>
      </w:r>
    </w:p>
    <w:p w14:paraId="27A21461" w14:textId="63DB7B4C" w:rsidR="00916874" w:rsidRPr="00916874" w:rsidRDefault="00916874" w:rsidP="00075D72">
      <w:pPr>
        <w:pStyle w:val="NumberedParagraph"/>
        <w:numPr>
          <w:ilvl w:val="1"/>
          <w:numId w:val="64"/>
        </w:numPr>
      </w:pPr>
      <w:r w:rsidRPr="00916874">
        <w:t>Analysing costs of capital is helpful when considering how different possible tax change</w:t>
      </w:r>
      <w:r w:rsidR="00DB4900">
        <w:t>s</w:t>
      </w:r>
      <w:r w:rsidRPr="00916874">
        <w:t xml:space="preserve"> might affect incentives to invest in different assets</w:t>
      </w:r>
      <w:r w:rsidR="00854C5A">
        <w:t xml:space="preserve"> financed in different ways</w:t>
      </w:r>
      <w:r w:rsidRPr="00916874">
        <w:t>. It is also helpful when examining the likely effects, and pros and cons, of possible future business tax changes.</w:t>
      </w:r>
    </w:p>
    <w:p w14:paraId="0FF486F0" w14:textId="0DA6B857" w:rsidR="00916874" w:rsidRPr="00916874" w:rsidRDefault="00916874" w:rsidP="00075D72">
      <w:pPr>
        <w:pStyle w:val="NumberedParagraph"/>
        <w:numPr>
          <w:ilvl w:val="1"/>
          <w:numId w:val="64"/>
        </w:numPr>
      </w:pPr>
      <w:r w:rsidRPr="00916874">
        <w:t xml:space="preserve">The modelling in this paper is consistent with, and builds upon, many other international studies. These include the cost of capital and effective marginal tax rate (EMTR) analysis of the OECD. The EMTR is the proportion of the real pre-tax rate of return on a marginal investment that is lost in tax. For example, if a marginal investment earns a 4% real pre-tax rate of return but only earns 3% net of New Zealand taxes, its EMTR is 25% or (4% </w:t>
      </w:r>
      <w:r w:rsidR="0018019D">
        <w:t>−</w:t>
      </w:r>
      <w:r w:rsidRPr="00916874">
        <w:t xml:space="preserve"> 3%)/4%. We work with the OECD model and extend it in </w:t>
      </w:r>
      <w:r w:rsidR="00253756">
        <w:t>several</w:t>
      </w:r>
      <w:r w:rsidRPr="00916874">
        <w:t xml:space="preserve"> ways to consider New Zealand</w:t>
      </w:r>
      <w:r w:rsidR="00253756">
        <w:t>’s</w:t>
      </w:r>
      <w:r w:rsidRPr="00916874">
        <w:t xml:space="preserve"> tax settings.</w:t>
      </w:r>
    </w:p>
    <w:p w14:paraId="3C320C7C" w14:textId="77777777" w:rsidR="00916874" w:rsidRPr="00916874" w:rsidRDefault="00916874" w:rsidP="00075D72">
      <w:pPr>
        <w:pStyle w:val="NumberedParagraph"/>
      </w:pPr>
      <w:r w:rsidRPr="00916874">
        <w:t>It should be noted at the outset that any economic modelling work will be a simplification of the real world and, at most, will provide partial insights into how taxes are likely to impact on investment. The assumptions underlying the modelling are discussed further in chapter 3.</w:t>
      </w:r>
    </w:p>
    <w:p w14:paraId="6715B800" w14:textId="77777777" w:rsidR="00916874" w:rsidRPr="00916874" w:rsidRDefault="00916874" w:rsidP="00075D72">
      <w:pPr>
        <w:pStyle w:val="NumberedParagraph"/>
        <w:numPr>
          <w:ilvl w:val="1"/>
          <w:numId w:val="64"/>
        </w:numPr>
      </w:pPr>
      <w:r w:rsidRPr="00916874">
        <w:t>Despite its simplifications, the modelling can be helpful when considering:</w:t>
      </w:r>
    </w:p>
    <w:p w14:paraId="1DC733A9" w14:textId="221F19E8" w:rsidR="00916874" w:rsidRPr="00577A25" w:rsidRDefault="00577A25" w:rsidP="00075D72">
      <w:pPr>
        <w:pStyle w:val="NumberedParagraph-BulletL1"/>
        <w:numPr>
          <w:ilvl w:val="2"/>
          <w:numId w:val="64"/>
        </w:numPr>
      </w:pPr>
      <w:r w:rsidRPr="00577A25">
        <w:t>w</w:t>
      </w:r>
      <w:r w:rsidR="00916874" w:rsidRPr="00577A25">
        <w:t>hether New Zealand appears to be an outlier in how heavily it taxes inbound investment</w:t>
      </w:r>
      <w:r w:rsidR="0034190C">
        <w:t>,</w:t>
      </w:r>
    </w:p>
    <w:p w14:paraId="7E1596EF" w14:textId="77777777" w:rsidR="00916874" w:rsidRPr="00916874" w:rsidRDefault="00916874" w:rsidP="00075D72">
      <w:pPr>
        <w:pStyle w:val="NumberedParagraph-BulletL1"/>
        <w:numPr>
          <w:ilvl w:val="2"/>
          <w:numId w:val="64"/>
        </w:numPr>
      </w:pPr>
      <w:r w:rsidRPr="00916874">
        <w:t>whether a potential case for policy change exists, and</w:t>
      </w:r>
    </w:p>
    <w:p w14:paraId="1D4C460A" w14:textId="77777777" w:rsidR="00916874" w:rsidRPr="00916874" w:rsidRDefault="00916874" w:rsidP="00075D72">
      <w:pPr>
        <w:pStyle w:val="NumberedParagraph-BulletL1"/>
        <w:numPr>
          <w:ilvl w:val="2"/>
          <w:numId w:val="64"/>
        </w:numPr>
      </w:pPr>
      <w:r w:rsidRPr="00916874">
        <w:t>the pros and cons of different possible policy changes.</w:t>
      </w:r>
    </w:p>
    <w:p w14:paraId="1227A0D0" w14:textId="523F65B5" w:rsidR="00916874" w:rsidRPr="00170560" w:rsidRDefault="00916874" w:rsidP="00075D72">
      <w:pPr>
        <w:pStyle w:val="NumberedParagraph"/>
        <w:numPr>
          <w:ilvl w:val="1"/>
          <w:numId w:val="64"/>
        </w:numPr>
      </w:pPr>
      <w:r w:rsidRPr="00916874">
        <w:t>In practice, there will be important trade-offs to consider when thinking about the pros and cons of any policy changes. If New Zealand is an outlier in its tax treatment of inbound investment, this does not necessarily mean there are compelling grounds for New Zealand to alter its tax settings. At times</w:t>
      </w:r>
      <w:r w:rsidR="00E17363">
        <w:t>,</w:t>
      </w:r>
      <w:r w:rsidRPr="00916874">
        <w:t xml:space="preserve"> New Zealand may be different from other countries in important ways, for example, in its geographical remoteness from other countries or in the set of taxes that </w:t>
      </w:r>
      <w:r w:rsidRPr="00916874">
        <w:lastRenderedPageBreak/>
        <w:t xml:space="preserve">it is willing to impose. Decisions about whether to alter tax settings will need to weigh up conflicting considerations, including not only productivity and economic efficiency but also questions about revenue adequacy and about fairness and income distribution. Decisions on whether to change current settings </w:t>
      </w:r>
      <w:r w:rsidR="00572DE8">
        <w:t>(</w:t>
      </w:r>
      <w:r w:rsidRPr="00916874">
        <w:t>and, if so, how</w:t>
      </w:r>
      <w:r w:rsidR="00572DE8">
        <w:t>)</w:t>
      </w:r>
      <w:r w:rsidRPr="00916874">
        <w:t xml:space="preserve"> will depend on the weightings given to competing objectives.</w:t>
      </w:r>
    </w:p>
    <w:p w14:paraId="4D091D98" w14:textId="0A2FC82B" w:rsidR="00B710D4" w:rsidRPr="00170560" w:rsidRDefault="005D2B82" w:rsidP="00075D72">
      <w:pPr>
        <w:pStyle w:val="NumberedParagraph"/>
        <w:numPr>
          <w:ilvl w:val="1"/>
          <w:numId w:val="64"/>
        </w:numPr>
      </w:pPr>
      <w:r w:rsidRPr="00170560">
        <w:t xml:space="preserve">These wider assessments can be informed by a variety of frameworks. </w:t>
      </w:r>
      <w:r w:rsidR="004120C8" w:rsidRPr="00170560">
        <w:t xml:space="preserve">One framework (used in </w:t>
      </w:r>
      <w:r w:rsidR="00C52F7A">
        <w:t xml:space="preserve">the international economic literature and in </w:t>
      </w:r>
      <w:r w:rsidR="004120C8" w:rsidRPr="00170560">
        <w:t>past large-scale tax reviews</w:t>
      </w:r>
      <w:r w:rsidR="00461D50">
        <w:t xml:space="preserve"> in both New Zealand and in other countries</w:t>
      </w:r>
      <w:r w:rsidR="004120C8" w:rsidRPr="00170560">
        <w:t xml:space="preserve">) is informed by assessing </w:t>
      </w:r>
      <w:r w:rsidR="004C4499" w:rsidRPr="00170560">
        <w:t xml:space="preserve">options against efficiency and fairness objectives. </w:t>
      </w:r>
      <w:r w:rsidR="00DD6039" w:rsidRPr="001A2EEB">
        <w:t>Efficiency involves raising revenue while minimising costs to a broadly</w:t>
      </w:r>
      <w:r w:rsidR="009737E3" w:rsidRPr="001A2EEB">
        <w:t xml:space="preserve"> </w:t>
      </w:r>
      <w:r w:rsidR="00DD6039" w:rsidRPr="001A2EEB">
        <w:t>defined measure of well</w:t>
      </w:r>
      <w:r w:rsidR="003D72B1">
        <w:t>-</w:t>
      </w:r>
      <w:r w:rsidR="00DD6039" w:rsidRPr="001A2EEB">
        <w:t>being</w:t>
      </w:r>
      <w:r w:rsidR="009737E3" w:rsidRPr="001A2EEB">
        <w:t xml:space="preserve">. </w:t>
      </w:r>
      <w:r w:rsidR="004C4499" w:rsidRPr="00170560">
        <w:t xml:space="preserve">Another framework </w:t>
      </w:r>
      <w:r w:rsidR="00871AF3" w:rsidRPr="00170560">
        <w:t xml:space="preserve">is the Treasury’s </w:t>
      </w:r>
      <w:r w:rsidR="00871AF3" w:rsidRPr="00170560">
        <w:rPr>
          <w:i/>
          <w:iCs/>
        </w:rPr>
        <w:t>Living Standards Framew</w:t>
      </w:r>
      <w:r w:rsidR="004908DD" w:rsidRPr="00170560">
        <w:rPr>
          <w:i/>
          <w:iCs/>
        </w:rPr>
        <w:t>ork</w:t>
      </w:r>
      <w:r w:rsidR="00871AF3" w:rsidRPr="00170560">
        <w:t xml:space="preserve"> and</w:t>
      </w:r>
      <w:r w:rsidR="00B44415">
        <w:t>,</w:t>
      </w:r>
      <w:r w:rsidR="00871AF3" w:rsidRPr="00170560">
        <w:t xml:space="preserve"> related to that</w:t>
      </w:r>
      <w:r w:rsidR="00984A10" w:rsidRPr="00170560">
        <w:t>,</w:t>
      </w:r>
      <w:r w:rsidR="00871AF3" w:rsidRPr="00170560">
        <w:t xml:space="preserve"> </w:t>
      </w:r>
      <w:r w:rsidR="00871AF3" w:rsidRPr="00170560">
        <w:rPr>
          <w:i/>
          <w:iCs/>
        </w:rPr>
        <w:t>He Ara Waiora</w:t>
      </w:r>
      <w:r w:rsidR="00871AF3" w:rsidRPr="00170560">
        <w:t>. He Ara Waiora is a framework centred on a te</w:t>
      </w:r>
      <w:r w:rsidR="00B35009" w:rsidRPr="00170560">
        <w:t xml:space="preserve"> </w:t>
      </w:r>
      <w:proofErr w:type="spellStart"/>
      <w:r w:rsidR="00871AF3" w:rsidRPr="00170560">
        <w:t>ao</w:t>
      </w:r>
      <w:proofErr w:type="spellEnd"/>
      <w:r w:rsidR="00871AF3" w:rsidRPr="00170560">
        <w:t xml:space="preserve"> </w:t>
      </w:r>
      <w:r w:rsidR="00B35009" w:rsidRPr="00170560">
        <w:t xml:space="preserve">Māori </w:t>
      </w:r>
      <w:r w:rsidR="00871AF3" w:rsidRPr="00170560">
        <w:t>view of well</w:t>
      </w:r>
      <w:r w:rsidR="007E3092">
        <w:t>-</w:t>
      </w:r>
      <w:r w:rsidR="00871AF3" w:rsidRPr="00170560">
        <w:t>being.</w:t>
      </w:r>
    </w:p>
    <w:p w14:paraId="560EAC26" w14:textId="661EC155" w:rsidR="004444AE" w:rsidRPr="00170560" w:rsidRDefault="004444AE" w:rsidP="00075D72">
      <w:pPr>
        <w:pStyle w:val="NumberedParagraph"/>
        <w:numPr>
          <w:ilvl w:val="1"/>
          <w:numId w:val="64"/>
        </w:numPr>
      </w:pPr>
      <w:r w:rsidRPr="00170560">
        <w:t xml:space="preserve">One presentation of He Ara Waiora focusses on </w:t>
      </w:r>
      <w:r w:rsidR="00CF27EC" w:rsidRPr="00170560">
        <w:t>whether the key concepts are means (actions or process</w:t>
      </w:r>
      <w:r w:rsidR="00761A06">
        <w:t>es</w:t>
      </w:r>
      <w:r w:rsidR="00CF27EC" w:rsidRPr="00170560">
        <w:t>) or ends (ultimate objectives)</w:t>
      </w:r>
      <w:r w:rsidR="00987EDA" w:rsidRPr="00170560">
        <w:t xml:space="preserve">, although these distinctions are never absolute. The key concepts </w:t>
      </w:r>
      <w:r w:rsidR="00394BA2" w:rsidRPr="00170560">
        <w:t>that most directly affect</w:t>
      </w:r>
      <w:r w:rsidR="00083C6F">
        <w:t>,</w:t>
      </w:r>
      <w:r w:rsidR="00394BA2" w:rsidRPr="00170560">
        <w:t xml:space="preserve"> or are affected by</w:t>
      </w:r>
      <w:r w:rsidR="00083C6F">
        <w:t>,</w:t>
      </w:r>
      <w:r w:rsidR="00394BA2" w:rsidRPr="00170560">
        <w:t xml:space="preserve"> the </w:t>
      </w:r>
      <w:r w:rsidR="00083C6F">
        <w:t>LTIB</w:t>
      </w:r>
      <w:r w:rsidR="00987EDA" w:rsidRPr="00170560">
        <w:t xml:space="preserve"> </w:t>
      </w:r>
      <w:r w:rsidR="000A65E7" w:rsidRPr="00170560">
        <w:t>are</w:t>
      </w:r>
      <w:r w:rsidR="00B60D24" w:rsidRPr="00170560">
        <w:t xml:space="preserve"> mana </w:t>
      </w:r>
      <w:proofErr w:type="spellStart"/>
      <w:r w:rsidR="00B60D24" w:rsidRPr="00170560">
        <w:t>whanake</w:t>
      </w:r>
      <w:proofErr w:type="spellEnd"/>
      <w:r w:rsidR="00B60D24" w:rsidRPr="00170560">
        <w:t xml:space="preserve">, </w:t>
      </w:r>
      <w:proofErr w:type="spellStart"/>
      <w:r w:rsidR="00B60D24" w:rsidRPr="00170560">
        <w:t>kotahitanga</w:t>
      </w:r>
      <w:proofErr w:type="spellEnd"/>
      <w:r w:rsidR="00B60D24" w:rsidRPr="00170560">
        <w:t>, and manaakitanga.</w:t>
      </w:r>
    </w:p>
    <w:p w14:paraId="4CF8FD0E" w14:textId="58ACACE7" w:rsidR="000A65E7" w:rsidRPr="00170560" w:rsidRDefault="000A65E7" w:rsidP="00173F5C">
      <w:pPr>
        <w:pStyle w:val="NumberedParagraph"/>
        <w:numPr>
          <w:ilvl w:val="1"/>
          <w:numId w:val="64"/>
        </w:numPr>
      </w:pPr>
      <w:r w:rsidRPr="00170560">
        <w:t xml:space="preserve">Mana </w:t>
      </w:r>
      <w:proofErr w:type="spellStart"/>
      <w:r w:rsidRPr="00170560">
        <w:t>whanake</w:t>
      </w:r>
      <w:proofErr w:type="spellEnd"/>
      <w:r w:rsidR="00394BA2" w:rsidRPr="00170560">
        <w:t xml:space="preserve"> is m</w:t>
      </w:r>
      <w:r w:rsidRPr="00170560">
        <w:t>ana in the power to grow sustainable, intergenerational prosperity</w:t>
      </w:r>
      <w:r w:rsidR="00394BA2" w:rsidRPr="00170560">
        <w:t xml:space="preserve">. Ultimately, we care about investment in New Zealand because we care about the </w:t>
      </w:r>
      <w:r w:rsidR="00BC14D4" w:rsidRPr="00170560">
        <w:t xml:space="preserve">long-term living standards of New Zealanders. We would hope that the </w:t>
      </w:r>
      <w:r w:rsidR="00E420A7">
        <w:t>LTIB</w:t>
      </w:r>
      <w:r w:rsidR="00BC14D4" w:rsidRPr="00170560">
        <w:t xml:space="preserve"> furthers the </w:t>
      </w:r>
      <w:r w:rsidR="002C666E" w:rsidRPr="00170560">
        <w:t>goal of growing sustainable, intergenerational prosperity by investigati</w:t>
      </w:r>
      <w:r w:rsidR="003C6D79" w:rsidRPr="00170560">
        <w:t>ng</w:t>
      </w:r>
      <w:r w:rsidR="002C666E" w:rsidRPr="00170560">
        <w:t xml:space="preserve"> whether New Zealand’s tax settings </w:t>
      </w:r>
      <w:r w:rsidR="00467E55" w:rsidRPr="00170560">
        <w:t xml:space="preserve">for </w:t>
      </w:r>
      <w:r w:rsidR="003C6D79" w:rsidRPr="00170560">
        <w:t>international investment are in our</w:t>
      </w:r>
      <w:r w:rsidR="00467E55" w:rsidRPr="00170560">
        <w:t xml:space="preserve"> best interests.</w:t>
      </w:r>
      <w:r w:rsidR="000C78FA">
        <w:t xml:space="preserve"> If we make positive changes to our settings over time, </w:t>
      </w:r>
      <w:r w:rsidR="00CC1FE4">
        <w:t>this w</w:t>
      </w:r>
      <w:r w:rsidR="00292B50">
        <w:t>ill</w:t>
      </w:r>
      <w:r w:rsidR="00CC1FE4">
        <w:t xml:space="preserve"> lead to economic security and the ability to create wealth for whānau Māori as well as all New Zealanders.</w:t>
      </w:r>
    </w:p>
    <w:p w14:paraId="7A6D33DE" w14:textId="3572F04B" w:rsidR="004C0DF1" w:rsidRPr="00170560" w:rsidRDefault="004C0DF1" w:rsidP="00173F5C">
      <w:pPr>
        <w:pStyle w:val="NumberedParagraph"/>
        <w:numPr>
          <w:ilvl w:val="1"/>
          <w:numId w:val="64"/>
        </w:numPr>
      </w:pPr>
      <w:r w:rsidRPr="00170560">
        <w:t>Kotahitanga</w:t>
      </w:r>
      <w:r w:rsidR="00467E55" w:rsidRPr="00170560">
        <w:t xml:space="preserve"> and manaakitanga are both important concepts in any consultative process. Kotahitanga is about</w:t>
      </w:r>
      <w:r w:rsidRPr="00170560">
        <w:t xml:space="preserve"> working in an aligned, coordinated way</w:t>
      </w:r>
      <w:r w:rsidR="00467E55" w:rsidRPr="00170560">
        <w:t>, and m</w:t>
      </w:r>
      <w:r w:rsidR="004A2D82" w:rsidRPr="00170560">
        <w:t>anaakitanga</w:t>
      </w:r>
      <w:r w:rsidR="00467E55" w:rsidRPr="00170560">
        <w:t xml:space="preserve"> is about e</w:t>
      </w:r>
      <w:r w:rsidR="004A2D82" w:rsidRPr="00170560">
        <w:t>nhancing the mana of others through a process of showing proper care and respect.</w:t>
      </w:r>
      <w:r w:rsidR="00467E55" w:rsidRPr="00170560">
        <w:t xml:space="preserve"> </w:t>
      </w:r>
      <w:r w:rsidR="00960D84" w:rsidRPr="00170560">
        <w:t xml:space="preserve">There have been two separate </w:t>
      </w:r>
      <w:r w:rsidR="00076376" w:rsidRPr="00170560">
        <w:t xml:space="preserve">rounds of </w:t>
      </w:r>
      <w:r w:rsidR="009A4F4A">
        <w:t>public</w:t>
      </w:r>
      <w:r w:rsidR="00076376" w:rsidRPr="00170560">
        <w:t xml:space="preserve"> consultation on the </w:t>
      </w:r>
      <w:r w:rsidR="00EB4C81">
        <w:t>LTIB</w:t>
      </w:r>
      <w:r w:rsidR="00076376" w:rsidRPr="00170560">
        <w:t xml:space="preserve">, but both have largely been about understanding the evidence and modelling the effects of the tax system on foreign investment. </w:t>
      </w:r>
      <w:r w:rsidR="009A4F4A">
        <w:t>However, a</w:t>
      </w:r>
      <w:r w:rsidR="00076376" w:rsidRPr="00170560">
        <w:t xml:space="preserve">ny </w:t>
      </w:r>
      <w:r w:rsidR="00A62E56" w:rsidRPr="00170560">
        <w:t xml:space="preserve">future </w:t>
      </w:r>
      <w:r w:rsidR="00076376" w:rsidRPr="00170560">
        <w:t xml:space="preserve">policy projects arising out of the </w:t>
      </w:r>
      <w:r w:rsidR="00B03816">
        <w:t>LTIB</w:t>
      </w:r>
      <w:r w:rsidR="00A62E56" w:rsidRPr="00170560">
        <w:t xml:space="preserve"> would benefit from more </w:t>
      </w:r>
      <w:r w:rsidR="009A4F4A">
        <w:t>engagement</w:t>
      </w:r>
      <w:r w:rsidR="00A748E9" w:rsidRPr="00170560">
        <w:t xml:space="preserve"> on how any particular policies would affect Māori and New Zealanders more widely</w:t>
      </w:r>
      <w:r w:rsidR="009A4F4A">
        <w:t xml:space="preserve">, thereby giving effect to the principles of </w:t>
      </w:r>
      <w:proofErr w:type="spellStart"/>
      <w:r w:rsidR="009A4F4A">
        <w:t>kotahitanga</w:t>
      </w:r>
      <w:proofErr w:type="spellEnd"/>
      <w:r w:rsidR="009A4F4A">
        <w:t xml:space="preserve"> and manaakitanga</w:t>
      </w:r>
      <w:r w:rsidR="00A748E9" w:rsidRPr="00170560">
        <w:t>.</w:t>
      </w:r>
    </w:p>
    <w:p w14:paraId="1551015D" w14:textId="074CEDB9" w:rsidR="00916874" w:rsidRPr="00916874" w:rsidRDefault="00916874" w:rsidP="00A41B02">
      <w:pPr>
        <w:pStyle w:val="Heading2"/>
        <w:rPr>
          <w:rFonts w:eastAsia="Calibri"/>
          <w:lang w:eastAsia="en-US"/>
        </w:rPr>
      </w:pPr>
      <w:bookmarkStart w:id="8" w:name="_Toc112857387"/>
      <w:r w:rsidRPr="00916874">
        <w:rPr>
          <w:rFonts w:eastAsia="Calibri"/>
          <w:lang w:eastAsia="en-US"/>
        </w:rPr>
        <w:t>Background</w:t>
      </w:r>
      <w:bookmarkEnd w:id="8"/>
    </w:p>
    <w:p w14:paraId="5FAE104B" w14:textId="77777777" w:rsidR="00916874" w:rsidRPr="00916874" w:rsidRDefault="00916874" w:rsidP="00075D72">
      <w:pPr>
        <w:pStyle w:val="NumberedParagraph"/>
        <w:numPr>
          <w:ilvl w:val="1"/>
          <w:numId w:val="64"/>
        </w:numPr>
      </w:pPr>
      <w:r w:rsidRPr="00916874">
        <w:t>Alongside the Treasury, Inland Revenue provides advice to the Ministers of Finance and of Revenue on the tax and social policies administered through the tax system. As part of providing this advice, Inland Revenue has an important stewardship role to ensure that we are well placed to advise present and future governments on tax policy issues that are likely to be of vital interest to New Zealand in the future.</w:t>
      </w:r>
    </w:p>
    <w:p w14:paraId="33B40056" w14:textId="08F570C8" w:rsidR="00916874" w:rsidRPr="00916874" w:rsidRDefault="00916874" w:rsidP="00075D72">
      <w:pPr>
        <w:pStyle w:val="NumberedParagraph"/>
        <w:numPr>
          <w:ilvl w:val="1"/>
          <w:numId w:val="64"/>
        </w:numPr>
      </w:pPr>
      <w:r w:rsidRPr="00916874">
        <w:t>Under the Public Service Act 2020, there is a new legislative requirement for public service chief executives to undertake public consultation on the topics to be included in an LTIB and on a draft of the LTIB itself.</w:t>
      </w:r>
      <w:r w:rsidRPr="00916874">
        <w:rPr>
          <w:vertAlign w:val="superscript"/>
        </w:rPr>
        <w:footnoteReference w:id="5"/>
      </w:r>
      <w:r w:rsidRPr="00916874">
        <w:t xml:space="preserve"> This is required to happen at least once every three years.</w:t>
      </w:r>
    </w:p>
    <w:p w14:paraId="1B7DBD15" w14:textId="595E871A" w:rsidR="00916874" w:rsidRPr="00916874" w:rsidRDefault="00916874" w:rsidP="00075D72">
      <w:pPr>
        <w:pStyle w:val="NumberedParagraph"/>
        <w:numPr>
          <w:ilvl w:val="1"/>
          <w:numId w:val="64"/>
        </w:numPr>
      </w:pPr>
      <w:r w:rsidRPr="00916874">
        <w:lastRenderedPageBreak/>
        <w:t>LTIBs are not intended to involve advocacy for any particular policy change. Pros and cons of different policy options are to be considered, but LTIBs are not intended to push for particular policy conclusions. They are expected to look out at least ten years into the future.</w:t>
      </w:r>
    </w:p>
    <w:p w14:paraId="41CBA04D" w14:textId="77777777" w:rsidR="00916874" w:rsidRPr="00916874" w:rsidRDefault="00916874" w:rsidP="00075D72">
      <w:pPr>
        <w:pStyle w:val="NumberedParagraph"/>
        <w:numPr>
          <w:ilvl w:val="1"/>
          <w:numId w:val="64"/>
        </w:numPr>
      </w:pPr>
      <w:r w:rsidRPr="00916874">
        <w:t>The purpose of an LTIB is to make available to the public:</w:t>
      </w:r>
    </w:p>
    <w:p w14:paraId="6FA95502" w14:textId="77777777" w:rsidR="00916874" w:rsidRPr="00916874" w:rsidRDefault="00916874" w:rsidP="00075D72">
      <w:pPr>
        <w:pStyle w:val="NumberedParagraph-BulletL1"/>
        <w:numPr>
          <w:ilvl w:val="2"/>
          <w:numId w:val="64"/>
        </w:numPr>
      </w:pPr>
      <w:r w:rsidRPr="00916874">
        <w:t>information about medium- and long-term trends, risks, and opportunities that affect, or may affect, New Zealand society, and</w:t>
      </w:r>
    </w:p>
    <w:p w14:paraId="4E2F1FD8" w14:textId="4AF45B28" w:rsidR="00916874" w:rsidRPr="00916874" w:rsidRDefault="00916874" w:rsidP="00075D72">
      <w:pPr>
        <w:pStyle w:val="NumberedParagraph-BulletL1"/>
        <w:numPr>
          <w:ilvl w:val="2"/>
          <w:numId w:val="64"/>
        </w:numPr>
      </w:pPr>
      <w:r w:rsidRPr="00916874">
        <w:t>information and impartial analysis of the trends, risks and opportunities that have been identified</w:t>
      </w:r>
      <w:r w:rsidR="007728C5" w:rsidRPr="00916874">
        <w:t>, including policy options for responding to</w:t>
      </w:r>
      <w:r w:rsidR="007728C5">
        <w:t xml:space="preserve"> them</w:t>
      </w:r>
      <w:r w:rsidRPr="00916874">
        <w:t>.</w:t>
      </w:r>
    </w:p>
    <w:p w14:paraId="00E56D86" w14:textId="605F39BA" w:rsidR="00916874" w:rsidRPr="00916874" w:rsidRDefault="00916874" w:rsidP="00075D72">
      <w:pPr>
        <w:pStyle w:val="NumberedParagraph"/>
        <w:numPr>
          <w:ilvl w:val="1"/>
          <w:numId w:val="64"/>
        </w:numPr>
      </w:pPr>
      <w:r w:rsidRPr="00916874">
        <w:t xml:space="preserve">This is Inland Revenue’s first </w:t>
      </w:r>
      <w:r w:rsidR="007728C5">
        <w:t>LTIB</w:t>
      </w:r>
      <w:r w:rsidRPr="00916874">
        <w:t>.</w:t>
      </w:r>
    </w:p>
    <w:p w14:paraId="044C9532" w14:textId="1A71D500" w:rsidR="00916874" w:rsidRPr="00916874" w:rsidRDefault="00916874" w:rsidP="00C31466">
      <w:pPr>
        <w:pStyle w:val="Heading2"/>
        <w:rPr>
          <w:rFonts w:eastAsia="Calibri"/>
          <w:lang w:eastAsia="en-US"/>
        </w:rPr>
      </w:pPr>
      <w:bookmarkStart w:id="9" w:name="_Toc112857388"/>
      <w:r w:rsidRPr="00916874">
        <w:rPr>
          <w:rFonts w:eastAsia="Calibri"/>
          <w:lang w:eastAsia="en-US"/>
        </w:rPr>
        <w:t>Key trends and issues</w:t>
      </w:r>
      <w:bookmarkEnd w:id="9"/>
    </w:p>
    <w:p w14:paraId="0904430F" w14:textId="73C8720C" w:rsidR="00916874" w:rsidRPr="00916874" w:rsidRDefault="00916874" w:rsidP="00075D72">
      <w:pPr>
        <w:pStyle w:val="NumberedParagraph"/>
        <w:numPr>
          <w:ilvl w:val="1"/>
          <w:numId w:val="64"/>
        </w:numPr>
      </w:pPr>
      <w:r w:rsidRPr="00916874">
        <w:t xml:space="preserve">The scoping paper noted that, while New Zealand had a low company tax rate compared to most other OECD countries in the late 1980s, this </w:t>
      </w:r>
      <w:r w:rsidR="008430A1">
        <w:t>i</w:t>
      </w:r>
      <w:r w:rsidR="008430A1" w:rsidRPr="00916874">
        <w:t xml:space="preserve">s </w:t>
      </w:r>
      <w:r w:rsidRPr="00916874">
        <w:t xml:space="preserve">no longer true. Since the late 1980s, there have been two </w:t>
      </w:r>
      <w:r w:rsidR="0040575B">
        <w:t>reductions</w:t>
      </w:r>
      <w:r w:rsidRPr="00916874">
        <w:t xml:space="preserve"> in New Zealand’s company tax rate, but most other OECD countries have </w:t>
      </w:r>
      <w:r w:rsidR="00B06749">
        <w:t>reduced</w:t>
      </w:r>
      <w:r w:rsidRPr="00916874">
        <w:t xml:space="preserve"> their company rates more than New Zealand over this period. This is shown in figure 1.1.</w:t>
      </w:r>
      <w:r w:rsidRPr="00916874">
        <w:rPr>
          <w:vertAlign w:val="superscript"/>
        </w:rPr>
        <w:footnoteReference w:id="6"/>
      </w:r>
    </w:p>
    <w:p w14:paraId="038D4A27" w14:textId="4FCAF133" w:rsidR="00916874" w:rsidRPr="00916874" w:rsidRDefault="00916874" w:rsidP="00075D72">
      <w:pPr>
        <w:pStyle w:val="Caption"/>
        <w:rPr>
          <w:rFonts w:eastAsia="Calibri"/>
          <w:lang w:eastAsia="en-US"/>
        </w:rPr>
      </w:pPr>
      <w:r w:rsidRPr="00916874">
        <w:rPr>
          <w:rFonts w:eastAsia="Calibri"/>
          <w:lang w:eastAsia="en-US"/>
        </w:rPr>
        <w:t>Figure 1.1:</w:t>
      </w:r>
      <w:r w:rsidR="005258B7">
        <w:rPr>
          <w:rFonts w:eastAsia="Calibri"/>
          <w:lang w:eastAsia="en-US"/>
        </w:rPr>
        <w:t xml:space="preserve"> </w:t>
      </w:r>
      <w:r w:rsidRPr="00916874">
        <w:rPr>
          <w:rFonts w:eastAsia="Calibri"/>
          <w:lang w:eastAsia="en-US"/>
        </w:rPr>
        <w:t>Company tax rates in NZ and some other OECD countries</w:t>
      </w:r>
    </w:p>
    <w:p w14:paraId="678DA1B3" w14:textId="3E1C2068" w:rsidR="00DB4EF7" w:rsidRPr="0007163C" w:rsidRDefault="007C679F" w:rsidP="00D42934">
      <w:r>
        <w:rPr>
          <w:noProof/>
        </w:rPr>
        <w:drawing>
          <wp:inline distT="0" distB="0" distL="0" distR="0" wp14:anchorId="581407AD" wp14:editId="7669EC99">
            <wp:extent cx="5580380" cy="3644002"/>
            <wp:effectExtent l="0" t="0" r="1270" b="13970"/>
            <wp:docPr id="4" name="Chart 4">
              <a:extLst xmlns:a="http://schemas.openxmlformats.org/drawingml/2006/main">
                <a:ext uri="{FF2B5EF4-FFF2-40B4-BE49-F238E27FC236}">
                  <a16:creationId xmlns:a16="http://schemas.microsoft.com/office/drawing/2014/main" id="{7AC73D50-7F27-4FB0-AA94-7AE33D5689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8CCDD0A" w14:textId="1BAD8225" w:rsidR="00B15914" w:rsidRPr="00B15914" w:rsidRDefault="00B15914" w:rsidP="00672539">
      <w:pPr>
        <w:pStyle w:val="NumberedParagraph"/>
      </w:pPr>
      <w:r w:rsidRPr="00B15914">
        <w:t xml:space="preserve">A potential concern is whether high taxes on inbound investment, and a high company tax rate in particular, are reducing inbound investment, </w:t>
      </w:r>
      <w:proofErr w:type="gramStart"/>
      <w:r w:rsidRPr="00B15914">
        <w:t>productivity</w:t>
      </w:r>
      <w:proofErr w:type="gramEnd"/>
      <w:r w:rsidRPr="00B15914">
        <w:t xml:space="preserve"> </w:t>
      </w:r>
      <w:r w:rsidRPr="00B15914">
        <w:lastRenderedPageBreak/>
        <w:t>and economic performance. The scoping paper noted that New Zealand’s lagging productivity performance ha</w:t>
      </w:r>
      <w:r w:rsidR="003147C1">
        <w:t>s</w:t>
      </w:r>
      <w:r w:rsidRPr="00B15914">
        <w:t xml:space="preserve"> been an issue for decades, </w:t>
      </w:r>
      <w:r w:rsidR="00401E43">
        <w:t>and this</w:t>
      </w:r>
      <w:r w:rsidRPr="00B15914">
        <w:t xml:space="preserve"> included periods when New Zealand’s company tax rate was relatively low as well as when it was relatively high.</w:t>
      </w:r>
    </w:p>
    <w:p w14:paraId="364888B3" w14:textId="0479453D" w:rsidR="00B15914" w:rsidRPr="00B15914" w:rsidRDefault="00B15914" w:rsidP="00075D72">
      <w:pPr>
        <w:pStyle w:val="NumberedParagraph"/>
        <w:numPr>
          <w:ilvl w:val="1"/>
          <w:numId w:val="64"/>
        </w:numPr>
      </w:pPr>
      <w:r w:rsidRPr="00B15914">
        <w:t xml:space="preserve">The scoping paper noted that New Zealand had relatively high EMTRs on inbound investment. This evidence is discussed further in chapter 3. High EMTRs may make it harder for New Zealand firms to respond to new risks and opportunities </w:t>
      </w:r>
      <w:r w:rsidR="00E706BE">
        <w:t>that</w:t>
      </w:r>
      <w:r w:rsidRPr="00B15914">
        <w:t xml:space="preserve"> require investment in new activities (for example, climate change or providing important new infrastructure).</w:t>
      </w:r>
    </w:p>
    <w:p w14:paraId="17B0FA1F" w14:textId="3D235628" w:rsidR="00B15914" w:rsidRPr="00B15914" w:rsidRDefault="00B15914" w:rsidP="00075D72">
      <w:pPr>
        <w:pStyle w:val="NumberedParagraph"/>
        <w:numPr>
          <w:ilvl w:val="1"/>
          <w:numId w:val="64"/>
        </w:numPr>
      </w:pPr>
      <w:r w:rsidRPr="00B15914">
        <w:t>The New Zealand Productivity Commission ha</w:t>
      </w:r>
      <w:r w:rsidR="000F3DD9">
        <w:t>s</w:t>
      </w:r>
      <w:r w:rsidRPr="00B15914">
        <w:t xml:space="preserve"> suggested that attracting high-quality foreign direct investment (FDI) </w:t>
      </w:r>
      <w:r w:rsidR="00980980">
        <w:t>has been used as a strategy by small</w:t>
      </w:r>
      <w:r w:rsidR="00343590">
        <w:t>,</w:t>
      </w:r>
      <w:r w:rsidR="00980980">
        <w:t xml:space="preserve"> advanced economi</w:t>
      </w:r>
      <w:r w:rsidR="00214539">
        <w:t xml:space="preserve">es </w:t>
      </w:r>
      <w:r w:rsidR="004142D1">
        <w:t xml:space="preserve">(SAEs) </w:t>
      </w:r>
      <w:r w:rsidR="00214539">
        <w:t xml:space="preserve">to help firms export specialised, distinctive products at scale. </w:t>
      </w:r>
      <w:r w:rsidR="00CF5355">
        <w:t>It has also suggest</w:t>
      </w:r>
      <w:r w:rsidR="009A2446">
        <w:t>ed</w:t>
      </w:r>
      <w:r w:rsidR="00CF5355">
        <w:t xml:space="preserve"> that firms in successful</w:t>
      </w:r>
      <w:r w:rsidR="00E11B0A">
        <w:t xml:space="preserve"> SAE</w:t>
      </w:r>
      <w:r w:rsidR="004F5898">
        <w:t>s</w:t>
      </w:r>
      <w:r w:rsidR="00E11B0A">
        <w:t xml:space="preserve"> are more internationally connected</w:t>
      </w:r>
      <w:r w:rsidR="00A969A7">
        <w:t>,</w:t>
      </w:r>
      <w:r w:rsidR="00EF63A3">
        <w:t xml:space="preserve"> with greater direct investment overseas</w:t>
      </w:r>
      <w:r w:rsidRPr="00B15914">
        <w:t xml:space="preserve"> (ODI).</w:t>
      </w:r>
      <w:r w:rsidR="00FD141B">
        <w:rPr>
          <w:rStyle w:val="FootnoteReference"/>
        </w:rPr>
        <w:footnoteReference w:id="7"/>
      </w:r>
      <w:r w:rsidRPr="00B15914">
        <w:t xml:space="preserve"> </w:t>
      </w:r>
      <w:r w:rsidR="003521CD">
        <w:t>The scoping paper</w:t>
      </w:r>
      <w:r w:rsidRPr="00B15914">
        <w:t xml:space="preserve"> pointed out that New Zealand’s FDI was not growing as quickly as </w:t>
      </w:r>
      <w:r w:rsidR="004746D8">
        <w:t xml:space="preserve">that of </w:t>
      </w:r>
      <w:r w:rsidRPr="00B15914">
        <w:t>most other OECD countries and New Zealand’s ODI performance looked particularly weak. This is shown in figures 1.2 and 1.3.</w:t>
      </w:r>
    </w:p>
    <w:p w14:paraId="7B78287C" w14:textId="2D73FBE2" w:rsidR="00B15914" w:rsidRPr="00B15914" w:rsidRDefault="00B15914" w:rsidP="00075D72">
      <w:pPr>
        <w:pStyle w:val="Caption"/>
        <w:rPr>
          <w:rFonts w:eastAsia="Calibri"/>
          <w:lang w:eastAsia="en-US"/>
        </w:rPr>
      </w:pPr>
      <w:r w:rsidRPr="00B15914">
        <w:rPr>
          <w:rFonts w:eastAsia="Calibri"/>
          <w:lang w:eastAsia="en-US"/>
        </w:rPr>
        <w:t>Figure 1.2:</w:t>
      </w:r>
      <w:r w:rsidR="00524E49">
        <w:rPr>
          <w:rFonts w:eastAsia="Calibri"/>
          <w:lang w:eastAsia="en-US"/>
        </w:rPr>
        <w:t xml:space="preserve"> </w:t>
      </w:r>
      <w:r w:rsidRPr="00B15914">
        <w:rPr>
          <w:rFonts w:eastAsia="Calibri"/>
          <w:lang w:eastAsia="en-US"/>
        </w:rPr>
        <w:t>FDI as a percentage of GDP</w:t>
      </w:r>
      <w:r w:rsidR="007247B8">
        <w:rPr>
          <w:rStyle w:val="FootnoteReference"/>
          <w:rFonts w:eastAsia="Calibri"/>
          <w:lang w:eastAsia="en-US"/>
        </w:rPr>
        <w:footnoteReference w:id="8"/>
      </w:r>
    </w:p>
    <w:p w14:paraId="186206FD" w14:textId="19FBDA13" w:rsidR="006F50EC" w:rsidRDefault="007A713E" w:rsidP="00AC7076">
      <w:r>
        <w:rPr>
          <w:noProof/>
        </w:rPr>
        <w:drawing>
          <wp:inline distT="0" distB="0" distL="0" distR="0" wp14:anchorId="6DE9CD5C" wp14:editId="3C323D59">
            <wp:extent cx="5580380" cy="3644265"/>
            <wp:effectExtent l="0" t="0" r="1270" b="13335"/>
            <wp:docPr id="14" name="Chart 14">
              <a:extLst xmlns:a="http://schemas.openxmlformats.org/drawingml/2006/main">
                <a:ext uri="{FF2B5EF4-FFF2-40B4-BE49-F238E27FC236}">
                  <a16:creationId xmlns:a16="http://schemas.microsoft.com/office/drawing/2014/main" id="{6ED24BE1-AAE9-4DA9-8EEE-F0C289E698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3E64751" w14:textId="0623138A" w:rsidR="00AC7076" w:rsidRPr="00AC7076" w:rsidRDefault="00AC7076" w:rsidP="00E316F9"/>
    <w:p w14:paraId="22BE665A" w14:textId="2689AED5" w:rsidR="00DB7DE1" w:rsidRPr="00672539" w:rsidRDefault="00DB7DE1" w:rsidP="00075D72">
      <w:pPr>
        <w:pStyle w:val="Caption"/>
        <w:rPr>
          <w:rFonts w:eastAsia="Calibri"/>
        </w:rPr>
      </w:pPr>
      <w:r w:rsidRPr="00DB7DE1">
        <w:rPr>
          <w:rFonts w:eastAsia="Calibri"/>
          <w:lang w:eastAsia="en-US"/>
        </w:rPr>
        <w:lastRenderedPageBreak/>
        <w:t>Figure 1.3:</w:t>
      </w:r>
      <w:r w:rsidR="00524E49">
        <w:rPr>
          <w:rFonts w:eastAsia="Calibri"/>
          <w:lang w:eastAsia="en-US"/>
        </w:rPr>
        <w:t xml:space="preserve"> </w:t>
      </w:r>
      <w:r w:rsidRPr="00DB7DE1">
        <w:rPr>
          <w:rFonts w:eastAsia="Calibri"/>
          <w:lang w:eastAsia="en-US"/>
        </w:rPr>
        <w:t>ODI as a percentage of GDP</w:t>
      </w:r>
    </w:p>
    <w:p w14:paraId="6D657CF1" w14:textId="3968CD46" w:rsidR="00F3252B" w:rsidRDefault="00C81355" w:rsidP="005C7FBA">
      <w:r>
        <w:rPr>
          <w:noProof/>
        </w:rPr>
        <w:drawing>
          <wp:inline distT="0" distB="0" distL="0" distR="0" wp14:anchorId="0497B7D9" wp14:editId="6B4ABCA1">
            <wp:extent cx="5580380" cy="3644265"/>
            <wp:effectExtent l="0" t="0" r="1270" b="13335"/>
            <wp:docPr id="23" name="Chart 23">
              <a:extLst xmlns:a="http://schemas.openxmlformats.org/drawingml/2006/main">
                <a:ext uri="{FF2B5EF4-FFF2-40B4-BE49-F238E27FC236}">
                  <a16:creationId xmlns:a16="http://schemas.microsoft.com/office/drawing/2014/main" id="{3B2D5D4A-3B40-4721-91C3-D094852D8A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18313CF" w14:textId="5653131E" w:rsidR="00E76FFC" w:rsidRPr="00030187" w:rsidRDefault="006D5B39" w:rsidP="00F905F6">
      <w:pPr>
        <w:pStyle w:val="NumberedParagraph"/>
      </w:pPr>
      <w:r w:rsidRPr="006D5B39">
        <w:t xml:space="preserve">This LTIB focuses on taxes on inbound investment that may affect FDI performance, as in figure 1.2. It has not been possible to consider the potential impact of tax settings on ODI in the time available. New Zealand’s very low levels of ODI have continued despite a major tax policy change for income years starting </w:t>
      </w:r>
      <w:r w:rsidR="003E0CB2">
        <w:t xml:space="preserve">on or </w:t>
      </w:r>
      <w:r w:rsidRPr="006D5B39">
        <w:t>after 1 July 2009. At that time</w:t>
      </w:r>
      <w:r w:rsidR="00935D68">
        <w:t>,</w:t>
      </w:r>
      <w:r w:rsidRPr="006D5B39">
        <w:t xml:space="preserve"> New Zealand changed its tax rules on outbound investment to exempt the active income of controlled foreign corporations, making the rules much more like those of many other countries. While this might have been expected to encourage ODI, there is no evidence of a strong positive response in the data.</w:t>
      </w:r>
    </w:p>
    <w:p w14:paraId="6312B27C" w14:textId="6A012D3E" w:rsidR="006D5B39" w:rsidRDefault="006778D5" w:rsidP="00F905F6">
      <w:pPr>
        <w:pStyle w:val="NumberedParagraph"/>
      </w:pPr>
      <w:r>
        <w:t>A</w:t>
      </w:r>
      <w:r w:rsidR="00CB6316">
        <w:t xml:space="preserve"> submission on </w:t>
      </w:r>
      <w:r w:rsidR="00605C22">
        <w:rPr>
          <w:lang w:val="en-US"/>
        </w:rPr>
        <w:t xml:space="preserve">the draft LTIB </w:t>
      </w:r>
      <w:r w:rsidR="002778BF">
        <w:rPr>
          <w:lang w:val="en-US"/>
        </w:rPr>
        <w:t>by</w:t>
      </w:r>
      <w:r w:rsidR="0024255F">
        <w:rPr>
          <w:lang w:val="en-US"/>
        </w:rPr>
        <w:t xml:space="preserve"> Strategic Tax Management </w:t>
      </w:r>
      <w:r w:rsidR="00605C22">
        <w:rPr>
          <w:lang w:val="en-US"/>
        </w:rPr>
        <w:t xml:space="preserve">expressed concerns that </w:t>
      </w:r>
      <w:r w:rsidR="00277B3C">
        <w:rPr>
          <w:lang w:val="en-US"/>
        </w:rPr>
        <w:t xml:space="preserve">ODI was not being considered in </w:t>
      </w:r>
      <w:r>
        <w:rPr>
          <w:lang w:val="en-US"/>
        </w:rPr>
        <w:t>t</w:t>
      </w:r>
      <w:r w:rsidR="00277B3C">
        <w:rPr>
          <w:lang w:val="en-US"/>
        </w:rPr>
        <w:t xml:space="preserve">he LTIB work. </w:t>
      </w:r>
      <w:r w:rsidR="003B35AB">
        <w:rPr>
          <w:lang w:val="en-US"/>
        </w:rPr>
        <w:t xml:space="preserve">It suggested </w:t>
      </w:r>
      <w:r w:rsidR="00605C22">
        <w:rPr>
          <w:lang w:val="en-US"/>
        </w:rPr>
        <w:t xml:space="preserve">tax settings for ODI might be reducing the attractiveness of NZ as a place to base MNEs. In the longer run, </w:t>
      </w:r>
      <w:r w:rsidR="008C127A">
        <w:rPr>
          <w:lang w:val="en-US"/>
        </w:rPr>
        <w:t xml:space="preserve">it would be </w:t>
      </w:r>
      <w:r w:rsidR="00605C22">
        <w:rPr>
          <w:lang w:val="en-US"/>
        </w:rPr>
        <w:t>good to examine how tax setting</w:t>
      </w:r>
      <w:r w:rsidR="00D87B4F">
        <w:rPr>
          <w:lang w:val="en-US"/>
        </w:rPr>
        <w:t>s</w:t>
      </w:r>
      <w:r w:rsidR="00605C22">
        <w:rPr>
          <w:lang w:val="en-US"/>
        </w:rPr>
        <w:t xml:space="preserve"> are likely to be affecting outbound as well as inbound investment</w:t>
      </w:r>
      <w:r w:rsidR="00E339D1">
        <w:rPr>
          <w:lang w:val="en-US"/>
        </w:rPr>
        <w:t>,</w:t>
      </w:r>
      <w:r w:rsidR="008C127A">
        <w:rPr>
          <w:lang w:val="en-US"/>
        </w:rPr>
        <w:t xml:space="preserve"> but we have not been able to do that as part of th</w:t>
      </w:r>
      <w:r w:rsidR="00F3252B">
        <w:rPr>
          <w:lang w:val="en-US"/>
        </w:rPr>
        <w:t>e current</w:t>
      </w:r>
      <w:r w:rsidR="008C127A">
        <w:rPr>
          <w:lang w:val="en-US"/>
        </w:rPr>
        <w:t xml:space="preserve"> LTI</w:t>
      </w:r>
      <w:r w:rsidR="005C7FBA">
        <w:rPr>
          <w:lang w:val="en-US"/>
        </w:rPr>
        <w:t>B exercise.</w:t>
      </w:r>
    </w:p>
    <w:p w14:paraId="662947A3" w14:textId="069EA118" w:rsidR="00074667" w:rsidRDefault="00851FD8" w:rsidP="00672539">
      <w:pPr>
        <w:pStyle w:val="NumberedParagraph"/>
      </w:pPr>
      <w:r>
        <w:t>T</w:t>
      </w:r>
      <w:r w:rsidR="003953B0">
        <w:t>he Productivity Commission</w:t>
      </w:r>
      <w:r>
        <w:t xml:space="preserve"> has suggested that </w:t>
      </w:r>
      <w:r w:rsidR="00124215">
        <w:t xml:space="preserve">high-quality </w:t>
      </w:r>
      <w:r w:rsidR="00427A00">
        <w:t xml:space="preserve">FDI </w:t>
      </w:r>
      <w:r w:rsidR="00877E4A">
        <w:t>can provide spillov</w:t>
      </w:r>
      <w:r w:rsidR="00595053">
        <w:t xml:space="preserve">er benefits for New Zealand. </w:t>
      </w:r>
      <w:r w:rsidR="002C6A9F">
        <w:t>At the same time</w:t>
      </w:r>
      <w:r w:rsidR="00F70FC3">
        <w:t>,</w:t>
      </w:r>
      <w:r w:rsidR="002C6A9F">
        <w:t xml:space="preserve"> it points out that the same benefits may be produced by having large</w:t>
      </w:r>
      <w:r w:rsidR="00461F06">
        <w:t xml:space="preserve"> domestic exporting firms and that not all FDI is what they would deem to be “high quality”.</w:t>
      </w:r>
      <w:r w:rsidR="00940D63">
        <w:rPr>
          <w:rStyle w:val="FootnoteReference"/>
        </w:rPr>
        <w:footnoteReference w:id="9"/>
      </w:r>
    </w:p>
    <w:p w14:paraId="1A1C469F" w14:textId="1A033640" w:rsidR="009C68C4" w:rsidRDefault="00074667" w:rsidP="00672539">
      <w:pPr>
        <w:pStyle w:val="NumberedParagraph"/>
      </w:pPr>
      <w:r>
        <w:t>This raises the question of whether we should focus o</w:t>
      </w:r>
      <w:r w:rsidR="00C83FA7">
        <w:t xml:space="preserve">n FDI or </w:t>
      </w:r>
      <w:r w:rsidR="002E214C">
        <w:t>broader measures of</w:t>
      </w:r>
      <w:r w:rsidR="0061345D">
        <w:t xml:space="preserve"> investment </w:t>
      </w:r>
      <w:r w:rsidR="005E18A2">
        <w:t>that</w:t>
      </w:r>
      <w:r w:rsidR="0061345D">
        <w:t xml:space="preserve"> can add to New Zealand’s capital stock</w:t>
      </w:r>
      <w:r w:rsidR="005E18A2">
        <w:t>,</w:t>
      </w:r>
      <w:r w:rsidR="0061345D">
        <w:t xml:space="preserve"> including foreign portfolio investment (FPI) as well as </w:t>
      </w:r>
      <w:r w:rsidR="00322F1E">
        <w:t xml:space="preserve">FDI. </w:t>
      </w:r>
      <w:r w:rsidR="00C2085B">
        <w:t>This</w:t>
      </w:r>
      <w:r w:rsidR="00012B9E">
        <w:t xml:space="preserve"> is explored in chapter </w:t>
      </w:r>
      <w:r w:rsidR="00144A59">
        <w:t>2</w:t>
      </w:r>
      <w:r w:rsidR="002D0AE3">
        <w:t>.</w:t>
      </w:r>
      <w:r w:rsidR="00603772">
        <w:t xml:space="preserve"> </w:t>
      </w:r>
      <w:r w:rsidR="00C07C09">
        <w:t>Broader measures of investment may make New Zealand’s investment performance look less mediocre.</w:t>
      </w:r>
      <w:r w:rsidR="000D653B">
        <w:t xml:space="preserve"> </w:t>
      </w:r>
      <w:r w:rsidR="00603772">
        <w:t xml:space="preserve">One of the external reviewers pointed to </w:t>
      </w:r>
      <w:r w:rsidR="00483B3E">
        <w:t xml:space="preserve">a series that the OECD has put together on </w:t>
      </w:r>
      <w:r w:rsidR="00196EFE">
        <w:t>c</w:t>
      </w:r>
      <w:r w:rsidR="0055659B">
        <w:t>orporate</w:t>
      </w:r>
      <w:r w:rsidR="00483B3E">
        <w:t xml:space="preserve"> </w:t>
      </w:r>
      <w:r w:rsidR="0069453A">
        <w:t>investment</w:t>
      </w:r>
      <w:r w:rsidR="00483B3E">
        <w:t xml:space="preserve"> as a share of GDP.</w:t>
      </w:r>
    </w:p>
    <w:p w14:paraId="4769CC9D" w14:textId="08450008" w:rsidR="00820D8C" w:rsidRDefault="00C363EB" w:rsidP="00672539">
      <w:pPr>
        <w:pStyle w:val="NumberedParagraph"/>
      </w:pPr>
      <w:r>
        <w:lastRenderedPageBreak/>
        <w:t xml:space="preserve">Results for Australia, New Zealand, the United </w:t>
      </w:r>
      <w:proofErr w:type="gramStart"/>
      <w:r>
        <w:t>Kingdom</w:t>
      </w:r>
      <w:proofErr w:type="gramEnd"/>
      <w:r>
        <w:t xml:space="preserve"> and </w:t>
      </w:r>
      <w:r w:rsidR="006B1B64">
        <w:t xml:space="preserve">OECD countries </w:t>
      </w:r>
      <w:r w:rsidR="00353BB2">
        <w:t>are</w:t>
      </w:r>
      <w:r w:rsidR="006B1B64">
        <w:t xml:space="preserve"> provided in Figure 1.4 below.</w:t>
      </w:r>
      <w:r w:rsidR="00550498">
        <w:t xml:space="preserve"> Th</w:t>
      </w:r>
      <w:r w:rsidR="00C041DB">
        <w:t>ese</w:t>
      </w:r>
      <w:r w:rsidR="00D47727">
        <w:t xml:space="preserve"> results</w:t>
      </w:r>
      <w:r w:rsidR="00550498">
        <w:t xml:space="preserve"> suggest that</w:t>
      </w:r>
      <w:r w:rsidR="00C041DB">
        <w:t>,</w:t>
      </w:r>
      <w:r w:rsidR="00550498">
        <w:t xml:space="preserve"> </w:t>
      </w:r>
      <w:r w:rsidR="00DE1F38">
        <w:t>since 200</w:t>
      </w:r>
      <w:r w:rsidR="007B09AC">
        <w:t>1</w:t>
      </w:r>
      <w:r w:rsidR="00C041DB">
        <w:t>,</w:t>
      </w:r>
      <w:r w:rsidR="00DE1F38">
        <w:t xml:space="preserve"> </w:t>
      </w:r>
      <w:r w:rsidR="00F9340F">
        <w:t xml:space="preserve">corporate </w:t>
      </w:r>
      <w:r w:rsidR="007B09AC">
        <w:t>net investment (</w:t>
      </w:r>
      <w:r w:rsidR="008765A4">
        <w:t>co</w:t>
      </w:r>
      <w:r w:rsidR="00E822F3">
        <w:t>r</w:t>
      </w:r>
      <w:r w:rsidR="008765A4">
        <w:t>porate gross fixed capital formation minu</w:t>
      </w:r>
      <w:r w:rsidR="00981F22">
        <w:t>s</w:t>
      </w:r>
      <w:r w:rsidR="008765A4">
        <w:t xml:space="preserve"> consumption of fixed capital) </w:t>
      </w:r>
      <w:r w:rsidR="00981F22">
        <w:t xml:space="preserve">as a percentage of GDP </w:t>
      </w:r>
      <w:r w:rsidR="008765A4">
        <w:t>has been higher in New Zealand than in the Unite</w:t>
      </w:r>
      <w:r w:rsidR="00981F22">
        <w:t xml:space="preserve">d States, the </w:t>
      </w:r>
      <w:proofErr w:type="gramStart"/>
      <w:r w:rsidR="00981F22">
        <w:t>UK</w:t>
      </w:r>
      <w:proofErr w:type="gramEnd"/>
      <w:r w:rsidR="00981F22">
        <w:t xml:space="preserve"> or the OECD as a whole. </w:t>
      </w:r>
      <w:r w:rsidR="00290726">
        <w:t>Since 2015 corporate net investment as a percentage of GDP has also been higher in New Zealand than Australia.</w:t>
      </w:r>
      <w:r w:rsidR="00CB7F1A">
        <w:t xml:space="preserve"> Thus</w:t>
      </w:r>
      <w:r w:rsidR="00C66607">
        <w:t xml:space="preserve">, despite New Zealand’s low </w:t>
      </w:r>
      <w:r w:rsidR="00967F42">
        <w:t xml:space="preserve">stock of FDI and despite the fact that this is not increasing rapidly, New Zealand appears to have high levels of corporate net investment. </w:t>
      </w:r>
      <w:r w:rsidR="006F4611">
        <w:t xml:space="preserve">Aggregate corporate investment </w:t>
      </w:r>
      <w:r w:rsidR="00020D32">
        <w:t xml:space="preserve">can increase if companies raise funds domestically or use </w:t>
      </w:r>
      <w:r w:rsidR="006E6F88">
        <w:t xml:space="preserve">FPI to finance investment. </w:t>
      </w:r>
      <w:r w:rsidR="00A37F99">
        <w:t xml:space="preserve">Conversely, FDI will increase if a foreign company </w:t>
      </w:r>
      <w:r w:rsidR="00422078">
        <w:t xml:space="preserve">increases its ownership of domestic businesses without this necessarily enlarging New Zealand’s aggregate capital stock. </w:t>
      </w:r>
      <w:r w:rsidR="00E903DB">
        <w:t xml:space="preserve">Thus, low FDI as a percentage of GDP does not mean that New Zealand is </w:t>
      </w:r>
      <w:r w:rsidR="00EC060F">
        <w:t xml:space="preserve">necessarily </w:t>
      </w:r>
      <w:r w:rsidR="00E903DB">
        <w:t>doing poorly on aggregate corporate investment.</w:t>
      </w:r>
    </w:p>
    <w:p w14:paraId="3C55113A" w14:textId="70113CE8" w:rsidR="006B1B64" w:rsidRPr="00786202" w:rsidRDefault="009F73E0" w:rsidP="00786202">
      <w:pPr>
        <w:pStyle w:val="NumberedParagraph"/>
        <w:numPr>
          <w:ilvl w:val="0"/>
          <w:numId w:val="0"/>
        </w:numPr>
        <w:ind w:left="851"/>
        <w:jc w:val="center"/>
        <w:rPr>
          <w:b/>
          <w:bCs/>
        </w:rPr>
      </w:pPr>
      <w:r>
        <w:rPr>
          <w:noProof/>
        </w:rPr>
        <w:drawing>
          <wp:anchor distT="0" distB="0" distL="114300" distR="114300" simplePos="0" relativeHeight="251658240" behindDoc="0" locked="0" layoutInCell="1" allowOverlap="1" wp14:anchorId="56992F46" wp14:editId="4FCA1580">
            <wp:simplePos x="0" y="0"/>
            <wp:positionH relativeFrom="column">
              <wp:posOffset>-335915</wp:posOffset>
            </wp:positionH>
            <wp:positionV relativeFrom="page">
              <wp:posOffset>3702050</wp:posOffset>
            </wp:positionV>
            <wp:extent cx="5941695" cy="3471545"/>
            <wp:effectExtent l="0" t="0" r="1905" b="14605"/>
            <wp:wrapSquare wrapText="bothSides"/>
            <wp:docPr id="24" name="Chart 24">
              <a:extLst xmlns:a="http://schemas.openxmlformats.org/drawingml/2006/main">
                <a:ext uri="{FF2B5EF4-FFF2-40B4-BE49-F238E27FC236}">
                  <a16:creationId xmlns:a16="http://schemas.microsoft.com/office/drawing/2014/main" id="{D6658866-FC03-48EC-89A2-88AD1ED378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241E83">
        <w:rPr>
          <w:b/>
          <w:bCs/>
        </w:rPr>
        <w:t>Figure 1.4</w:t>
      </w:r>
      <w:r w:rsidR="00512959">
        <w:rPr>
          <w:b/>
          <w:bCs/>
        </w:rPr>
        <w:t xml:space="preserve"> Company </w:t>
      </w:r>
      <w:r w:rsidR="00FA6675">
        <w:rPr>
          <w:b/>
          <w:bCs/>
        </w:rPr>
        <w:t>net investment</w:t>
      </w:r>
      <w:r w:rsidR="00512959">
        <w:rPr>
          <w:b/>
          <w:bCs/>
        </w:rPr>
        <w:t xml:space="preserve"> as a share of GDP</w:t>
      </w:r>
      <w:r w:rsidR="00C473C8">
        <w:rPr>
          <w:rStyle w:val="FootnoteReference"/>
          <w:b/>
          <w:bCs/>
        </w:rPr>
        <w:footnoteReference w:id="10"/>
      </w:r>
    </w:p>
    <w:p w14:paraId="27F78E8C" w14:textId="77777777" w:rsidR="003D3343" w:rsidRDefault="003D3343" w:rsidP="00241E83">
      <w:pPr>
        <w:pStyle w:val="NumberedParagraph"/>
        <w:numPr>
          <w:ilvl w:val="0"/>
          <w:numId w:val="0"/>
        </w:numPr>
        <w:ind w:left="851"/>
      </w:pPr>
    </w:p>
    <w:p w14:paraId="5F562DDD" w14:textId="798AE5AF" w:rsidR="006D5B39" w:rsidRDefault="005D4627" w:rsidP="00075D72">
      <w:pPr>
        <w:pStyle w:val="NumberedParagraph"/>
        <w:numPr>
          <w:ilvl w:val="1"/>
          <w:numId w:val="64"/>
        </w:numPr>
      </w:pPr>
      <w:r>
        <w:t>N</w:t>
      </w:r>
      <w:r w:rsidR="002D0B5C">
        <w:t xml:space="preserve">evertheless, </w:t>
      </w:r>
      <w:r w:rsidR="00AD2F76">
        <w:t xml:space="preserve">over an extended period, New Zealand’s performance on </w:t>
      </w:r>
      <w:r w:rsidR="006D0E8C">
        <w:t xml:space="preserve">real </w:t>
      </w:r>
      <w:r w:rsidR="00AD2F76">
        <w:t>G</w:t>
      </w:r>
      <w:r w:rsidR="006D0E8C">
        <w:t>DP per capita and productivity ha</w:t>
      </w:r>
      <w:r w:rsidR="000E573A">
        <w:t>s</w:t>
      </w:r>
      <w:r w:rsidR="006D0E8C">
        <w:t xml:space="preserve"> been weak. </w:t>
      </w:r>
      <w:r w:rsidR="001D170A">
        <w:t>T</w:t>
      </w:r>
      <w:r w:rsidR="006D5B39" w:rsidRPr="006D5B39">
        <w:t>he scoping paper discussed New Zealand’s economic performance relative to the USA in real GDP per capita and labour productivity. Real GDP per capita fell in New Zealand relative to the United States until about 1992</w:t>
      </w:r>
      <w:r w:rsidR="00841CEC">
        <w:t>,</w:t>
      </w:r>
      <w:r w:rsidR="006D5B39" w:rsidRPr="006D5B39">
        <w:t xml:space="preserve"> when it seemed to stabilise for a period. There has been some small sign of recovery since then.</w:t>
      </w:r>
      <w:r w:rsidR="00D90033">
        <w:rPr>
          <w:rStyle w:val="FootnoteReference"/>
        </w:rPr>
        <w:footnoteReference w:id="11"/>
      </w:r>
      <w:r w:rsidR="006D5B39" w:rsidRPr="006D5B39">
        <w:t xml:space="preserve"> However, as the scoping paper discusses, New Zealand’s labour productivity performance looks worse </w:t>
      </w:r>
      <w:r w:rsidR="006D5B39" w:rsidRPr="006D5B39">
        <w:lastRenderedPageBreak/>
        <w:t xml:space="preserve">than its real GDP per capita performance. New Zealand’s level of labour productivity is now </w:t>
      </w:r>
      <w:r w:rsidR="00516A8E">
        <w:t>about</w:t>
      </w:r>
      <w:r w:rsidR="006D5B39" w:rsidRPr="006D5B39">
        <w:t xml:space="preserve"> 6</w:t>
      </w:r>
      <w:r w:rsidR="00C14DD5">
        <w:t>1</w:t>
      </w:r>
      <w:r w:rsidR="006D5B39" w:rsidRPr="006D5B39">
        <w:t>% of that of the United States. This is lower than it was in th</w:t>
      </w:r>
      <w:r w:rsidR="00301F71">
        <w:t>roughout th</w:t>
      </w:r>
      <w:r w:rsidR="00EC1DDA">
        <w:t>e</w:t>
      </w:r>
      <w:r w:rsidR="006D5B39" w:rsidRPr="006D5B39" w:rsidDel="00477251">
        <w:t xml:space="preserve"> </w:t>
      </w:r>
      <w:r w:rsidR="006D5B39" w:rsidRPr="006D5B39">
        <w:t>1990s</w:t>
      </w:r>
      <w:r w:rsidR="00226F5E">
        <w:t xml:space="preserve"> despite the growth in real GDP per capita</w:t>
      </w:r>
      <w:r w:rsidR="00F92F1A">
        <w:t xml:space="preserve"> </w:t>
      </w:r>
      <w:r w:rsidR="00301F71">
        <w:t>since that time.</w:t>
      </w:r>
      <w:r w:rsidR="00F167BC">
        <w:rPr>
          <w:rStyle w:val="FootnoteReference"/>
        </w:rPr>
        <w:footnoteReference w:id="12"/>
      </w:r>
    </w:p>
    <w:p w14:paraId="1C592A49" w14:textId="57448701" w:rsidR="006D5B39" w:rsidRDefault="006D5B39" w:rsidP="00390C2B">
      <w:pPr>
        <w:pStyle w:val="Caption"/>
      </w:pPr>
      <w:r w:rsidRPr="006D5B39">
        <w:rPr>
          <w:rFonts w:eastAsia="Calibri"/>
          <w:lang w:eastAsia="en-US"/>
        </w:rPr>
        <w:t>Figure 1.</w:t>
      </w:r>
      <w:r w:rsidR="00C42DC4">
        <w:rPr>
          <w:rFonts w:eastAsia="Calibri"/>
          <w:lang w:eastAsia="en-US"/>
        </w:rPr>
        <w:t>5</w:t>
      </w:r>
      <w:r w:rsidRPr="006D5B39">
        <w:rPr>
          <w:rFonts w:eastAsia="Calibri"/>
          <w:lang w:eastAsia="en-US"/>
        </w:rPr>
        <w:t>:</w:t>
      </w:r>
      <w:r w:rsidR="00250B58">
        <w:rPr>
          <w:rFonts w:eastAsia="Calibri"/>
          <w:lang w:eastAsia="en-US"/>
        </w:rPr>
        <w:t xml:space="preserve"> </w:t>
      </w:r>
      <w:r w:rsidRPr="006D5B39">
        <w:rPr>
          <w:rFonts w:eastAsia="Calibri"/>
          <w:lang w:eastAsia="en-US"/>
        </w:rPr>
        <w:t>Real GDP per capita relative to the US</w:t>
      </w:r>
    </w:p>
    <w:p w14:paraId="28AB4035" w14:textId="66B35687" w:rsidR="00A6074C" w:rsidRPr="00A6074C" w:rsidRDefault="00D74903" w:rsidP="00C31146">
      <w:r>
        <w:rPr>
          <w:noProof/>
        </w:rPr>
        <w:drawing>
          <wp:inline distT="0" distB="0" distL="0" distR="0" wp14:anchorId="7431DCEC" wp14:editId="05395222">
            <wp:extent cx="5580380" cy="3644002"/>
            <wp:effectExtent l="0" t="0" r="1270" b="13970"/>
            <wp:docPr id="5" name="Chart 5">
              <a:extLst xmlns:a="http://schemas.openxmlformats.org/drawingml/2006/main">
                <a:ext uri="{FF2B5EF4-FFF2-40B4-BE49-F238E27FC236}">
                  <a16:creationId xmlns:a16="http://schemas.microsoft.com/office/drawing/2014/main" id="{84613049-8264-4E10-B16B-2A96E483C6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41566BE" w14:textId="77777777" w:rsidR="00390C2B" w:rsidRDefault="00390C2B" w:rsidP="00390C2B">
      <w:pPr>
        <w:pStyle w:val="NumberedParagraph"/>
        <w:numPr>
          <w:ilvl w:val="0"/>
          <w:numId w:val="0"/>
        </w:numPr>
        <w:ind w:left="851" w:hanging="851"/>
      </w:pPr>
    </w:p>
    <w:p w14:paraId="03EDA4D8" w14:textId="7A1659AD" w:rsidR="008E22D3" w:rsidRPr="008E22D3" w:rsidRDefault="00F86F9E" w:rsidP="00075D72">
      <w:pPr>
        <w:pStyle w:val="NumberedParagraph"/>
        <w:numPr>
          <w:ilvl w:val="1"/>
          <w:numId w:val="64"/>
        </w:numPr>
      </w:pPr>
      <w:r>
        <w:t>M</w:t>
      </w:r>
      <w:r w:rsidR="008E22D3" w:rsidRPr="008E22D3">
        <w:t xml:space="preserve">any other issues may be more crucial for economic performance than tax policy settings, but </w:t>
      </w:r>
      <w:r w:rsidR="00301F71">
        <w:t xml:space="preserve">an </w:t>
      </w:r>
      <w:r w:rsidR="008E22D3" w:rsidRPr="008E22D3">
        <w:t>important question</w:t>
      </w:r>
      <w:r w:rsidR="00301F71">
        <w:t xml:space="preserve"> is</w:t>
      </w:r>
      <w:r w:rsidR="008E22D3" w:rsidRPr="008E22D3">
        <w:t xml:space="preserve"> whether New Zealand’s current settings are likely to be having a</w:t>
      </w:r>
      <w:r w:rsidR="00C64E59">
        <w:t xml:space="preserve"> material</w:t>
      </w:r>
      <w:r w:rsidR="008E22D3" w:rsidRPr="008E22D3">
        <w:t xml:space="preserve"> adverse impact and whether there are ways of improving our tax settings.</w:t>
      </w:r>
    </w:p>
    <w:p w14:paraId="4ED9AE90" w14:textId="0FC4910E" w:rsidR="008E22D3" w:rsidRPr="008E22D3" w:rsidRDefault="008E22D3" w:rsidP="008E22D3">
      <w:pPr>
        <w:pStyle w:val="Heading2"/>
        <w:rPr>
          <w:rFonts w:eastAsia="Calibri"/>
          <w:lang w:eastAsia="en-US"/>
        </w:rPr>
      </w:pPr>
      <w:bookmarkStart w:id="10" w:name="_Toc112857389"/>
      <w:r w:rsidRPr="008E22D3">
        <w:rPr>
          <w:rFonts w:eastAsia="Calibri"/>
          <w:lang w:eastAsia="en-US"/>
        </w:rPr>
        <w:t>Feedback received on the scoping paper</w:t>
      </w:r>
      <w:bookmarkEnd w:id="10"/>
    </w:p>
    <w:p w14:paraId="100A97B7" w14:textId="0F244AD8" w:rsidR="008E22D3" w:rsidRPr="008E22D3" w:rsidRDefault="008E22D3" w:rsidP="00075D72">
      <w:pPr>
        <w:pStyle w:val="NumberedParagraph"/>
        <w:numPr>
          <w:ilvl w:val="1"/>
          <w:numId w:val="64"/>
        </w:numPr>
      </w:pPr>
      <w:r w:rsidRPr="008E22D3">
        <w:t xml:space="preserve">Our scoping paper suggested that our LTIB focus on tax, </w:t>
      </w:r>
      <w:proofErr w:type="gramStart"/>
      <w:r w:rsidRPr="008E22D3">
        <w:t>investment</w:t>
      </w:r>
      <w:proofErr w:type="gramEnd"/>
      <w:r w:rsidRPr="008E22D3">
        <w:t xml:space="preserve"> and productivity. We received feedback from eight individuals and groups. Most supported tax investment and productivity as a topic for our LTIB. At the same time</w:t>
      </w:r>
      <w:r w:rsidR="008D18C1">
        <w:t>,</w:t>
      </w:r>
      <w:r w:rsidRPr="008E22D3">
        <w:t xml:space="preserve"> </w:t>
      </w:r>
      <w:r w:rsidR="009C12D2">
        <w:t>several</w:t>
      </w:r>
      <w:r w:rsidRPr="008E22D3">
        <w:t xml:space="preserve"> concerns and qualifications </w:t>
      </w:r>
      <w:r w:rsidR="008D18C1">
        <w:t xml:space="preserve">were </w:t>
      </w:r>
      <w:r w:rsidRPr="008E22D3">
        <w:t>raised.</w:t>
      </w:r>
    </w:p>
    <w:p w14:paraId="016B1350" w14:textId="75158D8B" w:rsidR="008E22D3" w:rsidRPr="008E22D3" w:rsidRDefault="008E22D3" w:rsidP="00075D72">
      <w:pPr>
        <w:pStyle w:val="NumberedParagraph"/>
        <w:numPr>
          <w:ilvl w:val="1"/>
          <w:numId w:val="64"/>
        </w:numPr>
      </w:pPr>
      <w:r w:rsidRPr="008E22D3">
        <w:t xml:space="preserve">Four of the submissions discussed capital gains tax or productivity concerns arising from the light taxation of property. Two of these suggested that under-taxation of sectors that benefit from tax exempt capital gains may be a bigger issue than the impact of high tax rates on inbound investment reducing productivity. A third submission was concerned that the absence of a capital gains tax was reducing the coherence of the tax system. The Department of the Prime Minister and Cabinet (DPMC) has advised that LTIBs should not focus on issues that have already been subject to considerable analysis. Capital gains tax was considered by the recent Tax Working Group and the Government </w:t>
      </w:r>
      <w:r w:rsidRPr="008E22D3">
        <w:lastRenderedPageBreak/>
        <w:t xml:space="preserve">decided against a general tax on capital gains. </w:t>
      </w:r>
      <w:r w:rsidR="0030651C">
        <w:t>Therefore, w</w:t>
      </w:r>
      <w:r w:rsidRPr="008E22D3">
        <w:t xml:space="preserve">e are not making </w:t>
      </w:r>
      <w:r w:rsidR="00374434">
        <w:t>a</w:t>
      </w:r>
      <w:r w:rsidR="00B75CB0">
        <w:t xml:space="preserve"> capital gains tax on property or a more general tax on capital gains</w:t>
      </w:r>
      <w:r w:rsidRPr="008E22D3">
        <w:t xml:space="preserve"> a central focus because it has been the subject of recent debate and policy consideration.</w:t>
      </w:r>
    </w:p>
    <w:p w14:paraId="03D090A6" w14:textId="77777777" w:rsidR="008E22D3" w:rsidRPr="008E22D3" w:rsidRDefault="008E22D3" w:rsidP="00075D72">
      <w:pPr>
        <w:pStyle w:val="NumberedParagraph"/>
        <w:numPr>
          <w:ilvl w:val="1"/>
          <w:numId w:val="64"/>
        </w:numPr>
      </w:pPr>
      <w:r w:rsidRPr="008E22D3">
        <w:t>A fourth submission commented that the OECD cost of capital and EMTR benchmarking analysis ignores taxes on capital gains. The submission was concerned that this may make New Zealand look relatively worse than is true. New Zealand’s lack of a tax on capital gains could be an advantage of investing in New Zealand, relative to most other countries, when gains are realised through sales of assets such as buildings or goodwill.</w:t>
      </w:r>
    </w:p>
    <w:p w14:paraId="7349E6B3" w14:textId="31C2F900" w:rsidR="008E22D3" w:rsidRPr="008E22D3" w:rsidRDefault="00447FD9" w:rsidP="00075D72">
      <w:pPr>
        <w:pStyle w:val="NumberedParagraph"/>
        <w:numPr>
          <w:ilvl w:val="1"/>
          <w:numId w:val="64"/>
        </w:numPr>
      </w:pPr>
      <w:r>
        <w:t>Most</w:t>
      </w:r>
      <w:r w:rsidR="008E22D3" w:rsidRPr="008E22D3">
        <w:t xml:space="preserve"> submissions raised other important factors that could affect investment </w:t>
      </w:r>
      <w:r w:rsidR="00BD66A6">
        <w:t>that</w:t>
      </w:r>
      <w:r w:rsidR="008E22D3" w:rsidRPr="008E22D3">
        <w:t xml:space="preserve"> were not included in the OECD benchmarking analysis. As well as the desirability of coherence in tax settings, concerns were expressed about overly complex legislation, high compliance costs, and a lack of certainty and predictability adding to the costs and risk of investing in New Zealand. Concerns were also expressed that, for a small country like New Zealand, there may often be relatively small benefits to non-resident firms from investing in the country. Small levels of other costs and uncertainties may make it unattractive for firms to investigate whether investing in New Zealand is likely to be beneficial.</w:t>
      </w:r>
    </w:p>
    <w:p w14:paraId="752467C7" w14:textId="77777777" w:rsidR="008E22D3" w:rsidRPr="008E22D3" w:rsidRDefault="008E22D3" w:rsidP="00075D72">
      <w:pPr>
        <w:pStyle w:val="NumberedParagraph"/>
        <w:numPr>
          <w:ilvl w:val="1"/>
          <w:numId w:val="64"/>
        </w:numPr>
      </w:pPr>
      <w:r w:rsidRPr="008E22D3">
        <w:t>Several of the submissions pointed out that other factors may be as, or even more, important than taxes on inbound investment in affecting decisions about investment in New Zealand. Issues pointed to included comparative advantage, the underlying profitability of investments, and other regulatory issues, such as Overseas Investment Office criteria.</w:t>
      </w:r>
    </w:p>
    <w:p w14:paraId="10AE3CE6" w14:textId="215A46E4" w:rsidR="008E22D3" w:rsidRPr="008E22D3" w:rsidRDefault="008E22D3" w:rsidP="00075D72">
      <w:pPr>
        <w:pStyle w:val="NumberedParagraph"/>
        <w:numPr>
          <w:ilvl w:val="1"/>
          <w:numId w:val="64"/>
        </w:numPr>
      </w:pPr>
      <w:r w:rsidRPr="008E22D3">
        <w:t xml:space="preserve">Two submissions discussed our company tax full imputation scheme and questioned whether it was desirable to continue with an imputation system. One of these </w:t>
      </w:r>
      <w:r w:rsidR="007406CE">
        <w:t xml:space="preserve">submissions </w:t>
      </w:r>
      <w:r w:rsidRPr="008E22D3">
        <w:t xml:space="preserve">pointed to the prevalence of </w:t>
      </w:r>
      <w:r w:rsidR="002F4854">
        <w:t>‘</w:t>
      </w:r>
      <w:r w:rsidRPr="008E22D3">
        <w:t>classical</w:t>
      </w:r>
      <w:r w:rsidR="002F4854">
        <w:t>’</w:t>
      </w:r>
      <w:r w:rsidRPr="008E22D3">
        <w:t xml:space="preserve"> company tax systems overseas – where profits are taxed at the company level and then taxed a second time when dividends are paid to shareholders. A third submission appeared to be pushing in the opposite direction. It raised concerns about differences in tax settings between different entities. These are substantial economic issues, and it has not been possible to consider them in this LTIB.</w:t>
      </w:r>
    </w:p>
    <w:p w14:paraId="076303EC" w14:textId="77777777" w:rsidR="008E22D3" w:rsidRPr="00EB0AE6" w:rsidRDefault="008E22D3" w:rsidP="00075D72">
      <w:pPr>
        <w:pStyle w:val="NumberedParagraph"/>
        <w:numPr>
          <w:ilvl w:val="1"/>
          <w:numId w:val="64"/>
        </w:numPr>
      </w:pPr>
      <w:r w:rsidRPr="008E22D3">
        <w:t xml:space="preserve">Two submissions argued that personal taxes should be </w:t>
      </w:r>
      <w:proofErr w:type="gramStart"/>
      <w:r w:rsidRPr="008E22D3">
        <w:t>taken into account</w:t>
      </w:r>
      <w:proofErr w:type="gramEnd"/>
      <w:r w:rsidRPr="008E22D3">
        <w:t xml:space="preserve"> when considering incentives to invest for small and medium enterprises. Even if small and medium enterprises operate as companies, profits will be subject to personal tax when distributed as dividends. </w:t>
      </w:r>
      <w:r w:rsidRPr="00EB0AE6">
        <w:t>We discuss how the OECD modelling might be extended to these sorts of enterprise in chapter 4.</w:t>
      </w:r>
    </w:p>
    <w:p w14:paraId="7C9A2955" w14:textId="31C957EB" w:rsidR="008E22D3" w:rsidRPr="008E22D3" w:rsidRDefault="008E22D3" w:rsidP="00075D72">
      <w:pPr>
        <w:pStyle w:val="NumberedParagraph"/>
        <w:numPr>
          <w:ilvl w:val="1"/>
          <w:numId w:val="64"/>
        </w:numPr>
      </w:pPr>
      <w:r w:rsidRPr="008E22D3">
        <w:t xml:space="preserve">Two submissions discussed environmental taxes. An increase in measured economic performance, such as growth in GDP or labour productivity, may be unattractive if it is accompanied by environmental degradation. This is important and underlines the partial nature of cost of capital and EMTR studies. We do not see any real conflict between this observation and the analysis in this LTIB. Normally, neutrality of tax settings is seen as a plus. However, as the submissions have pointed out, tax neutrality may not be desirable in specific instances where there are negative or positive externalities (spillover costs or benefits to other firms or individuals). In those circumstances, there might be a case for either higher or lower levels of tax on specific investments. </w:t>
      </w:r>
      <w:r w:rsidR="007C6970">
        <w:t>Externalit</w:t>
      </w:r>
      <w:r w:rsidR="001C6994">
        <w:t xml:space="preserve">ies need to be </w:t>
      </w:r>
      <w:proofErr w:type="gramStart"/>
      <w:r w:rsidR="001C6994">
        <w:t>taken into account</w:t>
      </w:r>
      <w:proofErr w:type="gramEnd"/>
      <w:r w:rsidR="001C6994">
        <w:t xml:space="preserve"> when assessing economic efficiency. </w:t>
      </w:r>
      <w:r w:rsidRPr="008E22D3">
        <w:t>One of the submissions argued that</w:t>
      </w:r>
      <w:r w:rsidR="002227CF">
        <w:t>,</w:t>
      </w:r>
      <w:r w:rsidRPr="008E22D3">
        <w:t xml:space="preserve"> for use of non-neutral taxes to be justified, there needs to be clear evidence of market failure and for tax instruments to be the best way of addressing externalities. The submissions also pointed out that environmental taxes could be a way of raising revenue, as well as correcting for market failures.</w:t>
      </w:r>
    </w:p>
    <w:p w14:paraId="7EF831B4" w14:textId="5DE5CB48" w:rsidR="008E22D3" w:rsidRPr="00C91F59" w:rsidRDefault="008E22D3" w:rsidP="00075D72">
      <w:pPr>
        <w:pStyle w:val="NumberedParagraph"/>
        <w:numPr>
          <w:ilvl w:val="1"/>
          <w:numId w:val="64"/>
        </w:numPr>
      </w:pPr>
      <w:r w:rsidRPr="008E22D3">
        <w:lastRenderedPageBreak/>
        <w:t>Two of the submissions argued that New Zealand had been served well by its broad-base</w:t>
      </w:r>
      <w:r w:rsidR="002F3F3E">
        <w:t>d</w:t>
      </w:r>
      <w:r w:rsidRPr="008E22D3">
        <w:t xml:space="preserve"> low-rate tax settings, and that this suggests a high burden of proof is necessary before moving away from these settings. However, two of the submissions commented favourably on specific tax concessions that had been made available in other countries.</w:t>
      </w:r>
    </w:p>
    <w:p w14:paraId="396AFFE3" w14:textId="1B48FCDB" w:rsidR="009E33D4" w:rsidRPr="008E22D3" w:rsidRDefault="009E33D4" w:rsidP="009E33D4">
      <w:pPr>
        <w:pStyle w:val="Heading2"/>
        <w:rPr>
          <w:rFonts w:eastAsia="Calibri"/>
          <w:lang w:eastAsia="en-US"/>
        </w:rPr>
      </w:pPr>
      <w:bookmarkStart w:id="11" w:name="_Toc112857390"/>
      <w:r w:rsidRPr="008E22D3">
        <w:rPr>
          <w:rFonts w:eastAsia="Calibri"/>
          <w:lang w:eastAsia="en-US"/>
        </w:rPr>
        <w:t xml:space="preserve">Feedback received on the </w:t>
      </w:r>
      <w:r w:rsidR="008C3121">
        <w:rPr>
          <w:rFonts w:eastAsia="Calibri"/>
          <w:lang w:eastAsia="en-US"/>
        </w:rPr>
        <w:t>draft LTIB</w:t>
      </w:r>
      <w:bookmarkEnd w:id="11"/>
    </w:p>
    <w:p w14:paraId="58E77910" w14:textId="7128DB20" w:rsidR="009E33D4" w:rsidRDefault="009E33D4" w:rsidP="009E33D4">
      <w:pPr>
        <w:pStyle w:val="NumberedParagraph"/>
        <w:numPr>
          <w:ilvl w:val="1"/>
          <w:numId w:val="64"/>
        </w:numPr>
      </w:pPr>
      <w:r w:rsidRPr="008E22D3">
        <w:t xml:space="preserve">Our </w:t>
      </w:r>
      <w:r w:rsidR="00EA2E2F">
        <w:t>draft LT</w:t>
      </w:r>
      <w:r w:rsidR="008F22E2">
        <w:t xml:space="preserve">IB </w:t>
      </w:r>
      <w:r w:rsidR="00A92C03">
        <w:t>and</w:t>
      </w:r>
      <w:r w:rsidR="00575982">
        <w:t xml:space="preserve"> </w:t>
      </w:r>
      <w:r w:rsidR="002A4F4C">
        <w:t>a set of technical appendices w</w:t>
      </w:r>
      <w:r w:rsidR="00A92C03">
        <w:t>ere</w:t>
      </w:r>
      <w:r w:rsidR="002A4F4C">
        <w:t xml:space="preserve"> published in February 2022. </w:t>
      </w:r>
      <w:r w:rsidR="00C55EB1">
        <w:t>We commissioned two external review</w:t>
      </w:r>
      <w:r w:rsidR="003F5CF5">
        <w:t>s</w:t>
      </w:r>
      <w:r w:rsidR="00C55EB1">
        <w:t xml:space="preserve"> on th</w:t>
      </w:r>
      <w:r w:rsidR="00911FF9">
        <w:t>ese papers</w:t>
      </w:r>
      <w:r w:rsidR="003F5CF5">
        <w:t xml:space="preserve"> by</w:t>
      </w:r>
      <w:r w:rsidR="00C55EB1">
        <w:t xml:space="preserve"> </w:t>
      </w:r>
      <w:r w:rsidR="004046CE">
        <w:t xml:space="preserve">Professor </w:t>
      </w:r>
      <w:r w:rsidR="00C55EB1">
        <w:t>Jack Mintz</w:t>
      </w:r>
      <w:r w:rsidR="005761FF">
        <w:t xml:space="preserve"> </w:t>
      </w:r>
      <w:r w:rsidR="00284EAC">
        <w:t xml:space="preserve">and </w:t>
      </w:r>
      <w:r w:rsidR="00D62F97">
        <w:t>Professor</w:t>
      </w:r>
      <w:r w:rsidR="004046CE">
        <w:t xml:space="preserve"> </w:t>
      </w:r>
      <w:r w:rsidR="00284EAC">
        <w:t>Michael Keen.</w:t>
      </w:r>
      <w:r w:rsidR="002065FB">
        <w:rPr>
          <w:rStyle w:val="FootnoteReference"/>
        </w:rPr>
        <w:footnoteReference w:id="13"/>
      </w:r>
      <w:r w:rsidR="002065FB">
        <w:t xml:space="preserve"> </w:t>
      </w:r>
      <w:r w:rsidR="000B036F">
        <w:t xml:space="preserve">We also </w:t>
      </w:r>
      <w:r w:rsidR="00C840C8">
        <w:t>consulted with stakeholders on the two papers and received written submissions f</w:t>
      </w:r>
      <w:r w:rsidR="009060DF">
        <w:t>rom seven</w:t>
      </w:r>
      <w:r w:rsidR="00C840C8">
        <w:t xml:space="preserve"> individuals </w:t>
      </w:r>
      <w:r w:rsidR="00414A28">
        <w:t>and groups.</w:t>
      </w:r>
      <w:r w:rsidR="00716B70">
        <w:rPr>
          <w:rStyle w:val="FootnoteReference"/>
        </w:rPr>
        <w:footnoteReference w:id="14"/>
      </w:r>
      <w:r w:rsidR="00414A28">
        <w:t xml:space="preserve"> Th</w:t>
      </w:r>
      <w:r w:rsidR="00E67A2C">
        <w:t>is</w:t>
      </w:r>
      <w:r w:rsidR="00414A28">
        <w:t xml:space="preserve"> final LTIB takes account of</w:t>
      </w:r>
      <w:r w:rsidR="00697FA6">
        <w:t xml:space="preserve"> feedback received.</w:t>
      </w:r>
    </w:p>
    <w:p w14:paraId="70B7123B" w14:textId="0625401C" w:rsidR="00062E68" w:rsidRDefault="00365EC9" w:rsidP="0024310E">
      <w:pPr>
        <w:pStyle w:val="NumberedParagraph"/>
      </w:pPr>
      <w:r>
        <w:t>B</w:t>
      </w:r>
      <w:r w:rsidR="00E253A1">
        <w:t xml:space="preserve">oth </w:t>
      </w:r>
      <w:r w:rsidR="003678B5">
        <w:t>external reviewers</w:t>
      </w:r>
      <w:r w:rsidR="0023689A">
        <w:t xml:space="preserve"> </w:t>
      </w:r>
      <w:r w:rsidR="00611243">
        <w:t xml:space="preserve">were positive about the analysis </w:t>
      </w:r>
      <w:r w:rsidR="005E197E">
        <w:t xml:space="preserve">and the discussion of the various options </w:t>
      </w:r>
      <w:r w:rsidR="00611243">
        <w:t xml:space="preserve">in the draft LTIB but </w:t>
      </w:r>
      <w:r w:rsidR="0023689A">
        <w:t xml:space="preserve">questioned the heavy focus on </w:t>
      </w:r>
      <w:r w:rsidR="00B74E44">
        <w:t xml:space="preserve">the </w:t>
      </w:r>
      <w:r w:rsidR="00824B7B">
        <w:t>OECD’s benchmarking exercise</w:t>
      </w:r>
      <w:r w:rsidR="00B74E44">
        <w:t>. Both suggested that</w:t>
      </w:r>
      <w:r w:rsidR="00824B7B">
        <w:t xml:space="preserve"> a broader set of </w:t>
      </w:r>
      <w:r w:rsidR="00704941">
        <w:t xml:space="preserve">comparisons can be helpful </w:t>
      </w:r>
      <w:r w:rsidR="0026117C">
        <w:t xml:space="preserve">when benchmarking </w:t>
      </w:r>
      <w:r w:rsidR="00704941">
        <w:t>costs of capital and EMTRs</w:t>
      </w:r>
      <w:r w:rsidR="00F36D3D">
        <w:t xml:space="preserve">. This </w:t>
      </w:r>
      <w:r w:rsidR="007947D6">
        <w:t>is</w:t>
      </w:r>
      <w:r w:rsidR="00F36D3D">
        <w:t xml:space="preserve"> also useful in </w:t>
      </w:r>
      <w:r w:rsidR="008C3C4A">
        <w:t>spotlighting some of the uncertainties in these benchmarking exercises</w:t>
      </w:r>
      <w:r w:rsidR="00711515">
        <w:t>.</w:t>
      </w:r>
    </w:p>
    <w:p w14:paraId="7CEC2AA1" w14:textId="45E5129F" w:rsidR="009519DA" w:rsidRDefault="00793708" w:rsidP="009E33D4">
      <w:pPr>
        <w:pStyle w:val="NumberedParagraph"/>
        <w:numPr>
          <w:ilvl w:val="1"/>
          <w:numId w:val="64"/>
        </w:numPr>
      </w:pPr>
      <w:r>
        <w:t>The OECD estimates suggest</w:t>
      </w:r>
      <w:r w:rsidR="008A4DC3">
        <w:t xml:space="preserve"> that New Zealand is an outlier with very high costs of capital and EMTRs compared with most other OECD countries. </w:t>
      </w:r>
      <w:r w:rsidR="00A074D4">
        <w:t>The</w:t>
      </w:r>
      <w:r w:rsidR="0059338B">
        <w:t xml:space="preserve"> reviewers </w:t>
      </w:r>
      <w:r w:rsidR="00A074D4">
        <w:t xml:space="preserve">pointed </w:t>
      </w:r>
      <w:r w:rsidR="0059338B">
        <w:t xml:space="preserve">to </w:t>
      </w:r>
      <w:r w:rsidR="00A074D4">
        <w:t xml:space="preserve">other </w:t>
      </w:r>
      <w:r w:rsidR="007E3587">
        <w:t xml:space="preserve">analysis </w:t>
      </w:r>
      <w:r w:rsidR="00822626">
        <w:t>that</w:t>
      </w:r>
      <w:r w:rsidR="007E3587">
        <w:t xml:space="preserve"> </w:t>
      </w:r>
      <w:r w:rsidR="00A074D4">
        <w:t>suggest</w:t>
      </w:r>
      <w:r w:rsidR="007E3587">
        <w:t>s</w:t>
      </w:r>
      <w:r w:rsidR="00A074D4">
        <w:t xml:space="preserve"> New Zealand </w:t>
      </w:r>
      <w:r w:rsidR="0036167C">
        <w:t>is less of an outlier</w:t>
      </w:r>
      <w:r w:rsidR="00134729">
        <w:t xml:space="preserve">. </w:t>
      </w:r>
      <w:r w:rsidR="0048585A">
        <w:t>The OECD analysis only considers company tax provision</w:t>
      </w:r>
      <w:r w:rsidR="003A2440">
        <w:t>s</w:t>
      </w:r>
      <w:r w:rsidR="00B82A02">
        <w:t xml:space="preserve">. Other taxes may also </w:t>
      </w:r>
      <w:r w:rsidR="00503EFB">
        <w:t>impact on costs of capital and EMTRs and including these other taxes may make New Zealand less of an outlier than the OECD analysis is suggesting.</w:t>
      </w:r>
      <w:r w:rsidR="005F5204">
        <w:t xml:space="preserve"> However, it is still likely to be true that</w:t>
      </w:r>
      <w:r w:rsidR="009F7F01">
        <w:t xml:space="preserve"> New Zealand has high costs of capital and EMTRs relative to most OECD countries.</w:t>
      </w:r>
      <w:r w:rsidR="00A454D4">
        <w:t xml:space="preserve"> </w:t>
      </w:r>
      <w:r w:rsidR="009F3622">
        <w:t>Both</w:t>
      </w:r>
      <w:r w:rsidR="00A454D4">
        <w:t xml:space="preserve"> reviewers </w:t>
      </w:r>
      <w:r w:rsidR="00B537A1">
        <w:t>also</w:t>
      </w:r>
      <w:r w:rsidR="00A454D4">
        <w:t xml:space="preserve"> </w:t>
      </w:r>
      <w:r w:rsidR="00B537A1">
        <w:t xml:space="preserve">suggested that </w:t>
      </w:r>
      <w:r w:rsidR="0030335D">
        <w:t xml:space="preserve">there should be </w:t>
      </w:r>
      <w:r w:rsidR="00B537A1">
        <w:t xml:space="preserve">some additional focus on the OECD’s </w:t>
      </w:r>
      <w:r w:rsidR="0030335D">
        <w:t xml:space="preserve">Pillar 2 tax changes. </w:t>
      </w:r>
      <w:r w:rsidR="007B36ED">
        <w:t>This was also suggested in written submissions.</w:t>
      </w:r>
    </w:p>
    <w:p w14:paraId="3FBEFE77" w14:textId="00083223" w:rsidR="009519DA" w:rsidRDefault="005A3A92" w:rsidP="009E33D4">
      <w:pPr>
        <w:pStyle w:val="NumberedParagraph"/>
        <w:numPr>
          <w:ilvl w:val="1"/>
          <w:numId w:val="64"/>
        </w:numPr>
      </w:pPr>
      <w:r>
        <w:t xml:space="preserve">One </w:t>
      </w:r>
      <w:r w:rsidR="004525E0">
        <w:t xml:space="preserve">reviewer </w:t>
      </w:r>
      <w:r>
        <w:t>questioned whether the</w:t>
      </w:r>
      <w:r w:rsidR="00B869CC">
        <w:t>re</w:t>
      </w:r>
      <w:r>
        <w:t xml:space="preserve"> should be more </w:t>
      </w:r>
      <w:r w:rsidR="00B869CC">
        <w:t xml:space="preserve">focus </w:t>
      </w:r>
      <w:r>
        <w:t xml:space="preserve">on </w:t>
      </w:r>
      <w:r w:rsidR="00370A9F">
        <w:t>aggregate investment than on FDI</w:t>
      </w:r>
      <w:r w:rsidR="00EA65BB">
        <w:t>. He</w:t>
      </w:r>
      <w:r w:rsidR="00D3712F">
        <w:t xml:space="preserve"> also </w:t>
      </w:r>
      <w:r w:rsidR="008810BC">
        <w:t xml:space="preserve">raised questions about whether international </w:t>
      </w:r>
      <w:r w:rsidR="00C569DC">
        <w:t xml:space="preserve">financial arbitrage may lead to more complex outcomes than </w:t>
      </w:r>
      <w:r w:rsidR="00896CCD">
        <w:t>was</w:t>
      </w:r>
      <w:r w:rsidR="00C569DC">
        <w:t xml:space="preserve"> picked up in </w:t>
      </w:r>
      <w:r w:rsidR="00896CCD">
        <w:t xml:space="preserve">our analysis </w:t>
      </w:r>
      <w:r w:rsidR="00122474">
        <w:t>and</w:t>
      </w:r>
      <w:r w:rsidR="00B5049B">
        <w:t xml:space="preserve"> pointed out </w:t>
      </w:r>
      <w:r w:rsidR="00212D69">
        <w:t xml:space="preserve">that </w:t>
      </w:r>
      <w:r w:rsidR="00776909">
        <w:t xml:space="preserve">a statement in the chapter on indexation was misleading. The draft LTIB </w:t>
      </w:r>
      <w:r w:rsidR="000E568B">
        <w:t xml:space="preserve">raised questions about the viability of inflation indexing interest income and expense and </w:t>
      </w:r>
      <w:r w:rsidR="009D408D">
        <w:t>state</w:t>
      </w:r>
      <w:r w:rsidR="00A454D4">
        <w:t>d</w:t>
      </w:r>
      <w:r w:rsidR="009D408D">
        <w:t xml:space="preserve"> that no OECD countries had </w:t>
      </w:r>
      <w:r w:rsidR="009D408D" w:rsidRPr="0012163C">
        <w:t xml:space="preserve">comprehensive indexation provisions. </w:t>
      </w:r>
      <w:r w:rsidR="00463ECB" w:rsidRPr="0012163C">
        <w:t>This may have led stakeholders to be</w:t>
      </w:r>
      <w:r w:rsidR="00463ECB">
        <w:t xml:space="preserve"> unduly dismissive of comprehensive indexation as an option. </w:t>
      </w:r>
      <w:r w:rsidR="009D408D">
        <w:t xml:space="preserve">The </w:t>
      </w:r>
      <w:r w:rsidR="00B2154E">
        <w:t>reviewer pointed out that both Mexico and Chile have broad indexation measures</w:t>
      </w:r>
      <w:r w:rsidR="00463ECB">
        <w:t xml:space="preserve"> </w:t>
      </w:r>
      <w:r w:rsidR="005C5A8C">
        <w:t>that</w:t>
      </w:r>
      <w:r w:rsidR="00463ECB">
        <w:t xml:space="preserve"> extend to indexing interest</w:t>
      </w:r>
      <w:r w:rsidR="00D61B52">
        <w:t xml:space="preserve"> income and expense</w:t>
      </w:r>
      <w:r w:rsidR="00B2154E">
        <w:t>.</w:t>
      </w:r>
    </w:p>
    <w:p w14:paraId="29DFE653" w14:textId="0061600F" w:rsidR="00697FA6" w:rsidRDefault="00896CCD" w:rsidP="009E33D4">
      <w:pPr>
        <w:pStyle w:val="NumberedParagraph"/>
        <w:numPr>
          <w:ilvl w:val="1"/>
          <w:numId w:val="64"/>
        </w:numPr>
      </w:pPr>
      <w:r>
        <w:t xml:space="preserve">The other </w:t>
      </w:r>
      <w:r w:rsidR="00E15B4A">
        <w:t xml:space="preserve">reviewer </w:t>
      </w:r>
      <w:r>
        <w:t>questioned why</w:t>
      </w:r>
      <w:r w:rsidR="001E6D84">
        <w:t xml:space="preserve"> there had not been more focus on </w:t>
      </w:r>
      <w:r w:rsidR="001B6019">
        <w:t>average effective tax rates (AETRs) in addition to</w:t>
      </w:r>
      <w:r w:rsidR="003E4232">
        <w:t xml:space="preserve"> EMTRs</w:t>
      </w:r>
      <w:r w:rsidR="00F0203A">
        <w:t>. He</w:t>
      </w:r>
      <w:r w:rsidR="00595B4D">
        <w:t xml:space="preserve"> also </w:t>
      </w:r>
      <w:r w:rsidR="005334C8">
        <w:t xml:space="preserve">suggested </w:t>
      </w:r>
      <w:r w:rsidR="00C4695B">
        <w:t xml:space="preserve">that </w:t>
      </w:r>
      <w:r w:rsidR="005C5F76">
        <w:t xml:space="preserve">some of the options </w:t>
      </w:r>
      <w:r w:rsidR="0066761B">
        <w:t xml:space="preserve">should be considered as </w:t>
      </w:r>
      <w:r w:rsidR="005A0DE1">
        <w:t>policy</w:t>
      </w:r>
      <w:r w:rsidR="00AA0B27">
        <w:t xml:space="preserve"> </w:t>
      </w:r>
      <w:r w:rsidR="0066761B">
        <w:t xml:space="preserve">alternatives rather than </w:t>
      </w:r>
      <w:r w:rsidR="00413E9B">
        <w:t xml:space="preserve">measures </w:t>
      </w:r>
      <w:r w:rsidR="00BC7C17">
        <w:t>that</w:t>
      </w:r>
      <w:r w:rsidR="00413E9B">
        <w:t xml:space="preserve"> might be introduced alongside each</w:t>
      </w:r>
      <w:r w:rsidR="009C3E01">
        <w:t xml:space="preserve"> </w:t>
      </w:r>
      <w:r w:rsidR="00413E9B">
        <w:t>other.</w:t>
      </w:r>
    </w:p>
    <w:p w14:paraId="2D7C377B" w14:textId="507E1258" w:rsidR="005A4FF8" w:rsidRDefault="00B06F81" w:rsidP="00D21FD0">
      <w:pPr>
        <w:pStyle w:val="NumberedParagraph"/>
      </w:pPr>
      <w:r>
        <w:t xml:space="preserve">The written submissions echoed concerns that had been raised in submissions on the August 2021 scoping paper. </w:t>
      </w:r>
      <w:r w:rsidR="008D0359">
        <w:t>Some</w:t>
      </w:r>
      <w:r>
        <w:t xml:space="preserve"> submissions commented on the </w:t>
      </w:r>
      <w:r>
        <w:lastRenderedPageBreak/>
        <w:t xml:space="preserve">potential for uncertainty and </w:t>
      </w:r>
      <w:r>
        <w:rPr>
          <w:rFonts w:eastAsia="Times New Roman"/>
          <w:color w:val="201F1E"/>
          <w:shd w:val="clear" w:color="auto" w:fill="FFFFFF"/>
        </w:rPr>
        <w:t>any unique or distinct application of international rules in New Zealand</w:t>
      </w:r>
      <w:r>
        <w:t xml:space="preserve"> to discourage inbound investment. </w:t>
      </w:r>
      <w:r>
        <w:rPr>
          <w:rFonts w:eastAsia="Times New Roman"/>
          <w:color w:val="201F1E"/>
          <w:shd w:val="clear" w:color="auto" w:fill="FFFFFF"/>
        </w:rPr>
        <w:t xml:space="preserve"> </w:t>
      </w:r>
      <w:r w:rsidR="008D0359">
        <w:rPr>
          <w:rFonts w:eastAsia="Times New Roman"/>
          <w:color w:val="201F1E"/>
          <w:shd w:val="clear" w:color="auto" w:fill="FFFFFF"/>
        </w:rPr>
        <w:t>They also</w:t>
      </w:r>
      <w:r>
        <w:rPr>
          <w:rFonts w:eastAsia="Times New Roman"/>
          <w:color w:val="201F1E"/>
          <w:shd w:val="clear" w:color="auto" w:fill="FFFFFF"/>
        </w:rPr>
        <w:t xml:space="preserve"> commented that differences in settings could lead to uncertainty or the potential for double taxation (taxation of the same income in both New Zealand and another country).</w:t>
      </w:r>
    </w:p>
    <w:p w14:paraId="25BB8949" w14:textId="70B76DB0" w:rsidR="00FA0309" w:rsidRDefault="00844ECD" w:rsidP="005A4FF8">
      <w:pPr>
        <w:pStyle w:val="NumberedParagraph"/>
        <w:numPr>
          <w:ilvl w:val="1"/>
          <w:numId w:val="64"/>
        </w:numPr>
      </w:pPr>
      <w:r>
        <w:t>S</w:t>
      </w:r>
      <w:r w:rsidR="00C1182C">
        <w:t>ome</w:t>
      </w:r>
      <w:r w:rsidR="005A4FF8">
        <w:t xml:space="preserve"> submissions</w:t>
      </w:r>
      <w:r w:rsidR="00C1182C">
        <w:t xml:space="preserve"> expressed concerns that the draft LTIB did not come out with definitive conclusions on the impacts of the various options on inbound investment</w:t>
      </w:r>
      <w:r w:rsidR="006B3783">
        <w:t>.</w:t>
      </w:r>
      <w:r w:rsidR="005A4FF8">
        <w:t xml:space="preserve"> </w:t>
      </w:r>
      <w:r w:rsidR="0022668E">
        <w:t xml:space="preserve">There is some discussion of </w:t>
      </w:r>
      <w:r w:rsidR="001C7584">
        <w:t>estimates from the economic literature on</w:t>
      </w:r>
      <w:r w:rsidR="00B07000">
        <w:t xml:space="preserve"> </w:t>
      </w:r>
      <w:r w:rsidR="00A94436">
        <w:t xml:space="preserve">how changes in costs of capital </w:t>
      </w:r>
      <w:r w:rsidR="00D35D7E">
        <w:t xml:space="preserve">and EMTRs </w:t>
      </w:r>
      <w:r w:rsidR="00A94436">
        <w:t xml:space="preserve">can impact on investment </w:t>
      </w:r>
      <w:r w:rsidR="00872513">
        <w:t>in chapter 2</w:t>
      </w:r>
      <w:r w:rsidR="00B155FA">
        <w:t xml:space="preserve">. </w:t>
      </w:r>
      <w:r w:rsidR="00D35D7E">
        <w:t xml:space="preserve">A critical first step is obtaining better estimates of how taxes are likely to impact costs of capital and EMTRs. </w:t>
      </w:r>
      <w:r w:rsidR="001C7584">
        <w:t>But uncertainties remain</w:t>
      </w:r>
      <w:r w:rsidR="00DA1363">
        <w:t xml:space="preserve"> about how big effects are likely to be</w:t>
      </w:r>
      <w:r w:rsidR="002B53D6">
        <w:t xml:space="preserve">. </w:t>
      </w:r>
      <w:r w:rsidR="006679D9">
        <w:t xml:space="preserve">Some </w:t>
      </w:r>
      <w:r w:rsidR="00B87CE7">
        <w:t xml:space="preserve">expressed concerns that the draft LTIB did not suggest a programme of </w:t>
      </w:r>
      <w:r w:rsidR="006756BE">
        <w:t xml:space="preserve">future tax </w:t>
      </w:r>
      <w:r w:rsidR="00B87CE7">
        <w:t>policy changes</w:t>
      </w:r>
      <w:r w:rsidR="006756BE">
        <w:t>. However, the aim of an LTIB is not to</w:t>
      </w:r>
      <w:r w:rsidR="00FA0309">
        <w:t xml:space="preserve"> advocate for any particular direction of policy change</w:t>
      </w:r>
      <w:r w:rsidR="00A729E8">
        <w:t>,</w:t>
      </w:r>
      <w:r w:rsidR="00FA0309">
        <w:t xml:space="preserve"> </w:t>
      </w:r>
      <w:r w:rsidR="00943CC9">
        <w:t xml:space="preserve">let alone </w:t>
      </w:r>
      <w:r w:rsidR="00A729E8">
        <w:t xml:space="preserve">to </w:t>
      </w:r>
      <w:r w:rsidR="00943CC9">
        <w:t>tie future government</w:t>
      </w:r>
      <w:r w:rsidR="00A729E8">
        <w:t>s</w:t>
      </w:r>
      <w:r w:rsidR="00943CC9">
        <w:t>’ hands to such a programme.</w:t>
      </w:r>
      <w:r w:rsidR="00B07000">
        <w:t xml:space="preserve"> I</w:t>
      </w:r>
      <w:r w:rsidR="00FA0309">
        <w:t>nstead</w:t>
      </w:r>
      <w:r w:rsidR="00A729E8">
        <w:t>,</w:t>
      </w:r>
      <w:r w:rsidR="00FA0309">
        <w:t xml:space="preserve"> </w:t>
      </w:r>
      <w:r w:rsidR="00C8581D">
        <w:t xml:space="preserve">the aim is </w:t>
      </w:r>
      <w:r w:rsidR="00FA0309">
        <w:t>to explore pros and cons of different options as neutrally as possible.</w:t>
      </w:r>
      <w:r w:rsidR="003E0D7D">
        <w:t xml:space="preserve"> Some concerns </w:t>
      </w:r>
      <w:r w:rsidR="000948C6">
        <w:t xml:space="preserve">were expressed about the analysis </w:t>
      </w:r>
      <w:r w:rsidR="000D0B76">
        <w:t xml:space="preserve">being too narrow because of the focus on economic efficiency </w:t>
      </w:r>
      <w:r w:rsidR="00FF4257">
        <w:t xml:space="preserve">and fairness </w:t>
      </w:r>
      <w:r w:rsidR="000D0B76">
        <w:t xml:space="preserve">rather than a broader living standards framework. </w:t>
      </w:r>
      <w:r w:rsidR="00290DF6">
        <w:t xml:space="preserve">This is discussed further in chapter 2. </w:t>
      </w:r>
      <w:r w:rsidR="00A453EE">
        <w:t>W</w:t>
      </w:r>
      <w:r w:rsidR="001F0195">
        <w:t xml:space="preserve">hen </w:t>
      </w:r>
      <w:r w:rsidR="00E25301">
        <w:t xml:space="preserve">analysing the economic efficiency of taxes, economists are attempting to </w:t>
      </w:r>
      <w:proofErr w:type="gramStart"/>
      <w:r w:rsidR="00064216">
        <w:t>take into account</w:t>
      </w:r>
      <w:proofErr w:type="gramEnd"/>
      <w:r w:rsidR="00064216">
        <w:t xml:space="preserve"> any costs </w:t>
      </w:r>
      <w:r w:rsidR="005B4866">
        <w:t>that</w:t>
      </w:r>
      <w:r w:rsidR="00064216">
        <w:t xml:space="preserve"> may affect </w:t>
      </w:r>
      <w:r w:rsidR="00470E28">
        <w:t>living standards</w:t>
      </w:r>
      <w:r w:rsidR="00064216">
        <w:t>.</w:t>
      </w:r>
    </w:p>
    <w:p w14:paraId="79A2F984" w14:textId="25A7360B" w:rsidR="00BE737A" w:rsidRDefault="009F5C05" w:rsidP="00B86F53">
      <w:pPr>
        <w:pStyle w:val="NumberedParagraph"/>
        <w:numPr>
          <w:ilvl w:val="1"/>
          <w:numId w:val="64"/>
        </w:numPr>
      </w:pPr>
      <w:r>
        <w:t xml:space="preserve">The written submissions did not </w:t>
      </w:r>
      <w:r w:rsidR="003441BF">
        <w:t>reach any consensus on preferred directions for future policy. For example,</w:t>
      </w:r>
      <w:r w:rsidR="006756BE">
        <w:t xml:space="preserve"> </w:t>
      </w:r>
      <w:r w:rsidR="004F735C">
        <w:t xml:space="preserve">the Chartered Accountants of Australia and New Zealand (CA ANZ) </w:t>
      </w:r>
      <w:r w:rsidR="004311E1">
        <w:t xml:space="preserve">questioned whether any </w:t>
      </w:r>
      <w:r w:rsidR="00A24377">
        <w:t xml:space="preserve">of the options </w:t>
      </w:r>
      <w:r w:rsidR="00FF019B">
        <w:t>were likely to be feasible</w:t>
      </w:r>
      <w:r w:rsidR="001F0E77">
        <w:t xml:space="preserve">. </w:t>
      </w:r>
      <w:r w:rsidR="00155CF6">
        <w:t>It</w:t>
      </w:r>
      <w:r w:rsidR="007459CB">
        <w:t xml:space="preserve"> </w:t>
      </w:r>
      <w:r w:rsidR="00FF019B">
        <w:t xml:space="preserve">expressed concerns about measures </w:t>
      </w:r>
      <w:r w:rsidR="005B4866">
        <w:t>that</w:t>
      </w:r>
      <w:r w:rsidR="00FF019B">
        <w:t xml:space="preserve"> might move away from a broad-base</w:t>
      </w:r>
      <w:r w:rsidR="0014742D">
        <w:t>d</w:t>
      </w:r>
      <w:r w:rsidR="00FF019B">
        <w:t>, low</w:t>
      </w:r>
      <w:r w:rsidR="00D6057D">
        <w:t xml:space="preserve">-rate </w:t>
      </w:r>
      <w:r w:rsidR="00C92BAF">
        <w:t xml:space="preserve">(BBLR) </w:t>
      </w:r>
      <w:r w:rsidR="00D6057D">
        <w:t xml:space="preserve">approach to tax policy. </w:t>
      </w:r>
      <w:r w:rsidR="007459CB">
        <w:t>Of all the options</w:t>
      </w:r>
      <w:r w:rsidR="0014742D">
        <w:t>,</w:t>
      </w:r>
      <w:r w:rsidR="00212163">
        <w:t xml:space="preserve"> it considered a dual income tax the most feasible but though</w:t>
      </w:r>
      <w:r w:rsidR="00155CF6">
        <w:t>t</w:t>
      </w:r>
      <w:r w:rsidR="00212163">
        <w:t xml:space="preserve"> this was unlikely to be possible in the short</w:t>
      </w:r>
      <w:r w:rsidR="0028612B">
        <w:t xml:space="preserve"> to medium term</w:t>
      </w:r>
      <w:r w:rsidR="00647FCE">
        <w:t xml:space="preserve"> because it </w:t>
      </w:r>
      <w:r w:rsidR="00C91682">
        <w:t>is likely to require a tax on capital gains</w:t>
      </w:r>
      <w:r w:rsidR="0028612B">
        <w:t xml:space="preserve">. </w:t>
      </w:r>
      <w:r w:rsidR="00D6057D">
        <w:t>Business New Zealand</w:t>
      </w:r>
      <w:r w:rsidR="005D5CF8">
        <w:t xml:space="preserve"> </w:t>
      </w:r>
      <w:r w:rsidR="008756B9">
        <w:t xml:space="preserve">(Business NZ) </w:t>
      </w:r>
      <w:r w:rsidR="005D5CF8">
        <w:t>a</w:t>
      </w:r>
      <w:r w:rsidR="00C92BAF">
        <w:t xml:space="preserve">lso expressed </w:t>
      </w:r>
      <w:r w:rsidR="00C91682">
        <w:t>support for</w:t>
      </w:r>
      <w:r w:rsidR="00C92BAF">
        <w:t xml:space="preserve"> a BBLR framework</w:t>
      </w:r>
      <w:r w:rsidR="00E04A57">
        <w:t xml:space="preserve"> but considered a cut in the company tax rate as their top priority, with accelerated depreciation </w:t>
      </w:r>
      <w:r w:rsidR="007C41CF">
        <w:t xml:space="preserve">provisions or looser thin capitalisation provisions worth considering. </w:t>
      </w:r>
      <w:r w:rsidR="00EA049E">
        <w:t xml:space="preserve">They expressed strong </w:t>
      </w:r>
      <w:r w:rsidR="00184E89">
        <w:t xml:space="preserve">opposition to </w:t>
      </w:r>
      <w:r w:rsidR="00EA049E">
        <w:t xml:space="preserve">specific </w:t>
      </w:r>
      <w:r w:rsidR="0032389A">
        <w:t xml:space="preserve">tax </w:t>
      </w:r>
      <w:r w:rsidR="00EA049E">
        <w:t xml:space="preserve">incentives. </w:t>
      </w:r>
      <w:r w:rsidR="006E3994">
        <w:t xml:space="preserve">The </w:t>
      </w:r>
      <w:r w:rsidR="00EA049E">
        <w:t xml:space="preserve">Corporate Taxpayers Group </w:t>
      </w:r>
      <w:r w:rsidR="00655E97">
        <w:t>argued that it was an urgent priority to reduce costs</w:t>
      </w:r>
      <w:r w:rsidR="0051471C">
        <w:t xml:space="preserve"> of capital and expressed br</w:t>
      </w:r>
      <w:r w:rsidR="00144CDD">
        <w:t>oad support for</w:t>
      </w:r>
      <w:r w:rsidR="00A97988">
        <w:t xml:space="preserve"> measures </w:t>
      </w:r>
      <w:r w:rsidR="00612E10">
        <w:t>that</w:t>
      </w:r>
      <w:r w:rsidR="00A97988">
        <w:t xml:space="preserve"> </w:t>
      </w:r>
      <w:r w:rsidR="0051471C">
        <w:t>did this</w:t>
      </w:r>
      <w:r w:rsidR="003F7441">
        <w:t>,</w:t>
      </w:r>
      <w:r w:rsidR="00A97988">
        <w:t xml:space="preserve"> including specific tax incentives.</w:t>
      </w:r>
    </w:p>
    <w:p w14:paraId="666C0ED6" w14:textId="1AD117FE" w:rsidR="00AA0B27" w:rsidRDefault="00AF7271" w:rsidP="009E33D4">
      <w:pPr>
        <w:pStyle w:val="NumberedParagraph"/>
        <w:numPr>
          <w:ilvl w:val="1"/>
          <w:numId w:val="64"/>
        </w:numPr>
      </w:pPr>
      <w:r>
        <w:t>If future governments do wish to make tax changes to reduce costs of capital and make these more neutral, there</w:t>
      </w:r>
      <w:r w:rsidR="00965407">
        <w:t xml:space="preserve"> are likely to </w:t>
      </w:r>
      <w:r w:rsidR="003F7441">
        <w:t xml:space="preserve">be </w:t>
      </w:r>
      <w:r w:rsidR="00965407">
        <w:t xml:space="preserve">ongoing </w:t>
      </w:r>
      <w:r w:rsidR="00A2244B">
        <w:t>debates about the best possible direction of reforms</w:t>
      </w:r>
      <w:r w:rsidR="00781D2C">
        <w:t>.</w:t>
      </w:r>
    </w:p>
    <w:p w14:paraId="35E01D21" w14:textId="0F929922" w:rsidR="00B86F53" w:rsidRPr="008E22D3" w:rsidRDefault="002778BF" w:rsidP="009E33D4">
      <w:pPr>
        <w:pStyle w:val="NumberedParagraph"/>
        <w:numPr>
          <w:ilvl w:val="1"/>
          <w:numId w:val="64"/>
        </w:numPr>
      </w:pPr>
      <w:r>
        <w:t xml:space="preserve">Some further specific issues were raised in </w:t>
      </w:r>
      <w:r w:rsidR="00BD56A6">
        <w:t>specific</w:t>
      </w:r>
      <w:r>
        <w:t xml:space="preserve"> submissions. </w:t>
      </w:r>
      <w:r w:rsidR="00BD56A6">
        <w:t xml:space="preserve">One submission suggested that it might be useful to provide additional </w:t>
      </w:r>
      <w:r w:rsidR="005E18D5">
        <w:t xml:space="preserve">cash-flow </w:t>
      </w:r>
      <w:r w:rsidR="00BD56A6">
        <w:t xml:space="preserve">examples </w:t>
      </w:r>
      <w:r w:rsidR="005E18D5">
        <w:t xml:space="preserve">of how tax provisions can affect costs of capital </w:t>
      </w:r>
      <w:r w:rsidR="00BD56A6">
        <w:t xml:space="preserve">and </w:t>
      </w:r>
      <w:r w:rsidR="005E18D5">
        <w:t>EMTRs. T</w:t>
      </w:r>
      <w:r w:rsidR="00BD56A6">
        <w:t xml:space="preserve">his is picked up on in the </w:t>
      </w:r>
      <w:proofErr w:type="gramStart"/>
      <w:r w:rsidR="00BD56A6">
        <w:t>Technical</w:t>
      </w:r>
      <w:proofErr w:type="gramEnd"/>
      <w:r w:rsidR="00BD56A6">
        <w:t xml:space="preserve"> </w:t>
      </w:r>
      <w:r w:rsidR="00AB3925">
        <w:t>a</w:t>
      </w:r>
      <w:r w:rsidR="00BD56A6">
        <w:t xml:space="preserve">ppendices. </w:t>
      </w:r>
      <w:r w:rsidR="00D171CA">
        <w:t>Another submitter thought that the LTIB did not go far enough in considering alternatives to a BBLR approach.</w:t>
      </w:r>
    </w:p>
    <w:p w14:paraId="1297C792" w14:textId="6DB584C7" w:rsidR="008E22D3" w:rsidRPr="008E22D3" w:rsidRDefault="008E22D3" w:rsidP="004D1B89">
      <w:pPr>
        <w:pStyle w:val="Heading2"/>
        <w:rPr>
          <w:rFonts w:eastAsia="Calibri"/>
          <w:lang w:eastAsia="en-US"/>
        </w:rPr>
      </w:pPr>
      <w:bookmarkStart w:id="12" w:name="_Toc112857391"/>
      <w:r w:rsidRPr="008E22D3">
        <w:rPr>
          <w:rFonts w:eastAsia="Calibri"/>
          <w:lang w:eastAsia="en-US"/>
        </w:rPr>
        <w:t>Outline of the LTIB</w:t>
      </w:r>
      <w:bookmarkEnd w:id="12"/>
    </w:p>
    <w:p w14:paraId="63CFE535" w14:textId="053B134C" w:rsidR="008E22D3" w:rsidRPr="00075D72" w:rsidRDefault="008E22D3" w:rsidP="00075D72">
      <w:pPr>
        <w:pStyle w:val="NumberedParagraph"/>
        <w:numPr>
          <w:ilvl w:val="1"/>
          <w:numId w:val="64"/>
        </w:numPr>
        <w:rPr>
          <w:rFonts w:eastAsia="Verdana" w:cs="Verdana"/>
        </w:rPr>
      </w:pPr>
      <w:r w:rsidRPr="008E22D3">
        <w:t xml:space="preserve">The content of the LTIB is as follows. Chapter 2 discusses a framework for examining taxes on inbound investment and whether changes in tax settings are likely to be in New Zealand’s best interests. Chapter 3 provides estimates from the OECD benchmarking analysis of costs of capital or hurdle rates and EMTRs in New Zealand against those for other countries. These suggest that New Zealand </w:t>
      </w:r>
      <w:r w:rsidR="00C46C31">
        <w:t>is an outlier with</w:t>
      </w:r>
      <w:r w:rsidRPr="008E22D3">
        <w:t xml:space="preserve"> </w:t>
      </w:r>
      <w:r w:rsidR="005E18D5">
        <w:t xml:space="preserve">very </w:t>
      </w:r>
      <w:r w:rsidRPr="008E22D3">
        <w:t xml:space="preserve">high costs of capital and EMTRs compared with most other OECD countries. </w:t>
      </w:r>
      <w:r w:rsidR="00614021">
        <w:t>We also discuss</w:t>
      </w:r>
      <w:r w:rsidR="00853226">
        <w:t xml:space="preserve"> </w:t>
      </w:r>
      <w:r w:rsidR="0088554C">
        <w:t xml:space="preserve">other </w:t>
      </w:r>
      <w:r w:rsidR="00FF4F35">
        <w:t xml:space="preserve">analysis </w:t>
      </w:r>
      <w:r w:rsidR="009D162E">
        <w:t>that</w:t>
      </w:r>
      <w:r w:rsidR="00392A64">
        <w:t xml:space="preserve"> </w:t>
      </w:r>
      <w:r w:rsidR="00545267">
        <w:t>suggests that</w:t>
      </w:r>
      <w:r w:rsidR="00276B3B">
        <w:t>,</w:t>
      </w:r>
      <w:r w:rsidR="00545267">
        <w:t xml:space="preserve"> </w:t>
      </w:r>
      <w:r w:rsidR="00392A64">
        <w:t xml:space="preserve">while </w:t>
      </w:r>
      <w:r w:rsidR="00545267">
        <w:t xml:space="preserve">New Zealand has higher EMTRs </w:t>
      </w:r>
      <w:r w:rsidR="009E48DE">
        <w:t xml:space="preserve">than </w:t>
      </w:r>
      <w:r w:rsidR="00392A64">
        <w:t>most</w:t>
      </w:r>
      <w:r w:rsidR="009E48DE">
        <w:t xml:space="preserve"> OECD countr</w:t>
      </w:r>
      <w:r w:rsidR="00392A64">
        <w:t>ies</w:t>
      </w:r>
      <w:r w:rsidR="009948F1">
        <w:t>,</w:t>
      </w:r>
      <w:r w:rsidR="009E48DE">
        <w:t xml:space="preserve"> it </w:t>
      </w:r>
      <w:r w:rsidR="009948F1">
        <w:t xml:space="preserve">may </w:t>
      </w:r>
      <w:r w:rsidR="009948F1">
        <w:lastRenderedPageBreak/>
        <w:t>be</w:t>
      </w:r>
      <w:r w:rsidR="009E48DE">
        <w:t xml:space="preserve"> less of an outlier</w:t>
      </w:r>
      <w:r w:rsidR="00A744B6">
        <w:t xml:space="preserve">. </w:t>
      </w:r>
      <w:r w:rsidRPr="008E22D3">
        <w:t>Chapter 4 extends the OECD analysis in several w</w:t>
      </w:r>
      <w:r w:rsidRPr="00075D72">
        <w:t>ays to examine costs of capital and EMTRs in New Zealand</w:t>
      </w:r>
      <w:r w:rsidR="00485537">
        <w:t xml:space="preserve"> for a broader set of assets and </w:t>
      </w:r>
      <w:r w:rsidR="00EF210C">
        <w:t>a broader set of taxes</w:t>
      </w:r>
      <w:r w:rsidRPr="00075D72">
        <w:t>.</w:t>
      </w:r>
      <w:r w:rsidR="00FE639B" w:rsidRPr="00075D72">
        <w:t xml:space="preserve"> </w:t>
      </w:r>
      <w:r w:rsidR="00E828A2" w:rsidRPr="00075D72">
        <w:t xml:space="preserve">This analysis is supplemented by a set of technical appendices </w:t>
      </w:r>
      <w:r w:rsidR="00276B3B">
        <w:t>that</w:t>
      </w:r>
      <w:r w:rsidR="00E828A2" w:rsidRPr="00075D72">
        <w:t xml:space="preserve"> are available on </w:t>
      </w:r>
      <w:r w:rsidR="005D7F78">
        <w:t>the</w:t>
      </w:r>
      <w:r w:rsidR="005D7F78" w:rsidRPr="00075D72">
        <w:t xml:space="preserve"> </w:t>
      </w:r>
      <w:r w:rsidR="004E2537" w:rsidRPr="00075D72">
        <w:t xml:space="preserve">tax policy </w:t>
      </w:r>
      <w:r w:rsidR="00AE70CC" w:rsidRPr="00075D72">
        <w:t>website</w:t>
      </w:r>
      <w:r w:rsidR="00702353" w:rsidRPr="00075D72">
        <w:t>.</w:t>
      </w:r>
      <w:r w:rsidR="00AE70CC">
        <w:rPr>
          <w:rStyle w:val="FootnoteReference"/>
        </w:rPr>
        <w:footnoteReference w:id="15"/>
      </w:r>
    </w:p>
    <w:p w14:paraId="399912CC" w14:textId="65587109" w:rsidR="00C95CBB" w:rsidRDefault="008E22D3" w:rsidP="00075D72">
      <w:pPr>
        <w:pStyle w:val="NumberedParagraph"/>
        <w:numPr>
          <w:ilvl w:val="1"/>
          <w:numId w:val="64"/>
        </w:numPr>
      </w:pPr>
      <w:r w:rsidRPr="008E22D3">
        <w:t>The subsequent chapters examine the pros and cons of different ways of reducing costs of capital</w:t>
      </w:r>
      <w:r w:rsidR="002824B9">
        <w:t xml:space="preserve">. Some of these </w:t>
      </w:r>
      <w:r w:rsidR="00B46B1E">
        <w:t xml:space="preserve">ways </w:t>
      </w:r>
      <w:r w:rsidR="002824B9">
        <w:t>can also help in making tax settings</w:t>
      </w:r>
      <w:r w:rsidRPr="008E22D3">
        <w:t xml:space="preserve"> more neutral. Chapter 5 provides an overview of the different policy options that are considered. While these are meant to cover the most likely options to be put forward, the list is far from exhaustive. Chapter 6 examines a cut in the company tax rate. Chapter 7 examines two accelerated depreciation measures: a depreciation loading for assets, and a system of partial expensing. Chapter 8 considers the possibility of indexing the income tax base for inflation so that taxpayers would no longer be taxed on inflationary gains and could no longer deduct inflationary losses. Chapter 9 discusses the possibility of loosening the current thin capitalisation</w:t>
      </w:r>
      <w:r w:rsidR="008D03D9">
        <w:t xml:space="preserve"> rules</w:t>
      </w:r>
      <w:r w:rsidRPr="008E22D3">
        <w:t xml:space="preserve"> by allowing a higher safe harbour threshold. Chapter 10 explores the possibility of an allowance for corporate equity. Chapter 11 discusses the possibility of specific incentives for different types of business. Finally, </w:t>
      </w:r>
      <w:r w:rsidR="00075D72" w:rsidRPr="008E22D3">
        <w:t>chapter</w:t>
      </w:r>
      <w:r w:rsidR="00AC64BE">
        <w:t xml:space="preserve"> </w:t>
      </w:r>
      <w:r w:rsidRPr="008E22D3">
        <w:t>12 considers the possibility of a more fundamental shift towards a dual income tax system.</w:t>
      </w:r>
    </w:p>
    <w:p w14:paraId="599D506D" w14:textId="31B3042E" w:rsidR="007272BC" w:rsidRPr="005926BD" w:rsidRDefault="00F80952" w:rsidP="00A63EFA">
      <w:pPr>
        <w:pStyle w:val="Heading1"/>
        <w:numPr>
          <w:ilvl w:val="0"/>
          <w:numId w:val="64"/>
        </w:numPr>
        <w:ind w:left="0"/>
      </w:pPr>
      <w:r>
        <w:lastRenderedPageBreak/>
        <w:br/>
      </w:r>
      <w:r w:rsidR="0043508B">
        <w:br/>
      </w:r>
      <w:bookmarkStart w:id="13" w:name="_Toc112857392"/>
      <w:r w:rsidR="007272BC" w:rsidRPr="005926BD">
        <w:t>Taxing inbound investment income – modelling economic effects and trade-offs</w:t>
      </w:r>
      <w:bookmarkEnd w:id="13"/>
    </w:p>
    <w:tbl>
      <w:tblPr>
        <w:tblStyle w:val="SummaryBox"/>
        <w:tblW w:w="0" w:type="auto"/>
        <w:tblLayout w:type="fixed"/>
        <w:tblLook w:val="04A0" w:firstRow="1" w:lastRow="0" w:firstColumn="1" w:lastColumn="0" w:noHBand="0" w:noVBand="1"/>
      </w:tblPr>
      <w:tblGrid>
        <w:gridCol w:w="8778"/>
      </w:tblGrid>
      <w:tr w:rsidR="007272BC" w:rsidRPr="007272BC" w14:paraId="1D936DE5" w14:textId="77777777" w:rsidTr="007D07BC">
        <w:tc>
          <w:tcPr>
            <w:tcW w:w="8778" w:type="dxa"/>
          </w:tcPr>
          <w:p w14:paraId="2B1DA0B3" w14:textId="22326B10" w:rsidR="007272BC" w:rsidRPr="007272BC" w:rsidRDefault="007272BC" w:rsidP="00597B6B">
            <w:pPr>
              <w:pStyle w:val="ListBullet"/>
            </w:pPr>
            <w:r w:rsidRPr="007272BC">
              <w:rPr>
                <w:lang w:val="en-GB"/>
              </w:rPr>
              <w:t>Measures designed to reduce source-based taxes on investment in a small open economy can promote investment and boost productivity.</w:t>
            </w:r>
          </w:p>
          <w:p w14:paraId="2AAAC214" w14:textId="78ED4CC9" w:rsidR="007272BC" w:rsidRPr="007272BC" w:rsidRDefault="007272BC" w:rsidP="00597B6B">
            <w:pPr>
              <w:pStyle w:val="ListBullet"/>
            </w:pPr>
            <w:r w:rsidRPr="007272BC">
              <w:rPr>
                <w:lang w:val="en-GB"/>
              </w:rPr>
              <w:t xml:space="preserve">At the same time, these measures will often reduce tax collections on sunk investments that have already taken place and on investments that produce economic rents that will take place </w:t>
            </w:r>
            <w:r w:rsidR="00530EE2">
              <w:rPr>
                <w:lang w:val="en-GB"/>
              </w:rPr>
              <w:t xml:space="preserve">regardless of </w:t>
            </w:r>
            <w:r w:rsidRPr="007272BC">
              <w:rPr>
                <w:lang w:val="en-GB"/>
              </w:rPr>
              <w:t>whether source-based taxes are cut.</w:t>
            </w:r>
          </w:p>
          <w:p w14:paraId="73E444F1" w14:textId="42EF0C49" w:rsidR="007272BC" w:rsidRPr="007272BC" w:rsidRDefault="007272BC" w:rsidP="00597B6B">
            <w:pPr>
              <w:pStyle w:val="ListBullet"/>
            </w:pPr>
            <w:r w:rsidRPr="007272BC">
              <w:rPr>
                <w:lang w:val="en-GB"/>
              </w:rPr>
              <w:t>Some measures</w:t>
            </w:r>
            <w:r w:rsidR="005850C1">
              <w:rPr>
                <w:lang w:val="en-GB"/>
              </w:rPr>
              <w:t>,</w:t>
            </w:r>
            <w:r w:rsidRPr="007272BC">
              <w:rPr>
                <w:lang w:val="en-GB"/>
              </w:rPr>
              <w:t xml:space="preserve"> such as cuts in the company tax rate</w:t>
            </w:r>
            <w:r w:rsidR="005850C1">
              <w:rPr>
                <w:lang w:val="en-GB"/>
              </w:rPr>
              <w:t>,</w:t>
            </w:r>
            <w:r w:rsidRPr="007272BC">
              <w:rPr>
                <w:lang w:val="en-GB"/>
              </w:rPr>
              <w:t xml:space="preserve"> may also undermine a government’s goals for the progressivity and integrity of personal income taxation.</w:t>
            </w:r>
          </w:p>
          <w:p w14:paraId="1735BCED" w14:textId="501A9A4D" w:rsidR="007272BC" w:rsidRPr="007272BC" w:rsidRDefault="007272BC" w:rsidP="00597B6B">
            <w:pPr>
              <w:pStyle w:val="ListBullet"/>
            </w:pPr>
            <w:r w:rsidRPr="007272BC">
              <w:rPr>
                <w:lang w:val="en-GB"/>
              </w:rPr>
              <w:t>Greater neutrality of tax settings</w:t>
            </w:r>
            <w:r w:rsidR="00F82F50">
              <w:rPr>
                <w:lang w:val="en-GB"/>
              </w:rPr>
              <w:t>,</w:t>
            </w:r>
            <w:r w:rsidRPr="007272BC">
              <w:rPr>
                <w:lang w:val="en-GB"/>
              </w:rPr>
              <w:t xml:space="preserve"> so that investment financed in different ways and investment in different assets is taxed as consistently as possible</w:t>
            </w:r>
            <w:r w:rsidR="003779AE">
              <w:rPr>
                <w:lang w:val="en-GB"/>
              </w:rPr>
              <w:t>,</w:t>
            </w:r>
            <w:r w:rsidRPr="007272BC">
              <w:rPr>
                <w:lang w:val="en-GB"/>
              </w:rPr>
              <w:t xml:space="preserve"> is also likely to promote productivity and economic efficiency.</w:t>
            </w:r>
          </w:p>
          <w:p w14:paraId="039D8ED1" w14:textId="77777777" w:rsidR="007272BC" w:rsidRPr="007272BC" w:rsidRDefault="007272BC" w:rsidP="00597B6B">
            <w:pPr>
              <w:pStyle w:val="ListBullet"/>
            </w:pPr>
            <w:r w:rsidRPr="007272BC">
              <w:rPr>
                <w:lang w:val="en-GB"/>
              </w:rPr>
              <w:t>Measures reducing source-based taxes are more likely to be in New Zealand’s best interests if there is a substantial investment response.</w:t>
            </w:r>
          </w:p>
          <w:p w14:paraId="4E7C9CAD" w14:textId="5E5FA552" w:rsidR="007272BC" w:rsidRPr="007272BC" w:rsidRDefault="007272BC" w:rsidP="00597B6B">
            <w:pPr>
              <w:pStyle w:val="ListBullet"/>
            </w:pPr>
            <w:r w:rsidRPr="007272BC">
              <w:rPr>
                <w:lang w:val="en-GB"/>
              </w:rPr>
              <w:t>While there is considerable international research on the responsiveness of FDI and capital stock to tax changes, there is currently limited evidence on these issues for New Zealand.</w:t>
            </w:r>
          </w:p>
        </w:tc>
      </w:tr>
    </w:tbl>
    <w:p w14:paraId="3BEBA3E3" w14:textId="77777777" w:rsidR="007272BC" w:rsidRPr="007272BC" w:rsidRDefault="007272BC" w:rsidP="0029171F">
      <w:pPr>
        <w:pStyle w:val="Heading2"/>
        <w:rPr>
          <w:rFonts w:eastAsia="Calibri"/>
          <w:lang w:eastAsia="en-US"/>
        </w:rPr>
      </w:pPr>
      <w:bookmarkStart w:id="14" w:name="_Toc112857393"/>
      <w:r w:rsidRPr="007272BC">
        <w:rPr>
          <w:rFonts w:eastAsia="Calibri"/>
          <w:lang w:eastAsia="en-US"/>
        </w:rPr>
        <w:t>Introduction</w:t>
      </w:r>
      <w:bookmarkEnd w:id="14"/>
    </w:p>
    <w:p w14:paraId="59FB100F" w14:textId="77777777" w:rsidR="007272BC" w:rsidRPr="00F133F7" w:rsidRDefault="007272BC" w:rsidP="00075D72">
      <w:pPr>
        <w:pStyle w:val="NumberedParagraph"/>
        <w:numPr>
          <w:ilvl w:val="1"/>
          <w:numId w:val="64"/>
        </w:numPr>
      </w:pPr>
      <w:r w:rsidRPr="00F133F7">
        <w:t>New Zealand’s tax policy settings will affect incentives for non-residents to invest in New Zealand. They will impact on costs of capital (that is, the real pre-tax rates of return that investments in New Zealand need to generate to be attractive on an after-tax basis).</w:t>
      </w:r>
    </w:p>
    <w:p w14:paraId="50D4CDA1" w14:textId="040978D7" w:rsidR="00B15478" w:rsidRDefault="007272BC" w:rsidP="000C1388">
      <w:pPr>
        <w:pStyle w:val="NumberedParagraph"/>
        <w:numPr>
          <w:ilvl w:val="1"/>
          <w:numId w:val="64"/>
        </w:numPr>
      </w:pPr>
      <w:r w:rsidRPr="007272BC">
        <w:t>New Zealand depends on capital inflows for its economic development and performance. Inbound investment can generate growth in New Zealand’s capital stock, and with a greater capital stock, labour will tend to become more productive.</w:t>
      </w:r>
    </w:p>
    <w:p w14:paraId="7A6E2B0C" w14:textId="67641B0F" w:rsidR="00B15478" w:rsidRDefault="00552944" w:rsidP="000C1388">
      <w:pPr>
        <w:pStyle w:val="NumberedParagraph"/>
        <w:numPr>
          <w:ilvl w:val="1"/>
          <w:numId w:val="64"/>
        </w:numPr>
      </w:pPr>
      <w:r>
        <w:t xml:space="preserve">Some submitters asked how efficiency and productivity relate to living standards. If taxes have adverse effects on productivity, this can mean that less income is produced in New Zealand with the same inputs. </w:t>
      </w:r>
      <w:r w:rsidR="00A138D7">
        <w:t>For</w:t>
      </w:r>
      <w:r w:rsidR="0081758C">
        <w:t xml:space="preserve"> example, t</w:t>
      </w:r>
      <w:r w:rsidR="009F0E2D">
        <w:t xml:space="preserve">his can mean that New Zealanders </w:t>
      </w:r>
      <w:r w:rsidR="007B7339">
        <w:t xml:space="preserve">earn their incomes </w:t>
      </w:r>
      <w:r w:rsidR="00121893">
        <w:t>either</w:t>
      </w:r>
      <w:r w:rsidR="00CE0CB2">
        <w:t xml:space="preserve"> </w:t>
      </w:r>
      <w:r w:rsidR="007B7339">
        <w:t xml:space="preserve">by working longer and </w:t>
      </w:r>
      <w:r>
        <w:t>having less time to spend with friends and family</w:t>
      </w:r>
      <w:r w:rsidR="007B7339">
        <w:t xml:space="preserve"> or on other pursuits</w:t>
      </w:r>
      <w:r w:rsidR="00D86454">
        <w:t>.</w:t>
      </w:r>
      <w:r>
        <w:t xml:space="preserve"> </w:t>
      </w:r>
      <w:r w:rsidR="00D86454">
        <w:t>E</w:t>
      </w:r>
      <w:r>
        <w:t xml:space="preserve">fficiency costs </w:t>
      </w:r>
      <w:r w:rsidR="00E865F0">
        <w:t>represent the</w:t>
      </w:r>
      <w:r>
        <w:t xml:space="preserve"> multi-faceted ways that taxes may reduce </w:t>
      </w:r>
      <w:r w:rsidR="00B43627">
        <w:t>well</w:t>
      </w:r>
      <w:r w:rsidR="003E5BE9">
        <w:t>-</w:t>
      </w:r>
      <w:r w:rsidR="00B43627">
        <w:t>being</w:t>
      </w:r>
      <w:r>
        <w:t xml:space="preserve"> </w:t>
      </w:r>
      <w:r w:rsidR="00E0084A">
        <w:t>that</w:t>
      </w:r>
      <w:r>
        <w:t xml:space="preserve"> are over and above the amount of tax collected to finance government spending</w:t>
      </w:r>
      <w:r w:rsidR="007E4C4C">
        <w:t>.</w:t>
      </w:r>
    </w:p>
    <w:p w14:paraId="5B064FC0" w14:textId="2429D5D2" w:rsidR="002B13D0" w:rsidRDefault="00220EFC" w:rsidP="000C1388">
      <w:pPr>
        <w:pStyle w:val="NumberedParagraph"/>
        <w:numPr>
          <w:ilvl w:val="1"/>
          <w:numId w:val="64"/>
        </w:numPr>
      </w:pPr>
      <w:r>
        <w:t>A great</w:t>
      </w:r>
      <w:r w:rsidR="00A5085C">
        <w:t>er capital stock can</w:t>
      </w:r>
      <w:r w:rsidR="007272BC" w:rsidRPr="007272BC">
        <w:t xml:space="preserve"> support higher wage rates in New Zealand</w:t>
      </w:r>
      <w:r w:rsidR="004351CA">
        <w:t xml:space="preserve">, which means higher incomes for New Zealanders. </w:t>
      </w:r>
      <w:r w:rsidR="0042045C">
        <w:t xml:space="preserve">This will make it more attractive for people to choose to live in New Zealand. </w:t>
      </w:r>
      <w:r w:rsidR="004351CA">
        <w:t xml:space="preserve">Incomes are one of the key determinants of </w:t>
      </w:r>
      <w:r w:rsidR="002B13D0">
        <w:t>living standards</w:t>
      </w:r>
      <w:r w:rsidR="007272BC" w:rsidRPr="007272BC">
        <w:t>.</w:t>
      </w:r>
    </w:p>
    <w:p w14:paraId="0FA3EC10" w14:textId="0D645B4D" w:rsidR="007272BC" w:rsidRPr="007272BC" w:rsidRDefault="007272BC" w:rsidP="00075D72">
      <w:pPr>
        <w:pStyle w:val="NumberedParagraph"/>
        <w:numPr>
          <w:ilvl w:val="1"/>
          <w:numId w:val="64"/>
        </w:numPr>
      </w:pPr>
      <w:r w:rsidRPr="007272BC">
        <w:lastRenderedPageBreak/>
        <w:t xml:space="preserve">Inbound investment could also support productivity and growth through transferring technology, building management expertise and broader business knowhow, and raising the skills and knowledge of the New Zealand workforce. In addition, inbound investment </w:t>
      </w:r>
      <w:r w:rsidR="008C1401">
        <w:t xml:space="preserve">might </w:t>
      </w:r>
      <w:r w:rsidRPr="007272BC">
        <w:t>provide access to international production chains and markets.</w:t>
      </w:r>
    </w:p>
    <w:p w14:paraId="1EA3E8C6" w14:textId="42A7AE09" w:rsidR="007272BC" w:rsidRPr="007272BC" w:rsidRDefault="007272BC" w:rsidP="00075D72">
      <w:pPr>
        <w:pStyle w:val="NumberedParagraph"/>
        <w:numPr>
          <w:ilvl w:val="1"/>
          <w:numId w:val="64"/>
        </w:numPr>
      </w:pPr>
      <w:r w:rsidRPr="007272BC">
        <w:t>Company tax is the main tax on inbound investment income. Company tax settings may have important impacts on inbound investment and the efficiency and effectiveness of New Zealand’s tax settings more broadly.</w:t>
      </w:r>
    </w:p>
    <w:p w14:paraId="1125A7EF" w14:textId="35CC6237" w:rsidR="007272BC" w:rsidRPr="007272BC" w:rsidRDefault="007272BC" w:rsidP="00075D72">
      <w:pPr>
        <w:pStyle w:val="NumberedParagraph"/>
        <w:numPr>
          <w:ilvl w:val="1"/>
          <w:numId w:val="64"/>
        </w:numPr>
      </w:pPr>
      <w:r w:rsidRPr="007272BC">
        <w:t xml:space="preserve">Later chapters examine, and extend, work by the OECD on how taxes on inbound investment income can impact on costs of capital and effective marginal tax rates (EMTRs). They look at the pros and cons of some different possible tax policy changes. This chapter discusses an economic framework and some empirical evidence </w:t>
      </w:r>
      <w:r w:rsidR="00486FD2">
        <w:t>that</w:t>
      </w:r>
      <w:r w:rsidRPr="007272BC">
        <w:t xml:space="preserve"> can be helpful in thinking through the likely welfare consequences of taxes on inbound investment.</w:t>
      </w:r>
    </w:p>
    <w:p w14:paraId="6CA8318C" w14:textId="77777777" w:rsidR="007272BC" w:rsidRPr="007272BC" w:rsidRDefault="007272BC" w:rsidP="00075D72">
      <w:pPr>
        <w:pStyle w:val="NumberedParagraph"/>
        <w:numPr>
          <w:ilvl w:val="1"/>
          <w:numId w:val="64"/>
        </w:numPr>
      </w:pPr>
      <w:r w:rsidRPr="007272BC">
        <w:t>We start by presenting a simple economic model, with a single type of capital inflow and a single type of investment, that economists have used to start to examine these sorts of issues. We explain why this model suggests that high taxes on inbound investment into New Zealand can be undesirable. We then discuss a broader range of capital inflows and forms of investment and consider how non-neutral settings can reduce productivity and economic performance. Gains in productivity and economic performance from reducing high EMTRs and making these more neutral will ultimately depend on the responsiveness of investment to tax settings. We complete this chapter by discussing international evidence on how large the effects on investment are likely to be of any reductions in costs of capital and EMTRs.</w:t>
      </w:r>
    </w:p>
    <w:p w14:paraId="0B81AAC5" w14:textId="77777777" w:rsidR="007272BC" w:rsidRPr="00075D72" w:rsidRDefault="007272BC" w:rsidP="00075D72">
      <w:pPr>
        <w:pStyle w:val="NumberedParagraph"/>
        <w:numPr>
          <w:ilvl w:val="1"/>
          <w:numId w:val="64"/>
        </w:numPr>
        <w:rPr>
          <w:lang w:val="en-GB"/>
        </w:rPr>
      </w:pPr>
      <w:r w:rsidRPr="00075D72">
        <w:rPr>
          <w:lang w:val="en-GB"/>
        </w:rPr>
        <w:t xml:space="preserve">Much of the analysis in this chapter has been discussed in other tax reviews, including the </w:t>
      </w:r>
      <w:r w:rsidRPr="00075D72">
        <w:rPr>
          <w:i/>
          <w:iCs/>
          <w:lang w:val="en-GB"/>
        </w:rPr>
        <w:t>Tax Review 2001</w:t>
      </w:r>
      <w:r w:rsidRPr="00075D72">
        <w:rPr>
          <w:lang w:val="en-GB"/>
        </w:rPr>
        <w:t xml:space="preserve"> (chaired by Sir Robert McLeod and commonly referred to as the </w:t>
      </w:r>
      <w:r w:rsidRPr="00075D72">
        <w:rPr>
          <w:i/>
          <w:iCs/>
          <w:lang w:val="en-GB"/>
        </w:rPr>
        <w:t>McLeod Review</w:t>
      </w:r>
      <w:r w:rsidRPr="00075D72">
        <w:rPr>
          <w:lang w:val="en-GB"/>
        </w:rPr>
        <w:t>)</w:t>
      </w:r>
      <w:r w:rsidRPr="007427DB">
        <w:rPr>
          <w:vertAlign w:val="superscript"/>
          <w:lang w:val="en-GB"/>
        </w:rPr>
        <w:footnoteReference w:id="16"/>
      </w:r>
      <w:r w:rsidRPr="00075D72">
        <w:rPr>
          <w:lang w:val="en-GB"/>
        </w:rPr>
        <w:t xml:space="preserve"> and </w:t>
      </w:r>
      <w:r w:rsidRPr="00075D72">
        <w:rPr>
          <w:i/>
          <w:iCs/>
          <w:lang w:val="en-GB"/>
        </w:rPr>
        <w:t>New Zealand’s taxation framework for inbound investment,</w:t>
      </w:r>
      <w:r w:rsidRPr="00075D72">
        <w:rPr>
          <w:lang w:val="en-GB"/>
        </w:rPr>
        <w:t xml:space="preserve"> Inland Revenue and Treasury (2016).</w:t>
      </w:r>
      <w:r w:rsidRPr="007427DB">
        <w:rPr>
          <w:vertAlign w:val="superscript"/>
          <w:lang w:val="en-GB"/>
        </w:rPr>
        <w:footnoteReference w:id="17"/>
      </w:r>
      <w:r w:rsidRPr="00075D72">
        <w:rPr>
          <w:i/>
          <w:iCs/>
          <w:lang w:val="en-GB"/>
        </w:rPr>
        <w:t xml:space="preserve"> </w:t>
      </w:r>
      <w:r w:rsidRPr="00075D72">
        <w:rPr>
          <w:lang w:val="en-GB"/>
        </w:rPr>
        <w:t>The chapter draws on this analysis.</w:t>
      </w:r>
    </w:p>
    <w:p w14:paraId="0880F20E" w14:textId="4E098513" w:rsidR="007272BC" w:rsidRPr="007272BC" w:rsidRDefault="007272BC" w:rsidP="00CE3C97">
      <w:pPr>
        <w:pStyle w:val="Heading2"/>
        <w:rPr>
          <w:rFonts w:eastAsia="Calibri"/>
          <w:lang w:eastAsia="en-US"/>
        </w:rPr>
      </w:pPr>
      <w:bookmarkStart w:id="15" w:name="_Toc112857394"/>
      <w:r w:rsidRPr="007272BC">
        <w:rPr>
          <w:rFonts w:eastAsia="Calibri"/>
          <w:lang w:eastAsia="en-US"/>
        </w:rPr>
        <w:t>The effects of source-based taxes on inbound investment income in a small open economy – a simple model</w:t>
      </w:r>
      <w:bookmarkEnd w:id="15"/>
    </w:p>
    <w:p w14:paraId="55D2B630" w14:textId="77777777" w:rsidR="007272BC" w:rsidRPr="007272BC" w:rsidRDefault="007272BC" w:rsidP="00075D72">
      <w:pPr>
        <w:pStyle w:val="NumberedParagraph"/>
        <w:numPr>
          <w:ilvl w:val="1"/>
          <w:numId w:val="64"/>
        </w:numPr>
      </w:pPr>
      <w:r w:rsidRPr="007272BC">
        <w:t xml:space="preserve">New Zealand imposes company tax and other taxes on non-residents on income sourced from New Zealand, and this is often referred to as a </w:t>
      </w:r>
      <w:r w:rsidRPr="00075D72">
        <w:rPr>
          <w:i/>
          <w:iCs/>
        </w:rPr>
        <w:t>source-based income tax</w:t>
      </w:r>
      <w:r w:rsidRPr="007272BC">
        <w:t xml:space="preserve">. Tax is also imposed on New Zealand residents when they earn income from New Zealand or foreign countries. This is often referred to as a </w:t>
      </w:r>
      <w:r w:rsidRPr="00075D72">
        <w:rPr>
          <w:i/>
          <w:iCs/>
        </w:rPr>
        <w:t xml:space="preserve">residence-based income tax. </w:t>
      </w:r>
      <w:r w:rsidRPr="007272BC">
        <w:t>New Zealand’s tax settings comprise elements of both source-basis and residence-basis taxation.</w:t>
      </w:r>
    </w:p>
    <w:p w14:paraId="0FA424A2" w14:textId="77777777" w:rsidR="007272BC" w:rsidRPr="007272BC" w:rsidRDefault="007272BC" w:rsidP="00075D72">
      <w:pPr>
        <w:pStyle w:val="NumberedParagraph"/>
        <w:numPr>
          <w:ilvl w:val="1"/>
          <w:numId w:val="64"/>
        </w:numPr>
      </w:pPr>
      <w:r w:rsidRPr="007272BC">
        <w:t>A key question is whether it is in the best interests of a small open economy (SOE) to impose source-based income taxes on the income that non-residents earn from investment in the SOE.</w:t>
      </w:r>
    </w:p>
    <w:p w14:paraId="271E227C" w14:textId="77777777" w:rsidR="007272BC" w:rsidRPr="007272BC" w:rsidRDefault="007272BC" w:rsidP="00075D72">
      <w:pPr>
        <w:pStyle w:val="NumberedParagraph"/>
        <w:numPr>
          <w:ilvl w:val="1"/>
          <w:numId w:val="64"/>
        </w:numPr>
      </w:pPr>
      <w:r w:rsidRPr="007272BC">
        <w:t xml:space="preserve">A standard simple economic model considers an SOE importing a single type of capital. Under the standard SOE assumption, an SOE like New Zealand faces a perfectly elastic supply of capital. This means New Zealand can import as much </w:t>
      </w:r>
      <w:r w:rsidRPr="007272BC">
        <w:lastRenderedPageBreak/>
        <w:t>capital as it wants without affecting the returns that foreigners demand (net of any New Zealand taxes) for supplying their capital to New Zealand. In the model, investment is assumed to take place until additional investment is earning only marginal (or break-even) returns.</w:t>
      </w:r>
    </w:p>
    <w:p w14:paraId="4A1DBB66" w14:textId="3947588C" w:rsidR="007272BC" w:rsidRPr="007272BC" w:rsidRDefault="007272BC" w:rsidP="00075D72">
      <w:pPr>
        <w:pStyle w:val="NumberedParagraph"/>
        <w:numPr>
          <w:ilvl w:val="1"/>
          <w:numId w:val="64"/>
        </w:numPr>
      </w:pPr>
      <w:r w:rsidRPr="007272BC">
        <w:t xml:space="preserve">To provide non-residents with the returns they demand, investments need to generate a rate of return that is at least as good as what could be achieved if the non-residents supplied their capital to other countries. Economic rents are returns in excess of the return that non-residents demand on their funds. If there are no economic rents, the implication of this model is that there should be no taxes imposed on inbound investment, except to the extent that taxes imposed in the SOE are creditable abroad (that is, taxes overseas are reduced dollar for dollar as a result of tax being paid in New Zealand). This is because it is likely to be a particularly inefficient backdoor way of taxing domestic residents. Any tax imposed will be passed on to other </w:t>
      </w:r>
      <w:r w:rsidR="00515712">
        <w:t xml:space="preserve">domestic </w:t>
      </w:r>
      <w:r w:rsidRPr="007272BC">
        <w:t>factors of production, such as land and labour, but in a manner that is less efficient than taxing those factors directly.</w:t>
      </w:r>
    </w:p>
    <w:p w14:paraId="71AB156A" w14:textId="399DAA25" w:rsidR="007272BC" w:rsidRPr="007272BC" w:rsidRDefault="007272BC" w:rsidP="00075D72">
      <w:pPr>
        <w:pStyle w:val="NumberedParagraph"/>
        <w:numPr>
          <w:ilvl w:val="1"/>
          <w:numId w:val="64"/>
        </w:numPr>
      </w:pPr>
      <w:r w:rsidRPr="007272BC">
        <w:t xml:space="preserve">The logic behind this model can be most easily seen if we think of debt as being the single form of capital and lending to New Zealand being no more or less risky than lending to other countries. If New Zealand is a net capital importer importing debt from the rest of the world, it must offer an interest rate that non-resident lenders are willing to accept. Suppose we tax interest payments to non-residents. Unless non-residents can claim credits for these taxes (which reduces the amount of tax they pay overseas on this income), the </w:t>
      </w:r>
      <w:r w:rsidR="00CA5020">
        <w:t>pre-tax</w:t>
      </w:r>
      <w:r w:rsidR="00A40C85">
        <w:t xml:space="preserve"> </w:t>
      </w:r>
      <w:r w:rsidRPr="007272BC">
        <w:t xml:space="preserve">interest rate will need to rise until the net-of-NZ-tax interest rate is the same as what </w:t>
      </w:r>
      <w:r w:rsidR="00A86BBD">
        <w:t xml:space="preserve">the non-resident </w:t>
      </w:r>
      <w:r w:rsidRPr="007272BC">
        <w:t>can obtain from lending to other countries. Thus, the economic incidence of this tax will be borne by domestic borrowers rather than foreign lenders.</w:t>
      </w:r>
    </w:p>
    <w:p w14:paraId="4B6169C9" w14:textId="1489E5EE" w:rsidR="007272BC" w:rsidRPr="007272BC" w:rsidRDefault="007272BC" w:rsidP="00075D72">
      <w:pPr>
        <w:pStyle w:val="NumberedParagraph"/>
        <w:numPr>
          <w:ilvl w:val="1"/>
          <w:numId w:val="64"/>
        </w:numPr>
      </w:pPr>
      <w:r w:rsidRPr="007272BC">
        <w:t>Much the same story will apply if the single form of capital were equity. A source-based company tax is likely to push up hurdle rates of return until foreign equity investors are earning comparable risk-adjusted returns to what they can obtain elsewhere. If there are no economic rents, the tax will not be borne by non-residents because they will never be willing to accept less than the marginal rate of return that they can obtain from investing in other countries. Instead, hurdle rates of return will need to rise</w:t>
      </w:r>
      <w:r w:rsidR="00B00AC6">
        <w:t>,</w:t>
      </w:r>
      <w:r w:rsidRPr="007272BC">
        <w:t xml:space="preserve"> which will mean less capital stock, a less productive labour force and lower wages. The tax will fall on New Zealanders rather than non-residents.</w:t>
      </w:r>
    </w:p>
    <w:p w14:paraId="73241B9C" w14:textId="7CE0B4BD" w:rsidR="007272BC" w:rsidRPr="007272BC" w:rsidRDefault="007272BC" w:rsidP="00075D72">
      <w:pPr>
        <w:pStyle w:val="NumberedParagraph"/>
        <w:numPr>
          <w:ilvl w:val="1"/>
          <w:numId w:val="64"/>
        </w:numPr>
      </w:pPr>
      <w:r w:rsidRPr="007272BC">
        <w:t>With equity</w:t>
      </w:r>
      <w:r w:rsidR="00F50AC8">
        <w:t>-</w:t>
      </w:r>
      <w:r w:rsidRPr="007272BC">
        <w:t>financed investment there are some additional issues to consider. Risk and uncertainty will complicate the story because different non-resident suppliers of capital will generally have different views about what the returns on an investment are likely to be. This may make the supply of capital less than perfectly elastic. However, it might still be expected that taxes in New Zealand will largely drive up the pre-tax rates of return that investments are required to generate to provide the returns (net of any New Zealand tax) that non-residents demand on their funds.</w:t>
      </w:r>
    </w:p>
    <w:p w14:paraId="4B441679" w14:textId="41041DE0" w:rsidR="007272BC" w:rsidRPr="007272BC" w:rsidRDefault="007272BC" w:rsidP="00075D72">
      <w:pPr>
        <w:pStyle w:val="NumberedParagraph"/>
        <w:numPr>
          <w:ilvl w:val="1"/>
          <w:numId w:val="64"/>
        </w:numPr>
      </w:pPr>
      <w:r w:rsidRPr="007272BC">
        <w:t>If there are no economic rents and the supply of capital is perfectly elastic, the implication of this model is that</w:t>
      </w:r>
      <w:r w:rsidR="009F58D2">
        <w:t>,</w:t>
      </w:r>
      <w:r w:rsidRPr="007272BC">
        <w:t xml:space="preserve"> except to the extent that taxes imposed in the SOE are creditable abroad, there should be no source-bas</w:t>
      </w:r>
      <w:r w:rsidR="0086795F">
        <w:t>ed</w:t>
      </w:r>
      <w:r w:rsidRPr="007272BC">
        <w:t xml:space="preserve"> taxes imposed on inbound investment income.</w:t>
      </w:r>
      <w:r w:rsidR="00313B65">
        <w:t xml:space="preserve"> If there are </w:t>
      </w:r>
      <w:r w:rsidR="00F54C1A">
        <w:t xml:space="preserve">location-specific </w:t>
      </w:r>
      <w:r w:rsidR="00BC45B2">
        <w:t>economic rents</w:t>
      </w:r>
      <w:r w:rsidR="00F54C1A">
        <w:t xml:space="preserve"> (that is</w:t>
      </w:r>
      <w:r w:rsidR="00E50B00">
        <w:t>,</w:t>
      </w:r>
      <w:r w:rsidR="00F54C1A">
        <w:t xml:space="preserve"> </w:t>
      </w:r>
      <w:r w:rsidR="00FA79BA">
        <w:t>profits above a glo</w:t>
      </w:r>
      <w:r w:rsidR="00942EAF">
        <w:t xml:space="preserve">bal hurdle rate of return </w:t>
      </w:r>
      <w:r w:rsidR="009C2734">
        <w:t xml:space="preserve">that can be earned </w:t>
      </w:r>
      <w:r w:rsidR="00413F64">
        <w:t xml:space="preserve">by businesses that need to be </w:t>
      </w:r>
      <w:r w:rsidR="004F3C39">
        <w:t xml:space="preserve">operating </w:t>
      </w:r>
      <w:r w:rsidR="00413F64">
        <w:t>in the SOE to obtain the rents)</w:t>
      </w:r>
      <w:r w:rsidR="00BC45B2">
        <w:t xml:space="preserve">, there </w:t>
      </w:r>
      <w:r w:rsidR="00D23B92">
        <w:t>is</w:t>
      </w:r>
      <w:r w:rsidR="00BC45B2">
        <w:t xml:space="preserve"> a case for taxing these at high rates while still attempting</w:t>
      </w:r>
      <w:r w:rsidR="00B061F5">
        <w:t xml:space="preserve"> to tax marginal investments at a rate </w:t>
      </w:r>
      <w:r w:rsidR="00445CA6">
        <w:t>that</w:t>
      </w:r>
      <w:r w:rsidR="00B061F5">
        <w:t xml:space="preserve"> is as low as possible.</w:t>
      </w:r>
    </w:p>
    <w:p w14:paraId="0E1F01E4" w14:textId="3063B3F6" w:rsidR="007272BC" w:rsidRPr="007272BC" w:rsidRDefault="007272BC" w:rsidP="00075D72">
      <w:pPr>
        <w:pStyle w:val="NumberedParagraph"/>
        <w:numPr>
          <w:ilvl w:val="1"/>
          <w:numId w:val="64"/>
        </w:numPr>
      </w:pPr>
      <w:r w:rsidRPr="007272BC">
        <w:lastRenderedPageBreak/>
        <w:t xml:space="preserve">This model is discussed in Gordon and Hines (2002), who conclude the burden of a source-based tax </w:t>
      </w:r>
      <w:r w:rsidR="00D6307C">
        <w:t xml:space="preserve">on marginal investments </w:t>
      </w:r>
      <w:r w:rsidRPr="007272BC">
        <w:t>will be borne entirely by labour or other fixed factors. A labour income tax would reduce the net wage rate</w:t>
      </w:r>
      <w:r w:rsidR="009B72F6">
        <w:t>,</w:t>
      </w:r>
      <w:r w:rsidRPr="007272BC">
        <w:t xml:space="preserve"> and this would create some labour market distortions. The key point, however, is that these distortions would also be created by a tax on inbound investments that reduces capital stock and makes labour less productive. However, while a source-based tax also distorts investment decisions, a labour income tax does not. Gordon and Hines argue that a strong conclusion about tax policy in an open economy setting is that a source-based tax on capital income should not be used since it is dominated by a labour</w:t>
      </w:r>
      <w:r w:rsidR="00E35648">
        <w:t xml:space="preserve"> </w:t>
      </w:r>
      <w:r w:rsidRPr="007272BC">
        <w:t xml:space="preserve">income tax (Gordon </w:t>
      </w:r>
      <w:r w:rsidR="00BA6C38">
        <w:t>and</w:t>
      </w:r>
      <w:r w:rsidRPr="007272BC">
        <w:t xml:space="preserve"> Hines, 2002, pp. 1939-1940).</w:t>
      </w:r>
    </w:p>
    <w:p w14:paraId="56984AD0" w14:textId="77777777" w:rsidR="007272BC" w:rsidRPr="007272BC" w:rsidRDefault="007272BC" w:rsidP="00075D72">
      <w:pPr>
        <w:pStyle w:val="NumberedParagraph"/>
        <w:numPr>
          <w:ilvl w:val="1"/>
          <w:numId w:val="64"/>
        </w:numPr>
      </w:pPr>
      <w:r w:rsidRPr="007272BC">
        <w:t>Thus, in this model, source-based taxes that drive up the cost of capital are always undesirable because they burden New Zealanders more than necessary for the tax amount being collected.</w:t>
      </w:r>
    </w:p>
    <w:p w14:paraId="2B7AF63D" w14:textId="32082C8B" w:rsidR="007272BC" w:rsidRPr="007272BC" w:rsidRDefault="007272BC" w:rsidP="00075D72">
      <w:pPr>
        <w:pStyle w:val="NumberedParagraph"/>
        <w:numPr>
          <w:ilvl w:val="1"/>
          <w:numId w:val="64"/>
        </w:numPr>
      </w:pPr>
      <w:r w:rsidRPr="007272BC">
        <w:t>This analysis provides some arguments against source-based taxes on marginal investment into a</w:t>
      </w:r>
      <w:r w:rsidR="000648D4">
        <w:t>n</w:t>
      </w:r>
      <w:r w:rsidRPr="007272BC">
        <w:t xml:space="preserve"> </w:t>
      </w:r>
      <w:r w:rsidR="000648D4">
        <w:t>SOE</w:t>
      </w:r>
      <w:r w:rsidRPr="007272BC">
        <w:t xml:space="preserve"> like New Zealand. </w:t>
      </w:r>
      <w:r w:rsidR="00DD17DF">
        <w:t>However,</w:t>
      </w:r>
      <w:r w:rsidRPr="007272BC">
        <w:t xml:space="preserve"> there are </w:t>
      </w:r>
      <w:r w:rsidR="00DD17DF">
        <w:t>several</w:t>
      </w:r>
      <w:r w:rsidRPr="007272BC">
        <w:t xml:space="preserve"> balancing considerations </w:t>
      </w:r>
      <w:r w:rsidR="00DD17DF">
        <w:t>that</w:t>
      </w:r>
      <w:r w:rsidRPr="007272BC">
        <w:t xml:space="preserve"> push against abandoning source-based taxes altogether.</w:t>
      </w:r>
    </w:p>
    <w:p w14:paraId="2745527C" w14:textId="7BFBBE34" w:rsidR="007272BC" w:rsidRPr="007272BC" w:rsidRDefault="007272BC" w:rsidP="00075D72">
      <w:pPr>
        <w:pStyle w:val="NumberedParagraph"/>
        <w:numPr>
          <w:ilvl w:val="1"/>
          <w:numId w:val="64"/>
        </w:numPr>
      </w:pPr>
      <w:r w:rsidRPr="007272BC">
        <w:t>S</w:t>
      </w:r>
      <w:r w:rsidR="005B0B6A">
        <w:t>OEs</w:t>
      </w:r>
      <w:r w:rsidRPr="007272BC">
        <w:t xml:space="preserve"> have not </w:t>
      </w:r>
      <w:r w:rsidR="0099642C">
        <w:t xml:space="preserve">completely </w:t>
      </w:r>
      <w:r w:rsidR="009D3557">
        <w:t>remove</w:t>
      </w:r>
      <w:r w:rsidR="0099642C">
        <w:t xml:space="preserve">d source-based </w:t>
      </w:r>
      <w:r w:rsidRPr="007272BC">
        <w:t xml:space="preserve">taxes (although, as will be discussed in </w:t>
      </w:r>
      <w:r w:rsidR="00831BF0" w:rsidRPr="007272BC">
        <w:t>chapter</w:t>
      </w:r>
      <w:r w:rsidR="00831BF0">
        <w:t> </w:t>
      </w:r>
      <w:r w:rsidRPr="007272BC">
        <w:t>3, many other countries have lower source-based taxes than New Zealand). In particular:</w:t>
      </w:r>
    </w:p>
    <w:p w14:paraId="4F4740C2" w14:textId="702371D1" w:rsidR="007272BC" w:rsidRPr="007272BC" w:rsidRDefault="007272BC" w:rsidP="00075D72">
      <w:pPr>
        <w:pStyle w:val="NumberedParagraph-BulletL1"/>
        <w:numPr>
          <w:ilvl w:val="2"/>
          <w:numId w:val="64"/>
        </w:numPr>
      </w:pPr>
      <w:r w:rsidRPr="007272BC">
        <w:t xml:space="preserve">Economic rents (profits above a global minimum hurdle rate) may sometimes be substantial, and the burden of taxes </w:t>
      </w:r>
      <w:r w:rsidR="00A86BBD">
        <w:t xml:space="preserve">on these rents </w:t>
      </w:r>
      <w:r w:rsidRPr="007272BC">
        <w:t>may often be borne by foreign investors.</w:t>
      </w:r>
    </w:p>
    <w:p w14:paraId="7B8C3DD8" w14:textId="77777777" w:rsidR="007272BC" w:rsidRPr="007272BC" w:rsidRDefault="007272BC" w:rsidP="00075D72">
      <w:pPr>
        <w:pStyle w:val="NumberedParagraph-BulletL1"/>
        <w:numPr>
          <w:ilvl w:val="2"/>
          <w:numId w:val="64"/>
        </w:numPr>
      </w:pPr>
      <w:r w:rsidRPr="007272BC">
        <w:t>While the supply of capital is likely to be very elastic, it may be less than perfectly elastic, and this may allow some of the burden of taxes to be borne by foreign investors.</w:t>
      </w:r>
    </w:p>
    <w:p w14:paraId="4E2D92D6" w14:textId="77777777" w:rsidR="007272BC" w:rsidRPr="007272BC" w:rsidRDefault="007272BC" w:rsidP="00075D72">
      <w:pPr>
        <w:pStyle w:val="NumberedParagraph-BulletL1"/>
        <w:numPr>
          <w:ilvl w:val="2"/>
          <w:numId w:val="64"/>
        </w:numPr>
      </w:pPr>
      <w:r w:rsidRPr="007272BC">
        <w:t>Reducing tax on both sunk investments and land would provide windfall gains to existing owners of firms with these assets where the firms had undertaken the investment in the expectation that future returns would be taxed. Replacing this revenue source is likely to impose burdens on New Zealanders.</w:t>
      </w:r>
    </w:p>
    <w:p w14:paraId="4566EFE3" w14:textId="70E51546" w:rsidR="007272BC" w:rsidRPr="007272BC" w:rsidRDefault="007272BC" w:rsidP="00075D72">
      <w:pPr>
        <w:pStyle w:val="NumberedParagraph-BulletL1"/>
        <w:numPr>
          <w:ilvl w:val="2"/>
          <w:numId w:val="64"/>
        </w:numPr>
      </w:pPr>
      <w:r w:rsidRPr="007272BC">
        <w:t>Foreign tax credits for taxes paid in New Zealand may be available overseas, especially non-resident withholding taxes (NRWT).</w:t>
      </w:r>
    </w:p>
    <w:p w14:paraId="190DB0A2" w14:textId="1A1A844B" w:rsidR="007272BC" w:rsidRPr="007272BC" w:rsidRDefault="007272BC" w:rsidP="00075D72">
      <w:pPr>
        <w:pStyle w:val="NumberedParagraph-BulletL1"/>
        <w:numPr>
          <w:ilvl w:val="2"/>
          <w:numId w:val="64"/>
        </w:numPr>
      </w:pPr>
      <w:r w:rsidRPr="007272BC">
        <w:t>When taxes are borne by foreign investors, it allows New Zealanders to pay lower taxes. To give tax cuts where a substantial benefit flows to non-residents may be costly to New Zealanders.</w:t>
      </w:r>
    </w:p>
    <w:p w14:paraId="3D3DF02C" w14:textId="77777777" w:rsidR="007272BC" w:rsidRPr="007272BC" w:rsidRDefault="007272BC" w:rsidP="00075D72">
      <w:pPr>
        <w:pStyle w:val="NumberedParagraph-BulletL1"/>
        <w:numPr>
          <w:ilvl w:val="2"/>
          <w:numId w:val="64"/>
        </w:numPr>
      </w:pPr>
      <w:r w:rsidRPr="007272BC">
        <w:t>In later chapters we look at some other ways of taxing economic rents. The analysis suggests that if we could find sensible and efficient ways of taxing economic rents and if we could restrict the benefits of source-based tax cuts to new investment only, high source-based taxes on inbound investment would be reducing economic efficiency and there would be a case for reducing these taxes.</w:t>
      </w:r>
    </w:p>
    <w:p w14:paraId="0C33A01B" w14:textId="4F379265" w:rsidR="007272BC" w:rsidRPr="007272BC" w:rsidRDefault="007272BC" w:rsidP="00075D72">
      <w:pPr>
        <w:pStyle w:val="NumberedParagraph"/>
        <w:numPr>
          <w:ilvl w:val="1"/>
          <w:numId w:val="64"/>
        </w:numPr>
      </w:pPr>
      <w:r w:rsidRPr="007272BC">
        <w:t xml:space="preserve">There are, however, also some important fairness issues to consider. Company tax has a dual role in New Zealand. Not only is it the most important source-based tax on the income of non-residents, </w:t>
      </w:r>
      <w:r w:rsidR="007131D8">
        <w:t xml:space="preserve">but </w:t>
      </w:r>
      <w:r w:rsidRPr="007272BC">
        <w:t xml:space="preserve">it is also an important source of revenue and an important way of supporting the progressivity and integrity of </w:t>
      </w:r>
      <w:r w:rsidRPr="007272BC">
        <w:lastRenderedPageBreak/>
        <w:t>personal income taxation.</w:t>
      </w:r>
      <w:r w:rsidRPr="007272BC">
        <w:rPr>
          <w:vertAlign w:val="superscript"/>
        </w:rPr>
        <w:footnoteReference w:id="18"/>
      </w:r>
      <w:r w:rsidRPr="007272BC">
        <w:t xml:space="preserve"> Without a company tax, it would be much easier for those with high income and wealth to earn their income through companies and minimise the tax they paid. Thus, company tax is important in maintaining the integrity and coherence of the personal tax system.</w:t>
      </w:r>
    </w:p>
    <w:p w14:paraId="3391D04D" w14:textId="7974732F" w:rsidR="007272BC" w:rsidRPr="007272BC" w:rsidRDefault="007272BC" w:rsidP="00075D72">
      <w:pPr>
        <w:pStyle w:val="NumberedParagraph"/>
        <w:numPr>
          <w:ilvl w:val="1"/>
          <w:numId w:val="64"/>
        </w:numPr>
      </w:pPr>
      <w:r w:rsidRPr="007272BC">
        <w:t xml:space="preserve">For example, Inland Revenue data on a set of high-wealth individuals (HWIs) </w:t>
      </w:r>
      <w:r w:rsidR="007F3401">
        <w:t xml:space="preserve">in 2018 </w:t>
      </w:r>
      <w:r w:rsidRPr="007272BC">
        <w:t>suggests that, of their total tax</w:t>
      </w:r>
      <w:r w:rsidR="00150656">
        <w:t xml:space="preserve"> paid</w:t>
      </w:r>
      <w:r w:rsidRPr="007272BC">
        <w:t xml:space="preserve"> both directly and through entities, only </w:t>
      </w:r>
      <w:r w:rsidR="007F3401">
        <w:t>8</w:t>
      </w:r>
      <w:r w:rsidRPr="007272BC">
        <w:t xml:space="preserve">% is taxed at personal rates, with </w:t>
      </w:r>
      <w:r w:rsidR="0072107F">
        <w:t>21</w:t>
      </w:r>
      <w:r w:rsidRPr="007272BC">
        <w:t xml:space="preserve">% taxed at the trustee tax rate and </w:t>
      </w:r>
      <w:r w:rsidR="0072107F">
        <w:t>71</w:t>
      </w:r>
      <w:r w:rsidRPr="007272BC">
        <w:t>% taxed at the company rate.</w:t>
      </w:r>
      <w:r w:rsidR="00416C50">
        <w:rPr>
          <w:rStyle w:val="FootnoteReference"/>
        </w:rPr>
        <w:footnoteReference w:id="19"/>
      </w:r>
      <w:r w:rsidRPr="007272BC">
        <w:t xml:space="preserve"> A zero</w:t>
      </w:r>
      <w:r w:rsidR="00554505">
        <w:t xml:space="preserve"> </w:t>
      </w:r>
      <w:r w:rsidRPr="007272BC">
        <w:t>company tax rate would create considerable scope for some HWIs to pay little or no tax until profits accumulating in companies are eventually paid to shareholders as dividends.</w:t>
      </w:r>
    </w:p>
    <w:p w14:paraId="7BF0DF0E" w14:textId="47B0AC4B" w:rsidR="007272BC" w:rsidRPr="007272BC" w:rsidRDefault="00341AD4" w:rsidP="00075D72">
      <w:pPr>
        <w:pStyle w:val="NumberedParagraph"/>
        <w:numPr>
          <w:ilvl w:val="1"/>
          <w:numId w:val="64"/>
        </w:numPr>
      </w:pPr>
      <w:r>
        <w:t>A balancing consideration is</w:t>
      </w:r>
      <w:r w:rsidR="007272BC" w:rsidRPr="007272BC">
        <w:t xml:space="preserve"> that lowering the company tax rate would reduce incentives for multinational companies to shift profits away from New Zealand through transfer pricing or thinly capitalising their New Zealand subsidiaries.</w:t>
      </w:r>
    </w:p>
    <w:p w14:paraId="62AA080E" w14:textId="4EDFFA5D" w:rsidR="007272BC" w:rsidRPr="009855C3" w:rsidRDefault="007272BC" w:rsidP="00075D72">
      <w:pPr>
        <w:pStyle w:val="NumberedParagraph"/>
        <w:numPr>
          <w:ilvl w:val="1"/>
          <w:numId w:val="64"/>
        </w:numPr>
      </w:pPr>
      <w:r w:rsidRPr="003B6F2B">
        <w:t>McKeehan and Zodrow (2017) provide a formal model that attempts to trade off the different pros and cons of cutting source-based taxes in a</w:t>
      </w:r>
      <w:r w:rsidR="002A46AD" w:rsidRPr="003B6F2B">
        <w:t>n</w:t>
      </w:r>
      <w:r w:rsidRPr="003B6F2B">
        <w:t xml:space="preserve"> SOE</w:t>
      </w:r>
      <w:r w:rsidRPr="009855C3">
        <w:t>.</w:t>
      </w:r>
    </w:p>
    <w:p w14:paraId="3003F78D" w14:textId="76DECA99" w:rsidR="007272BC" w:rsidRPr="007272BC" w:rsidRDefault="007272BC" w:rsidP="00CE3C97">
      <w:pPr>
        <w:pStyle w:val="Heading2"/>
        <w:rPr>
          <w:rFonts w:eastAsia="Calibri"/>
          <w:lang w:eastAsia="en-US"/>
        </w:rPr>
      </w:pPr>
      <w:bookmarkStart w:id="16" w:name="_Toc112857395"/>
      <w:r w:rsidRPr="007272BC">
        <w:rPr>
          <w:rFonts w:eastAsia="Calibri"/>
          <w:lang w:eastAsia="en-US"/>
        </w:rPr>
        <w:t>Different types of capital inflows and different costs of capital</w:t>
      </w:r>
      <w:bookmarkEnd w:id="16"/>
    </w:p>
    <w:p w14:paraId="233C965E" w14:textId="77777777" w:rsidR="007272BC" w:rsidRPr="007272BC" w:rsidRDefault="007272BC" w:rsidP="00075D72">
      <w:pPr>
        <w:pStyle w:val="NumberedParagraph"/>
        <w:numPr>
          <w:ilvl w:val="1"/>
          <w:numId w:val="64"/>
        </w:numPr>
      </w:pPr>
      <w:r w:rsidRPr="007272BC">
        <w:t>The simple model outlined above assumed a single type of capital inflow and a single type of investment. In practice, source-based taxes may affect:</w:t>
      </w:r>
    </w:p>
    <w:p w14:paraId="66616C30" w14:textId="77777777" w:rsidR="007272BC" w:rsidRPr="007272BC" w:rsidRDefault="007272BC" w:rsidP="00075D72">
      <w:pPr>
        <w:pStyle w:val="NumberedParagraph-BulletL1"/>
        <w:numPr>
          <w:ilvl w:val="2"/>
          <w:numId w:val="64"/>
        </w:numPr>
      </w:pPr>
      <w:r w:rsidRPr="007272BC">
        <w:t>both foreign direct investment (FDI) and foreign portfolio investment (FPI) (passive portfolio holdings of New Zealand debt and equity securities by overseas investors)</w:t>
      </w:r>
    </w:p>
    <w:p w14:paraId="428057B0" w14:textId="77777777" w:rsidR="007272BC" w:rsidRPr="007272BC" w:rsidRDefault="007272BC" w:rsidP="00075D72">
      <w:pPr>
        <w:pStyle w:val="NumberedParagraph-BulletL1"/>
        <w:numPr>
          <w:ilvl w:val="2"/>
          <w:numId w:val="64"/>
        </w:numPr>
      </w:pPr>
      <w:r w:rsidRPr="007272BC">
        <w:t>how firms are financed, for example, with debt or equity, and</w:t>
      </w:r>
    </w:p>
    <w:p w14:paraId="50B0C424" w14:textId="77777777" w:rsidR="007272BC" w:rsidRPr="007272BC" w:rsidRDefault="007272BC" w:rsidP="00075D72">
      <w:pPr>
        <w:pStyle w:val="NumberedParagraph-BulletL1"/>
        <w:numPr>
          <w:ilvl w:val="2"/>
          <w:numId w:val="64"/>
        </w:numPr>
      </w:pPr>
      <w:r w:rsidRPr="007272BC">
        <w:t xml:space="preserve">the sorts of assets that are acquired (for example, buildings, machinery and equipment, </w:t>
      </w:r>
      <w:proofErr w:type="gramStart"/>
      <w:r w:rsidRPr="007272BC">
        <w:t>inventories</w:t>
      </w:r>
      <w:proofErr w:type="gramEnd"/>
      <w:r w:rsidRPr="007272BC">
        <w:t xml:space="preserve"> or intangible assets).</w:t>
      </w:r>
    </w:p>
    <w:p w14:paraId="286184AD" w14:textId="5083A9D0" w:rsidR="007272BC" w:rsidRPr="007272BC" w:rsidRDefault="007272BC" w:rsidP="00CE3C97">
      <w:pPr>
        <w:pStyle w:val="Heading3"/>
        <w:rPr>
          <w:rFonts w:eastAsia="Calibri"/>
          <w:lang w:eastAsia="en-US"/>
        </w:rPr>
      </w:pPr>
      <w:r w:rsidRPr="007272BC">
        <w:rPr>
          <w:rFonts w:eastAsia="Calibri"/>
          <w:lang w:eastAsia="en-US"/>
        </w:rPr>
        <w:t>FDI or FPI</w:t>
      </w:r>
    </w:p>
    <w:p w14:paraId="402BB465" w14:textId="4805CC82" w:rsidR="007272BC" w:rsidRPr="007272BC" w:rsidRDefault="007272BC" w:rsidP="00075D72">
      <w:pPr>
        <w:pStyle w:val="NumberedParagraph"/>
        <w:numPr>
          <w:ilvl w:val="1"/>
          <w:numId w:val="64"/>
        </w:numPr>
      </w:pPr>
      <w:r w:rsidRPr="007272BC">
        <w:t>The simple model outlined above makes no distinction between FDI and FPI. However, as the McLeod Review discusses, there may be some important differences. For example, there could be important productivity spillovers from FDI that may make FDI a more powerful way of promoting productivity and growth than FPI. By itself, this might be a reason for considering lower source-based taxes on FDI than on FPI. At the same time, economic rents are likely to be more of an issue for FDI than for FPI, which might be a reason for having a higher tax rate on FDI than on FPI.</w:t>
      </w:r>
    </w:p>
    <w:p w14:paraId="67B44E78" w14:textId="5A8610B2" w:rsidR="007272BC" w:rsidRPr="007272BC" w:rsidRDefault="007272BC" w:rsidP="00CE3C97">
      <w:pPr>
        <w:pStyle w:val="Heading3"/>
        <w:rPr>
          <w:rFonts w:eastAsia="Calibri"/>
          <w:lang w:eastAsia="en-US"/>
        </w:rPr>
      </w:pPr>
      <w:r w:rsidRPr="007272BC">
        <w:rPr>
          <w:rFonts w:eastAsia="Calibri"/>
          <w:lang w:eastAsia="en-US"/>
        </w:rPr>
        <w:t>Debt and equity</w:t>
      </w:r>
    </w:p>
    <w:p w14:paraId="0B335240" w14:textId="62FF35ED" w:rsidR="007272BC" w:rsidRPr="007272BC" w:rsidRDefault="007272BC" w:rsidP="00075D72">
      <w:pPr>
        <w:pStyle w:val="NumberedParagraph"/>
        <w:numPr>
          <w:ilvl w:val="1"/>
          <w:numId w:val="64"/>
        </w:numPr>
      </w:pPr>
      <w:r w:rsidRPr="007272BC">
        <w:t xml:space="preserve">Costs of capital and EMTRs are likely to be much higher for equity-financed investment into New Zealand than for debt-financed investment because </w:t>
      </w:r>
      <w:r w:rsidRPr="007272BC">
        <w:lastRenderedPageBreak/>
        <w:t>interest is a deductible expense</w:t>
      </w:r>
      <w:r w:rsidR="00B51C55">
        <w:t>,</w:t>
      </w:r>
      <w:r w:rsidRPr="007272BC">
        <w:t xml:space="preserve"> whereas dividends are not. We see in later chapters that, while New Zealand has relatively high costs of capital and EMTRs compared to most OECD countries, there will be instances where investments are being subsidised by the tax system and EMTRs are negative. The same model that suggests source-based taxes on inbound investment are particularly inefficient would suggest that source-based subsidies to inbound investment are also particularly inefficient – unless the subsidies are justified by important productivity spillovers or perhaps assist in supporting broader measures of well</w:t>
      </w:r>
      <w:r w:rsidR="006164F5">
        <w:t>-</w:t>
      </w:r>
      <w:r w:rsidRPr="007272BC">
        <w:t>being. The subsidies would benefit domestic factors, such as labour, but in a less efficient way than if these factors were subsidised directly.</w:t>
      </w:r>
    </w:p>
    <w:p w14:paraId="4AE71001" w14:textId="77777777" w:rsidR="007272BC" w:rsidRPr="007272BC" w:rsidRDefault="007272BC" w:rsidP="00075D72">
      <w:pPr>
        <w:pStyle w:val="NumberedParagraph"/>
        <w:numPr>
          <w:ilvl w:val="1"/>
          <w:numId w:val="64"/>
        </w:numPr>
      </w:pPr>
      <w:r w:rsidRPr="007272BC">
        <w:t>Some measures that may reduce source-based taxes, such as a reduction in the company tax rate, would also reduce differences between equity-financed and debt-financed investment. Other measures, such as accelerated depreciation, would reduce costs of capital and EMTRs without reducing the distortions between these different ways of financing investment.</w:t>
      </w:r>
    </w:p>
    <w:p w14:paraId="1D5DDD64" w14:textId="5FD62339" w:rsidR="007272BC" w:rsidRPr="007272BC" w:rsidRDefault="007272BC" w:rsidP="00CE3C97">
      <w:pPr>
        <w:pStyle w:val="Heading3"/>
        <w:rPr>
          <w:rFonts w:eastAsia="Calibri"/>
          <w:lang w:eastAsia="en-US"/>
        </w:rPr>
      </w:pPr>
      <w:r w:rsidRPr="007272BC">
        <w:rPr>
          <w:rFonts w:eastAsia="Calibri"/>
          <w:lang w:eastAsia="en-US"/>
        </w:rPr>
        <w:t xml:space="preserve">Types of </w:t>
      </w:r>
      <w:proofErr w:type="gramStart"/>
      <w:r w:rsidRPr="007272BC">
        <w:rPr>
          <w:rFonts w:eastAsia="Calibri"/>
          <w:lang w:eastAsia="en-US"/>
        </w:rPr>
        <w:t>asset</w:t>
      </w:r>
      <w:proofErr w:type="gramEnd"/>
    </w:p>
    <w:p w14:paraId="350315CD" w14:textId="59593572" w:rsidR="007272BC" w:rsidRPr="007272BC" w:rsidRDefault="007272BC" w:rsidP="00075D72">
      <w:pPr>
        <w:pStyle w:val="NumberedParagraph"/>
        <w:numPr>
          <w:ilvl w:val="1"/>
          <w:numId w:val="64"/>
        </w:numPr>
      </w:pPr>
      <w:r w:rsidRPr="007272BC">
        <w:t>The OECD benchmarking exercise</w:t>
      </w:r>
      <w:r w:rsidR="00887317">
        <w:t>,</w:t>
      </w:r>
      <w:r w:rsidRPr="007272BC">
        <w:t xml:space="preserve"> </w:t>
      </w:r>
      <w:r w:rsidR="00284916">
        <w:t>as well as other analysis</w:t>
      </w:r>
      <w:r w:rsidR="00887317">
        <w:t>,</w:t>
      </w:r>
      <w:r w:rsidR="00284916">
        <w:t xml:space="preserve"> has suggested that</w:t>
      </w:r>
      <w:r w:rsidRPr="007272BC">
        <w:t xml:space="preserve"> New Zealand has relatively high costs of capital and EMTRs on average. </w:t>
      </w:r>
      <w:r w:rsidR="0048282C">
        <w:t>At the same time, we find that</w:t>
      </w:r>
      <w:r w:rsidRPr="007272BC">
        <w:t xml:space="preserve"> costs of capital and EMTRs differ between investment in different assets</w:t>
      </w:r>
      <w:r w:rsidR="006A33DC">
        <w:t xml:space="preserve"> and differences can be substan</w:t>
      </w:r>
      <w:r w:rsidR="00425CBC">
        <w:t>tial</w:t>
      </w:r>
      <w:r w:rsidRPr="007272BC">
        <w:t>. For some assets, such as investment in intangible assets, there can often be an element of subsidy if investments are partially debt financed.</w:t>
      </w:r>
    </w:p>
    <w:p w14:paraId="52683675" w14:textId="77777777" w:rsidR="007272BC" w:rsidRPr="007272BC" w:rsidRDefault="007272BC" w:rsidP="0056330D">
      <w:pPr>
        <w:pStyle w:val="Heading3"/>
        <w:rPr>
          <w:rFonts w:eastAsia="Calibri"/>
          <w:lang w:eastAsia="en-US"/>
        </w:rPr>
      </w:pPr>
      <w:r w:rsidRPr="007272BC">
        <w:rPr>
          <w:rFonts w:eastAsia="Calibri"/>
          <w:lang w:eastAsia="en-US"/>
        </w:rPr>
        <w:t>Tax neutrality</w:t>
      </w:r>
    </w:p>
    <w:p w14:paraId="02FE104F" w14:textId="0F5F775D" w:rsidR="007272BC" w:rsidRPr="007272BC" w:rsidRDefault="007272BC" w:rsidP="00075D72">
      <w:pPr>
        <w:pStyle w:val="NumberedParagraph"/>
        <w:numPr>
          <w:ilvl w:val="1"/>
          <w:numId w:val="64"/>
        </w:numPr>
      </w:pPr>
      <w:r w:rsidRPr="007272BC">
        <w:t>The neutrality of tax settings is an important consideration. Suppose that investment funds can be attracted at a real cost of 3% to New Zealand (net of any New Zealand taxes). Also suppose that a non-neutral tax system means that investment in one type of asset (type 1 assets) initially has a cost of capital or hurdle rate of return of 5%</w:t>
      </w:r>
      <w:r w:rsidR="00A86BBD">
        <w:t xml:space="preserve"> because it faces a relatively heavy tax impost. I</w:t>
      </w:r>
      <w:r w:rsidRPr="007272BC">
        <w:t>nvestment in a second type of asset (type 2 assets) has a cost of capital of 2%</w:t>
      </w:r>
      <w:r w:rsidR="00A86BBD">
        <w:t xml:space="preserve"> because it faces a much more favourable tax impost</w:t>
      </w:r>
      <w:r w:rsidRPr="007272BC">
        <w:t xml:space="preserve">. Suppose we change the tax rules so that the cost of capital for both types of assets </w:t>
      </w:r>
      <w:proofErr w:type="gramStart"/>
      <w:r w:rsidRPr="007272BC">
        <w:t>becomes</w:t>
      </w:r>
      <w:proofErr w:type="gramEnd"/>
      <w:r w:rsidRPr="007272BC">
        <w:t xml:space="preserve"> 3.5%. This will increase investment in type 1 assets and reduce investment in type 2 assets. New Zealand will gain type 1 assets earning pre-tax rates of return of between 5% and 3.5% while losing type 2 assets earning between 2% and 3.5%. This will mean gaining higher-returning investments while losing lower-returning investments. Economic efficiency and the productivity of New Zealand’s capital stock will tend to increase.</w:t>
      </w:r>
    </w:p>
    <w:p w14:paraId="67C44618" w14:textId="060954B1" w:rsidR="007272BC" w:rsidRPr="007272BC" w:rsidRDefault="007272BC" w:rsidP="00075D72">
      <w:pPr>
        <w:pStyle w:val="NumberedParagraph"/>
        <w:numPr>
          <w:ilvl w:val="1"/>
          <w:numId w:val="64"/>
        </w:numPr>
      </w:pPr>
      <w:r w:rsidRPr="007272BC">
        <w:t>Likewise</w:t>
      </w:r>
      <w:r w:rsidR="00157119">
        <w:t>,</w:t>
      </w:r>
      <w:r w:rsidRPr="007272BC">
        <w:t xml:space="preserve"> greater neutrality </w:t>
      </w:r>
      <w:r w:rsidR="00A86BBD">
        <w:t xml:space="preserve">in the tax treatment </w:t>
      </w:r>
      <w:r w:rsidRPr="007272BC">
        <w:t xml:space="preserve">of </w:t>
      </w:r>
      <w:r w:rsidR="005C0C4E">
        <w:t>debt and equity</w:t>
      </w:r>
      <w:r w:rsidRPr="007272BC">
        <w:t xml:space="preserve"> inflow</w:t>
      </w:r>
      <w:r w:rsidR="005C0C4E">
        <w:t>s</w:t>
      </w:r>
      <w:r w:rsidRPr="007272BC">
        <w:t xml:space="preserve"> is also likely to promote economic efficiency and productivity by causing more productive investments to displace those with lower productivity.</w:t>
      </w:r>
    </w:p>
    <w:p w14:paraId="6FC1E4AE" w14:textId="7DFE4CFB" w:rsidR="007272BC" w:rsidRPr="007272BC" w:rsidRDefault="007272BC" w:rsidP="00CE3C97">
      <w:pPr>
        <w:pStyle w:val="Heading2"/>
        <w:rPr>
          <w:rFonts w:eastAsia="Calibri"/>
          <w:lang w:eastAsia="en-US"/>
        </w:rPr>
      </w:pPr>
      <w:bookmarkStart w:id="17" w:name="_Toc112857396"/>
      <w:r w:rsidRPr="007272BC">
        <w:rPr>
          <w:rFonts w:eastAsia="Calibri"/>
          <w:lang w:eastAsia="en-US"/>
        </w:rPr>
        <w:t>How important are source-based taxes likely to be in determining FDI and broader levels of capital stock in New Zealand?</w:t>
      </w:r>
      <w:bookmarkEnd w:id="17"/>
    </w:p>
    <w:p w14:paraId="7C6ECF82" w14:textId="1B47F3B9" w:rsidR="007272BC" w:rsidRPr="007272BC" w:rsidRDefault="00F4464A" w:rsidP="00075D72">
      <w:pPr>
        <w:pStyle w:val="NumberedParagraph"/>
        <w:numPr>
          <w:ilvl w:val="1"/>
          <w:numId w:val="64"/>
        </w:numPr>
      </w:pPr>
      <w:r>
        <w:t>A</w:t>
      </w:r>
      <w:r w:rsidR="007272BC" w:rsidRPr="007272BC">
        <w:t xml:space="preserve"> key benefit of reducing source-based taxes is that this is likely to increase FDI and inbound investment and New Zealand’s capital stock more broadly.</w:t>
      </w:r>
    </w:p>
    <w:p w14:paraId="421BA86F" w14:textId="7629EC6D" w:rsidR="007272BC" w:rsidRPr="007272BC" w:rsidRDefault="007272BC" w:rsidP="00075D72">
      <w:pPr>
        <w:pStyle w:val="NumberedParagraph"/>
        <w:numPr>
          <w:ilvl w:val="1"/>
          <w:numId w:val="64"/>
        </w:numPr>
      </w:pPr>
      <w:r w:rsidRPr="007272BC">
        <w:t xml:space="preserve">Important questions are whether additional FDI is likely to generate important productivity spillovers (for example, through the transfer of technology, management skills and broader business knowhow) and how big the effects </w:t>
      </w:r>
      <w:r w:rsidR="00146242">
        <w:t xml:space="preserve">of any </w:t>
      </w:r>
      <w:r w:rsidR="007F4F6D">
        <w:t>tax change</w:t>
      </w:r>
      <w:r w:rsidR="00146242">
        <w:t xml:space="preserve">s </w:t>
      </w:r>
      <w:r w:rsidRPr="007272BC">
        <w:t>on FDI and New Zealand’s capital stock are likely to be. In this section, we examine some international evidence on these issues.</w:t>
      </w:r>
    </w:p>
    <w:p w14:paraId="3A198E0E" w14:textId="77777777" w:rsidR="007272BC" w:rsidRPr="007272BC" w:rsidRDefault="007272BC" w:rsidP="00075D72">
      <w:pPr>
        <w:pStyle w:val="NumberedParagraph"/>
        <w:numPr>
          <w:ilvl w:val="1"/>
          <w:numId w:val="64"/>
        </w:numPr>
      </w:pPr>
      <w:r w:rsidRPr="007272BC">
        <w:lastRenderedPageBreak/>
        <w:t>It should be noted that an increase in FDI does not necessarily mean an increase in New Zealand’s capital stock. For example, if a foreign company takes control of an existing New Zealand business, this will be measured as an increase in FDI. There may, however, be no increase in New Zealand’s capital stock.</w:t>
      </w:r>
    </w:p>
    <w:p w14:paraId="016B7FDD" w14:textId="3C4EAF6C" w:rsidR="007272BC" w:rsidRPr="007272BC" w:rsidRDefault="007272BC" w:rsidP="00CE3C97">
      <w:pPr>
        <w:pStyle w:val="Heading3"/>
        <w:rPr>
          <w:rFonts w:eastAsia="Calibri"/>
          <w:lang w:eastAsia="en-US"/>
        </w:rPr>
      </w:pPr>
      <w:r w:rsidRPr="007272BC">
        <w:rPr>
          <w:rFonts w:eastAsia="Calibri"/>
          <w:lang w:eastAsia="en-US"/>
        </w:rPr>
        <w:t>FDI: productivity spillovers and sensitivity to tax</w:t>
      </w:r>
    </w:p>
    <w:p w14:paraId="1414ED6C" w14:textId="0428E9B1" w:rsidR="007272BC" w:rsidRPr="007272BC" w:rsidRDefault="007272BC" w:rsidP="00075D72">
      <w:pPr>
        <w:pStyle w:val="NumberedParagraph"/>
        <w:numPr>
          <w:ilvl w:val="1"/>
          <w:numId w:val="64"/>
        </w:numPr>
      </w:pPr>
      <w:r w:rsidRPr="007272BC">
        <w:t xml:space="preserve">Many countries have attempted to impose low taxes on inbound FDI in the hope that this will generate positive productivity spillovers for other firms in the same industry or firms in connected industries. If there were substantial productivity spillovers, this could be a reason for going further than the simple model discussed </w:t>
      </w:r>
      <w:r w:rsidR="00A86BBD">
        <w:t>earlier in this chapter</w:t>
      </w:r>
      <w:r w:rsidRPr="007272BC">
        <w:t xml:space="preserve"> suggests and subsidising inbound investment.</w:t>
      </w:r>
    </w:p>
    <w:p w14:paraId="01E4FB31" w14:textId="77777777" w:rsidR="007272BC" w:rsidRPr="007272BC" w:rsidRDefault="007272BC" w:rsidP="00075D72">
      <w:pPr>
        <w:pStyle w:val="NumberedParagraph"/>
        <w:numPr>
          <w:ilvl w:val="1"/>
          <w:numId w:val="64"/>
        </w:numPr>
      </w:pPr>
      <w:r w:rsidRPr="007272BC">
        <w:t>However, there are reasons to require a high burden of proof before cutting taxes or subsidising investment because of potential productivity spillovers or other externalities. Unless there is strong and quantifiable evidence of spillover benefits, a danger exists that providing tax subsidies would encourage lobbying and make it much more difficult to maintain a robust tax revenue base and a neutral and efficient tax system.</w:t>
      </w:r>
    </w:p>
    <w:p w14:paraId="48853332" w14:textId="6ADAE89B" w:rsidR="007272BC" w:rsidRDefault="007272BC" w:rsidP="00075D72">
      <w:pPr>
        <w:pStyle w:val="NumberedParagraph"/>
        <w:numPr>
          <w:ilvl w:val="1"/>
          <w:numId w:val="64"/>
        </w:numPr>
      </w:pPr>
      <w:r w:rsidRPr="007272BC">
        <w:t>Our reading of the evidence is that, while examples of productivity spillovers will inevitably exist, there is very little clear and consistent evidence of substantial productivity spillovers from FDI into New Zealand. These issues are discussed by Doan, Maré, and Iyer (2015). They find that, while foreign-owned firms make a significant contribution to the New Zealand economy, there is little evidence of substantial positive spillover effects from inbound FDI to local firms’ productivity. There are also questions about whether firms in New Zealand that are acquired by foreign entities have an improved productivity performance. Fabling and Sanderson (2014</w:t>
      </w:r>
      <w:r w:rsidRPr="00D50145">
        <w:t>)</w:t>
      </w:r>
      <w:r w:rsidRPr="007272BC">
        <w:t xml:space="preserve"> discuss this issue. While foreign-acquired firms appear to increase both average wages and gross output relative to firms that remain in domestic ownership, the authors find no evidence that these acquired firms boost their productivity performance.</w:t>
      </w:r>
    </w:p>
    <w:p w14:paraId="4903C90F" w14:textId="1A7908A5" w:rsidR="00E567DA" w:rsidRPr="007272BC" w:rsidRDefault="00412D3F" w:rsidP="00075D72">
      <w:pPr>
        <w:pStyle w:val="NumberedParagraph"/>
        <w:numPr>
          <w:ilvl w:val="1"/>
          <w:numId w:val="64"/>
        </w:numPr>
      </w:pPr>
      <w:r>
        <w:t>Productivity spillovers can arise with domestic firms as well as from inbound FDI</w:t>
      </w:r>
      <w:r w:rsidR="004A16DA">
        <w:t xml:space="preserve">. </w:t>
      </w:r>
      <w:r w:rsidR="00056313">
        <w:t xml:space="preserve">In </w:t>
      </w:r>
      <w:r w:rsidR="00C47939">
        <w:t>a</w:t>
      </w:r>
      <w:r w:rsidR="00056313">
        <w:t xml:space="preserve"> recent inquiry</w:t>
      </w:r>
      <w:r w:rsidR="005A2B4B">
        <w:t xml:space="preserve">, the New Zealand Productivity </w:t>
      </w:r>
      <w:r w:rsidR="00D806BC">
        <w:t xml:space="preserve">Commission </w:t>
      </w:r>
      <w:r w:rsidR="0035244C">
        <w:t xml:space="preserve">argues that </w:t>
      </w:r>
      <w:r w:rsidR="00C47939">
        <w:t>its most productive “frontier firms”</w:t>
      </w:r>
      <w:r w:rsidR="00B51DEF">
        <w:t xml:space="preserve"> can have an important role in lifting what they see as New Zealand’s </w:t>
      </w:r>
      <w:r w:rsidR="009127D0">
        <w:t>“</w:t>
      </w:r>
      <w:r w:rsidR="00B51DEF">
        <w:t>lacklustre</w:t>
      </w:r>
      <w:r w:rsidR="009127D0">
        <w:t xml:space="preserve"> productivity performance”. </w:t>
      </w:r>
      <w:r w:rsidR="003C67D3">
        <w:t xml:space="preserve">These </w:t>
      </w:r>
      <w:r w:rsidR="00753E3F">
        <w:t xml:space="preserve">firms </w:t>
      </w:r>
      <w:r w:rsidR="003C67D3">
        <w:t xml:space="preserve">tend to </w:t>
      </w:r>
      <w:r w:rsidR="002E0F26">
        <w:t xml:space="preserve">be </w:t>
      </w:r>
      <w:proofErr w:type="gramStart"/>
      <w:r w:rsidR="002E0F26">
        <w:t>innovative</w:t>
      </w:r>
      <w:proofErr w:type="gramEnd"/>
      <w:r w:rsidR="002E0F26">
        <w:t xml:space="preserve"> and </w:t>
      </w:r>
      <w:r w:rsidR="003C67D3">
        <w:t xml:space="preserve">export </w:t>
      </w:r>
      <w:r w:rsidR="002E0F26">
        <w:t>specialised</w:t>
      </w:r>
      <w:r w:rsidR="004245B9">
        <w:t>,</w:t>
      </w:r>
      <w:r w:rsidR="002E0F26">
        <w:t xml:space="preserve"> distinctive products. </w:t>
      </w:r>
      <w:r w:rsidR="007C6F76">
        <w:t>The Commission</w:t>
      </w:r>
      <w:r w:rsidR="008F4C92">
        <w:t xml:space="preserve"> argues that high-quality FDI </w:t>
      </w:r>
      <w:r w:rsidR="004556F8">
        <w:t>that</w:t>
      </w:r>
      <w:r w:rsidR="00BD0653">
        <w:t xml:space="preserve"> invests in innovation, grows new export markets, creates a demand for skills, encourages more training, attracts international </w:t>
      </w:r>
      <w:proofErr w:type="gramStart"/>
      <w:r w:rsidR="00BD0653">
        <w:t>talent</w:t>
      </w:r>
      <w:proofErr w:type="gramEnd"/>
      <w:r w:rsidR="00BD0653">
        <w:t xml:space="preserve"> and builds career paths that keep skilled people in New Zealand can provide spillover benefits for New Zealand. At the same time</w:t>
      </w:r>
      <w:r w:rsidR="00575C6A">
        <w:t>,</w:t>
      </w:r>
      <w:r w:rsidR="00BD0653">
        <w:t xml:space="preserve"> it points out that the same benefits may be produced by having large domestic exporting firms and that not all FDI is what they would deem to be “high quality”.</w:t>
      </w:r>
      <w:r w:rsidR="008C3E84">
        <w:t xml:space="preserve"> It also notes th</w:t>
      </w:r>
      <w:r w:rsidR="00C54F9F">
        <w:t>at</w:t>
      </w:r>
      <w:r w:rsidR="008C3E84">
        <w:t xml:space="preserve"> of the few foreign-owned businesses exporting specialised products, all started as New Zealand businesses</w:t>
      </w:r>
      <w:r w:rsidR="00C86297">
        <w:t>.</w:t>
      </w:r>
      <w:r w:rsidR="00BD0653">
        <w:rPr>
          <w:rStyle w:val="FootnoteReference"/>
        </w:rPr>
        <w:footnoteReference w:id="20"/>
      </w:r>
      <w:r w:rsidR="00795671">
        <w:t xml:space="preserve"> </w:t>
      </w:r>
      <w:r w:rsidR="0049673E">
        <w:t xml:space="preserve">All of this raises questions about whether it would be attractive to impose lower taxes on FDI </w:t>
      </w:r>
      <w:r w:rsidR="00B13E23">
        <w:t>relative to other forms of inbound investment.</w:t>
      </w:r>
      <w:r w:rsidR="002A1F11">
        <w:t xml:space="preserve"> </w:t>
      </w:r>
      <w:r w:rsidR="009B1446">
        <w:t>If non-residents are marginal investors into domestic companies</w:t>
      </w:r>
      <w:r w:rsidR="00394F19">
        <w:t xml:space="preserve">, taxes on FPI as well as on FDI will be important </w:t>
      </w:r>
      <w:r w:rsidR="002177F3">
        <w:t>factors affecting the level of New Zealand’s capital stock.</w:t>
      </w:r>
    </w:p>
    <w:p w14:paraId="3909E3B0" w14:textId="0DF86ED4" w:rsidR="007272BC" w:rsidRPr="007272BC" w:rsidRDefault="007272BC" w:rsidP="00075D72">
      <w:pPr>
        <w:pStyle w:val="NumberedParagraph"/>
        <w:numPr>
          <w:ilvl w:val="1"/>
          <w:numId w:val="64"/>
        </w:numPr>
      </w:pPr>
      <w:r w:rsidRPr="007272BC">
        <w:t xml:space="preserve">Many authors have argued that tax will have little effect on FDI and that a host of other factors, such as the nature of competition in product markets, the cost and availability of intermediate supplies, and proximity to final markets, will be </w:t>
      </w:r>
      <w:r w:rsidRPr="007272BC">
        <w:lastRenderedPageBreak/>
        <w:t>more important. For example, Markusen (1995) argues that any effects of taxes on FDI will be unnoticeable in practice.</w:t>
      </w:r>
    </w:p>
    <w:p w14:paraId="4B70B9EB" w14:textId="32493880" w:rsidR="007272BC" w:rsidRPr="007272BC" w:rsidRDefault="007272BC" w:rsidP="00075D72">
      <w:pPr>
        <w:pStyle w:val="NumberedParagraph"/>
        <w:numPr>
          <w:ilvl w:val="1"/>
          <w:numId w:val="64"/>
        </w:numPr>
      </w:pPr>
      <w:r w:rsidRPr="007272BC">
        <w:t xml:space="preserve">However, there is evidence that taxes may have important effects on levels of FDI and that the sensitivity of FDI to tax may have been growing over time. This literature is discussed in Hines (1999). De Mooij and Ederveen (2003) (in a widely cited review of the literature) found a median semi-elasticity of </w:t>
      </w:r>
      <w:r w:rsidR="005A7441">
        <w:noBreakHyphen/>
      </w:r>
      <w:r w:rsidRPr="007272BC">
        <w:t>3.3 (meaning that a 1% point cut in the company tax rate of the host country – where the income is sourced from – leads to a 3.3% increase in FDI). Moreover, the authors find evidence that this elasticity has been increasing over time, and that bigger effects are found if tax effects are measured in terms of effective tax rates (such as the EMTR analysis reported in this LTIB</w:t>
      </w:r>
      <w:r w:rsidR="008405DD">
        <w:t xml:space="preserve"> or AETRs</w:t>
      </w:r>
      <w:r w:rsidRPr="007272BC">
        <w:t>) rather than statutory tax rates.</w:t>
      </w:r>
      <w:r w:rsidR="00C66FDE">
        <w:t xml:space="preserve"> This suggests that developing robust measures of EMTRs (and, in the longer run</w:t>
      </w:r>
      <w:r w:rsidR="00627834">
        <w:t>,</w:t>
      </w:r>
      <w:r w:rsidR="00C66FDE">
        <w:t xml:space="preserve"> AETRs) is likely to be important in understanding the effects of possible tax changes on FDI.</w:t>
      </w:r>
    </w:p>
    <w:p w14:paraId="3E994430" w14:textId="39CF6F8A" w:rsidR="007272BC" w:rsidRPr="007272BC" w:rsidRDefault="007272BC" w:rsidP="00075D72">
      <w:pPr>
        <w:pStyle w:val="NumberedParagraph"/>
        <w:numPr>
          <w:ilvl w:val="1"/>
          <w:numId w:val="64"/>
        </w:numPr>
      </w:pPr>
      <w:r w:rsidRPr="007272BC">
        <w:t>There is an open question whether these international studies are likely to be relevant to an economy like New Zealand, which is very distant from other markets. It is reasonable to suspect that elasticities may be much higher for, say, small landlocked countries in Europe, where companies can respond to taxes and locate a production centre to supply much the same market in one of several countries other than the country where final sales of goods or services will take place.</w:t>
      </w:r>
    </w:p>
    <w:p w14:paraId="18D9BAC9" w14:textId="2F02CBA4" w:rsidR="007272BC" w:rsidRPr="007272BC" w:rsidRDefault="007272BC" w:rsidP="00075D72">
      <w:pPr>
        <w:pStyle w:val="NumberedParagraph"/>
        <w:numPr>
          <w:ilvl w:val="1"/>
          <w:numId w:val="64"/>
        </w:numPr>
      </w:pPr>
      <w:r w:rsidRPr="007272BC">
        <w:t xml:space="preserve">New Zealand observed limited growth in FDI when the company tax rate was cut in 2008 and 2011 (see pp. 8-9 of Inland Revenue and Treasury (2016) </w:t>
      </w:r>
      <w:r w:rsidRPr="00E143FA">
        <w:rPr>
          <w:rStyle w:val="Emphasis"/>
        </w:rPr>
        <w:t>New Zealand taxation framework for inbound investment</w:t>
      </w:r>
      <w:r w:rsidRPr="007272BC">
        <w:t xml:space="preserve">). However, evidence presented in </w:t>
      </w:r>
      <w:r w:rsidR="00281962">
        <w:t xml:space="preserve">appendix </w:t>
      </w:r>
      <w:r w:rsidR="005C0C4E">
        <w:t>6</w:t>
      </w:r>
      <w:r w:rsidR="00281962">
        <w:t xml:space="preserve"> of </w:t>
      </w:r>
      <w:r w:rsidR="0077525F">
        <w:t xml:space="preserve">the </w:t>
      </w:r>
      <w:proofErr w:type="gramStart"/>
      <w:r w:rsidR="00A33F15">
        <w:rPr>
          <w:i/>
          <w:iCs/>
        </w:rPr>
        <w:t>T</w:t>
      </w:r>
      <w:r w:rsidR="0002100F">
        <w:rPr>
          <w:i/>
          <w:iCs/>
        </w:rPr>
        <w:t>echnical</w:t>
      </w:r>
      <w:proofErr w:type="gramEnd"/>
      <w:r w:rsidR="0002100F">
        <w:rPr>
          <w:i/>
          <w:iCs/>
        </w:rPr>
        <w:t xml:space="preserve"> </w:t>
      </w:r>
      <w:r w:rsidR="0002100F" w:rsidRPr="0002100F">
        <w:rPr>
          <w:i/>
          <w:iCs/>
        </w:rPr>
        <w:t>appendices</w:t>
      </w:r>
      <w:r w:rsidRPr="007272BC">
        <w:t xml:space="preserve"> suggests that EMTRs increased</w:t>
      </w:r>
      <w:r w:rsidR="003747C7">
        <w:t>,</w:t>
      </w:r>
      <w:r w:rsidRPr="007272BC">
        <w:t xml:space="preserve"> rather than decreased</w:t>
      </w:r>
      <w:r w:rsidR="003747C7">
        <w:t>,</w:t>
      </w:r>
      <w:r w:rsidRPr="007272BC">
        <w:t xml:space="preserve"> in 2011 as a result of other tax changes</w:t>
      </w:r>
      <w:r w:rsidR="004202BE">
        <w:t>,</w:t>
      </w:r>
      <w:r w:rsidRPr="007272BC">
        <w:t xml:space="preserve"> including changes to depreciation rates. Also</w:t>
      </w:r>
      <w:r w:rsidR="00FA1692">
        <w:t>,</w:t>
      </w:r>
      <w:r w:rsidRPr="007272BC">
        <w:t xml:space="preserve"> the eyeballing of the data in the Inland Revenue and Treasury paper may be misleading if tax changes take a long time to have an effect. Freebairn (2015) reports studies suggesting that it may take seven to ten years for half of the long-run response to take place. Other confounding things may be happening at the same time (including a Global Financial Crisis and other tax measures, such as reductions in depreciation deductions and a tightening of thin capitalisation rules). As far as we are aware, no study of the sensitivity of FDI in New Zealand to tax rates has been conducted.</w:t>
      </w:r>
    </w:p>
    <w:p w14:paraId="73DF6039" w14:textId="01ED69CE" w:rsidR="007272BC" w:rsidRPr="007272BC" w:rsidRDefault="007272BC" w:rsidP="003B6F2B">
      <w:pPr>
        <w:pStyle w:val="Heading3"/>
        <w:rPr>
          <w:rFonts w:eastAsia="Calibri"/>
          <w:lang w:val="en-GB" w:eastAsia="en-US"/>
        </w:rPr>
      </w:pPr>
      <w:r w:rsidRPr="007272BC">
        <w:rPr>
          <w:rFonts w:eastAsia="Calibri"/>
          <w:lang w:val="en-GB" w:eastAsia="en-US"/>
        </w:rPr>
        <w:t>Capital stock: sensitivity to tax</w:t>
      </w:r>
    </w:p>
    <w:p w14:paraId="6CE6C10A" w14:textId="63C6A4AE" w:rsidR="009A65A8" w:rsidRPr="00075D72" w:rsidRDefault="007272BC" w:rsidP="003B6F2B">
      <w:pPr>
        <w:pStyle w:val="NumberedParagraph"/>
        <w:keepNext/>
        <w:keepLines/>
        <w:numPr>
          <w:ilvl w:val="1"/>
          <w:numId w:val="64"/>
        </w:numPr>
        <w:rPr>
          <w:lang w:val="en-GB"/>
        </w:rPr>
      </w:pPr>
      <w:r w:rsidRPr="00075D72">
        <w:rPr>
          <w:lang w:val="en-GB"/>
        </w:rPr>
        <w:t xml:space="preserve">An alternative is to look at the responsiveness of </w:t>
      </w:r>
      <w:r w:rsidR="005C0C4E">
        <w:rPr>
          <w:lang w:val="en-GB"/>
        </w:rPr>
        <w:t xml:space="preserve">total </w:t>
      </w:r>
      <w:r w:rsidRPr="00075D72">
        <w:rPr>
          <w:lang w:val="en-GB"/>
        </w:rPr>
        <w:t xml:space="preserve">capital stock to tax parameters. </w:t>
      </w:r>
      <w:proofErr w:type="spellStart"/>
      <w:r w:rsidRPr="00075D72">
        <w:rPr>
          <w:lang w:val="en-GB"/>
        </w:rPr>
        <w:t>Hassett</w:t>
      </w:r>
      <w:proofErr w:type="spellEnd"/>
      <w:r w:rsidRPr="00075D72">
        <w:rPr>
          <w:lang w:val="en-GB"/>
        </w:rPr>
        <w:t xml:space="preserve"> and Hubbard (2002) suggest that studies have tended to find increasing elasticities through time, although this appears to be the result of more robust ways of estimating elasticities rather than because the elasticities themselves are changing through time. The authors suggest elasticities of capital stock with respect to user costs are in the range of </w:t>
      </w:r>
      <w:r w:rsidR="003B6F2B">
        <w:rPr>
          <w:lang w:val="en-GB"/>
        </w:rPr>
        <w:br/>
      </w:r>
      <w:r w:rsidRPr="00075D72">
        <w:rPr>
          <w:lang w:val="en-GB"/>
        </w:rPr>
        <w:t>-0.</w:t>
      </w:r>
      <w:r w:rsidR="00831BF0" w:rsidRPr="00075D72">
        <w:rPr>
          <w:lang w:val="en-GB"/>
        </w:rPr>
        <w:t>5</w:t>
      </w:r>
      <w:r w:rsidR="00831BF0">
        <w:rPr>
          <w:lang w:val="en-GB"/>
        </w:rPr>
        <w:t> </w:t>
      </w:r>
      <w:r w:rsidR="00831BF0" w:rsidRPr="00075D72">
        <w:rPr>
          <w:lang w:val="en-GB"/>
        </w:rPr>
        <w:t>to</w:t>
      </w:r>
      <w:r w:rsidR="00831BF0">
        <w:rPr>
          <w:lang w:val="en-GB"/>
        </w:rPr>
        <w:t> </w:t>
      </w:r>
      <w:r w:rsidRPr="00075D72">
        <w:rPr>
          <w:lang w:val="en-GB"/>
        </w:rPr>
        <w:t>-1.0.</w:t>
      </w:r>
      <w:r w:rsidR="00DA0138">
        <w:rPr>
          <w:rStyle w:val="FootnoteReference"/>
          <w:lang w:val="en-GB"/>
        </w:rPr>
        <w:footnoteReference w:id="21"/>
      </w:r>
      <w:r w:rsidRPr="00075D72">
        <w:rPr>
          <w:lang w:val="en-GB"/>
        </w:rPr>
        <w:t xml:space="preserve"> Nolan and Nolan (2021) discuss two models for New Zealand. One provides an estimate of around -0.7, which is consistent with previous work for New Zealand by Szeto and Ryan (2009). This is within the range suggested by </w:t>
      </w:r>
      <w:proofErr w:type="spellStart"/>
      <w:r w:rsidR="00995894" w:rsidRPr="00075D72">
        <w:rPr>
          <w:lang w:val="en-GB"/>
        </w:rPr>
        <w:t>Hassett</w:t>
      </w:r>
      <w:proofErr w:type="spellEnd"/>
      <w:r w:rsidRPr="00075D72">
        <w:rPr>
          <w:lang w:val="en-GB"/>
        </w:rPr>
        <w:t xml:space="preserve"> and H</w:t>
      </w:r>
      <w:r w:rsidR="00995894" w:rsidRPr="00075D72">
        <w:rPr>
          <w:lang w:val="en-GB"/>
        </w:rPr>
        <w:t>ubbard</w:t>
      </w:r>
      <w:r w:rsidRPr="00075D72">
        <w:rPr>
          <w:lang w:val="en-GB"/>
        </w:rPr>
        <w:t>. A second model has a higher elasticity of -1.42. There has been insufficient modelling in New Zealand for us to have a very robust set of estimates.</w:t>
      </w:r>
      <w:r w:rsidR="00504277">
        <w:rPr>
          <w:lang w:val="en-GB"/>
        </w:rPr>
        <w:t xml:space="preserve"> Developing a better understanding of how taxes impact on costs of capital are again necessary in building an understanding of how they are likely to impact on New Zealand’s aggregate capital stock.</w:t>
      </w:r>
    </w:p>
    <w:p w14:paraId="58A52787" w14:textId="7BB5D7C6" w:rsidR="00644621" w:rsidRPr="004B1C56" w:rsidRDefault="009A65A8" w:rsidP="006C000E">
      <w:pPr>
        <w:pStyle w:val="Heading1"/>
        <w:numPr>
          <w:ilvl w:val="0"/>
          <w:numId w:val="64"/>
        </w:numPr>
        <w:ind w:left="0"/>
        <w:rPr>
          <w:rFonts w:eastAsia="Calibri"/>
        </w:rPr>
      </w:pPr>
      <w:r w:rsidRPr="004B1C56">
        <w:rPr>
          <w:lang w:val="en-GB"/>
        </w:rPr>
        <w:lastRenderedPageBreak/>
        <w:br/>
      </w:r>
      <w:r w:rsidR="00283901" w:rsidRPr="004B1C56">
        <w:rPr>
          <w:lang w:val="en-GB"/>
        </w:rPr>
        <w:br/>
      </w:r>
      <w:bookmarkStart w:id="18" w:name="_Toc112857397"/>
      <w:r w:rsidR="00644621" w:rsidRPr="004B1C56">
        <w:rPr>
          <w:rFonts w:eastAsia="Calibri"/>
        </w:rPr>
        <w:t>Benchmarking New Zealand’s costs of capital and EMTRs against those of other OECD countries</w:t>
      </w:r>
      <w:bookmarkEnd w:id="18"/>
    </w:p>
    <w:tbl>
      <w:tblPr>
        <w:tblStyle w:val="SummaryBox"/>
        <w:tblW w:w="0" w:type="auto"/>
        <w:tblLayout w:type="fixed"/>
        <w:tblLook w:val="04A0" w:firstRow="1" w:lastRow="0" w:firstColumn="1" w:lastColumn="0" w:noHBand="0" w:noVBand="1"/>
      </w:tblPr>
      <w:tblGrid>
        <w:gridCol w:w="8778"/>
      </w:tblGrid>
      <w:tr w:rsidR="00644621" w:rsidRPr="00644621" w14:paraId="4E34CC80" w14:textId="77777777" w:rsidTr="007D07BC">
        <w:tc>
          <w:tcPr>
            <w:tcW w:w="8778" w:type="dxa"/>
          </w:tcPr>
          <w:p w14:paraId="043C2443" w14:textId="29D7A8FC" w:rsidR="00644621" w:rsidRPr="00644621" w:rsidRDefault="00644621" w:rsidP="00597B6B">
            <w:pPr>
              <w:pStyle w:val="ListBullet"/>
              <w:rPr>
                <w:b/>
                <w:bCs/>
              </w:rPr>
            </w:pPr>
            <w:r w:rsidRPr="00644621">
              <w:t xml:space="preserve">OECD analysis suggests that New Zealand </w:t>
            </w:r>
            <w:r w:rsidR="00ED4D51">
              <w:t xml:space="preserve">is an outlier with </w:t>
            </w:r>
            <w:r w:rsidRPr="00644621">
              <w:t>costs of capital and EMTRs for buildings, tangibles and inventories</w:t>
            </w:r>
            <w:r w:rsidR="00BF32D2">
              <w:t xml:space="preserve"> </w:t>
            </w:r>
            <w:r w:rsidR="00CF1795">
              <w:t>that</w:t>
            </w:r>
            <w:r w:rsidR="00BF32D2">
              <w:t xml:space="preserve"> are </w:t>
            </w:r>
            <w:r w:rsidR="005C0C4E">
              <w:t xml:space="preserve">very </w:t>
            </w:r>
            <w:r w:rsidR="00BF32D2">
              <w:t>high relative to most other OECD countries</w:t>
            </w:r>
            <w:r w:rsidRPr="00644621">
              <w:t>.</w:t>
            </w:r>
          </w:p>
          <w:p w14:paraId="1247D0C5" w14:textId="14CFFE9E" w:rsidR="00644621" w:rsidRPr="00644621" w:rsidRDefault="009B7CDC" w:rsidP="00597B6B">
            <w:pPr>
              <w:pStyle w:val="ListBullet"/>
              <w:rPr>
                <w:b/>
                <w:bCs/>
              </w:rPr>
            </w:pPr>
            <w:r>
              <w:t xml:space="preserve">This suggests that </w:t>
            </w:r>
            <w:r w:rsidR="00644621" w:rsidRPr="00644621">
              <w:t xml:space="preserve">New Zealand </w:t>
            </w:r>
            <w:r w:rsidR="00D259AF">
              <w:t xml:space="preserve">may </w:t>
            </w:r>
            <w:r w:rsidR="00832349">
              <w:t>require</w:t>
            </w:r>
            <w:r w:rsidR="00D259AF">
              <w:t xml:space="preserve"> </w:t>
            </w:r>
            <w:r w:rsidR="00644621" w:rsidRPr="00644621">
              <w:t>higher hurdle rates of return than m</w:t>
            </w:r>
            <w:r w:rsidR="00697705">
              <w:t>ost</w:t>
            </w:r>
            <w:r w:rsidR="00644621" w:rsidRPr="00644621">
              <w:t xml:space="preserve"> other countries before firms will find it profitable to invest.</w:t>
            </w:r>
          </w:p>
          <w:p w14:paraId="1142C41F" w14:textId="77E755F0" w:rsidR="00644621" w:rsidRDefault="00644621" w:rsidP="00597B6B">
            <w:pPr>
              <w:pStyle w:val="ListBullet"/>
            </w:pPr>
            <w:r w:rsidRPr="00644621">
              <w:t xml:space="preserve">Other things equal, this </w:t>
            </w:r>
            <w:r w:rsidR="00C43A30">
              <w:t>would</w:t>
            </w:r>
            <w:r w:rsidRPr="00644621">
              <w:t xml:space="preserve"> reduce investment into New Zealand and New Zealand’s capital stock.</w:t>
            </w:r>
          </w:p>
          <w:p w14:paraId="55969418" w14:textId="1DC1CA6B" w:rsidR="001D3144" w:rsidRDefault="001D3144" w:rsidP="00597B6B">
            <w:pPr>
              <w:pStyle w:val="ListBullet"/>
            </w:pPr>
            <w:r>
              <w:t xml:space="preserve">It may </w:t>
            </w:r>
            <w:r w:rsidR="00A634AF">
              <w:t xml:space="preserve">also </w:t>
            </w:r>
            <w:r>
              <w:t>reduce the speed with which New Zealand adjusts to new opportunities and challenges</w:t>
            </w:r>
            <w:r w:rsidR="007B15C3">
              <w:t>,</w:t>
            </w:r>
            <w:r w:rsidR="001D37C7">
              <w:t xml:space="preserve"> including the need to </w:t>
            </w:r>
            <w:r w:rsidR="001C501D">
              <w:t xml:space="preserve">take up new technologies </w:t>
            </w:r>
            <w:r w:rsidR="007D3F0F">
              <w:t>to address climate change concerns</w:t>
            </w:r>
            <w:r w:rsidR="00A634AF">
              <w:t>.</w:t>
            </w:r>
            <w:r w:rsidR="001A444D">
              <w:t xml:space="preserve"> </w:t>
            </w:r>
          </w:p>
          <w:p w14:paraId="3E39F2BD" w14:textId="77777777" w:rsidR="005733A9" w:rsidRDefault="004B2BBE" w:rsidP="00597B6B">
            <w:pPr>
              <w:pStyle w:val="ListBullet"/>
            </w:pPr>
            <w:r>
              <w:t>International</w:t>
            </w:r>
            <w:r w:rsidR="009A1ECD">
              <w:t xml:space="preserve"> benchmarking studies</w:t>
            </w:r>
            <w:r w:rsidR="008C0C6E">
              <w:t xml:space="preserve"> will never be completely </w:t>
            </w:r>
            <w:r w:rsidR="00EE3524">
              <w:t>definitive and</w:t>
            </w:r>
            <w:r w:rsidR="00EB1D2A">
              <w:t xml:space="preserve"> </w:t>
            </w:r>
            <w:r w:rsidR="006A5089">
              <w:t>international comparisons will depend on the assets that are included and the taxes that are considered.</w:t>
            </w:r>
          </w:p>
          <w:p w14:paraId="75FF0B2B" w14:textId="17C37881" w:rsidR="00455344" w:rsidRDefault="00967ABC" w:rsidP="00597B6B">
            <w:pPr>
              <w:pStyle w:val="ListBullet"/>
            </w:pPr>
            <w:r>
              <w:t>Allowing for taxes other than company</w:t>
            </w:r>
            <w:r w:rsidR="00CA50A4">
              <w:t xml:space="preserve"> tax provisions is likely to make New Zealand less of an </w:t>
            </w:r>
            <w:r w:rsidR="00455344">
              <w:t>outlier than the OECD analysis suggests</w:t>
            </w:r>
            <w:r w:rsidR="007C499F">
              <w:t xml:space="preserve">. However, </w:t>
            </w:r>
            <w:r w:rsidR="005F41FA">
              <w:t xml:space="preserve">this is unlikely to undermine the conclusion that New Zealand is likely to </w:t>
            </w:r>
            <w:r w:rsidR="00DE1903">
              <w:t>require</w:t>
            </w:r>
            <w:r w:rsidR="00FA782B">
              <w:t xml:space="preserve"> relatively</w:t>
            </w:r>
            <w:r w:rsidR="005F41FA">
              <w:t xml:space="preserve"> high costs of capital and EMTRs</w:t>
            </w:r>
            <w:r w:rsidR="00E30694">
              <w:t xml:space="preserve"> compared to other OECD countries</w:t>
            </w:r>
            <w:r w:rsidR="001A6282">
              <w:t>.</w:t>
            </w:r>
          </w:p>
          <w:p w14:paraId="6820D268" w14:textId="43991DF3" w:rsidR="00D449D0" w:rsidRPr="00644621" w:rsidRDefault="007A7246" w:rsidP="00471C82">
            <w:pPr>
              <w:pStyle w:val="ListBullet"/>
            </w:pPr>
            <w:r>
              <w:t>Decisions on whether to establish operations in a country</w:t>
            </w:r>
            <w:r w:rsidR="00155A17">
              <w:t xml:space="preserve"> may depend in part on the company tax rate </w:t>
            </w:r>
            <w:r w:rsidR="00DA6782">
              <w:t>itself</w:t>
            </w:r>
            <w:r w:rsidR="005E2632">
              <w:t>,</w:t>
            </w:r>
            <w:r w:rsidR="00D1479D">
              <w:t xml:space="preserve"> and New Zealand’s company tax rate is now high relative to most other </w:t>
            </w:r>
            <w:r w:rsidR="002D5853">
              <w:t xml:space="preserve">OECD </w:t>
            </w:r>
            <w:r w:rsidR="00D1479D">
              <w:t>countries and esp</w:t>
            </w:r>
            <w:r w:rsidR="002D5853">
              <w:t>ecially other small</w:t>
            </w:r>
            <w:r w:rsidR="00D827C8">
              <w:t>,</w:t>
            </w:r>
            <w:r w:rsidR="002D5853">
              <w:t xml:space="preserve"> advanced economies in the OECD.</w:t>
            </w:r>
          </w:p>
        </w:tc>
      </w:tr>
    </w:tbl>
    <w:p w14:paraId="5A9639D8" w14:textId="77777777" w:rsidR="00644621" w:rsidRPr="00644621" w:rsidRDefault="00644621" w:rsidP="00F133F7">
      <w:pPr>
        <w:pStyle w:val="Heading2"/>
        <w:rPr>
          <w:rFonts w:eastAsia="Calibri"/>
          <w:lang w:eastAsia="en-US"/>
        </w:rPr>
      </w:pPr>
      <w:bookmarkStart w:id="19" w:name="_Toc112857398"/>
      <w:r w:rsidRPr="00644621">
        <w:rPr>
          <w:rFonts w:eastAsia="Calibri"/>
          <w:lang w:eastAsia="en-US"/>
        </w:rPr>
        <w:t>Introduction</w:t>
      </w:r>
      <w:bookmarkEnd w:id="19"/>
    </w:p>
    <w:p w14:paraId="5035EA29" w14:textId="48C809A6" w:rsidR="00644621" w:rsidRPr="00F133F7" w:rsidRDefault="00644621" w:rsidP="00075D72">
      <w:pPr>
        <w:pStyle w:val="NumberedParagraph"/>
        <w:numPr>
          <w:ilvl w:val="1"/>
          <w:numId w:val="64"/>
        </w:numPr>
      </w:pPr>
      <w:r w:rsidRPr="00F133F7">
        <w:t>The aim of this chapter is to examine how New Zealand’s company tax rate and tax depreciation rules are likely to compare to those in other OECD countries. To do this we ma</w:t>
      </w:r>
      <w:r w:rsidR="00113274">
        <w:t>inly focus on</w:t>
      </w:r>
      <w:r w:rsidRPr="00F133F7">
        <w:t xml:space="preserve"> a model that has been developed by the OECD.</w:t>
      </w:r>
    </w:p>
    <w:p w14:paraId="5923B1EE" w14:textId="77777777" w:rsidR="00FC5FED" w:rsidRDefault="00FC5FED">
      <w:pPr>
        <w:spacing w:before="0" w:after="0"/>
        <w:jc w:val="left"/>
        <w:rPr>
          <w:rFonts w:eastAsia="Calibri"/>
          <w:lang w:eastAsia="en-US"/>
        </w:rPr>
      </w:pPr>
      <w:r>
        <w:br w:type="page"/>
      </w:r>
    </w:p>
    <w:p w14:paraId="3F6506CE" w14:textId="075A03EF" w:rsidR="00644621" w:rsidRPr="00644621" w:rsidRDefault="00644621" w:rsidP="00075D72">
      <w:pPr>
        <w:pStyle w:val="NumberedParagraph"/>
        <w:numPr>
          <w:ilvl w:val="1"/>
          <w:numId w:val="64"/>
        </w:numPr>
      </w:pPr>
      <w:r w:rsidRPr="00644621">
        <w:lastRenderedPageBreak/>
        <w:t xml:space="preserve">The OECD examines how tax provisions can affect incentives to invest by considering their impact on costs of capital, effective marginal tax rates (EMTRs) and effective average tax rates (EATRs) for a set of assets. This can be useful in benchmarking New Zealand’s tax rules against those in other countries and for examining whether New Zealand is an outlier in the way that it taxes investment. </w:t>
      </w:r>
      <w:r w:rsidR="00370F44">
        <w:t>In this LTIB</w:t>
      </w:r>
      <w:r w:rsidR="0086391E">
        <w:t>,</w:t>
      </w:r>
      <w:r w:rsidR="00370F44">
        <w:t xml:space="preserve"> o</w:t>
      </w:r>
      <w:r w:rsidRPr="00644621">
        <w:t>ur focus is on the cost of capital and the closely related EMTR measure.</w:t>
      </w:r>
      <w:r w:rsidR="00DA1139">
        <w:rPr>
          <w:rStyle w:val="FootnoteReference"/>
        </w:rPr>
        <w:footnoteReference w:id="22"/>
      </w:r>
    </w:p>
    <w:p w14:paraId="21C2D37F" w14:textId="67F734AE" w:rsidR="00644621" w:rsidRPr="00644621" w:rsidRDefault="00644621" w:rsidP="00075D72">
      <w:pPr>
        <w:pStyle w:val="NumberedParagraph"/>
        <w:numPr>
          <w:ilvl w:val="1"/>
          <w:numId w:val="64"/>
        </w:numPr>
      </w:pPr>
      <w:r w:rsidRPr="00644621">
        <w:t>The OECD data is provided on the OECD website</w:t>
      </w:r>
      <w:r w:rsidR="00696416">
        <w:t>.</w:t>
      </w:r>
      <w:r w:rsidR="00831BF0">
        <w:rPr>
          <w:rStyle w:val="FootnoteReference"/>
        </w:rPr>
        <w:footnoteReference w:id="23"/>
      </w:r>
      <w:r w:rsidRPr="00644621">
        <w:t xml:space="preserve"> The model that underlies these results is discussed in Hanappi (2018).</w:t>
      </w:r>
    </w:p>
    <w:p w14:paraId="4A386DA0" w14:textId="77777777" w:rsidR="00644621" w:rsidRPr="00644621" w:rsidRDefault="00644621" w:rsidP="00075D72">
      <w:pPr>
        <w:pStyle w:val="NumberedParagraph"/>
        <w:numPr>
          <w:ilvl w:val="1"/>
          <w:numId w:val="64"/>
        </w:numPr>
      </w:pPr>
      <w:r w:rsidRPr="00644621">
        <w:t>This chapter explains key assumptions underlying the OECD modelling and reports on how New Zealand compares to other OECD countries in the OECD estimates.</w:t>
      </w:r>
    </w:p>
    <w:p w14:paraId="71D27FB2" w14:textId="2E0C883B" w:rsidR="00644621" w:rsidRPr="00644621" w:rsidRDefault="00644621" w:rsidP="00075D72">
      <w:pPr>
        <w:pStyle w:val="NumberedParagraph"/>
        <w:numPr>
          <w:ilvl w:val="1"/>
          <w:numId w:val="64"/>
        </w:numPr>
      </w:pPr>
      <w:r w:rsidRPr="00644621">
        <w:t xml:space="preserve">The OECD’s model focuses on investment by companies. It only examines the effects of the company tax rate, depreciation rates and the tax treatment of inventories on costs of capital and EMTRs. It does not consider </w:t>
      </w:r>
      <w:r w:rsidR="0014646D">
        <w:t>sales taxes</w:t>
      </w:r>
      <w:r w:rsidR="00E44027">
        <w:t>,</w:t>
      </w:r>
      <w:r w:rsidR="0014646D">
        <w:t xml:space="preserve"> </w:t>
      </w:r>
      <w:r w:rsidRPr="00644621">
        <w:t>withholding taxes</w:t>
      </w:r>
      <w:r w:rsidR="009377A4">
        <w:t>,</w:t>
      </w:r>
      <w:r w:rsidRPr="00644621">
        <w:t xml:space="preserve"> such as New Zealand’s non-resident withholding tax on interest or its approved issuer levy</w:t>
      </w:r>
      <w:r w:rsidR="007944CB">
        <w:t>,</w:t>
      </w:r>
      <w:r w:rsidRPr="00644621">
        <w:t xml:space="preserve"> or the likely impact of thin capitalisation provisions. It makes some assumptions about debt levels and macroeconomic parameters for its benchmarking exercise.</w:t>
      </w:r>
    </w:p>
    <w:p w14:paraId="3379B112" w14:textId="1F6DE8F3" w:rsidR="00644621" w:rsidRPr="00644621" w:rsidRDefault="00644621" w:rsidP="00075D72">
      <w:pPr>
        <w:pStyle w:val="NumberedParagraph"/>
        <w:numPr>
          <w:ilvl w:val="1"/>
          <w:numId w:val="64"/>
        </w:numPr>
      </w:pPr>
      <w:r w:rsidRPr="00644621">
        <w:t>The OECD modelling is helpful in providing a first</w:t>
      </w:r>
      <w:r w:rsidR="00CF11FF">
        <w:t>-</w:t>
      </w:r>
      <w:r w:rsidRPr="00644621">
        <w:t>cut analysis of how taxes are likely to compare across OECD countries. However, quite a bit is omitted from this analysis and some of the assumptions being used may not be the most appropriate for New Zealand. We will consider possible extensions to the model and modify some of the parameter values when examining costs of capital and EMTRs for New Zealand in chapter 4.</w:t>
      </w:r>
    </w:p>
    <w:p w14:paraId="5E8ADE79" w14:textId="60C657B6" w:rsidR="00644621" w:rsidRPr="00644621" w:rsidRDefault="00644621" w:rsidP="00075D72">
      <w:pPr>
        <w:pStyle w:val="NumberedParagraph"/>
        <w:numPr>
          <w:ilvl w:val="1"/>
          <w:numId w:val="64"/>
        </w:numPr>
      </w:pPr>
      <w:r w:rsidRPr="00644621">
        <w:t xml:space="preserve">The OECD’s analysis suggests that New Zealand </w:t>
      </w:r>
      <w:r w:rsidR="003654E8">
        <w:t>is an outlier with</w:t>
      </w:r>
      <w:r w:rsidRPr="00644621">
        <w:t xml:space="preserve"> high levels of taxation on inbound investment.</w:t>
      </w:r>
      <w:r w:rsidR="006F1F75">
        <w:t xml:space="preserve"> </w:t>
      </w:r>
      <w:r w:rsidR="00616E99">
        <w:t>However,</w:t>
      </w:r>
      <w:r w:rsidR="00073B25">
        <w:t xml:space="preserve"> </w:t>
      </w:r>
      <w:r w:rsidR="00A914D3">
        <w:t>reviewers have pointed us to two other studies</w:t>
      </w:r>
      <w:r w:rsidR="00043A7F">
        <w:t>,</w:t>
      </w:r>
      <w:r w:rsidR="00A914D3">
        <w:t xml:space="preserve"> which we also discuss.</w:t>
      </w:r>
      <w:r w:rsidR="008A13F1">
        <w:t xml:space="preserve"> In one of these</w:t>
      </w:r>
      <w:r w:rsidR="00975FF7">
        <w:t xml:space="preserve"> studies,</w:t>
      </w:r>
      <w:r w:rsidR="006D4821">
        <w:t xml:space="preserve"> New Zealand appears to be less of an outlier</w:t>
      </w:r>
      <w:r w:rsidR="00937710">
        <w:t>. This is in part because this study considers taxes other than company tax provisions</w:t>
      </w:r>
      <w:r w:rsidR="007E3837">
        <w:t xml:space="preserve"> which may also impact on costs of capital and EMTRs</w:t>
      </w:r>
      <w:r w:rsidR="00BD00E8">
        <w:t xml:space="preserve"> while t</w:t>
      </w:r>
      <w:r w:rsidR="00633E50">
        <w:t xml:space="preserve">he OECD study examines company tax provisions only. </w:t>
      </w:r>
      <w:r w:rsidR="006C2E63">
        <w:t xml:space="preserve">Allowing for a broader set of taxes </w:t>
      </w:r>
      <w:r w:rsidR="00E85CC7">
        <w:t>is likely to make New Zealand less of an outli</w:t>
      </w:r>
      <w:r w:rsidR="00217A69">
        <w:t>er</w:t>
      </w:r>
      <w:r w:rsidR="00E85CC7">
        <w:t xml:space="preserve"> but it</w:t>
      </w:r>
      <w:r w:rsidR="00630741">
        <w:t xml:space="preserve"> is still likely to be the case </w:t>
      </w:r>
      <w:r w:rsidR="00363C05">
        <w:t xml:space="preserve">that New Zealand has </w:t>
      </w:r>
      <w:r w:rsidR="00D6115B">
        <w:t>high taxes on inbound investment</w:t>
      </w:r>
      <w:r w:rsidR="00D719CC">
        <w:t xml:space="preserve"> </w:t>
      </w:r>
      <w:r w:rsidR="00363C05">
        <w:t>compared with most other OECD countries.</w:t>
      </w:r>
    </w:p>
    <w:p w14:paraId="1085A71F" w14:textId="5C701D70" w:rsidR="00644621" w:rsidRPr="00644621" w:rsidRDefault="00644621" w:rsidP="00F133F7">
      <w:pPr>
        <w:pStyle w:val="Heading2"/>
        <w:rPr>
          <w:rFonts w:eastAsia="Calibri"/>
          <w:lang w:eastAsia="en-US"/>
        </w:rPr>
      </w:pPr>
      <w:bookmarkStart w:id="20" w:name="_Toc112857399"/>
      <w:r w:rsidRPr="00644621">
        <w:rPr>
          <w:rFonts w:eastAsia="Calibri"/>
          <w:lang w:eastAsia="en-US"/>
        </w:rPr>
        <w:t>The OECD modelling and some key assumptions</w:t>
      </w:r>
      <w:bookmarkEnd w:id="20"/>
    </w:p>
    <w:p w14:paraId="7268F799" w14:textId="3C08FB2E" w:rsidR="00644621" w:rsidRPr="00644621" w:rsidRDefault="00644621" w:rsidP="00075D72">
      <w:pPr>
        <w:pStyle w:val="NumberedParagraph"/>
        <w:numPr>
          <w:ilvl w:val="1"/>
          <w:numId w:val="64"/>
        </w:numPr>
      </w:pPr>
      <w:r w:rsidRPr="00644621">
        <w:t xml:space="preserve">The OECD examines how tax rules can affect the </w:t>
      </w:r>
      <w:r w:rsidRPr="00075D72">
        <w:rPr>
          <w:i/>
          <w:iCs/>
        </w:rPr>
        <w:t>cost of capital</w:t>
      </w:r>
      <w:r w:rsidRPr="00644621">
        <w:t>. As was discussed in chapter 2, the cost of capital is the minimum real pre-tax rate of return needed for an investment to be profitable on an after-tax basis</w:t>
      </w:r>
      <w:r w:rsidR="009C119E">
        <w:t>,</w:t>
      </w:r>
      <w:r w:rsidRPr="00644621">
        <w:t xml:space="preserve"> or the hurdle rate of return. For investments that just meet their cost of capital, the </w:t>
      </w:r>
      <w:r w:rsidRPr="00644621">
        <w:lastRenderedPageBreak/>
        <w:t xml:space="preserve">expected present value of future revenues will exactly match the cost of the investment. The investment is sometimes said to be </w:t>
      </w:r>
      <w:r w:rsidRPr="00075D72">
        <w:rPr>
          <w:i/>
          <w:iCs/>
        </w:rPr>
        <w:t>marginal</w:t>
      </w:r>
      <w:r w:rsidRPr="00644621">
        <w:t xml:space="preserve"> (that is, </w:t>
      </w:r>
      <w:r w:rsidRPr="00075D72">
        <w:rPr>
          <w:i/>
          <w:iCs/>
        </w:rPr>
        <w:t>break</w:t>
      </w:r>
      <w:r w:rsidR="00170F09">
        <w:rPr>
          <w:i/>
          <w:iCs/>
        </w:rPr>
        <w:t>-</w:t>
      </w:r>
      <w:r w:rsidRPr="00075D72">
        <w:rPr>
          <w:i/>
          <w:iCs/>
        </w:rPr>
        <w:t>even</w:t>
      </w:r>
      <w:r w:rsidRPr="00644621">
        <w:t>) on an after-tax basis.</w:t>
      </w:r>
    </w:p>
    <w:p w14:paraId="3FEF9048" w14:textId="4984D4F6" w:rsidR="00644621" w:rsidRPr="00B40642" w:rsidRDefault="00644621" w:rsidP="00075D72">
      <w:pPr>
        <w:pStyle w:val="NumberedParagraph"/>
        <w:numPr>
          <w:ilvl w:val="1"/>
          <w:numId w:val="64"/>
        </w:numPr>
      </w:pPr>
      <w:r w:rsidRPr="00644621">
        <w:t>New Zealand and other countries import capital from abroad. For non-residents to be willing to invest, they must expect to be able to earn as good risk-adjusted returns from investment in New Zealand as they could obtain from investing in other countries. A common assumption (and one that the OECD adopts) is that non-residents are the marginal equity investors into domestic companies.</w:t>
      </w:r>
      <w:r w:rsidRPr="00644621">
        <w:rPr>
          <w:vertAlign w:val="superscript"/>
        </w:rPr>
        <w:footnoteReference w:id="24"/>
      </w:r>
      <w:r w:rsidRPr="00644621">
        <w:t xml:space="preserve"> This is likely to be a reasonable first approximation for analysing many sectors of the New Zealand economy. This model may not, however, be relevant for sectors where foreign investment </w:t>
      </w:r>
      <w:r w:rsidR="002D73AD">
        <w:t>(both foreign direct investment and foreign portfolio investment</w:t>
      </w:r>
      <w:r w:rsidR="00801192">
        <w:t>)</w:t>
      </w:r>
      <w:r w:rsidR="002D73AD">
        <w:t xml:space="preserve"> </w:t>
      </w:r>
      <w:r w:rsidRPr="00644621">
        <w:t xml:space="preserve">is a negligible fraction of total </w:t>
      </w:r>
      <w:r w:rsidR="002D73AD">
        <w:t xml:space="preserve">equity </w:t>
      </w:r>
      <w:r w:rsidRPr="00644621">
        <w:t xml:space="preserve">investment. </w:t>
      </w:r>
      <w:r w:rsidRPr="00B40642">
        <w:t xml:space="preserve">This is discussed further in </w:t>
      </w:r>
      <w:r w:rsidR="00D301FD">
        <w:t xml:space="preserve">chapter 4 </w:t>
      </w:r>
      <w:r w:rsidR="00244397">
        <w:t xml:space="preserve">below </w:t>
      </w:r>
      <w:r w:rsidR="00D301FD">
        <w:t xml:space="preserve">and in </w:t>
      </w:r>
      <w:r w:rsidRPr="00B40642">
        <w:t xml:space="preserve">appendix </w:t>
      </w:r>
      <w:r w:rsidR="007661C9" w:rsidRPr="00B40642">
        <w:t>1</w:t>
      </w:r>
      <w:r w:rsidR="00877533" w:rsidRPr="00B40642">
        <w:t xml:space="preserve"> in the </w:t>
      </w:r>
      <w:proofErr w:type="gramStart"/>
      <w:r w:rsidR="00877533" w:rsidRPr="00B40642">
        <w:rPr>
          <w:i/>
          <w:iCs/>
        </w:rPr>
        <w:t>Technical</w:t>
      </w:r>
      <w:proofErr w:type="gramEnd"/>
      <w:r w:rsidR="00877533" w:rsidRPr="00B40642">
        <w:rPr>
          <w:i/>
          <w:iCs/>
        </w:rPr>
        <w:t xml:space="preserve"> </w:t>
      </w:r>
      <w:r w:rsidR="00D91145" w:rsidRPr="00B40642">
        <w:rPr>
          <w:i/>
          <w:iCs/>
        </w:rPr>
        <w:t>a</w:t>
      </w:r>
      <w:r w:rsidR="00877533" w:rsidRPr="00B40642">
        <w:rPr>
          <w:i/>
          <w:iCs/>
        </w:rPr>
        <w:t>ppen</w:t>
      </w:r>
      <w:r w:rsidR="00FF6526" w:rsidRPr="00B40642">
        <w:rPr>
          <w:i/>
          <w:iCs/>
        </w:rPr>
        <w:t>dices</w:t>
      </w:r>
      <w:r w:rsidR="00D17E77" w:rsidRPr="00B40642">
        <w:t>.</w:t>
      </w:r>
    </w:p>
    <w:p w14:paraId="647F02FB" w14:textId="1A678BF7" w:rsidR="00644621" w:rsidRPr="00644621" w:rsidRDefault="00644621" w:rsidP="00075D72">
      <w:pPr>
        <w:pStyle w:val="NumberedParagraph"/>
        <w:numPr>
          <w:ilvl w:val="1"/>
          <w:numId w:val="64"/>
        </w:numPr>
      </w:pPr>
      <w:r w:rsidRPr="00644621">
        <w:t xml:space="preserve">Suppose that investment is financed by non-resident shareholders who require a fixed rate of return (say, 3%) on their capital </w:t>
      </w:r>
      <w:r w:rsidR="008645B9">
        <w:t>that</w:t>
      </w:r>
      <w:r w:rsidRPr="00644621">
        <w:t xml:space="preserve"> is equal to the return they can obtain from investing in other countries. To make things as simple as possible, assume there is no inflation, so this is the real and nominal rate of return that foreign shareholders demand. Also suppose initially that investment is fully equity financed and that all economic income being generated is fully taxed.</w:t>
      </w:r>
      <w:r w:rsidRPr="00644621">
        <w:rPr>
          <w:vertAlign w:val="superscript"/>
        </w:rPr>
        <w:footnoteReference w:id="25"/>
      </w:r>
      <w:r w:rsidRPr="00644621">
        <w:t xml:space="preserve"> If the company tax rate were 0%, the cost of capital would be 3%. This would be the pre- and post-tax rate of return needed to provide non-residents with the return they demand on a marginal investment. With a company tax rate of 25%, the cost of capital would increase to 4%. After this pre-tax rate of return is taxed at the company tax rate, non-resident shareholders would be left with the 3% after-tax return on their capital that they demand. If the company tax rate were increased to 40%, the cost of capital would increase to 5% to ensure non-resident shareholders end up with the after-tax rate of return they demand.</w:t>
      </w:r>
    </w:p>
    <w:p w14:paraId="77A23571" w14:textId="77777777" w:rsidR="00644621" w:rsidRPr="00644621" w:rsidRDefault="00644621" w:rsidP="00075D72">
      <w:pPr>
        <w:pStyle w:val="NumberedParagraph"/>
        <w:numPr>
          <w:ilvl w:val="1"/>
          <w:numId w:val="64"/>
        </w:numPr>
      </w:pPr>
      <w:r w:rsidRPr="00644621">
        <w:t>In this simple model, the net-of-company-tax rate of return is fixed at 3%. Changes to the company tax rate will affect the hurdle rate of return or cost of capital. In a more complex model, depreciation provisions, real interest rates, inflation and levels of debt financing will also affect the cost of capital.</w:t>
      </w:r>
    </w:p>
    <w:p w14:paraId="24E91D39" w14:textId="77777777" w:rsidR="00644621" w:rsidRPr="00644621" w:rsidRDefault="00644621" w:rsidP="00075D72">
      <w:pPr>
        <w:pStyle w:val="NumberedParagraph"/>
        <w:numPr>
          <w:ilvl w:val="1"/>
          <w:numId w:val="64"/>
        </w:numPr>
      </w:pPr>
      <w:r w:rsidRPr="00644621">
        <w:t>The OECD’s model takes these other factors into account under a set of possible macroeconomic assumptions. They examine the following two cases:</w:t>
      </w:r>
    </w:p>
    <w:p w14:paraId="55303C8D" w14:textId="77777777" w:rsidR="00644621" w:rsidRPr="00644621" w:rsidRDefault="00644621" w:rsidP="00075D72">
      <w:pPr>
        <w:pStyle w:val="NumberedParagraph-BulletL1"/>
        <w:numPr>
          <w:ilvl w:val="2"/>
          <w:numId w:val="64"/>
        </w:numPr>
      </w:pPr>
      <w:r w:rsidRPr="00644621">
        <w:t>real interest rates and inflation rates that are country specific, and</w:t>
      </w:r>
    </w:p>
    <w:p w14:paraId="368FCB42" w14:textId="77777777" w:rsidR="00644621" w:rsidRPr="00644621" w:rsidRDefault="00644621" w:rsidP="00075D72">
      <w:pPr>
        <w:pStyle w:val="NumberedParagraph-BulletL1"/>
        <w:numPr>
          <w:ilvl w:val="2"/>
          <w:numId w:val="64"/>
        </w:numPr>
      </w:pPr>
      <w:r w:rsidRPr="00644621">
        <w:t>a common real interest rate and inflation assumption for all countries.</w:t>
      </w:r>
    </w:p>
    <w:p w14:paraId="45757B3E" w14:textId="77777777" w:rsidR="00644621" w:rsidRPr="00644621" w:rsidRDefault="00644621" w:rsidP="00075D72">
      <w:pPr>
        <w:pStyle w:val="NumberedParagraph"/>
        <w:numPr>
          <w:ilvl w:val="1"/>
          <w:numId w:val="64"/>
        </w:numPr>
      </w:pPr>
      <w:r w:rsidRPr="00644621">
        <w:t>We work with the second of these two cases because this focuses on the impact of tax rules (rather than macroeconomic settings) in affecting incentives to invest in different countries.</w:t>
      </w:r>
    </w:p>
    <w:p w14:paraId="4705D250" w14:textId="0B58C532" w:rsidR="00644621" w:rsidRPr="00644621" w:rsidRDefault="00644621" w:rsidP="00075D72">
      <w:pPr>
        <w:pStyle w:val="NumberedParagraph"/>
        <w:numPr>
          <w:ilvl w:val="1"/>
          <w:numId w:val="64"/>
        </w:numPr>
      </w:pPr>
      <w:r w:rsidRPr="00644621">
        <w:lastRenderedPageBreak/>
        <w:t>The OECD assumes that the real interest rate is 3% per annum and the inflation rate is 1% per annum. Foreign shareholders demand a 3% real return on the capital they invest into New Zealand and other economies. The real interest rate is also 3%. With 1% inflation, this means a 4.03% nominal interest rate.</w:t>
      </w:r>
      <w:r w:rsidRPr="00644621">
        <w:rPr>
          <w:vertAlign w:val="superscript"/>
        </w:rPr>
        <w:footnoteReference w:id="26"/>
      </w:r>
      <w:r w:rsidRPr="00644621">
        <w:t xml:space="preserve"> Withholding taxes on interest and dividends are ignored in the OECD analysis.</w:t>
      </w:r>
    </w:p>
    <w:p w14:paraId="45622A44" w14:textId="77777777" w:rsidR="00644621" w:rsidRPr="00644621" w:rsidRDefault="00644621" w:rsidP="00075D72">
      <w:pPr>
        <w:pStyle w:val="NumberedParagraph"/>
        <w:numPr>
          <w:ilvl w:val="1"/>
          <w:numId w:val="64"/>
        </w:numPr>
      </w:pPr>
      <w:r w:rsidRPr="00644621">
        <w:t>A key assumption (as in the example outlined above) is that non-residents are the marginal investors and the return on an investment net of New Zealand taxes needs to generate these investors’ required rate of return. Competition is assumed to make this the hurdle rate of return on all investment. This means that taxes on inbound investment are ultimately going to determine costs of capital in New Zealand.</w:t>
      </w:r>
    </w:p>
    <w:p w14:paraId="61FC5F6C" w14:textId="6267B7FE" w:rsidR="00644621" w:rsidRPr="00644621" w:rsidRDefault="00644621" w:rsidP="00075D72">
      <w:pPr>
        <w:pStyle w:val="NumberedParagraph"/>
        <w:numPr>
          <w:ilvl w:val="1"/>
          <w:numId w:val="64"/>
        </w:numPr>
      </w:pPr>
      <w:r w:rsidRPr="00644621">
        <w:t>The cost of capital will also be affected by the proportion of investment that is equity financed and the proportion that is debt financed. This is because interest payments are tax deductible</w:t>
      </w:r>
      <w:r w:rsidR="003A04E1">
        <w:t>,</w:t>
      </w:r>
      <w:r w:rsidRPr="00644621">
        <w:t xml:space="preserve"> whereas dividend payments are not. The OECD assumes that 35% of marginal investment is financed by debt and 65% by foreign equity. It is also assumed that all firms are in a taxpaying position</w:t>
      </w:r>
      <w:r w:rsidR="00FA1692">
        <w:t xml:space="preserve">. </w:t>
      </w:r>
      <w:r w:rsidR="00FA1692" w:rsidRPr="00487981">
        <w:t>About 34% of companies had a loss that they carried forward from the 2019/20 to the 2020/21 year</w:t>
      </w:r>
      <w:r w:rsidRPr="00487981">
        <w:t>.</w:t>
      </w:r>
      <w:r w:rsidRPr="00644621">
        <w:t xml:space="preserve"> The OECD modelling does not consider thin</w:t>
      </w:r>
      <w:r w:rsidR="00280DD5">
        <w:t xml:space="preserve"> </w:t>
      </w:r>
      <w:r w:rsidRPr="00644621">
        <w:t>capitalisation restrictions, which may limit interest deductions in some circumstances. Of course, it could be argued that ignoring thin</w:t>
      </w:r>
      <w:r w:rsidR="00280DD5">
        <w:t xml:space="preserve"> </w:t>
      </w:r>
      <w:r w:rsidRPr="00644621">
        <w:t>capitalisation restrictions is consistent with the assumption that firms are only 35% debt financed. In New Zealand, firms that are less than 60% debt financed are not subject to any thin</w:t>
      </w:r>
      <w:r w:rsidR="00280DD5">
        <w:t xml:space="preserve"> </w:t>
      </w:r>
      <w:r w:rsidRPr="00644621">
        <w:t>capitalisation restrictions.</w:t>
      </w:r>
    </w:p>
    <w:p w14:paraId="29E5A194" w14:textId="77777777" w:rsidR="00644621" w:rsidRPr="00644621" w:rsidRDefault="00644621" w:rsidP="00075D72">
      <w:pPr>
        <w:pStyle w:val="NumberedParagraph"/>
        <w:numPr>
          <w:ilvl w:val="1"/>
          <w:numId w:val="64"/>
        </w:numPr>
      </w:pPr>
      <w:r w:rsidRPr="00644621">
        <w:t>The estimates of costs of capital will also be influenced by the tax rules for inventory (or trading stock) and rates of depreciation that are allowed for tax purposes, as well as economic depreciation rates. Economic depreciation is the rate at which assets would fall in market value if there were no inflation. Many countries attempt to have tax depreciation rates as close to economic depreciation as feasible. However, tax depreciation rates are sometimes designed to be faster than economic depreciation rates to provide incentives for investment.</w:t>
      </w:r>
    </w:p>
    <w:p w14:paraId="69748175" w14:textId="139D82E4" w:rsidR="00644621" w:rsidRPr="00644621" w:rsidRDefault="00644621" w:rsidP="00075D72">
      <w:pPr>
        <w:pStyle w:val="NumberedParagraph"/>
        <w:numPr>
          <w:ilvl w:val="1"/>
          <w:numId w:val="64"/>
        </w:numPr>
      </w:pPr>
      <w:r w:rsidRPr="00644621">
        <w:t>The OECD’s modelling results are only available for the last four years (2017–2020) and for four aggregated sets of assets</w:t>
      </w:r>
      <w:r w:rsidR="003E7DA0">
        <w:t>.</w:t>
      </w:r>
      <w:r w:rsidR="00581F58">
        <w:t xml:space="preserve"> These are</w:t>
      </w:r>
      <w:r w:rsidR="00544C30">
        <w:t xml:space="preserve"> </w:t>
      </w:r>
      <w:r w:rsidRPr="00644621">
        <w:t>buildings</w:t>
      </w:r>
      <w:r w:rsidR="00EA48D0">
        <w:t xml:space="preserve"> (</w:t>
      </w:r>
      <w:r w:rsidR="00575623">
        <w:t xml:space="preserve">manufacturing plants, large engineering structures, </w:t>
      </w:r>
      <w:r w:rsidR="00FE401D">
        <w:t xml:space="preserve">and </w:t>
      </w:r>
      <w:r w:rsidR="00575623">
        <w:t>office or commercial buildin</w:t>
      </w:r>
      <w:r w:rsidR="00930686">
        <w:t>g</w:t>
      </w:r>
      <w:r w:rsidR="00575623">
        <w:t>s)</w:t>
      </w:r>
      <w:r w:rsidRPr="00644621">
        <w:t xml:space="preserve">, inventories, acquired intangibles </w:t>
      </w:r>
      <w:r w:rsidR="00930686">
        <w:t xml:space="preserve">(acquired software) </w:t>
      </w:r>
      <w:r w:rsidRPr="00644621">
        <w:t xml:space="preserve">and a category of asset described as </w:t>
      </w:r>
      <w:r w:rsidR="002F4854">
        <w:t>‘</w:t>
      </w:r>
      <w:r w:rsidRPr="00644621">
        <w:t>tangible</w:t>
      </w:r>
      <w:r w:rsidR="00F71AAA">
        <w:t xml:space="preserve"> asset</w:t>
      </w:r>
      <w:r w:rsidRPr="00644621">
        <w:t>s</w:t>
      </w:r>
      <w:r w:rsidR="002F4854">
        <w:t>’</w:t>
      </w:r>
      <w:r w:rsidRPr="00644621">
        <w:t>, which includes tangible assets that are not buildings – mainly machinery and equipment</w:t>
      </w:r>
      <w:r w:rsidR="009C1AB2">
        <w:t xml:space="preserve"> </w:t>
      </w:r>
      <w:r w:rsidR="00027CA9">
        <w:t xml:space="preserve">(road transport vehicles, </w:t>
      </w:r>
      <w:r w:rsidR="00FD73B1">
        <w:t>air, rail or water transport vehicles, computer hard</w:t>
      </w:r>
      <w:r w:rsidR="00B83403">
        <w:t>ware, equipment</w:t>
      </w:r>
      <w:r w:rsidR="00FE401D">
        <w:t>,</w:t>
      </w:r>
      <w:r w:rsidR="00B83403">
        <w:t xml:space="preserve"> and industrial machinery</w:t>
      </w:r>
      <w:r w:rsidRPr="00644621">
        <w:t>).</w:t>
      </w:r>
      <w:r w:rsidR="001E6B6F">
        <w:t xml:space="preserve"> </w:t>
      </w:r>
      <w:r w:rsidR="00AF50C3">
        <w:t xml:space="preserve">The accuracy of the </w:t>
      </w:r>
      <w:r w:rsidR="00030C70">
        <w:t xml:space="preserve">OECD’s benchmarking will, of course, depend on how well the specific assets chosen </w:t>
      </w:r>
      <w:proofErr w:type="gramStart"/>
      <w:r w:rsidR="00030C70">
        <w:t>reflect</w:t>
      </w:r>
      <w:proofErr w:type="gramEnd"/>
      <w:r w:rsidR="00030C70">
        <w:t xml:space="preserve"> </w:t>
      </w:r>
      <w:r w:rsidR="008D0852">
        <w:t>the broader categories of asset they are assumed to represent and also the</w:t>
      </w:r>
      <w:r w:rsidR="000D2F5E">
        <w:t xml:space="preserve"> accuracy with which officials in different countries have estimated the tax depreciation rates allowed. In New Zealand</w:t>
      </w:r>
      <w:r w:rsidR="00A62CFC">
        <w:t>, for example, there is quite a variety of different tax depreciation rates that can be allowed for different types</w:t>
      </w:r>
      <w:r w:rsidR="006B650E">
        <w:t xml:space="preserve"> of equipment or different types of industrial machinery.</w:t>
      </w:r>
      <w:r w:rsidR="00FA7A8F">
        <w:t xml:space="preserve"> The figures will be best estimates but will not be precise.</w:t>
      </w:r>
    </w:p>
    <w:p w14:paraId="3597456A" w14:textId="08B69621" w:rsidR="00644621" w:rsidRPr="00644621" w:rsidRDefault="00644621" w:rsidP="00075D72">
      <w:pPr>
        <w:pStyle w:val="NumberedParagraph"/>
        <w:numPr>
          <w:ilvl w:val="1"/>
          <w:numId w:val="64"/>
        </w:numPr>
      </w:pPr>
      <w:r w:rsidRPr="00644621">
        <w:t>The OECD model calculates the real pre-tax rate of return that is necessary to make investments break</w:t>
      </w:r>
      <w:r w:rsidR="00CA133B">
        <w:t xml:space="preserve"> </w:t>
      </w:r>
      <w:r w:rsidRPr="00644621">
        <w:t xml:space="preserve">even given the company tax rates and depreciation rates applying in different OECD countries. This is done by finding the rate of return required to make the present value of the revenues from an investment </w:t>
      </w:r>
      <w:r w:rsidRPr="00644621">
        <w:lastRenderedPageBreak/>
        <w:t xml:space="preserve">equal to the cost. A simple version of the OECD model is outlined in </w:t>
      </w:r>
      <w:r w:rsidR="00831BF0" w:rsidRPr="00DA3564">
        <w:t>appendix</w:t>
      </w:r>
      <w:r w:rsidR="00831BF0">
        <w:t> </w:t>
      </w:r>
      <w:r w:rsidR="008B34D9" w:rsidRPr="00B40642">
        <w:t xml:space="preserve">1 in </w:t>
      </w:r>
      <w:r w:rsidR="00A31B93" w:rsidRPr="00B40642">
        <w:t>the</w:t>
      </w:r>
      <w:r w:rsidR="004108CA" w:rsidRPr="00B40642">
        <w:t xml:space="preserve"> </w:t>
      </w:r>
      <w:proofErr w:type="gramStart"/>
      <w:r w:rsidR="007E5A65" w:rsidRPr="00B40642">
        <w:rPr>
          <w:i/>
          <w:iCs/>
        </w:rPr>
        <w:t>Technical</w:t>
      </w:r>
      <w:proofErr w:type="gramEnd"/>
      <w:r w:rsidR="007E5A65" w:rsidRPr="00B40642">
        <w:rPr>
          <w:i/>
          <w:iCs/>
        </w:rPr>
        <w:t xml:space="preserve"> appendices</w:t>
      </w:r>
      <w:r w:rsidRPr="00DA3564">
        <w:t>.</w:t>
      </w:r>
      <w:r w:rsidRPr="00FA1692">
        <w:rPr>
          <w:vertAlign w:val="superscript"/>
        </w:rPr>
        <w:footnoteReference w:id="27"/>
      </w:r>
    </w:p>
    <w:p w14:paraId="074EBA2B" w14:textId="58F55D16" w:rsidR="00644621" w:rsidRPr="00644621" w:rsidRDefault="00644621" w:rsidP="00075D72">
      <w:pPr>
        <w:pStyle w:val="NumberedParagraph"/>
        <w:numPr>
          <w:ilvl w:val="1"/>
          <w:numId w:val="64"/>
        </w:numPr>
      </w:pPr>
      <w:r w:rsidRPr="00644621">
        <w:t>It should be noted that any economic model is no more than a partial insight. In particular, the OECD model treats the tax rules as certain and assumed to continue forever. Macroeconomic variables</w:t>
      </w:r>
      <w:r w:rsidR="00004370">
        <w:t>,</w:t>
      </w:r>
      <w:r w:rsidRPr="00644621">
        <w:t xml:space="preserve"> such as interest rates and inflation rates</w:t>
      </w:r>
      <w:r w:rsidR="00004370">
        <w:t>,</w:t>
      </w:r>
      <w:r w:rsidRPr="00644621">
        <w:t xml:space="preserve"> are also assumed to remain constant in the future. All of this seems reasonable when considering the long-run effects of tax settings but may ignore some important other considerations. Submitters have pointed out that if tax rules are uncertain and subject to chopping and changing, and especially if policy frameworks are unclear, this can negatively impact on investment in ways that are not captured in formal economic models. Complexity of legislation and compliance costs </w:t>
      </w:r>
      <w:r w:rsidR="00344A9A">
        <w:t xml:space="preserve">and having tax rules that are very different from rules in other countries </w:t>
      </w:r>
      <w:r w:rsidRPr="00644621">
        <w:t xml:space="preserve">may also have a negative impact on investment, especially if these cause foreign investors to question whether </w:t>
      </w:r>
      <w:r w:rsidR="0020016A">
        <w:t xml:space="preserve">it is worth </w:t>
      </w:r>
      <w:r w:rsidRPr="00644621">
        <w:t>finding out if investing into New Zealand would be a good idea. If different rules apply to different types of firms, this can add to the complexity.</w:t>
      </w:r>
    </w:p>
    <w:p w14:paraId="7248C21C" w14:textId="30D396BA" w:rsidR="00644621" w:rsidRPr="00644621" w:rsidRDefault="00644621" w:rsidP="00075D72">
      <w:pPr>
        <w:pStyle w:val="NumberedParagraph"/>
        <w:numPr>
          <w:ilvl w:val="1"/>
          <w:numId w:val="64"/>
        </w:numPr>
      </w:pPr>
      <w:r w:rsidRPr="00644621">
        <w:t>In the modelling, it is assumed that investment is undertaken by a company that holds the investment permanently. This ignores one aspect of New Zealand’s tax system, namely the absence of a general tax on capital gains, which may tend to promote investment here relative to investment in other countries. In many other countries, capital gains will normally be subject to some level of tax when assets are sold, whereas this is not the case in New Zealand. Where firms invest with the intention of generating capital gains</w:t>
      </w:r>
      <w:r w:rsidR="007D5ABC">
        <w:t>,</w:t>
      </w:r>
      <w:r w:rsidRPr="00644621">
        <w:t xml:space="preserve"> this analysis may make New Zealand look like it is a relatively higher tax country than is true in practice.</w:t>
      </w:r>
    </w:p>
    <w:p w14:paraId="6C4B98BE" w14:textId="0BD1D885" w:rsidR="00644621" w:rsidRPr="00644621" w:rsidRDefault="00644621" w:rsidP="00F133F7">
      <w:pPr>
        <w:pStyle w:val="Heading2"/>
        <w:rPr>
          <w:rFonts w:eastAsia="Calibri"/>
          <w:lang w:eastAsia="en-US"/>
        </w:rPr>
      </w:pPr>
      <w:bookmarkStart w:id="21" w:name="_Toc112857400"/>
      <w:r w:rsidRPr="00644621">
        <w:rPr>
          <w:rFonts w:eastAsia="Calibri"/>
          <w:lang w:eastAsia="en-US"/>
        </w:rPr>
        <w:t>The OECD estimates of costs of capital and EMTRs</w:t>
      </w:r>
      <w:bookmarkEnd w:id="21"/>
    </w:p>
    <w:p w14:paraId="2B2F9282" w14:textId="68A7F058" w:rsidR="00644621" w:rsidRDefault="00644621" w:rsidP="00075D72">
      <w:pPr>
        <w:pStyle w:val="NumberedParagraph"/>
        <w:numPr>
          <w:ilvl w:val="1"/>
          <w:numId w:val="64"/>
        </w:numPr>
      </w:pPr>
      <w:r w:rsidRPr="00644621">
        <w:t>OECD estimates of costs of capital or hurdle rates of return allow New Zealand’s performance to be benchmarked against the other 37 OECD countries. Results are provided in table 3.1 for 2020, the latest year for which data is available.</w:t>
      </w:r>
    </w:p>
    <w:p w14:paraId="74CDE9AA" w14:textId="55EA5698" w:rsidR="00B80EDA" w:rsidRPr="00B80EDA" w:rsidRDefault="00B80EDA" w:rsidP="00072DC1">
      <w:pPr>
        <w:pStyle w:val="Caption"/>
        <w:keepLines/>
        <w:pageBreakBefore/>
        <w:ind w:left="0"/>
        <w:rPr>
          <w:rFonts w:eastAsia="Calibri"/>
          <w:lang w:eastAsia="en-US"/>
        </w:rPr>
      </w:pPr>
      <w:r w:rsidRPr="00B80EDA">
        <w:rPr>
          <w:rFonts w:eastAsia="Calibri"/>
          <w:lang w:eastAsia="en-US"/>
        </w:rPr>
        <w:lastRenderedPageBreak/>
        <w:t>Table 3.1</w:t>
      </w:r>
      <w:r w:rsidR="009C160D">
        <w:rPr>
          <w:rFonts w:eastAsia="Calibri"/>
          <w:lang w:eastAsia="en-US"/>
        </w:rPr>
        <w:t xml:space="preserve">: </w:t>
      </w:r>
      <w:r w:rsidRPr="00B80EDA">
        <w:rPr>
          <w:rFonts w:eastAsia="Calibri"/>
          <w:lang w:eastAsia="en-US"/>
        </w:rPr>
        <w:t>Estimated costs of capital in 2020</w:t>
      </w:r>
    </w:p>
    <w:tbl>
      <w:tblPr>
        <w:tblStyle w:val="TableGrid"/>
        <w:tblW w:w="8789"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985"/>
        <w:gridCol w:w="850"/>
        <w:gridCol w:w="851"/>
        <w:gridCol w:w="850"/>
        <w:gridCol w:w="851"/>
        <w:gridCol w:w="850"/>
        <w:gridCol w:w="851"/>
        <w:gridCol w:w="850"/>
        <w:gridCol w:w="851"/>
      </w:tblGrid>
      <w:tr w:rsidR="000C5069" w:rsidRPr="00363CF9" w14:paraId="470BDC12" w14:textId="77777777" w:rsidTr="00775A75">
        <w:trPr>
          <w:tblHeader/>
        </w:trPr>
        <w:tc>
          <w:tcPr>
            <w:tcW w:w="1985" w:type="dxa"/>
            <w:vMerge w:val="restart"/>
            <w:shd w:val="clear" w:color="auto" w:fill="232E36"/>
          </w:tcPr>
          <w:p w14:paraId="154B1C47" w14:textId="43C0AF83" w:rsidR="008F1A59" w:rsidRPr="00363CF9" w:rsidRDefault="008F1A59" w:rsidP="008F1A59">
            <w:pPr>
              <w:keepLines/>
              <w:spacing w:before="100" w:after="100"/>
              <w:jc w:val="center"/>
              <w:rPr>
                <w:b/>
                <w:bCs/>
                <w:color w:val="FFFFFF" w:themeColor="background1"/>
                <w:sz w:val="16"/>
                <w:szCs w:val="16"/>
              </w:rPr>
            </w:pPr>
            <w:bookmarkStart w:id="22" w:name="_Hlk96162957"/>
            <w:r>
              <w:rPr>
                <w:b/>
                <w:bCs/>
                <w:color w:val="FFFFFF" w:themeColor="background1"/>
                <w:sz w:val="16"/>
                <w:szCs w:val="16"/>
              </w:rPr>
              <w:t>Country</w:t>
            </w:r>
          </w:p>
        </w:tc>
        <w:tc>
          <w:tcPr>
            <w:tcW w:w="1701" w:type="dxa"/>
            <w:gridSpan w:val="2"/>
            <w:shd w:val="clear" w:color="auto" w:fill="232E36"/>
          </w:tcPr>
          <w:p w14:paraId="7D0352FD" w14:textId="7E87CB7D" w:rsidR="008F1A59" w:rsidRPr="00363CF9" w:rsidRDefault="008F1A59" w:rsidP="008F1A59">
            <w:pPr>
              <w:keepLines/>
              <w:spacing w:before="100" w:after="100"/>
              <w:jc w:val="center"/>
              <w:rPr>
                <w:b/>
                <w:bCs/>
                <w:color w:val="FFFFFF" w:themeColor="background1"/>
                <w:sz w:val="16"/>
                <w:szCs w:val="16"/>
              </w:rPr>
            </w:pPr>
            <w:r>
              <w:rPr>
                <w:b/>
                <w:bCs/>
                <w:color w:val="FFFFFF" w:themeColor="background1"/>
                <w:sz w:val="16"/>
                <w:szCs w:val="16"/>
              </w:rPr>
              <w:t>Buildings</w:t>
            </w:r>
          </w:p>
        </w:tc>
        <w:tc>
          <w:tcPr>
            <w:tcW w:w="1701" w:type="dxa"/>
            <w:gridSpan w:val="2"/>
            <w:shd w:val="clear" w:color="auto" w:fill="232E36"/>
          </w:tcPr>
          <w:p w14:paraId="53691A2E" w14:textId="7CEAE291" w:rsidR="008F1A59" w:rsidRPr="00363CF9" w:rsidRDefault="008F1A59" w:rsidP="008F1A59">
            <w:pPr>
              <w:keepLines/>
              <w:spacing w:before="100" w:after="100"/>
              <w:jc w:val="center"/>
              <w:rPr>
                <w:b/>
                <w:bCs/>
                <w:color w:val="FFFFFF" w:themeColor="background1"/>
                <w:sz w:val="16"/>
                <w:szCs w:val="16"/>
              </w:rPr>
            </w:pPr>
            <w:r>
              <w:rPr>
                <w:b/>
                <w:bCs/>
                <w:color w:val="FFFFFF" w:themeColor="background1"/>
                <w:sz w:val="16"/>
                <w:szCs w:val="16"/>
              </w:rPr>
              <w:t>Inventories</w:t>
            </w:r>
          </w:p>
        </w:tc>
        <w:tc>
          <w:tcPr>
            <w:tcW w:w="1701" w:type="dxa"/>
            <w:gridSpan w:val="2"/>
            <w:shd w:val="clear" w:color="auto" w:fill="232E36"/>
          </w:tcPr>
          <w:p w14:paraId="5B86FF67" w14:textId="5ED6D686" w:rsidR="008F1A59" w:rsidRPr="00363CF9" w:rsidRDefault="008F1A59" w:rsidP="008F1A59">
            <w:pPr>
              <w:keepLines/>
              <w:spacing w:before="100" w:after="100"/>
              <w:jc w:val="center"/>
              <w:rPr>
                <w:b/>
                <w:bCs/>
                <w:color w:val="FFFFFF" w:themeColor="background1"/>
                <w:sz w:val="16"/>
                <w:szCs w:val="16"/>
              </w:rPr>
            </w:pPr>
            <w:r>
              <w:rPr>
                <w:b/>
                <w:bCs/>
                <w:color w:val="FFFFFF" w:themeColor="background1"/>
                <w:sz w:val="16"/>
                <w:szCs w:val="16"/>
              </w:rPr>
              <w:t>Acquired intangibles</w:t>
            </w:r>
          </w:p>
        </w:tc>
        <w:tc>
          <w:tcPr>
            <w:tcW w:w="1701" w:type="dxa"/>
            <w:gridSpan w:val="2"/>
            <w:shd w:val="clear" w:color="auto" w:fill="232E36"/>
          </w:tcPr>
          <w:p w14:paraId="6FF5E2D4" w14:textId="797D79DE" w:rsidR="008F1A59" w:rsidRPr="00363CF9" w:rsidRDefault="008F1A59" w:rsidP="008F1A59">
            <w:pPr>
              <w:keepLines/>
              <w:spacing w:before="100" w:after="100"/>
              <w:jc w:val="center"/>
              <w:rPr>
                <w:b/>
                <w:bCs/>
                <w:color w:val="FFFFFF" w:themeColor="background1"/>
                <w:sz w:val="16"/>
                <w:szCs w:val="16"/>
              </w:rPr>
            </w:pPr>
            <w:r>
              <w:rPr>
                <w:b/>
                <w:bCs/>
                <w:color w:val="FFFFFF" w:themeColor="background1"/>
                <w:sz w:val="16"/>
                <w:szCs w:val="16"/>
              </w:rPr>
              <w:t>Tangible assets</w:t>
            </w:r>
          </w:p>
        </w:tc>
      </w:tr>
      <w:tr w:rsidR="00D7059B" w:rsidRPr="00363CF9" w14:paraId="2635DE99" w14:textId="77777777" w:rsidTr="00775A75">
        <w:trPr>
          <w:tblHeader/>
        </w:trPr>
        <w:tc>
          <w:tcPr>
            <w:tcW w:w="1985" w:type="dxa"/>
            <w:vMerge/>
            <w:shd w:val="clear" w:color="auto" w:fill="232E36"/>
          </w:tcPr>
          <w:p w14:paraId="3F47BC16" w14:textId="499641D2" w:rsidR="008F1A59" w:rsidRPr="00363CF9" w:rsidRDefault="008F1A59" w:rsidP="008F1A59">
            <w:pPr>
              <w:keepLines/>
              <w:spacing w:before="100" w:after="100"/>
              <w:jc w:val="center"/>
              <w:rPr>
                <w:b/>
                <w:bCs/>
                <w:color w:val="FFFFFF" w:themeColor="background1"/>
                <w:sz w:val="16"/>
                <w:szCs w:val="16"/>
              </w:rPr>
            </w:pPr>
          </w:p>
        </w:tc>
        <w:tc>
          <w:tcPr>
            <w:tcW w:w="850" w:type="dxa"/>
            <w:shd w:val="clear" w:color="auto" w:fill="232E36"/>
          </w:tcPr>
          <w:p w14:paraId="5820BE56" w14:textId="6BD7D2BD" w:rsidR="008F1A59" w:rsidRPr="00363CF9" w:rsidRDefault="008F1A59" w:rsidP="008F1A59">
            <w:pPr>
              <w:keepLines/>
              <w:spacing w:before="100" w:after="100"/>
              <w:jc w:val="center"/>
              <w:rPr>
                <w:b/>
                <w:bCs/>
                <w:color w:val="FFFFFF" w:themeColor="background1"/>
                <w:sz w:val="16"/>
                <w:szCs w:val="16"/>
              </w:rPr>
            </w:pPr>
            <w:r>
              <w:rPr>
                <w:b/>
                <w:bCs/>
                <w:color w:val="FFFFFF" w:themeColor="background1"/>
                <w:sz w:val="16"/>
                <w:szCs w:val="16"/>
              </w:rPr>
              <w:t>Cost of capital</w:t>
            </w:r>
          </w:p>
        </w:tc>
        <w:tc>
          <w:tcPr>
            <w:tcW w:w="851" w:type="dxa"/>
            <w:shd w:val="clear" w:color="auto" w:fill="232E36"/>
          </w:tcPr>
          <w:p w14:paraId="3E0775BA" w14:textId="0051661F" w:rsidR="008F1A59" w:rsidRPr="00363CF9" w:rsidRDefault="008F1A59" w:rsidP="008F1A59">
            <w:pPr>
              <w:keepLines/>
              <w:spacing w:before="100" w:after="100"/>
              <w:jc w:val="center"/>
              <w:rPr>
                <w:b/>
                <w:bCs/>
                <w:color w:val="FFFFFF" w:themeColor="background1"/>
                <w:sz w:val="16"/>
                <w:szCs w:val="16"/>
              </w:rPr>
            </w:pPr>
            <w:r>
              <w:rPr>
                <w:b/>
                <w:bCs/>
                <w:color w:val="FFFFFF" w:themeColor="background1"/>
                <w:sz w:val="16"/>
                <w:szCs w:val="16"/>
              </w:rPr>
              <w:t>Rank</w:t>
            </w:r>
          </w:p>
        </w:tc>
        <w:tc>
          <w:tcPr>
            <w:tcW w:w="850" w:type="dxa"/>
            <w:shd w:val="clear" w:color="auto" w:fill="232E36"/>
          </w:tcPr>
          <w:p w14:paraId="3F3C4354" w14:textId="761BA316" w:rsidR="008F1A59" w:rsidRPr="00363CF9" w:rsidRDefault="008F1A59" w:rsidP="008F1A59">
            <w:pPr>
              <w:keepLines/>
              <w:spacing w:before="100" w:after="100"/>
              <w:jc w:val="center"/>
              <w:rPr>
                <w:b/>
                <w:bCs/>
                <w:color w:val="FFFFFF" w:themeColor="background1"/>
                <w:sz w:val="16"/>
                <w:szCs w:val="16"/>
              </w:rPr>
            </w:pPr>
            <w:r>
              <w:rPr>
                <w:b/>
                <w:bCs/>
                <w:color w:val="FFFFFF" w:themeColor="background1"/>
                <w:sz w:val="16"/>
                <w:szCs w:val="16"/>
              </w:rPr>
              <w:t>Cost of capital</w:t>
            </w:r>
          </w:p>
        </w:tc>
        <w:tc>
          <w:tcPr>
            <w:tcW w:w="851" w:type="dxa"/>
            <w:shd w:val="clear" w:color="auto" w:fill="232E36"/>
          </w:tcPr>
          <w:p w14:paraId="05EFB06E" w14:textId="1D4C7137" w:rsidR="008F1A59" w:rsidRPr="00363CF9" w:rsidRDefault="008F1A59" w:rsidP="008F1A59">
            <w:pPr>
              <w:keepLines/>
              <w:spacing w:before="100" w:after="100"/>
              <w:jc w:val="center"/>
              <w:rPr>
                <w:b/>
                <w:bCs/>
                <w:color w:val="FFFFFF" w:themeColor="background1"/>
                <w:sz w:val="16"/>
                <w:szCs w:val="16"/>
              </w:rPr>
            </w:pPr>
            <w:r>
              <w:rPr>
                <w:b/>
                <w:bCs/>
                <w:color w:val="FFFFFF" w:themeColor="background1"/>
                <w:sz w:val="16"/>
                <w:szCs w:val="16"/>
              </w:rPr>
              <w:t>Rank</w:t>
            </w:r>
          </w:p>
        </w:tc>
        <w:tc>
          <w:tcPr>
            <w:tcW w:w="850" w:type="dxa"/>
            <w:shd w:val="clear" w:color="auto" w:fill="232E36"/>
          </w:tcPr>
          <w:p w14:paraId="5750274E" w14:textId="35303D1E" w:rsidR="008F1A59" w:rsidRPr="00363CF9" w:rsidRDefault="008F1A59" w:rsidP="008F1A59">
            <w:pPr>
              <w:keepLines/>
              <w:spacing w:before="100" w:after="100"/>
              <w:jc w:val="center"/>
              <w:rPr>
                <w:b/>
                <w:bCs/>
                <w:color w:val="FFFFFF" w:themeColor="background1"/>
                <w:sz w:val="16"/>
                <w:szCs w:val="16"/>
              </w:rPr>
            </w:pPr>
            <w:r>
              <w:rPr>
                <w:b/>
                <w:bCs/>
                <w:color w:val="FFFFFF" w:themeColor="background1"/>
                <w:sz w:val="16"/>
                <w:szCs w:val="16"/>
              </w:rPr>
              <w:t>Cost of capital</w:t>
            </w:r>
          </w:p>
        </w:tc>
        <w:tc>
          <w:tcPr>
            <w:tcW w:w="851" w:type="dxa"/>
            <w:shd w:val="clear" w:color="auto" w:fill="232E36"/>
          </w:tcPr>
          <w:p w14:paraId="3900AFC8" w14:textId="16A587BC" w:rsidR="008F1A59" w:rsidRPr="00363CF9" w:rsidRDefault="008F1A59" w:rsidP="008F1A59">
            <w:pPr>
              <w:keepLines/>
              <w:spacing w:before="100" w:after="100"/>
              <w:jc w:val="center"/>
              <w:rPr>
                <w:b/>
                <w:bCs/>
                <w:color w:val="FFFFFF" w:themeColor="background1"/>
                <w:sz w:val="16"/>
                <w:szCs w:val="16"/>
              </w:rPr>
            </w:pPr>
            <w:r>
              <w:rPr>
                <w:b/>
                <w:bCs/>
                <w:color w:val="FFFFFF" w:themeColor="background1"/>
                <w:sz w:val="16"/>
                <w:szCs w:val="16"/>
              </w:rPr>
              <w:t>Rank</w:t>
            </w:r>
          </w:p>
        </w:tc>
        <w:tc>
          <w:tcPr>
            <w:tcW w:w="850" w:type="dxa"/>
            <w:shd w:val="clear" w:color="auto" w:fill="232E36"/>
          </w:tcPr>
          <w:p w14:paraId="6A645A54" w14:textId="1A4F8E62" w:rsidR="008F1A59" w:rsidRPr="00363CF9" w:rsidRDefault="008F1A59" w:rsidP="008F1A59">
            <w:pPr>
              <w:keepLines/>
              <w:spacing w:before="100" w:after="100"/>
              <w:jc w:val="center"/>
              <w:rPr>
                <w:b/>
                <w:bCs/>
                <w:color w:val="FFFFFF" w:themeColor="background1"/>
                <w:sz w:val="16"/>
                <w:szCs w:val="16"/>
              </w:rPr>
            </w:pPr>
            <w:r>
              <w:rPr>
                <w:b/>
                <w:bCs/>
                <w:color w:val="FFFFFF" w:themeColor="background1"/>
                <w:sz w:val="16"/>
                <w:szCs w:val="16"/>
              </w:rPr>
              <w:t>Cost of capital</w:t>
            </w:r>
          </w:p>
        </w:tc>
        <w:tc>
          <w:tcPr>
            <w:tcW w:w="851" w:type="dxa"/>
            <w:shd w:val="clear" w:color="auto" w:fill="232E36"/>
          </w:tcPr>
          <w:p w14:paraId="26EA3E14" w14:textId="79160E21" w:rsidR="008F1A59" w:rsidRPr="00363CF9" w:rsidRDefault="008F1A59" w:rsidP="008F1A59">
            <w:pPr>
              <w:keepLines/>
              <w:spacing w:before="100" w:after="100"/>
              <w:jc w:val="center"/>
              <w:rPr>
                <w:b/>
                <w:bCs/>
                <w:color w:val="FFFFFF" w:themeColor="background1"/>
                <w:sz w:val="16"/>
                <w:szCs w:val="16"/>
              </w:rPr>
            </w:pPr>
            <w:r>
              <w:rPr>
                <w:b/>
                <w:bCs/>
                <w:color w:val="FFFFFF" w:themeColor="background1"/>
                <w:sz w:val="16"/>
                <w:szCs w:val="16"/>
              </w:rPr>
              <w:t>Rank</w:t>
            </w:r>
          </w:p>
        </w:tc>
      </w:tr>
      <w:tr w:rsidR="00EF4191" w:rsidRPr="00363CF9" w14:paraId="3467DAC8" w14:textId="77777777" w:rsidTr="00775A75">
        <w:tc>
          <w:tcPr>
            <w:tcW w:w="1985" w:type="dxa"/>
          </w:tcPr>
          <w:p w14:paraId="09B0C0DF" w14:textId="7A6E518F" w:rsidR="00E402A4" w:rsidRPr="00072DC1" w:rsidRDefault="00E402A4" w:rsidP="00455437">
            <w:pPr>
              <w:pStyle w:val="Table-Text"/>
              <w:keepLines/>
              <w:spacing w:before="40" w:after="40"/>
              <w:rPr>
                <w:rStyle w:val="Strong"/>
              </w:rPr>
            </w:pPr>
            <w:r w:rsidRPr="00072DC1">
              <w:rPr>
                <w:rStyle w:val="Strong"/>
              </w:rPr>
              <w:t>Australia</w:t>
            </w:r>
          </w:p>
        </w:tc>
        <w:tc>
          <w:tcPr>
            <w:tcW w:w="850" w:type="dxa"/>
          </w:tcPr>
          <w:p w14:paraId="65812DA7" w14:textId="4340ADE9" w:rsidR="00E402A4" w:rsidRPr="00363CF9" w:rsidRDefault="00E402A4" w:rsidP="00455437">
            <w:pPr>
              <w:pStyle w:val="Table-Text"/>
              <w:keepLines/>
              <w:tabs>
                <w:tab w:val="decimal" w:pos="376"/>
              </w:tabs>
              <w:spacing w:before="40" w:after="40"/>
            </w:pPr>
            <w:r>
              <w:t>3.4</w:t>
            </w:r>
          </w:p>
        </w:tc>
        <w:tc>
          <w:tcPr>
            <w:tcW w:w="851" w:type="dxa"/>
          </w:tcPr>
          <w:p w14:paraId="5CE3EA66" w14:textId="235C97B7" w:rsidR="00E402A4" w:rsidRPr="00363CF9" w:rsidRDefault="00E402A4" w:rsidP="00455437">
            <w:pPr>
              <w:pStyle w:val="Table-Text"/>
              <w:keepLines/>
              <w:tabs>
                <w:tab w:val="decimal" w:pos="508"/>
              </w:tabs>
              <w:spacing w:before="40" w:after="40"/>
            </w:pPr>
            <w:r>
              <w:t>14</w:t>
            </w:r>
          </w:p>
        </w:tc>
        <w:tc>
          <w:tcPr>
            <w:tcW w:w="850" w:type="dxa"/>
            <w:shd w:val="clear" w:color="auto" w:fill="auto"/>
            <w:vAlign w:val="bottom"/>
          </w:tcPr>
          <w:p w14:paraId="2EA43E85" w14:textId="323519AE" w:rsidR="00E402A4" w:rsidRPr="00363CF9" w:rsidRDefault="00E402A4" w:rsidP="00455437">
            <w:pPr>
              <w:pStyle w:val="Table-Text"/>
              <w:keepLines/>
              <w:tabs>
                <w:tab w:val="decimal" w:pos="362"/>
              </w:tabs>
              <w:spacing w:before="40" w:after="40"/>
            </w:pPr>
            <w:r>
              <w:t>3.9</w:t>
            </w:r>
          </w:p>
        </w:tc>
        <w:tc>
          <w:tcPr>
            <w:tcW w:w="851" w:type="dxa"/>
            <w:vAlign w:val="center"/>
          </w:tcPr>
          <w:p w14:paraId="6DFF4AA2" w14:textId="3A26E5A7" w:rsidR="00E402A4" w:rsidRPr="00363CF9" w:rsidRDefault="00E402A4" w:rsidP="00455437">
            <w:pPr>
              <w:pStyle w:val="Table-Text"/>
              <w:keepLines/>
              <w:tabs>
                <w:tab w:val="decimal" w:pos="514"/>
              </w:tabs>
              <w:spacing w:before="40" w:after="40"/>
            </w:pPr>
            <w:r>
              <w:t>7</w:t>
            </w:r>
          </w:p>
        </w:tc>
        <w:tc>
          <w:tcPr>
            <w:tcW w:w="850" w:type="dxa"/>
            <w:vAlign w:val="center"/>
          </w:tcPr>
          <w:p w14:paraId="75DF0C47" w14:textId="01450F6A" w:rsidR="00E402A4" w:rsidRPr="00363CF9" w:rsidRDefault="00E402A4" w:rsidP="00455437">
            <w:pPr>
              <w:pStyle w:val="Table-Text"/>
              <w:keepLines/>
              <w:tabs>
                <w:tab w:val="decimal" w:pos="376"/>
              </w:tabs>
              <w:spacing w:before="40" w:after="40"/>
            </w:pPr>
            <w:r>
              <w:t>4.0</w:t>
            </w:r>
          </w:p>
        </w:tc>
        <w:tc>
          <w:tcPr>
            <w:tcW w:w="851" w:type="dxa"/>
            <w:vAlign w:val="center"/>
          </w:tcPr>
          <w:p w14:paraId="08E7017F" w14:textId="516CFD85" w:rsidR="00E402A4" w:rsidRPr="00363CF9" w:rsidRDefault="00E402A4" w:rsidP="00455437">
            <w:pPr>
              <w:pStyle w:val="Table-Text"/>
              <w:keepLines/>
              <w:tabs>
                <w:tab w:val="decimal" w:pos="505"/>
              </w:tabs>
              <w:spacing w:before="40" w:after="40"/>
            </w:pPr>
            <w:r>
              <w:t>9</w:t>
            </w:r>
          </w:p>
        </w:tc>
        <w:tc>
          <w:tcPr>
            <w:tcW w:w="850" w:type="dxa"/>
          </w:tcPr>
          <w:p w14:paraId="213128CD" w14:textId="5D46B101" w:rsidR="00E402A4" w:rsidRPr="00363CF9" w:rsidRDefault="00E402A4" w:rsidP="00455437">
            <w:pPr>
              <w:pStyle w:val="Table-Text"/>
              <w:keepLines/>
              <w:tabs>
                <w:tab w:val="decimal" w:pos="376"/>
              </w:tabs>
              <w:spacing w:before="40" w:after="40"/>
            </w:pPr>
            <w:r>
              <w:t>3.7</w:t>
            </w:r>
          </w:p>
        </w:tc>
        <w:tc>
          <w:tcPr>
            <w:tcW w:w="851" w:type="dxa"/>
          </w:tcPr>
          <w:p w14:paraId="75F6F4C5" w14:textId="7C0168EC" w:rsidR="00E402A4" w:rsidRPr="00363CF9" w:rsidRDefault="00E402A4" w:rsidP="00455437">
            <w:pPr>
              <w:pStyle w:val="Table-Text"/>
              <w:keepLines/>
              <w:tabs>
                <w:tab w:val="decimal" w:pos="511"/>
              </w:tabs>
              <w:spacing w:before="40" w:after="40"/>
            </w:pPr>
            <w:r>
              <w:t>6</w:t>
            </w:r>
          </w:p>
        </w:tc>
      </w:tr>
      <w:tr w:rsidR="00EF4191" w:rsidRPr="00363CF9" w14:paraId="6C9B32D8" w14:textId="77777777" w:rsidTr="00775A75">
        <w:tc>
          <w:tcPr>
            <w:tcW w:w="1985" w:type="dxa"/>
          </w:tcPr>
          <w:p w14:paraId="45280A8A" w14:textId="63C59DD7" w:rsidR="00E402A4" w:rsidRPr="00072DC1" w:rsidRDefault="00E402A4" w:rsidP="00455437">
            <w:pPr>
              <w:pStyle w:val="Table-Text"/>
              <w:keepLines/>
              <w:spacing w:before="40" w:after="40"/>
              <w:rPr>
                <w:rStyle w:val="Strong"/>
              </w:rPr>
            </w:pPr>
            <w:r w:rsidRPr="00072DC1">
              <w:rPr>
                <w:rStyle w:val="Strong"/>
              </w:rPr>
              <w:t>Austria</w:t>
            </w:r>
          </w:p>
        </w:tc>
        <w:tc>
          <w:tcPr>
            <w:tcW w:w="850" w:type="dxa"/>
          </w:tcPr>
          <w:p w14:paraId="3D62E3E5" w14:textId="00AD5953" w:rsidR="00E402A4" w:rsidRPr="00363CF9" w:rsidRDefault="00E402A4" w:rsidP="00455437">
            <w:pPr>
              <w:pStyle w:val="Table-Text"/>
              <w:keepLines/>
              <w:tabs>
                <w:tab w:val="decimal" w:pos="376"/>
              </w:tabs>
              <w:spacing w:before="40" w:after="40"/>
            </w:pPr>
            <w:r>
              <w:t>3.5</w:t>
            </w:r>
          </w:p>
        </w:tc>
        <w:tc>
          <w:tcPr>
            <w:tcW w:w="851" w:type="dxa"/>
          </w:tcPr>
          <w:p w14:paraId="2C292973" w14:textId="4D1447E1" w:rsidR="00E402A4" w:rsidRPr="00363CF9" w:rsidRDefault="00AA77DA" w:rsidP="00455437">
            <w:pPr>
              <w:pStyle w:val="Table-Text"/>
              <w:keepLines/>
              <w:tabs>
                <w:tab w:val="decimal" w:pos="508"/>
              </w:tabs>
              <w:spacing w:before="40" w:after="40"/>
            </w:pPr>
            <w:r>
              <w:t>12</w:t>
            </w:r>
          </w:p>
        </w:tc>
        <w:tc>
          <w:tcPr>
            <w:tcW w:w="850" w:type="dxa"/>
            <w:shd w:val="clear" w:color="auto" w:fill="auto"/>
            <w:vAlign w:val="bottom"/>
          </w:tcPr>
          <w:p w14:paraId="4227E809" w14:textId="0FACE668" w:rsidR="00E402A4" w:rsidRPr="00363CF9" w:rsidRDefault="00AA77DA" w:rsidP="00455437">
            <w:pPr>
              <w:pStyle w:val="Table-Text"/>
              <w:keepLines/>
              <w:tabs>
                <w:tab w:val="decimal" w:pos="362"/>
              </w:tabs>
              <w:spacing w:before="40" w:after="40"/>
            </w:pPr>
            <w:r>
              <w:t>3.5</w:t>
            </w:r>
          </w:p>
        </w:tc>
        <w:tc>
          <w:tcPr>
            <w:tcW w:w="851" w:type="dxa"/>
            <w:vAlign w:val="center"/>
          </w:tcPr>
          <w:p w14:paraId="0FFD7125" w14:textId="475081B3" w:rsidR="00E402A4" w:rsidRPr="00363CF9" w:rsidRDefault="00AA77DA" w:rsidP="00455437">
            <w:pPr>
              <w:pStyle w:val="Table-Text"/>
              <w:keepLines/>
              <w:tabs>
                <w:tab w:val="decimal" w:pos="514"/>
              </w:tabs>
              <w:spacing w:before="40" w:after="40"/>
            </w:pPr>
            <w:r>
              <w:t>25</w:t>
            </w:r>
          </w:p>
        </w:tc>
        <w:tc>
          <w:tcPr>
            <w:tcW w:w="850" w:type="dxa"/>
            <w:vAlign w:val="center"/>
          </w:tcPr>
          <w:p w14:paraId="08EA640C" w14:textId="71892542" w:rsidR="00E402A4" w:rsidRPr="00363CF9" w:rsidRDefault="00AA77DA" w:rsidP="00455437">
            <w:pPr>
              <w:pStyle w:val="Table-Text"/>
              <w:keepLines/>
              <w:tabs>
                <w:tab w:val="decimal" w:pos="376"/>
              </w:tabs>
              <w:spacing w:before="40" w:after="40"/>
            </w:pPr>
            <w:r>
              <w:t>3.9</w:t>
            </w:r>
          </w:p>
        </w:tc>
        <w:tc>
          <w:tcPr>
            <w:tcW w:w="851" w:type="dxa"/>
            <w:vAlign w:val="center"/>
          </w:tcPr>
          <w:p w14:paraId="230CDE67" w14:textId="4075E227" w:rsidR="00E402A4" w:rsidRPr="00363CF9" w:rsidRDefault="00AA77DA" w:rsidP="00455437">
            <w:pPr>
              <w:pStyle w:val="Table-Text"/>
              <w:keepLines/>
              <w:tabs>
                <w:tab w:val="decimal" w:pos="505"/>
              </w:tabs>
              <w:spacing w:before="40" w:after="40"/>
            </w:pPr>
            <w:r>
              <w:t>12</w:t>
            </w:r>
          </w:p>
        </w:tc>
        <w:tc>
          <w:tcPr>
            <w:tcW w:w="850" w:type="dxa"/>
            <w:vAlign w:val="center"/>
          </w:tcPr>
          <w:p w14:paraId="3FBCD82E" w14:textId="72450BB8" w:rsidR="00E402A4" w:rsidRPr="00363CF9" w:rsidRDefault="00AA77DA" w:rsidP="00455437">
            <w:pPr>
              <w:pStyle w:val="Table-Text"/>
              <w:keepLines/>
              <w:tabs>
                <w:tab w:val="decimal" w:pos="376"/>
              </w:tabs>
              <w:spacing w:before="40" w:after="40"/>
            </w:pPr>
            <w:r>
              <w:t>3.4</w:t>
            </w:r>
          </w:p>
        </w:tc>
        <w:tc>
          <w:tcPr>
            <w:tcW w:w="851" w:type="dxa"/>
          </w:tcPr>
          <w:p w14:paraId="4ABE307B" w14:textId="248882E3" w:rsidR="00E402A4" w:rsidRPr="00363CF9" w:rsidRDefault="00AA77DA" w:rsidP="00455437">
            <w:pPr>
              <w:pStyle w:val="Table-Text"/>
              <w:keepLines/>
              <w:tabs>
                <w:tab w:val="decimal" w:pos="511"/>
              </w:tabs>
              <w:spacing w:before="40" w:after="40"/>
            </w:pPr>
            <w:r>
              <w:t>12</w:t>
            </w:r>
          </w:p>
        </w:tc>
      </w:tr>
      <w:tr w:rsidR="00EF4191" w:rsidRPr="00363CF9" w14:paraId="2AF1B700" w14:textId="77777777" w:rsidTr="00775A75">
        <w:tc>
          <w:tcPr>
            <w:tcW w:w="1985" w:type="dxa"/>
          </w:tcPr>
          <w:p w14:paraId="035EF971" w14:textId="46DB5DC5" w:rsidR="00E402A4" w:rsidRPr="00072DC1" w:rsidRDefault="00E402A4" w:rsidP="00455437">
            <w:pPr>
              <w:pStyle w:val="Table-Text"/>
              <w:keepLines/>
              <w:spacing w:before="40" w:after="40"/>
              <w:rPr>
                <w:rStyle w:val="Strong"/>
              </w:rPr>
            </w:pPr>
            <w:r w:rsidRPr="00072DC1">
              <w:rPr>
                <w:rStyle w:val="Strong"/>
              </w:rPr>
              <w:t>Belgium</w:t>
            </w:r>
          </w:p>
        </w:tc>
        <w:tc>
          <w:tcPr>
            <w:tcW w:w="850" w:type="dxa"/>
          </w:tcPr>
          <w:p w14:paraId="0D2F9A2F" w14:textId="7F96390F" w:rsidR="00E402A4" w:rsidRPr="00363CF9" w:rsidRDefault="00AA77DA" w:rsidP="00455437">
            <w:pPr>
              <w:pStyle w:val="Table-Text"/>
              <w:keepLines/>
              <w:tabs>
                <w:tab w:val="decimal" w:pos="376"/>
              </w:tabs>
              <w:spacing w:before="40" w:after="40"/>
            </w:pPr>
            <w:r>
              <w:t>2.3</w:t>
            </w:r>
          </w:p>
        </w:tc>
        <w:tc>
          <w:tcPr>
            <w:tcW w:w="851" w:type="dxa"/>
          </w:tcPr>
          <w:p w14:paraId="6D9413ED" w14:textId="6BBC802F" w:rsidR="00E402A4" w:rsidRPr="00363CF9" w:rsidRDefault="00AA77DA" w:rsidP="00455437">
            <w:pPr>
              <w:pStyle w:val="Table-Text"/>
              <w:keepLines/>
              <w:tabs>
                <w:tab w:val="decimal" w:pos="508"/>
              </w:tabs>
              <w:spacing w:before="40" w:after="40"/>
            </w:pPr>
            <w:r>
              <w:t>37</w:t>
            </w:r>
          </w:p>
        </w:tc>
        <w:tc>
          <w:tcPr>
            <w:tcW w:w="850" w:type="dxa"/>
            <w:shd w:val="clear" w:color="auto" w:fill="auto"/>
            <w:vAlign w:val="bottom"/>
          </w:tcPr>
          <w:p w14:paraId="64CD6DEC" w14:textId="605347C0" w:rsidR="00E402A4" w:rsidRPr="00363CF9" w:rsidRDefault="00AA77DA" w:rsidP="00455437">
            <w:pPr>
              <w:pStyle w:val="Table-Text"/>
              <w:keepLines/>
              <w:tabs>
                <w:tab w:val="decimal" w:pos="362"/>
              </w:tabs>
              <w:spacing w:before="40" w:after="40"/>
            </w:pPr>
            <w:r>
              <w:t>2.7</w:t>
            </w:r>
          </w:p>
        </w:tc>
        <w:tc>
          <w:tcPr>
            <w:tcW w:w="851" w:type="dxa"/>
            <w:vAlign w:val="center"/>
          </w:tcPr>
          <w:p w14:paraId="37FED645" w14:textId="1E896FD2" w:rsidR="00E402A4" w:rsidRPr="00363CF9" w:rsidRDefault="00AA77DA" w:rsidP="00455437">
            <w:pPr>
              <w:pStyle w:val="Table-Text"/>
              <w:keepLines/>
              <w:tabs>
                <w:tab w:val="decimal" w:pos="514"/>
              </w:tabs>
              <w:spacing w:before="40" w:after="40"/>
            </w:pPr>
            <w:r>
              <w:t>38</w:t>
            </w:r>
          </w:p>
        </w:tc>
        <w:tc>
          <w:tcPr>
            <w:tcW w:w="850" w:type="dxa"/>
            <w:vAlign w:val="center"/>
          </w:tcPr>
          <w:p w14:paraId="466EDF3F" w14:textId="2DC374DB" w:rsidR="00E402A4" w:rsidRPr="00363CF9" w:rsidRDefault="00AA77DA" w:rsidP="00455437">
            <w:pPr>
              <w:pStyle w:val="Table-Text"/>
              <w:keepLines/>
              <w:tabs>
                <w:tab w:val="decimal" w:pos="376"/>
              </w:tabs>
              <w:spacing w:before="40" w:after="40"/>
            </w:pPr>
            <w:r>
              <w:t>3.3</w:t>
            </w:r>
          </w:p>
        </w:tc>
        <w:tc>
          <w:tcPr>
            <w:tcW w:w="851" w:type="dxa"/>
            <w:vAlign w:val="center"/>
          </w:tcPr>
          <w:p w14:paraId="267746FC" w14:textId="098FFA51" w:rsidR="00E402A4" w:rsidRPr="00363CF9" w:rsidRDefault="00AA77DA" w:rsidP="00455437">
            <w:pPr>
              <w:pStyle w:val="Table-Text"/>
              <w:keepLines/>
              <w:tabs>
                <w:tab w:val="decimal" w:pos="505"/>
              </w:tabs>
              <w:spacing w:before="40" w:after="40"/>
            </w:pPr>
            <w:r>
              <w:t>26</w:t>
            </w:r>
          </w:p>
        </w:tc>
        <w:tc>
          <w:tcPr>
            <w:tcW w:w="850" w:type="dxa"/>
          </w:tcPr>
          <w:p w14:paraId="48EAF5E2" w14:textId="07D0D9A3" w:rsidR="00E402A4" w:rsidRPr="00363CF9" w:rsidRDefault="00AA77DA" w:rsidP="00455437">
            <w:pPr>
              <w:pStyle w:val="Table-Text"/>
              <w:keepLines/>
              <w:tabs>
                <w:tab w:val="decimal" w:pos="376"/>
              </w:tabs>
              <w:spacing w:before="40" w:after="40"/>
            </w:pPr>
            <w:r>
              <w:t>2.6</w:t>
            </w:r>
          </w:p>
        </w:tc>
        <w:tc>
          <w:tcPr>
            <w:tcW w:w="851" w:type="dxa"/>
          </w:tcPr>
          <w:p w14:paraId="78E7ABC0" w14:textId="794A3439" w:rsidR="00E402A4" w:rsidRPr="00363CF9" w:rsidRDefault="00AA77DA" w:rsidP="00455437">
            <w:pPr>
              <w:pStyle w:val="Table-Text"/>
              <w:keepLines/>
              <w:tabs>
                <w:tab w:val="decimal" w:pos="511"/>
              </w:tabs>
              <w:spacing w:before="40" w:after="40"/>
            </w:pPr>
            <w:r>
              <w:t>36</w:t>
            </w:r>
          </w:p>
        </w:tc>
      </w:tr>
      <w:tr w:rsidR="00EF4191" w:rsidRPr="00363CF9" w14:paraId="1ACCC500" w14:textId="77777777" w:rsidTr="00775A75">
        <w:tc>
          <w:tcPr>
            <w:tcW w:w="1985" w:type="dxa"/>
          </w:tcPr>
          <w:p w14:paraId="0A9C4265" w14:textId="08B50AE3" w:rsidR="00E402A4" w:rsidRPr="00072DC1" w:rsidRDefault="00E402A4" w:rsidP="00455437">
            <w:pPr>
              <w:pStyle w:val="Table-Text"/>
              <w:keepLines/>
              <w:spacing w:before="40" w:after="40"/>
              <w:rPr>
                <w:rStyle w:val="Strong"/>
              </w:rPr>
            </w:pPr>
            <w:r w:rsidRPr="00072DC1">
              <w:rPr>
                <w:rStyle w:val="Strong"/>
              </w:rPr>
              <w:t>Canada</w:t>
            </w:r>
          </w:p>
        </w:tc>
        <w:tc>
          <w:tcPr>
            <w:tcW w:w="850" w:type="dxa"/>
          </w:tcPr>
          <w:p w14:paraId="27ABC694" w14:textId="19401D87" w:rsidR="00E402A4" w:rsidRPr="00363CF9" w:rsidRDefault="00AA77DA" w:rsidP="00455437">
            <w:pPr>
              <w:pStyle w:val="Table-Text"/>
              <w:keepLines/>
              <w:tabs>
                <w:tab w:val="decimal" w:pos="376"/>
              </w:tabs>
              <w:spacing w:before="40" w:after="40"/>
            </w:pPr>
            <w:r>
              <w:t>3.2</w:t>
            </w:r>
          </w:p>
        </w:tc>
        <w:tc>
          <w:tcPr>
            <w:tcW w:w="851" w:type="dxa"/>
          </w:tcPr>
          <w:p w14:paraId="03EDE3DA" w14:textId="24E9A5E6" w:rsidR="00E402A4" w:rsidRPr="00363CF9" w:rsidRDefault="00AA77DA" w:rsidP="00455437">
            <w:pPr>
              <w:pStyle w:val="Table-Text"/>
              <w:keepLines/>
              <w:tabs>
                <w:tab w:val="decimal" w:pos="508"/>
              </w:tabs>
              <w:spacing w:before="40" w:after="40"/>
            </w:pPr>
            <w:r>
              <w:t>26</w:t>
            </w:r>
          </w:p>
        </w:tc>
        <w:tc>
          <w:tcPr>
            <w:tcW w:w="850" w:type="dxa"/>
            <w:shd w:val="clear" w:color="auto" w:fill="auto"/>
            <w:vAlign w:val="bottom"/>
          </w:tcPr>
          <w:p w14:paraId="584ACBA1" w14:textId="46549A66" w:rsidR="00E402A4" w:rsidRPr="00363CF9" w:rsidRDefault="00AA77DA" w:rsidP="00455437">
            <w:pPr>
              <w:pStyle w:val="Table-Text"/>
              <w:keepLines/>
              <w:tabs>
                <w:tab w:val="decimal" w:pos="362"/>
              </w:tabs>
              <w:spacing w:before="40" w:after="40"/>
            </w:pPr>
            <w:r>
              <w:t>3.9</w:t>
            </w:r>
          </w:p>
        </w:tc>
        <w:tc>
          <w:tcPr>
            <w:tcW w:w="851" w:type="dxa"/>
            <w:vAlign w:val="center"/>
          </w:tcPr>
          <w:p w14:paraId="4872CA7C" w14:textId="26B8BEAC" w:rsidR="00E402A4" w:rsidRPr="00363CF9" w:rsidRDefault="00AA77DA" w:rsidP="00455437">
            <w:pPr>
              <w:pStyle w:val="Table-Text"/>
              <w:keepLines/>
              <w:tabs>
                <w:tab w:val="decimal" w:pos="514"/>
              </w:tabs>
              <w:spacing w:before="40" w:after="40"/>
            </w:pPr>
            <w:r>
              <w:t>6</w:t>
            </w:r>
          </w:p>
        </w:tc>
        <w:tc>
          <w:tcPr>
            <w:tcW w:w="850" w:type="dxa"/>
            <w:vAlign w:val="center"/>
          </w:tcPr>
          <w:p w14:paraId="76CEDF92" w14:textId="0D3A9D78" w:rsidR="00E402A4" w:rsidRPr="00363CF9" w:rsidRDefault="00AA77DA" w:rsidP="00455437">
            <w:pPr>
              <w:pStyle w:val="Table-Text"/>
              <w:keepLines/>
              <w:tabs>
                <w:tab w:val="decimal" w:pos="376"/>
              </w:tabs>
              <w:spacing w:before="40" w:after="40"/>
            </w:pPr>
            <w:r>
              <w:t>3.4</w:t>
            </w:r>
          </w:p>
        </w:tc>
        <w:tc>
          <w:tcPr>
            <w:tcW w:w="851" w:type="dxa"/>
            <w:vAlign w:val="center"/>
          </w:tcPr>
          <w:p w14:paraId="7963CCC9" w14:textId="75C20AA7" w:rsidR="00E402A4" w:rsidRPr="00363CF9" w:rsidRDefault="00AA77DA" w:rsidP="00455437">
            <w:pPr>
              <w:pStyle w:val="Table-Text"/>
              <w:keepLines/>
              <w:tabs>
                <w:tab w:val="decimal" w:pos="505"/>
              </w:tabs>
              <w:spacing w:before="40" w:after="40"/>
            </w:pPr>
            <w:r>
              <w:t>24</w:t>
            </w:r>
          </w:p>
        </w:tc>
        <w:tc>
          <w:tcPr>
            <w:tcW w:w="850" w:type="dxa"/>
          </w:tcPr>
          <w:p w14:paraId="04B438D4" w14:textId="6624CC38" w:rsidR="00E402A4" w:rsidRPr="00363CF9" w:rsidRDefault="00AA77DA" w:rsidP="00455437">
            <w:pPr>
              <w:pStyle w:val="Table-Text"/>
              <w:keepLines/>
              <w:tabs>
                <w:tab w:val="decimal" w:pos="376"/>
              </w:tabs>
              <w:spacing w:before="40" w:after="40"/>
            </w:pPr>
            <w:r>
              <w:t>3.1</w:t>
            </w:r>
          </w:p>
        </w:tc>
        <w:tc>
          <w:tcPr>
            <w:tcW w:w="851" w:type="dxa"/>
          </w:tcPr>
          <w:p w14:paraId="10F4CF98" w14:textId="769340A7" w:rsidR="00E402A4" w:rsidRPr="00363CF9" w:rsidRDefault="00AA77DA" w:rsidP="00455437">
            <w:pPr>
              <w:pStyle w:val="Table-Text"/>
              <w:keepLines/>
              <w:tabs>
                <w:tab w:val="decimal" w:pos="511"/>
              </w:tabs>
              <w:spacing w:before="40" w:after="40"/>
            </w:pPr>
            <w:r>
              <w:t>25</w:t>
            </w:r>
          </w:p>
        </w:tc>
      </w:tr>
      <w:tr w:rsidR="00EF4191" w:rsidRPr="00363CF9" w14:paraId="37FF911E" w14:textId="77777777" w:rsidTr="00775A75">
        <w:tc>
          <w:tcPr>
            <w:tcW w:w="1985" w:type="dxa"/>
          </w:tcPr>
          <w:p w14:paraId="4A307A87" w14:textId="262EFEB7" w:rsidR="00E402A4" w:rsidRPr="00072DC1" w:rsidRDefault="00E402A4" w:rsidP="00455437">
            <w:pPr>
              <w:pStyle w:val="Table-Text"/>
              <w:keepLines/>
              <w:spacing w:before="40" w:after="40"/>
              <w:rPr>
                <w:rStyle w:val="Strong"/>
              </w:rPr>
            </w:pPr>
            <w:r w:rsidRPr="00072DC1">
              <w:rPr>
                <w:rStyle w:val="Strong"/>
              </w:rPr>
              <w:t>Chile</w:t>
            </w:r>
          </w:p>
        </w:tc>
        <w:tc>
          <w:tcPr>
            <w:tcW w:w="850" w:type="dxa"/>
          </w:tcPr>
          <w:p w14:paraId="40D95D24" w14:textId="65295EAA" w:rsidR="00E402A4" w:rsidRPr="00363CF9" w:rsidRDefault="00AA77DA" w:rsidP="00455437">
            <w:pPr>
              <w:pStyle w:val="Table-Text"/>
              <w:keepLines/>
              <w:tabs>
                <w:tab w:val="decimal" w:pos="376"/>
              </w:tabs>
              <w:spacing w:before="40" w:after="40"/>
            </w:pPr>
            <w:r>
              <w:t>3.1</w:t>
            </w:r>
          </w:p>
        </w:tc>
        <w:tc>
          <w:tcPr>
            <w:tcW w:w="851" w:type="dxa"/>
          </w:tcPr>
          <w:p w14:paraId="6DD70E95" w14:textId="3DD012E0" w:rsidR="00E402A4" w:rsidRPr="00363CF9" w:rsidRDefault="00AA77DA" w:rsidP="00455437">
            <w:pPr>
              <w:pStyle w:val="Table-Text"/>
              <w:keepLines/>
              <w:tabs>
                <w:tab w:val="decimal" w:pos="508"/>
              </w:tabs>
              <w:spacing w:before="40" w:after="40"/>
            </w:pPr>
            <w:r>
              <w:t>30</w:t>
            </w:r>
          </w:p>
        </w:tc>
        <w:tc>
          <w:tcPr>
            <w:tcW w:w="850" w:type="dxa"/>
            <w:shd w:val="clear" w:color="auto" w:fill="auto"/>
            <w:vAlign w:val="bottom"/>
          </w:tcPr>
          <w:p w14:paraId="6E576888" w14:textId="7DA9473D" w:rsidR="00E402A4" w:rsidRPr="00363CF9" w:rsidRDefault="00AA77DA" w:rsidP="00455437">
            <w:pPr>
              <w:pStyle w:val="Table-Text"/>
              <w:keepLines/>
              <w:tabs>
                <w:tab w:val="decimal" w:pos="362"/>
              </w:tabs>
              <w:spacing w:before="40" w:after="40"/>
            </w:pPr>
            <w:r>
              <w:t>4.0</w:t>
            </w:r>
          </w:p>
        </w:tc>
        <w:tc>
          <w:tcPr>
            <w:tcW w:w="851" w:type="dxa"/>
            <w:vAlign w:val="center"/>
          </w:tcPr>
          <w:p w14:paraId="2A5213BB" w14:textId="24B202FD" w:rsidR="00E402A4" w:rsidRPr="00363CF9" w:rsidRDefault="00AA77DA" w:rsidP="00455437">
            <w:pPr>
              <w:pStyle w:val="Table-Text"/>
              <w:keepLines/>
              <w:tabs>
                <w:tab w:val="decimal" w:pos="514"/>
              </w:tabs>
              <w:spacing w:before="40" w:after="40"/>
            </w:pPr>
            <w:r>
              <w:t>5</w:t>
            </w:r>
          </w:p>
        </w:tc>
        <w:tc>
          <w:tcPr>
            <w:tcW w:w="850" w:type="dxa"/>
            <w:vAlign w:val="center"/>
          </w:tcPr>
          <w:p w14:paraId="29CBBD2F" w14:textId="1BA97435" w:rsidR="00E402A4" w:rsidRPr="00363CF9" w:rsidRDefault="00AA77DA" w:rsidP="00455437">
            <w:pPr>
              <w:pStyle w:val="Table-Text"/>
              <w:keepLines/>
              <w:tabs>
                <w:tab w:val="decimal" w:pos="376"/>
              </w:tabs>
              <w:spacing w:before="40" w:after="40"/>
            </w:pPr>
            <w:r>
              <w:t>18.5</w:t>
            </w:r>
          </w:p>
        </w:tc>
        <w:tc>
          <w:tcPr>
            <w:tcW w:w="851" w:type="dxa"/>
            <w:vAlign w:val="center"/>
          </w:tcPr>
          <w:p w14:paraId="08257C29" w14:textId="1E5E7B3B" w:rsidR="00E402A4" w:rsidRPr="00363CF9" w:rsidRDefault="00AA77DA" w:rsidP="00455437">
            <w:pPr>
              <w:pStyle w:val="Table-Text"/>
              <w:keepLines/>
              <w:tabs>
                <w:tab w:val="decimal" w:pos="505"/>
              </w:tabs>
              <w:spacing w:before="40" w:after="40"/>
            </w:pPr>
            <w:r>
              <w:t>2</w:t>
            </w:r>
          </w:p>
        </w:tc>
        <w:tc>
          <w:tcPr>
            <w:tcW w:w="850" w:type="dxa"/>
          </w:tcPr>
          <w:p w14:paraId="2118DA55" w14:textId="75860EC5" w:rsidR="00E402A4" w:rsidRPr="00363CF9" w:rsidRDefault="00AA77DA" w:rsidP="00455437">
            <w:pPr>
              <w:pStyle w:val="Table-Text"/>
              <w:keepLines/>
              <w:tabs>
                <w:tab w:val="decimal" w:pos="376"/>
              </w:tabs>
              <w:spacing w:before="40" w:after="40"/>
            </w:pPr>
            <w:r>
              <w:t>2.9</w:t>
            </w:r>
          </w:p>
        </w:tc>
        <w:tc>
          <w:tcPr>
            <w:tcW w:w="851" w:type="dxa"/>
          </w:tcPr>
          <w:p w14:paraId="517CB383" w14:textId="7AD637F5" w:rsidR="00E402A4" w:rsidRPr="00363CF9" w:rsidRDefault="00AA77DA" w:rsidP="00455437">
            <w:pPr>
              <w:pStyle w:val="Table-Text"/>
              <w:keepLines/>
              <w:tabs>
                <w:tab w:val="decimal" w:pos="511"/>
              </w:tabs>
              <w:spacing w:before="40" w:after="40"/>
            </w:pPr>
            <w:r>
              <w:t>31</w:t>
            </w:r>
          </w:p>
        </w:tc>
      </w:tr>
      <w:tr w:rsidR="00EF4191" w:rsidRPr="00363CF9" w14:paraId="0ABB5C0C" w14:textId="77777777" w:rsidTr="00775A75">
        <w:tc>
          <w:tcPr>
            <w:tcW w:w="1985" w:type="dxa"/>
          </w:tcPr>
          <w:p w14:paraId="0A359E29" w14:textId="1D92DCD0" w:rsidR="00E402A4" w:rsidRPr="00072DC1" w:rsidRDefault="00E402A4" w:rsidP="00455437">
            <w:pPr>
              <w:pStyle w:val="Table-Text"/>
              <w:keepLines/>
              <w:spacing w:before="40" w:after="40"/>
              <w:rPr>
                <w:rStyle w:val="Strong"/>
              </w:rPr>
            </w:pPr>
            <w:r w:rsidRPr="00072DC1">
              <w:rPr>
                <w:rStyle w:val="Strong"/>
              </w:rPr>
              <w:t>Colombia</w:t>
            </w:r>
          </w:p>
        </w:tc>
        <w:tc>
          <w:tcPr>
            <w:tcW w:w="850" w:type="dxa"/>
          </w:tcPr>
          <w:p w14:paraId="46012E1C" w14:textId="6AF3D7A9" w:rsidR="00E402A4" w:rsidRPr="00363CF9" w:rsidRDefault="00AA77DA" w:rsidP="00455437">
            <w:pPr>
              <w:pStyle w:val="Table-Text"/>
              <w:keepLines/>
              <w:tabs>
                <w:tab w:val="decimal" w:pos="376"/>
              </w:tabs>
              <w:spacing w:before="40" w:after="40"/>
            </w:pPr>
            <w:r>
              <w:t>3.7</w:t>
            </w:r>
          </w:p>
        </w:tc>
        <w:tc>
          <w:tcPr>
            <w:tcW w:w="851" w:type="dxa"/>
          </w:tcPr>
          <w:p w14:paraId="3652D040" w14:textId="5D49F4E0" w:rsidR="00E402A4" w:rsidRPr="00363CF9" w:rsidRDefault="00AA77DA" w:rsidP="00455437">
            <w:pPr>
              <w:pStyle w:val="Table-Text"/>
              <w:keepLines/>
              <w:tabs>
                <w:tab w:val="decimal" w:pos="508"/>
              </w:tabs>
              <w:spacing w:before="40" w:after="40"/>
            </w:pPr>
            <w:r>
              <w:t>5</w:t>
            </w:r>
          </w:p>
        </w:tc>
        <w:tc>
          <w:tcPr>
            <w:tcW w:w="850" w:type="dxa"/>
            <w:shd w:val="clear" w:color="auto" w:fill="auto"/>
            <w:vAlign w:val="bottom"/>
          </w:tcPr>
          <w:p w14:paraId="220BE631" w14:textId="1F887E4B" w:rsidR="00E402A4" w:rsidRPr="00363CF9" w:rsidRDefault="00AA77DA" w:rsidP="00455437">
            <w:pPr>
              <w:pStyle w:val="Table-Text"/>
              <w:keepLines/>
              <w:tabs>
                <w:tab w:val="decimal" w:pos="362"/>
              </w:tabs>
              <w:spacing w:before="40" w:after="40"/>
            </w:pPr>
            <w:r>
              <w:t>4.0</w:t>
            </w:r>
          </w:p>
        </w:tc>
        <w:tc>
          <w:tcPr>
            <w:tcW w:w="851" w:type="dxa"/>
            <w:vAlign w:val="center"/>
          </w:tcPr>
          <w:p w14:paraId="3D8AAF75" w14:textId="1DA5C5C6" w:rsidR="00E402A4" w:rsidRPr="00363CF9" w:rsidRDefault="00AA77DA" w:rsidP="00455437">
            <w:pPr>
              <w:pStyle w:val="Table-Text"/>
              <w:keepLines/>
              <w:tabs>
                <w:tab w:val="decimal" w:pos="514"/>
              </w:tabs>
              <w:spacing w:before="40" w:after="40"/>
            </w:pPr>
            <w:r>
              <w:t>4</w:t>
            </w:r>
          </w:p>
        </w:tc>
        <w:tc>
          <w:tcPr>
            <w:tcW w:w="850" w:type="dxa"/>
            <w:vAlign w:val="center"/>
          </w:tcPr>
          <w:p w14:paraId="0C79E430" w14:textId="7F42E58D" w:rsidR="00E402A4" w:rsidRPr="00363CF9" w:rsidRDefault="00AA77DA" w:rsidP="00455437">
            <w:pPr>
              <w:pStyle w:val="Table-Text"/>
              <w:keepLines/>
              <w:tabs>
                <w:tab w:val="decimal" w:pos="376"/>
              </w:tabs>
              <w:spacing w:before="40" w:after="40"/>
            </w:pPr>
            <w:r>
              <w:t>4.1</w:t>
            </w:r>
          </w:p>
        </w:tc>
        <w:tc>
          <w:tcPr>
            <w:tcW w:w="851" w:type="dxa"/>
            <w:vAlign w:val="center"/>
          </w:tcPr>
          <w:p w14:paraId="3B33C042" w14:textId="06F8ADFE" w:rsidR="00E402A4" w:rsidRPr="00363CF9" w:rsidRDefault="00AA77DA" w:rsidP="00455437">
            <w:pPr>
              <w:pStyle w:val="Table-Text"/>
              <w:keepLines/>
              <w:tabs>
                <w:tab w:val="decimal" w:pos="505"/>
              </w:tabs>
              <w:spacing w:before="40" w:after="40"/>
            </w:pPr>
            <w:r>
              <w:t>8</w:t>
            </w:r>
          </w:p>
        </w:tc>
        <w:tc>
          <w:tcPr>
            <w:tcW w:w="850" w:type="dxa"/>
          </w:tcPr>
          <w:p w14:paraId="4B636E01" w14:textId="1D5D3CD6" w:rsidR="00E402A4" w:rsidRPr="00363CF9" w:rsidRDefault="00AA77DA" w:rsidP="00455437">
            <w:pPr>
              <w:pStyle w:val="Table-Text"/>
              <w:keepLines/>
              <w:tabs>
                <w:tab w:val="decimal" w:pos="376"/>
              </w:tabs>
              <w:spacing w:before="40" w:after="40"/>
            </w:pPr>
            <w:r>
              <w:t>3.7</w:t>
            </w:r>
          </w:p>
        </w:tc>
        <w:tc>
          <w:tcPr>
            <w:tcW w:w="851" w:type="dxa"/>
          </w:tcPr>
          <w:p w14:paraId="408007E3" w14:textId="133F37A5" w:rsidR="00E402A4" w:rsidRPr="00363CF9" w:rsidRDefault="00AA77DA" w:rsidP="00455437">
            <w:pPr>
              <w:pStyle w:val="Table-Text"/>
              <w:keepLines/>
              <w:tabs>
                <w:tab w:val="decimal" w:pos="511"/>
              </w:tabs>
              <w:spacing w:before="40" w:after="40"/>
            </w:pPr>
            <w:r>
              <w:t>5</w:t>
            </w:r>
          </w:p>
        </w:tc>
      </w:tr>
      <w:tr w:rsidR="00EF4191" w:rsidRPr="00363CF9" w14:paraId="6E6397D1" w14:textId="77777777" w:rsidTr="00775A75">
        <w:tc>
          <w:tcPr>
            <w:tcW w:w="1985" w:type="dxa"/>
          </w:tcPr>
          <w:p w14:paraId="50F430CE" w14:textId="288FB870" w:rsidR="00AA77DA" w:rsidRPr="00AA77DA" w:rsidRDefault="00AA77DA" w:rsidP="00455437">
            <w:pPr>
              <w:pStyle w:val="Table-Text"/>
              <w:keepLines/>
              <w:spacing w:before="40" w:after="40"/>
              <w:rPr>
                <w:rStyle w:val="Strong"/>
              </w:rPr>
            </w:pPr>
            <w:r>
              <w:rPr>
                <w:rStyle w:val="Strong"/>
              </w:rPr>
              <w:t>Costa Rica</w:t>
            </w:r>
          </w:p>
        </w:tc>
        <w:tc>
          <w:tcPr>
            <w:tcW w:w="850" w:type="dxa"/>
          </w:tcPr>
          <w:p w14:paraId="43013BC8" w14:textId="5FFE2430" w:rsidR="00AA77DA" w:rsidRPr="00363CF9" w:rsidRDefault="00AA77DA" w:rsidP="00455437">
            <w:pPr>
              <w:pStyle w:val="Table-Text"/>
              <w:keepLines/>
              <w:tabs>
                <w:tab w:val="decimal" w:pos="376"/>
              </w:tabs>
              <w:spacing w:before="40" w:after="40"/>
            </w:pPr>
            <w:r>
              <w:t>3.7</w:t>
            </w:r>
          </w:p>
        </w:tc>
        <w:tc>
          <w:tcPr>
            <w:tcW w:w="851" w:type="dxa"/>
          </w:tcPr>
          <w:p w14:paraId="215F458B" w14:textId="17CF0DF2" w:rsidR="00AA77DA" w:rsidRPr="00363CF9" w:rsidRDefault="00AA77DA" w:rsidP="00455437">
            <w:pPr>
              <w:pStyle w:val="Table-Text"/>
              <w:keepLines/>
              <w:tabs>
                <w:tab w:val="decimal" w:pos="508"/>
              </w:tabs>
              <w:spacing w:before="40" w:after="40"/>
            </w:pPr>
            <w:r>
              <w:t>4</w:t>
            </w:r>
          </w:p>
        </w:tc>
        <w:tc>
          <w:tcPr>
            <w:tcW w:w="850" w:type="dxa"/>
            <w:shd w:val="clear" w:color="auto" w:fill="auto"/>
            <w:vAlign w:val="bottom"/>
          </w:tcPr>
          <w:p w14:paraId="5EFBAFD3" w14:textId="363767C0" w:rsidR="00AA77DA" w:rsidRPr="00363CF9" w:rsidRDefault="00AA77DA" w:rsidP="00455437">
            <w:pPr>
              <w:pStyle w:val="Table-Text"/>
              <w:keepLines/>
              <w:tabs>
                <w:tab w:val="decimal" w:pos="362"/>
              </w:tabs>
              <w:spacing w:before="40" w:after="40"/>
            </w:pPr>
            <w:r>
              <w:t>4.1</w:t>
            </w:r>
          </w:p>
        </w:tc>
        <w:tc>
          <w:tcPr>
            <w:tcW w:w="851" w:type="dxa"/>
            <w:vAlign w:val="center"/>
          </w:tcPr>
          <w:p w14:paraId="789512AE" w14:textId="4F937FAD" w:rsidR="00AA77DA" w:rsidRPr="00363CF9" w:rsidRDefault="00AA77DA" w:rsidP="00455437">
            <w:pPr>
              <w:pStyle w:val="Table-Text"/>
              <w:keepLines/>
              <w:tabs>
                <w:tab w:val="decimal" w:pos="514"/>
              </w:tabs>
              <w:spacing w:before="40" w:after="40"/>
            </w:pPr>
            <w:r>
              <w:t>2</w:t>
            </w:r>
          </w:p>
        </w:tc>
        <w:tc>
          <w:tcPr>
            <w:tcW w:w="850" w:type="dxa"/>
            <w:vAlign w:val="center"/>
          </w:tcPr>
          <w:p w14:paraId="09FAA609" w14:textId="55A38763" w:rsidR="00AA77DA" w:rsidRPr="00363CF9" w:rsidRDefault="00AA77DA" w:rsidP="00455437">
            <w:pPr>
              <w:pStyle w:val="Table-Text"/>
              <w:keepLines/>
              <w:tabs>
                <w:tab w:val="decimal" w:pos="376"/>
              </w:tabs>
              <w:spacing w:before="40" w:after="40"/>
            </w:pPr>
            <w:r>
              <w:t>21.0</w:t>
            </w:r>
          </w:p>
        </w:tc>
        <w:tc>
          <w:tcPr>
            <w:tcW w:w="851" w:type="dxa"/>
            <w:vAlign w:val="center"/>
          </w:tcPr>
          <w:p w14:paraId="6FC04E74" w14:textId="265FF6C4" w:rsidR="00AA77DA" w:rsidRPr="00363CF9" w:rsidRDefault="00AA77DA" w:rsidP="00455437">
            <w:pPr>
              <w:pStyle w:val="Table-Text"/>
              <w:keepLines/>
              <w:tabs>
                <w:tab w:val="decimal" w:pos="505"/>
              </w:tabs>
              <w:spacing w:before="40" w:after="40"/>
            </w:pPr>
            <w:r>
              <w:t>1</w:t>
            </w:r>
          </w:p>
        </w:tc>
        <w:tc>
          <w:tcPr>
            <w:tcW w:w="850" w:type="dxa"/>
          </w:tcPr>
          <w:p w14:paraId="3F8EB845" w14:textId="503FFCDA" w:rsidR="00AA77DA" w:rsidRPr="00363CF9" w:rsidRDefault="00AA77DA" w:rsidP="00455437">
            <w:pPr>
              <w:pStyle w:val="Table-Text"/>
              <w:keepLines/>
              <w:tabs>
                <w:tab w:val="decimal" w:pos="376"/>
              </w:tabs>
              <w:spacing w:before="40" w:after="40"/>
            </w:pPr>
            <w:r>
              <w:t>3.6</w:t>
            </w:r>
          </w:p>
        </w:tc>
        <w:tc>
          <w:tcPr>
            <w:tcW w:w="851" w:type="dxa"/>
          </w:tcPr>
          <w:p w14:paraId="613FF9EB" w14:textId="540AF343" w:rsidR="00AA77DA" w:rsidRPr="00363CF9" w:rsidRDefault="00AA77DA" w:rsidP="00455437">
            <w:pPr>
              <w:pStyle w:val="Table-Text"/>
              <w:keepLines/>
              <w:tabs>
                <w:tab w:val="decimal" w:pos="511"/>
              </w:tabs>
              <w:spacing w:before="40" w:after="40"/>
            </w:pPr>
            <w:r>
              <w:t>8</w:t>
            </w:r>
          </w:p>
        </w:tc>
      </w:tr>
      <w:tr w:rsidR="00EF4191" w:rsidRPr="00363CF9" w14:paraId="4F2AE042" w14:textId="77777777" w:rsidTr="00775A75">
        <w:tc>
          <w:tcPr>
            <w:tcW w:w="1985" w:type="dxa"/>
          </w:tcPr>
          <w:p w14:paraId="0235D6BB" w14:textId="1694D059" w:rsidR="00E402A4" w:rsidRPr="00072DC1" w:rsidRDefault="00E402A4" w:rsidP="00455437">
            <w:pPr>
              <w:pStyle w:val="Table-Text"/>
              <w:keepLines/>
              <w:spacing w:before="40" w:after="40"/>
              <w:rPr>
                <w:rStyle w:val="Strong"/>
              </w:rPr>
            </w:pPr>
            <w:r w:rsidRPr="00072DC1">
              <w:rPr>
                <w:rStyle w:val="Strong"/>
              </w:rPr>
              <w:t>Czech Republic</w:t>
            </w:r>
          </w:p>
        </w:tc>
        <w:tc>
          <w:tcPr>
            <w:tcW w:w="850" w:type="dxa"/>
          </w:tcPr>
          <w:p w14:paraId="667B7F33" w14:textId="2370D2F8" w:rsidR="00E402A4" w:rsidRPr="00363CF9" w:rsidRDefault="00AA77DA" w:rsidP="00455437">
            <w:pPr>
              <w:pStyle w:val="Table-Text"/>
              <w:keepLines/>
              <w:tabs>
                <w:tab w:val="decimal" w:pos="376"/>
              </w:tabs>
              <w:spacing w:before="40" w:after="40"/>
            </w:pPr>
            <w:r>
              <w:t>3.5</w:t>
            </w:r>
          </w:p>
        </w:tc>
        <w:tc>
          <w:tcPr>
            <w:tcW w:w="851" w:type="dxa"/>
          </w:tcPr>
          <w:p w14:paraId="2ACBBB5F" w14:textId="688C983C" w:rsidR="00E402A4" w:rsidRPr="00363CF9" w:rsidRDefault="00AA77DA" w:rsidP="00455437">
            <w:pPr>
              <w:pStyle w:val="Table-Text"/>
              <w:keepLines/>
              <w:tabs>
                <w:tab w:val="decimal" w:pos="508"/>
              </w:tabs>
              <w:spacing w:before="40" w:after="40"/>
            </w:pPr>
            <w:r>
              <w:t>8</w:t>
            </w:r>
          </w:p>
        </w:tc>
        <w:tc>
          <w:tcPr>
            <w:tcW w:w="850" w:type="dxa"/>
            <w:shd w:val="clear" w:color="auto" w:fill="auto"/>
            <w:vAlign w:val="bottom"/>
          </w:tcPr>
          <w:p w14:paraId="64DFEEF2" w14:textId="769F67D1" w:rsidR="00E402A4" w:rsidRPr="00363CF9" w:rsidRDefault="00AA77DA" w:rsidP="00455437">
            <w:pPr>
              <w:pStyle w:val="Table-Text"/>
              <w:keepLines/>
              <w:tabs>
                <w:tab w:val="decimal" w:pos="362"/>
              </w:tabs>
              <w:spacing w:before="40" w:after="40"/>
            </w:pPr>
            <w:r>
              <w:t>3.5</w:t>
            </w:r>
          </w:p>
        </w:tc>
        <w:tc>
          <w:tcPr>
            <w:tcW w:w="851" w:type="dxa"/>
            <w:vAlign w:val="center"/>
          </w:tcPr>
          <w:p w14:paraId="7DDEA608" w14:textId="44ACE4ED" w:rsidR="00E402A4" w:rsidRPr="00363CF9" w:rsidRDefault="00AA77DA" w:rsidP="00455437">
            <w:pPr>
              <w:pStyle w:val="Table-Text"/>
              <w:keepLines/>
              <w:tabs>
                <w:tab w:val="decimal" w:pos="514"/>
              </w:tabs>
              <w:spacing w:before="40" w:after="40"/>
            </w:pPr>
            <w:r>
              <w:t>27</w:t>
            </w:r>
          </w:p>
        </w:tc>
        <w:tc>
          <w:tcPr>
            <w:tcW w:w="850" w:type="dxa"/>
            <w:vAlign w:val="center"/>
          </w:tcPr>
          <w:p w14:paraId="6194853A" w14:textId="5BB6505E" w:rsidR="00E402A4" w:rsidRPr="00363CF9" w:rsidRDefault="00AA77DA" w:rsidP="00455437">
            <w:pPr>
              <w:pStyle w:val="Table-Text"/>
              <w:keepLines/>
              <w:tabs>
                <w:tab w:val="decimal" w:pos="376"/>
              </w:tabs>
              <w:spacing w:before="40" w:after="40"/>
            </w:pPr>
            <w:r>
              <w:t>4.0</w:t>
            </w:r>
          </w:p>
        </w:tc>
        <w:tc>
          <w:tcPr>
            <w:tcW w:w="851" w:type="dxa"/>
            <w:vAlign w:val="center"/>
          </w:tcPr>
          <w:p w14:paraId="19C7F9E2" w14:textId="769BE0AB" w:rsidR="00E402A4" w:rsidRPr="00363CF9" w:rsidRDefault="00AA77DA" w:rsidP="00455437">
            <w:pPr>
              <w:pStyle w:val="Table-Text"/>
              <w:keepLines/>
              <w:tabs>
                <w:tab w:val="decimal" w:pos="505"/>
              </w:tabs>
              <w:spacing w:before="40" w:after="40"/>
            </w:pPr>
            <w:r>
              <w:t>11</w:t>
            </w:r>
          </w:p>
        </w:tc>
        <w:tc>
          <w:tcPr>
            <w:tcW w:w="850" w:type="dxa"/>
          </w:tcPr>
          <w:p w14:paraId="27CA1796" w14:textId="31BB0091" w:rsidR="00E402A4" w:rsidRPr="00363CF9" w:rsidRDefault="00AA77DA" w:rsidP="00455437">
            <w:pPr>
              <w:pStyle w:val="Table-Text"/>
              <w:keepLines/>
              <w:tabs>
                <w:tab w:val="decimal" w:pos="376"/>
              </w:tabs>
              <w:spacing w:before="40" w:after="40"/>
            </w:pPr>
            <w:r>
              <w:t>3.2</w:t>
            </w:r>
          </w:p>
        </w:tc>
        <w:tc>
          <w:tcPr>
            <w:tcW w:w="851" w:type="dxa"/>
          </w:tcPr>
          <w:p w14:paraId="0EF7B015" w14:textId="708B1F2A" w:rsidR="00E402A4" w:rsidRPr="00363CF9" w:rsidRDefault="00AA77DA" w:rsidP="00455437">
            <w:pPr>
              <w:pStyle w:val="Table-Text"/>
              <w:keepLines/>
              <w:tabs>
                <w:tab w:val="decimal" w:pos="511"/>
              </w:tabs>
              <w:spacing w:before="40" w:after="40"/>
            </w:pPr>
            <w:r>
              <w:t>23</w:t>
            </w:r>
          </w:p>
        </w:tc>
      </w:tr>
      <w:tr w:rsidR="00EF4191" w:rsidRPr="00363CF9" w14:paraId="377911F3" w14:textId="77777777" w:rsidTr="00775A75">
        <w:tc>
          <w:tcPr>
            <w:tcW w:w="1985" w:type="dxa"/>
          </w:tcPr>
          <w:p w14:paraId="470B64FC" w14:textId="7767DD74" w:rsidR="00E402A4" w:rsidRPr="00072DC1" w:rsidRDefault="00E402A4" w:rsidP="00455437">
            <w:pPr>
              <w:pStyle w:val="Table-Text"/>
              <w:keepLines/>
              <w:spacing w:before="40" w:after="40"/>
              <w:rPr>
                <w:rStyle w:val="Strong"/>
              </w:rPr>
            </w:pPr>
            <w:r w:rsidRPr="00072DC1">
              <w:rPr>
                <w:rStyle w:val="Strong"/>
              </w:rPr>
              <w:t>Denmark</w:t>
            </w:r>
          </w:p>
        </w:tc>
        <w:tc>
          <w:tcPr>
            <w:tcW w:w="850" w:type="dxa"/>
          </w:tcPr>
          <w:p w14:paraId="1B2DF429" w14:textId="7578086D" w:rsidR="00E402A4" w:rsidRPr="00363CF9" w:rsidRDefault="00AA77DA" w:rsidP="00455437">
            <w:pPr>
              <w:pStyle w:val="Table-Text"/>
              <w:keepLines/>
              <w:tabs>
                <w:tab w:val="decimal" w:pos="376"/>
              </w:tabs>
              <w:spacing w:before="40" w:after="40"/>
            </w:pPr>
            <w:r>
              <w:t>3.3</w:t>
            </w:r>
          </w:p>
        </w:tc>
        <w:tc>
          <w:tcPr>
            <w:tcW w:w="851" w:type="dxa"/>
          </w:tcPr>
          <w:p w14:paraId="4CFC8FDA" w14:textId="46DFAEA7" w:rsidR="00E402A4" w:rsidRPr="00363CF9" w:rsidRDefault="00AA77DA" w:rsidP="00455437">
            <w:pPr>
              <w:pStyle w:val="Table-Text"/>
              <w:keepLines/>
              <w:tabs>
                <w:tab w:val="decimal" w:pos="508"/>
              </w:tabs>
              <w:spacing w:before="40" w:after="40"/>
            </w:pPr>
            <w:r>
              <w:t>21</w:t>
            </w:r>
          </w:p>
        </w:tc>
        <w:tc>
          <w:tcPr>
            <w:tcW w:w="850" w:type="dxa"/>
            <w:shd w:val="clear" w:color="auto" w:fill="auto"/>
            <w:vAlign w:val="bottom"/>
          </w:tcPr>
          <w:p w14:paraId="10277890" w14:textId="00022379" w:rsidR="00E402A4" w:rsidRPr="00363CF9" w:rsidRDefault="00AA77DA" w:rsidP="00455437">
            <w:pPr>
              <w:pStyle w:val="Table-Text"/>
              <w:keepLines/>
              <w:tabs>
                <w:tab w:val="decimal" w:pos="362"/>
              </w:tabs>
              <w:spacing w:before="40" w:after="40"/>
            </w:pPr>
            <w:r>
              <w:t>3.7</w:t>
            </w:r>
          </w:p>
        </w:tc>
        <w:tc>
          <w:tcPr>
            <w:tcW w:w="851" w:type="dxa"/>
            <w:vAlign w:val="center"/>
          </w:tcPr>
          <w:p w14:paraId="5548E209" w14:textId="71EFD9DB" w:rsidR="00E402A4" w:rsidRPr="00363CF9" w:rsidRDefault="00AA77DA" w:rsidP="00455437">
            <w:pPr>
              <w:pStyle w:val="Table-Text"/>
              <w:keepLines/>
              <w:tabs>
                <w:tab w:val="decimal" w:pos="514"/>
              </w:tabs>
              <w:spacing w:before="40" w:after="40"/>
            </w:pPr>
            <w:r>
              <w:t>13</w:t>
            </w:r>
          </w:p>
        </w:tc>
        <w:tc>
          <w:tcPr>
            <w:tcW w:w="850" w:type="dxa"/>
            <w:vAlign w:val="center"/>
          </w:tcPr>
          <w:p w14:paraId="6814562C" w14:textId="3B8DEF57" w:rsidR="00E402A4" w:rsidRPr="00363CF9" w:rsidRDefault="00AA77DA" w:rsidP="00455437">
            <w:pPr>
              <w:pStyle w:val="Table-Text"/>
              <w:keepLines/>
              <w:tabs>
                <w:tab w:val="decimal" w:pos="376"/>
              </w:tabs>
              <w:spacing w:before="40" w:after="40"/>
            </w:pPr>
            <w:r>
              <w:t>3.1</w:t>
            </w:r>
          </w:p>
        </w:tc>
        <w:tc>
          <w:tcPr>
            <w:tcW w:w="851" w:type="dxa"/>
            <w:vAlign w:val="center"/>
          </w:tcPr>
          <w:p w14:paraId="6F3ACD31" w14:textId="1C422A12" w:rsidR="00E402A4" w:rsidRPr="00363CF9" w:rsidRDefault="00AA77DA" w:rsidP="00455437">
            <w:pPr>
              <w:pStyle w:val="Table-Text"/>
              <w:keepLines/>
              <w:tabs>
                <w:tab w:val="decimal" w:pos="505"/>
              </w:tabs>
              <w:spacing w:before="40" w:after="40"/>
            </w:pPr>
            <w:r>
              <w:t>31</w:t>
            </w:r>
          </w:p>
        </w:tc>
        <w:tc>
          <w:tcPr>
            <w:tcW w:w="850" w:type="dxa"/>
          </w:tcPr>
          <w:p w14:paraId="3DDED0A1" w14:textId="61B02112" w:rsidR="00E402A4" w:rsidRPr="00363CF9" w:rsidRDefault="00AA77DA" w:rsidP="00455437">
            <w:pPr>
              <w:pStyle w:val="Table-Text"/>
              <w:keepLines/>
              <w:tabs>
                <w:tab w:val="decimal" w:pos="376"/>
              </w:tabs>
              <w:spacing w:before="40" w:after="40"/>
            </w:pPr>
            <w:r>
              <w:t>3.5</w:t>
            </w:r>
          </w:p>
        </w:tc>
        <w:tc>
          <w:tcPr>
            <w:tcW w:w="851" w:type="dxa"/>
          </w:tcPr>
          <w:p w14:paraId="27F685D5" w14:textId="33FAACFF" w:rsidR="00E402A4" w:rsidRPr="00363CF9" w:rsidRDefault="00AA77DA" w:rsidP="00455437">
            <w:pPr>
              <w:pStyle w:val="Table-Text"/>
              <w:keepLines/>
              <w:tabs>
                <w:tab w:val="decimal" w:pos="511"/>
              </w:tabs>
              <w:spacing w:before="40" w:after="40"/>
            </w:pPr>
            <w:r>
              <w:t>9</w:t>
            </w:r>
          </w:p>
        </w:tc>
      </w:tr>
      <w:tr w:rsidR="00EF4191" w:rsidRPr="00363CF9" w14:paraId="370E1AAF" w14:textId="77777777" w:rsidTr="00775A75">
        <w:tc>
          <w:tcPr>
            <w:tcW w:w="1985" w:type="dxa"/>
          </w:tcPr>
          <w:p w14:paraId="08429F38" w14:textId="4440AB29" w:rsidR="00E402A4" w:rsidRPr="00072DC1" w:rsidRDefault="00E402A4" w:rsidP="00455437">
            <w:pPr>
              <w:pStyle w:val="Table-Text"/>
              <w:keepLines/>
              <w:spacing w:before="40" w:after="40"/>
              <w:rPr>
                <w:rStyle w:val="Strong"/>
              </w:rPr>
            </w:pPr>
            <w:r w:rsidRPr="00072DC1">
              <w:rPr>
                <w:rStyle w:val="Strong"/>
              </w:rPr>
              <w:t>Estonia</w:t>
            </w:r>
          </w:p>
        </w:tc>
        <w:tc>
          <w:tcPr>
            <w:tcW w:w="850" w:type="dxa"/>
          </w:tcPr>
          <w:p w14:paraId="7EE2CD7B" w14:textId="31BB6B5F" w:rsidR="00E402A4" w:rsidRPr="00363CF9" w:rsidRDefault="00AA77DA" w:rsidP="00455437">
            <w:pPr>
              <w:pStyle w:val="Table-Text"/>
              <w:keepLines/>
              <w:tabs>
                <w:tab w:val="decimal" w:pos="376"/>
              </w:tabs>
              <w:spacing w:before="40" w:after="40"/>
            </w:pPr>
            <w:r>
              <w:t>3.0</w:t>
            </w:r>
          </w:p>
        </w:tc>
        <w:tc>
          <w:tcPr>
            <w:tcW w:w="851" w:type="dxa"/>
          </w:tcPr>
          <w:p w14:paraId="5DF1D2FB" w14:textId="01E8557E" w:rsidR="00E402A4" w:rsidRPr="00363CF9" w:rsidRDefault="00AA77DA" w:rsidP="00455437">
            <w:pPr>
              <w:pStyle w:val="Table-Text"/>
              <w:keepLines/>
              <w:tabs>
                <w:tab w:val="decimal" w:pos="508"/>
              </w:tabs>
              <w:spacing w:before="40" w:after="40"/>
            </w:pPr>
            <w:r>
              <w:t>31</w:t>
            </w:r>
          </w:p>
        </w:tc>
        <w:tc>
          <w:tcPr>
            <w:tcW w:w="850" w:type="dxa"/>
            <w:shd w:val="clear" w:color="auto" w:fill="auto"/>
            <w:vAlign w:val="bottom"/>
          </w:tcPr>
          <w:p w14:paraId="2137C539" w14:textId="64C90C84" w:rsidR="00E402A4" w:rsidRPr="00363CF9" w:rsidRDefault="00AA77DA" w:rsidP="00455437">
            <w:pPr>
              <w:pStyle w:val="Table-Text"/>
              <w:keepLines/>
              <w:tabs>
                <w:tab w:val="decimal" w:pos="362"/>
              </w:tabs>
              <w:spacing w:before="40" w:after="40"/>
            </w:pPr>
            <w:r>
              <w:t>3.0</w:t>
            </w:r>
          </w:p>
        </w:tc>
        <w:tc>
          <w:tcPr>
            <w:tcW w:w="851" w:type="dxa"/>
            <w:vAlign w:val="center"/>
          </w:tcPr>
          <w:p w14:paraId="7395CD9B" w14:textId="5ADF8818" w:rsidR="00E402A4" w:rsidRPr="00363CF9" w:rsidRDefault="00AA77DA" w:rsidP="00455437">
            <w:pPr>
              <w:pStyle w:val="Table-Text"/>
              <w:keepLines/>
              <w:tabs>
                <w:tab w:val="decimal" w:pos="514"/>
              </w:tabs>
              <w:spacing w:before="40" w:after="40"/>
            </w:pPr>
            <w:r>
              <w:t>33</w:t>
            </w:r>
          </w:p>
        </w:tc>
        <w:tc>
          <w:tcPr>
            <w:tcW w:w="850" w:type="dxa"/>
            <w:vAlign w:val="center"/>
          </w:tcPr>
          <w:p w14:paraId="54FDB276" w14:textId="5A14C227" w:rsidR="00E402A4" w:rsidRPr="00363CF9" w:rsidRDefault="00AA77DA" w:rsidP="00455437">
            <w:pPr>
              <w:pStyle w:val="Table-Text"/>
              <w:keepLines/>
              <w:tabs>
                <w:tab w:val="decimal" w:pos="376"/>
              </w:tabs>
              <w:spacing w:before="40" w:after="40"/>
            </w:pPr>
            <w:r>
              <w:t>3.0</w:t>
            </w:r>
          </w:p>
        </w:tc>
        <w:tc>
          <w:tcPr>
            <w:tcW w:w="851" w:type="dxa"/>
            <w:vAlign w:val="center"/>
          </w:tcPr>
          <w:p w14:paraId="23B43C26" w14:textId="1C3A8BEE" w:rsidR="00E402A4" w:rsidRPr="00363CF9" w:rsidRDefault="00AA77DA" w:rsidP="00455437">
            <w:pPr>
              <w:pStyle w:val="Table-Text"/>
              <w:keepLines/>
              <w:tabs>
                <w:tab w:val="decimal" w:pos="505"/>
              </w:tabs>
              <w:spacing w:before="40" w:after="40"/>
            </w:pPr>
            <w:r>
              <w:t>33</w:t>
            </w:r>
          </w:p>
        </w:tc>
        <w:tc>
          <w:tcPr>
            <w:tcW w:w="850" w:type="dxa"/>
          </w:tcPr>
          <w:p w14:paraId="54744B21" w14:textId="7AFED097" w:rsidR="00E402A4" w:rsidRPr="00363CF9" w:rsidRDefault="00AA77DA" w:rsidP="00455437">
            <w:pPr>
              <w:pStyle w:val="Table-Text"/>
              <w:keepLines/>
              <w:tabs>
                <w:tab w:val="decimal" w:pos="376"/>
              </w:tabs>
              <w:spacing w:before="40" w:after="40"/>
            </w:pPr>
            <w:r>
              <w:t>3.0</w:t>
            </w:r>
          </w:p>
        </w:tc>
        <w:tc>
          <w:tcPr>
            <w:tcW w:w="851" w:type="dxa"/>
          </w:tcPr>
          <w:p w14:paraId="0C731C37" w14:textId="77C91323" w:rsidR="00E402A4" w:rsidRPr="00363CF9" w:rsidRDefault="00AA77DA" w:rsidP="00455437">
            <w:pPr>
              <w:pStyle w:val="Table-Text"/>
              <w:keepLines/>
              <w:tabs>
                <w:tab w:val="decimal" w:pos="511"/>
              </w:tabs>
              <w:spacing w:before="40" w:after="40"/>
            </w:pPr>
            <w:r>
              <w:t>29</w:t>
            </w:r>
          </w:p>
        </w:tc>
      </w:tr>
      <w:tr w:rsidR="00EF4191" w:rsidRPr="00363CF9" w14:paraId="4568B46A" w14:textId="77777777" w:rsidTr="00775A75">
        <w:tc>
          <w:tcPr>
            <w:tcW w:w="1985" w:type="dxa"/>
          </w:tcPr>
          <w:p w14:paraId="5CA092F7" w14:textId="563E4CB7" w:rsidR="00E402A4" w:rsidRPr="00072DC1" w:rsidRDefault="00E402A4" w:rsidP="00455437">
            <w:pPr>
              <w:pStyle w:val="Table-Text"/>
              <w:keepLines/>
              <w:spacing w:before="40" w:after="40"/>
              <w:rPr>
                <w:rStyle w:val="Strong"/>
              </w:rPr>
            </w:pPr>
            <w:r w:rsidRPr="00072DC1">
              <w:rPr>
                <w:rStyle w:val="Strong"/>
              </w:rPr>
              <w:t>Finland</w:t>
            </w:r>
          </w:p>
        </w:tc>
        <w:tc>
          <w:tcPr>
            <w:tcW w:w="850" w:type="dxa"/>
          </w:tcPr>
          <w:p w14:paraId="17330851" w14:textId="42C1A981" w:rsidR="00E402A4" w:rsidRPr="00363CF9" w:rsidRDefault="00AA77DA" w:rsidP="00455437">
            <w:pPr>
              <w:pStyle w:val="Table-Text"/>
              <w:keepLines/>
              <w:tabs>
                <w:tab w:val="decimal" w:pos="376"/>
              </w:tabs>
              <w:spacing w:before="40" w:after="40"/>
            </w:pPr>
            <w:r>
              <w:t>3.2</w:t>
            </w:r>
          </w:p>
        </w:tc>
        <w:tc>
          <w:tcPr>
            <w:tcW w:w="851" w:type="dxa"/>
          </w:tcPr>
          <w:p w14:paraId="1BD2C533" w14:textId="5DB7386D" w:rsidR="00E402A4" w:rsidRPr="00363CF9" w:rsidRDefault="00AA77DA" w:rsidP="00455437">
            <w:pPr>
              <w:pStyle w:val="Table-Text"/>
              <w:keepLines/>
              <w:tabs>
                <w:tab w:val="decimal" w:pos="508"/>
              </w:tabs>
              <w:spacing w:before="40" w:after="40"/>
            </w:pPr>
            <w:r>
              <w:t>25</w:t>
            </w:r>
          </w:p>
        </w:tc>
        <w:tc>
          <w:tcPr>
            <w:tcW w:w="850" w:type="dxa"/>
            <w:shd w:val="clear" w:color="auto" w:fill="auto"/>
            <w:vAlign w:val="bottom"/>
          </w:tcPr>
          <w:p w14:paraId="7FE3EAB9" w14:textId="5DA7D739" w:rsidR="00E402A4" w:rsidRPr="00363CF9" w:rsidRDefault="00AA77DA" w:rsidP="00455437">
            <w:pPr>
              <w:pStyle w:val="Table-Text"/>
              <w:keepLines/>
              <w:tabs>
                <w:tab w:val="decimal" w:pos="362"/>
              </w:tabs>
              <w:spacing w:before="40" w:after="40"/>
            </w:pPr>
            <w:r>
              <w:t>3.6</w:t>
            </w:r>
          </w:p>
        </w:tc>
        <w:tc>
          <w:tcPr>
            <w:tcW w:w="851" w:type="dxa"/>
            <w:vAlign w:val="center"/>
          </w:tcPr>
          <w:p w14:paraId="65B0BA0F" w14:textId="10EDAA15" w:rsidR="00E402A4" w:rsidRPr="00363CF9" w:rsidRDefault="00AA77DA" w:rsidP="00455437">
            <w:pPr>
              <w:pStyle w:val="Table-Text"/>
              <w:keepLines/>
              <w:tabs>
                <w:tab w:val="decimal" w:pos="514"/>
              </w:tabs>
              <w:spacing w:before="40" w:after="40"/>
            </w:pPr>
            <w:r>
              <w:t>19</w:t>
            </w:r>
          </w:p>
        </w:tc>
        <w:tc>
          <w:tcPr>
            <w:tcW w:w="850" w:type="dxa"/>
            <w:vAlign w:val="center"/>
          </w:tcPr>
          <w:p w14:paraId="47DEBF38" w14:textId="477D78ED" w:rsidR="00E402A4" w:rsidRPr="00363CF9" w:rsidRDefault="00AA77DA" w:rsidP="00455437">
            <w:pPr>
              <w:pStyle w:val="Table-Text"/>
              <w:keepLines/>
              <w:tabs>
                <w:tab w:val="decimal" w:pos="376"/>
              </w:tabs>
              <w:spacing w:before="40" w:after="40"/>
            </w:pPr>
            <w:r>
              <w:t>4.7</w:t>
            </w:r>
          </w:p>
        </w:tc>
        <w:tc>
          <w:tcPr>
            <w:tcW w:w="851" w:type="dxa"/>
            <w:vAlign w:val="center"/>
          </w:tcPr>
          <w:p w14:paraId="475AA527" w14:textId="0E098488" w:rsidR="00E402A4" w:rsidRPr="00363CF9" w:rsidRDefault="00AA77DA" w:rsidP="00455437">
            <w:pPr>
              <w:pStyle w:val="Table-Text"/>
              <w:keepLines/>
              <w:tabs>
                <w:tab w:val="decimal" w:pos="505"/>
              </w:tabs>
              <w:spacing w:before="40" w:after="40"/>
            </w:pPr>
            <w:r>
              <w:t>5</w:t>
            </w:r>
          </w:p>
        </w:tc>
        <w:tc>
          <w:tcPr>
            <w:tcW w:w="850" w:type="dxa"/>
          </w:tcPr>
          <w:p w14:paraId="7B7EB2E3" w14:textId="51EF18AA" w:rsidR="00E402A4" w:rsidRPr="00363CF9" w:rsidRDefault="00AA77DA" w:rsidP="00455437">
            <w:pPr>
              <w:pStyle w:val="Table-Text"/>
              <w:keepLines/>
              <w:tabs>
                <w:tab w:val="decimal" w:pos="376"/>
              </w:tabs>
              <w:spacing w:before="40" w:after="40"/>
            </w:pPr>
            <w:r>
              <w:t>3.2</w:t>
            </w:r>
          </w:p>
        </w:tc>
        <w:tc>
          <w:tcPr>
            <w:tcW w:w="851" w:type="dxa"/>
          </w:tcPr>
          <w:p w14:paraId="46A1B9FB" w14:textId="0DE48387" w:rsidR="00E402A4" w:rsidRPr="00363CF9" w:rsidRDefault="00AA77DA" w:rsidP="00455437">
            <w:pPr>
              <w:pStyle w:val="Table-Text"/>
              <w:keepLines/>
              <w:tabs>
                <w:tab w:val="decimal" w:pos="511"/>
              </w:tabs>
              <w:spacing w:before="40" w:after="40"/>
            </w:pPr>
            <w:r>
              <w:t>22</w:t>
            </w:r>
          </w:p>
        </w:tc>
      </w:tr>
      <w:tr w:rsidR="00EF4191" w:rsidRPr="00363CF9" w14:paraId="28F8739F" w14:textId="77777777" w:rsidTr="00775A75">
        <w:tc>
          <w:tcPr>
            <w:tcW w:w="1985" w:type="dxa"/>
          </w:tcPr>
          <w:p w14:paraId="724551C5" w14:textId="1D303552" w:rsidR="00E402A4" w:rsidRPr="00072DC1" w:rsidRDefault="00E402A4" w:rsidP="00455437">
            <w:pPr>
              <w:pStyle w:val="Table-Text"/>
              <w:keepLines/>
              <w:spacing w:before="40" w:after="40"/>
              <w:rPr>
                <w:rStyle w:val="Strong"/>
              </w:rPr>
            </w:pPr>
            <w:r w:rsidRPr="00072DC1">
              <w:rPr>
                <w:rStyle w:val="Strong"/>
              </w:rPr>
              <w:t>France</w:t>
            </w:r>
          </w:p>
        </w:tc>
        <w:tc>
          <w:tcPr>
            <w:tcW w:w="850" w:type="dxa"/>
          </w:tcPr>
          <w:p w14:paraId="685EDC96" w14:textId="7F501A64" w:rsidR="00E402A4" w:rsidRPr="00363CF9" w:rsidRDefault="00AA77DA" w:rsidP="00455437">
            <w:pPr>
              <w:pStyle w:val="Table-Text"/>
              <w:keepLines/>
              <w:tabs>
                <w:tab w:val="decimal" w:pos="376"/>
              </w:tabs>
              <w:spacing w:before="40" w:after="40"/>
            </w:pPr>
            <w:r>
              <w:t>3.3</w:t>
            </w:r>
          </w:p>
        </w:tc>
        <w:tc>
          <w:tcPr>
            <w:tcW w:w="851" w:type="dxa"/>
          </w:tcPr>
          <w:p w14:paraId="1A416799" w14:textId="10292BFC" w:rsidR="00E402A4" w:rsidRPr="00363CF9" w:rsidRDefault="00AA77DA" w:rsidP="00455437">
            <w:pPr>
              <w:pStyle w:val="Table-Text"/>
              <w:keepLines/>
              <w:tabs>
                <w:tab w:val="decimal" w:pos="508"/>
              </w:tabs>
              <w:spacing w:before="40" w:after="40"/>
            </w:pPr>
            <w:r>
              <w:t>19</w:t>
            </w:r>
          </w:p>
        </w:tc>
        <w:tc>
          <w:tcPr>
            <w:tcW w:w="850" w:type="dxa"/>
            <w:shd w:val="clear" w:color="auto" w:fill="auto"/>
            <w:vAlign w:val="bottom"/>
          </w:tcPr>
          <w:p w14:paraId="5A300AC8" w14:textId="6575592C" w:rsidR="00E402A4" w:rsidRPr="00363CF9" w:rsidRDefault="00AA77DA" w:rsidP="00455437">
            <w:pPr>
              <w:pStyle w:val="Table-Text"/>
              <w:keepLines/>
              <w:tabs>
                <w:tab w:val="decimal" w:pos="362"/>
              </w:tabs>
              <w:spacing w:before="40" w:after="40"/>
            </w:pPr>
            <w:r>
              <w:t>4.2</w:t>
            </w:r>
          </w:p>
        </w:tc>
        <w:tc>
          <w:tcPr>
            <w:tcW w:w="851" w:type="dxa"/>
            <w:vAlign w:val="center"/>
          </w:tcPr>
          <w:p w14:paraId="001A8F53" w14:textId="68764D76" w:rsidR="00E402A4" w:rsidRPr="00363CF9" w:rsidRDefault="00AA77DA" w:rsidP="00455437">
            <w:pPr>
              <w:pStyle w:val="Table-Text"/>
              <w:keepLines/>
              <w:tabs>
                <w:tab w:val="decimal" w:pos="514"/>
              </w:tabs>
              <w:spacing w:before="40" w:after="40"/>
            </w:pPr>
            <w:r>
              <w:t>1</w:t>
            </w:r>
          </w:p>
        </w:tc>
        <w:tc>
          <w:tcPr>
            <w:tcW w:w="850" w:type="dxa"/>
            <w:vAlign w:val="center"/>
          </w:tcPr>
          <w:p w14:paraId="15F90F83" w14:textId="2BFE9776" w:rsidR="00E402A4" w:rsidRPr="00363CF9" w:rsidRDefault="00AA77DA" w:rsidP="00455437">
            <w:pPr>
              <w:pStyle w:val="Table-Text"/>
              <w:keepLines/>
              <w:tabs>
                <w:tab w:val="decimal" w:pos="376"/>
              </w:tabs>
              <w:spacing w:before="40" w:after="40"/>
            </w:pPr>
            <w:r>
              <w:t>3.7</w:t>
            </w:r>
          </w:p>
        </w:tc>
        <w:tc>
          <w:tcPr>
            <w:tcW w:w="851" w:type="dxa"/>
            <w:vAlign w:val="center"/>
          </w:tcPr>
          <w:p w14:paraId="0ED4DC73" w14:textId="417A3BCD" w:rsidR="00E402A4" w:rsidRPr="00363CF9" w:rsidRDefault="00AA77DA" w:rsidP="00455437">
            <w:pPr>
              <w:pStyle w:val="Table-Text"/>
              <w:keepLines/>
              <w:tabs>
                <w:tab w:val="decimal" w:pos="505"/>
              </w:tabs>
              <w:spacing w:before="40" w:after="40"/>
            </w:pPr>
            <w:r>
              <w:t>17</w:t>
            </w:r>
          </w:p>
        </w:tc>
        <w:tc>
          <w:tcPr>
            <w:tcW w:w="850" w:type="dxa"/>
          </w:tcPr>
          <w:p w14:paraId="1719F10B" w14:textId="0A4CC1E6" w:rsidR="00E402A4" w:rsidRPr="00363CF9" w:rsidRDefault="00AA77DA" w:rsidP="00455437">
            <w:pPr>
              <w:pStyle w:val="Table-Text"/>
              <w:keepLines/>
              <w:tabs>
                <w:tab w:val="decimal" w:pos="376"/>
              </w:tabs>
              <w:spacing w:before="40" w:after="40"/>
            </w:pPr>
            <w:r>
              <w:t>3.4</w:t>
            </w:r>
          </w:p>
        </w:tc>
        <w:tc>
          <w:tcPr>
            <w:tcW w:w="851" w:type="dxa"/>
          </w:tcPr>
          <w:p w14:paraId="5940E0AF" w14:textId="3E84A6AD" w:rsidR="00E402A4" w:rsidRPr="00363CF9" w:rsidRDefault="00AA77DA" w:rsidP="00455437">
            <w:pPr>
              <w:pStyle w:val="Table-Text"/>
              <w:keepLines/>
              <w:tabs>
                <w:tab w:val="decimal" w:pos="511"/>
              </w:tabs>
              <w:spacing w:before="40" w:after="40"/>
            </w:pPr>
            <w:r>
              <w:t>15</w:t>
            </w:r>
          </w:p>
        </w:tc>
      </w:tr>
      <w:tr w:rsidR="00EF4191" w:rsidRPr="00363CF9" w14:paraId="32E80C6B" w14:textId="77777777" w:rsidTr="00775A75">
        <w:tc>
          <w:tcPr>
            <w:tcW w:w="1985" w:type="dxa"/>
          </w:tcPr>
          <w:p w14:paraId="31BBF1B5" w14:textId="71AF2F35" w:rsidR="00E402A4" w:rsidRPr="00072DC1" w:rsidRDefault="00E402A4" w:rsidP="00455437">
            <w:pPr>
              <w:pStyle w:val="Table-Text"/>
              <w:keepLines/>
              <w:spacing w:before="40" w:after="40"/>
              <w:rPr>
                <w:rStyle w:val="Strong"/>
              </w:rPr>
            </w:pPr>
            <w:r w:rsidRPr="00072DC1">
              <w:rPr>
                <w:rStyle w:val="Strong"/>
              </w:rPr>
              <w:t>Germany</w:t>
            </w:r>
          </w:p>
        </w:tc>
        <w:tc>
          <w:tcPr>
            <w:tcW w:w="850" w:type="dxa"/>
          </w:tcPr>
          <w:p w14:paraId="123471C4" w14:textId="786A6805" w:rsidR="00E402A4" w:rsidRPr="00363CF9" w:rsidRDefault="00AA77DA" w:rsidP="00455437">
            <w:pPr>
              <w:pStyle w:val="Table-Text"/>
              <w:keepLines/>
              <w:tabs>
                <w:tab w:val="decimal" w:pos="376"/>
              </w:tabs>
              <w:spacing w:before="40" w:after="40"/>
            </w:pPr>
            <w:r>
              <w:t>3.6</w:t>
            </w:r>
          </w:p>
        </w:tc>
        <w:tc>
          <w:tcPr>
            <w:tcW w:w="851" w:type="dxa"/>
          </w:tcPr>
          <w:p w14:paraId="00FD2AD9" w14:textId="4E5B8CDA" w:rsidR="00E402A4" w:rsidRPr="00363CF9" w:rsidRDefault="00AA77DA" w:rsidP="00455437">
            <w:pPr>
              <w:pStyle w:val="Table-Text"/>
              <w:keepLines/>
              <w:tabs>
                <w:tab w:val="decimal" w:pos="508"/>
              </w:tabs>
              <w:spacing w:before="40" w:after="40"/>
            </w:pPr>
            <w:r>
              <w:t>6</w:t>
            </w:r>
          </w:p>
        </w:tc>
        <w:tc>
          <w:tcPr>
            <w:tcW w:w="850" w:type="dxa"/>
            <w:shd w:val="clear" w:color="auto" w:fill="auto"/>
            <w:vAlign w:val="bottom"/>
          </w:tcPr>
          <w:p w14:paraId="0B61749E" w14:textId="10B45B26" w:rsidR="00E402A4" w:rsidRPr="00363CF9" w:rsidRDefault="00AA77DA" w:rsidP="00455437">
            <w:pPr>
              <w:pStyle w:val="Table-Text"/>
              <w:keepLines/>
              <w:tabs>
                <w:tab w:val="decimal" w:pos="362"/>
              </w:tabs>
              <w:spacing w:before="40" w:after="40"/>
            </w:pPr>
            <w:r>
              <w:t>3.7</w:t>
            </w:r>
          </w:p>
        </w:tc>
        <w:tc>
          <w:tcPr>
            <w:tcW w:w="851" w:type="dxa"/>
            <w:vAlign w:val="center"/>
          </w:tcPr>
          <w:p w14:paraId="34C38434" w14:textId="28EF3EF5" w:rsidR="00E402A4" w:rsidRPr="00363CF9" w:rsidRDefault="00AA77DA" w:rsidP="00455437">
            <w:pPr>
              <w:pStyle w:val="Table-Text"/>
              <w:keepLines/>
              <w:tabs>
                <w:tab w:val="decimal" w:pos="514"/>
              </w:tabs>
              <w:spacing w:before="40" w:after="40"/>
            </w:pPr>
            <w:r>
              <w:t>16</w:t>
            </w:r>
          </w:p>
        </w:tc>
        <w:tc>
          <w:tcPr>
            <w:tcW w:w="850" w:type="dxa"/>
            <w:vAlign w:val="center"/>
          </w:tcPr>
          <w:p w14:paraId="4BB383B6" w14:textId="3E819AC1" w:rsidR="00E402A4" w:rsidRPr="00363CF9" w:rsidRDefault="00AA77DA" w:rsidP="00455437">
            <w:pPr>
              <w:pStyle w:val="Table-Text"/>
              <w:keepLines/>
              <w:tabs>
                <w:tab w:val="decimal" w:pos="376"/>
              </w:tabs>
              <w:spacing w:before="40" w:after="40"/>
            </w:pPr>
            <w:r>
              <w:t>3.8</w:t>
            </w:r>
          </w:p>
        </w:tc>
        <w:tc>
          <w:tcPr>
            <w:tcW w:w="851" w:type="dxa"/>
            <w:vAlign w:val="center"/>
          </w:tcPr>
          <w:p w14:paraId="40D0C3E2" w14:textId="18AE5B56" w:rsidR="00E402A4" w:rsidRPr="00363CF9" w:rsidRDefault="00AA77DA" w:rsidP="00455437">
            <w:pPr>
              <w:pStyle w:val="Table-Text"/>
              <w:keepLines/>
              <w:tabs>
                <w:tab w:val="decimal" w:pos="505"/>
              </w:tabs>
              <w:spacing w:before="40" w:after="40"/>
            </w:pPr>
            <w:r>
              <w:t>13</w:t>
            </w:r>
          </w:p>
        </w:tc>
        <w:tc>
          <w:tcPr>
            <w:tcW w:w="850" w:type="dxa"/>
          </w:tcPr>
          <w:p w14:paraId="23F78055" w14:textId="5DEB11BE" w:rsidR="00E402A4" w:rsidRPr="00363CF9" w:rsidRDefault="00AA77DA" w:rsidP="00455437">
            <w:pPr>
              <w:pStyle w:val="Table-Text"/>
              <w:keepLines/>
              <w:tabs>
                <w:tab w:val="decimal" w:pos="376"/>
              </w:tabs>
              <w:spacing w:before="40" w:after="40"/>
            </w:pPr>
            <w:r>
              <w:t>3.9</w:t>
            </w:r>
          </w:p>
        </w:tc>
        <w:tc>
          <w:tcPr>
            <w:tcW w:w="851" w:type="dxa"/>
          </w:tcPr>
          <w:p w14:paraId="6902FE70" w14:textId="13B6D13A" w:rsidR="00E402A4" w:rsidRPr="00363CF9" w:rsidRDefault="00AA77DA" w:rsidP="00455437">
            <w:pPr>
              <w:pStyle w:val="Table-Text"/>
              <w:keepLines/>
              <w:tabs>
                <w:tab w:val="decimal" w:pos="511"/>
              </w:tabs>
              <w:spacing w:before="40" w:after="40"/>
            </w:pPr>
            <w:r>
              <w:t>3</w:t>
            </w:r>
          </w:p>
        </w:tc>
      </w:tr>
      <w:tr w:rsidR="00EF4191" w:rsidRPr="00363CF9" w14:paraId="082CF77B" w14:textId="77777777" w:rsidTr="00775A75">
        <w:tc>
          <w:tcPr>
            <w:tcW w:w="1985" w:type="dxa"/>
          </w:tcPr>
          <w:p w14:paraId="0551EE6E" w14:textId="265F1608" w:rsidR="00E402A4" w:rsidRPr="00072DC1" w:rsidRDefault="00E402A4" w:rsidP="00455437">
            <w:pPr>
              <w:pStyle w:val="Table-Text"/>
              <w:keepLines/>
              <w:spacing w:before="40" w:after="40"/>
              <w:rPr>
                <w:rStyle w:val="Strong"/>
              </w:rPr>
            </w:pPr>
            <w:r w:rsidRPr="00072DC1">
              <w:rPr>
                <w:rStyle w:val="Strong"/>
              </w:rPr>
              <w:t>Greece</w:t>
            </w:r>
          </w:p>
        </w:tc>
        <w:tc>
          <w:tcPr>
            <w:tcW w:w="850" w:type="dxa"/>
          </w:tcPr>
          <w:p w14:paraId="3334AA15" w14:textId="58A16EBE" w:rsidR="00E402A4" w:rsidRPr="00363CF9" w:rsidRDefault="00AA77DA" w:rsidP="00455437">
            <w:pPr>
              <w:pStyle w:val="Table-Text"/>
              <w:keepLines/>
              <w:tabs>
                <w:tab w:val="decimal" w:pos="376"/>
              </w:tabs>
              <w:spacing w:before="40" w:after="40"/>
            </w:pPr>
            <w:r>
              <w:t>3.3</w:t>
            </w:r>
          </w:p>
        </w:tc>
        <w:tc>
          <w:tcPr>
            <w:tcW w:w="851" w:type="dxa"/>
          </w:tcPr>
          <w:p w14:paraId="066DC358" w14:textId="77FECA17" w:rsidR="00E402A4" w:rsidRPr="00363CF9" w:rsidRDefault="00AA77DA" w:rsidP="00455437">
            <w:pPr>
              <w:pStyle w:val="Table-Text"/>
              <w:keepLines/>
              <w:tabs>
                <w:tab w:val="decimal" w:pos="508"/>
              </w:tabs>
              <w:spacing w:before="40" w:after="40"/>
            </w:pPr>
            <w:r>
              <w:t>18</w:t>
            </w:r>
          </w:p>
        </w:tc>
        <w:tc>
          <w:tcPr>
            <w:tcW w:w="850" w:type="dxa"/>
            <w:shd w:val="clear" w:color="auto" w:fill="auto"/>
            <w:vAlign w:val="bottom"/>
          </w:tcPr>
          <w:p w14:paraId="3BEBC708" w14:textId="0E526F51" w:rsidR="00E402A4" w:rsidRPr="00363CF9" w:rsidRDefault="00AA77DA" w:rsidP="00455437">
            <w:pPr>
              <w:pStyle w:val="Table-Text"/>
              <w:keepLines/>
              <w:tabs>
                <w:tab w:val="decimal" w:pos="362"/>
              </w:tabs>
              <w:spacing w:before="40" w:after="40"/>
            </w:pPr>
            <w:r>
              <w:t>3.7</w:t>
            </w:r>
          </w:p>
        </w:tc>
        <w:tc>
          <w:tcPr>
            <w:tcW w:w="851" w:type="dxa"/>
            <w:vAlign w:val="center"/>
          </w:tcPr>
          <w:p w14:paraId="5F3F635C" w14:textId="6E077C35" w:rsidR="00E402A4" w:rsidRPr="00363CF9" w:rsidRDefault="00AA77DA" w:rsidP="00455437">
            <w:pPr>
              <w:pStyle w:val="Table-Text"/>
              <w:keepLines/>
              <w:tabs>
                <w:tab w:val="decimal" w:pos="514"/>
              </w:tabs>
              <w:spacing w:before="40" w:after="40"/>
            </w:pPr>
            <w:r>
              <w:t>17</w:t>
            </w:r>
          </w:p>
        </w:tc>
        <w:tc>
          <w:tcPr>
            <w:tcW w:w="850" w:type="dxa"/>
            <w:vAlign w:val="center"/>
          </w:tcPr>
          <w:p w14:paraId="1DD39804" w14:textId="24A98F9D" w:rsidR="00E402A4" w:rsidRPr="00363CF9" w:rsidRDefault="00AA77DA" w:rsidP="00455437">
            <w:pPr>
              <w:pStyle w:val="Table-Text"/>
              <w:keepLines/>
              <w:tabs>
                <w:tab w:val="decimal" w:pos="376"/>
              </w:tabs>
              <w:spacing w:before="40" w:after="40"/>
            </w:pPr>
            <w:r>
              <w:t>4.1</w:t>
            </w:r>
          </w:p>
        </w:tc>
        <w:tc>
          <w:tcPr>
            <w:tcW w:w="851" w:type="dxa"/>
            <w:vAlign w:val="center"/>
          </w:tcPr>
          <w:p w14:paraId="597B91E4" w14:textId="2DAB71FF" w:rsidR="00E402A4" w:rsidRPr="00363CF9" w:rsidRDefault="00AA77DA" w:rsidP="00455437">
            <w:pPr>
              <w:pStyle w:val="Table-Text"/>
              <w:keepLines/>
              <w:tabs>
                <w:tab w:val="decimal" w:pos="505"/>
              </w:tabs>
              <w:spacing w:before="40" w:after="40"/>
            </w:pPr>
            <w:r>
              <w:t>7</w:t>
            </w:r>
          </w:p>
        </w:tc>
        <w:tc>
          <w:tcPr>
            <w:tcW w:w="850" w:type="dxa"/>
          </w:tcPr>
          <w:p w14:paraId="7498B9C2" w14:textId="241F046B" w:rsidR="00E402A4" w:rsidRPr="00363CF9" w:rsidRDefault="00AA77DA" w:rsidP="00455437">
            <w:pPr>
              <w:pStyle w:val="Table-Text"/>
              <w:keepLines/>
              <w:tabs>
                <w:tab w:val="decimal" w:pos="376"/>
              </w:tabs>
              <w:spacing w:before="40" w:after="40"/>
            </w:pPr>
            <w:r>
              <w:t>3.7</w:t>
            </w:r>
          </w:p>
        </w:tc>
        <w:tc>
          <w:tcPr>
            <w:tcW w:w="851" w:type="dxa"/>
          </w:tcPr>
          <w:p w14:paraId="221B30D4" w14:textId="1AD37E4F" w:rsidR="00E402A4" w:rsidRPr="00363CF9" w:rsidRDefault="00AA77DA" w:rsidP="00455437">
            <w:pPr>
              <w:pStyle w:val="Table-Text"/>
              <w:keepLines/>
              <w:tabs>
                <w:tab w:val="decimal" w:pos="511"/>
              </w:tabs>
              <w:spacing w:before="40" w:after="40"/>
            </w:pPr>
            <w:r>
              <w:t>7</w:t>
            </w:r>
          </w:p>
        </w:tc>
      </w:tr>
      <w:tr w:rsidR="00EF4191" w:rsidRPr="00363CF9" w14:paraId="01B57F9E" w14:textId="77777777" w:rsidTr="00775A75">
        <w:tc>
          <w:tcPr>
            <w:tcW w:w="1985" w:type="dxa"/>
          </w:tcPr>
          <w:p w14:paraId="06480475" w14:textId="0D6A21B3" w:rsidR="00E402A4" w:rsidRPr="00072DC1" w:rsidRDefault="00E402A4" w:rsidP="00455437">
            <w:pPr>
              <w:pStyle w:val="Table-Text"/>
              <w:keepLines/>
              <w:spacing w:before="40" w:after="40"/>
              <w:rPr>
                <w:rStyle w:val="Strong"/>
              </w:rPr>
            </w:pPr>
            <w:r w:rsidRPr="00072DC1">
              <w:rPr>
                <w:rStyle w:val="Strong"/>
              </w:rPr>
              <w:t>Hungary</w:t>
            </w:r>
          </w:p>
        </w:tc>
        <w:tc>
          <w:tcPr>
            <w:tcW w:w="850" w:type="dxa"/>
          </w:tcPr>
          <w:p w14:paraId="13DFB048" w14:textId="5728383D" w:rsidR="00E402A4" w:rsidRPr="00363CF9" w:rsidRDefault="00AA77DA" w:rsidP="00455437">
            <w:pPr>
              <w:pStyle w:val="Table-Text"/>
              <w:keepLines/>
              <w:tabs>
                <w:tab w:val="decimal" w:pos="376"/>
              </w:tabs>
              <w:spacing w:before="40" w:after="40"/>
            </w:pPr>
            <w:r>
              <w:t>3.3</w:t>
            </w:r>
          </w:p>
        </w:tc>
        <w:tc>
          <w:tcPr>
            <w:tcW w:w="851" w:type="dxa"/>
          </w:tcPr>
          <w:p w14:paraId="077A8158" w14:textId="12EEB0DF" w:rsidR="00E402A4" w:rsidRPr="00363CF9" w:rsidRDefault="00AA77DA" w:rsidP="00455437">
            <w:pPr>
              <w:pStyle w:val="Table-Text"/>
              <w:keepLines/>
              <w:tabs>
                <w:tab w:val="decimal" w:pos="508"/>
              </w:tabs>
              <w:spacing w:before="40" w:after="40"/>
            </w:pPr>
            <w:r>
              <w:t>22</w:t>
            </w:r>
          </w:p>
        </w:tc>
        <w:tc>
          <w:tcPr>
            <w:tcW w:w="850" w:type="dxa"/>
            <w:shd w:val="clear" w:color="auto" w:fill="auto"/>
            <w:vAlign w:val="bottom"/>
          </w:tcPr>
          <w:p w14:paraId="01C0AF84" w14:textId="46F76BBD" w:rsidR="00E402A4" w:rsidRPr="00363CF9" w:rsidRDefault="00AA77DA" w:rsidP="00455437">
            <w:pPr>
              <w:pStyle w:val="Table-Text"/>
              <w:keepLines/>
              <w:tabs>
                <w:tab w:val="decimal" w:pos="362"/>
              </w:tabs>
              <w:spacing w:before="40" w:after="40"/>
            </w:pPr>
            <w:r>
              <w:t>3.3</w:t>
            </w:r>
          </w:p>
        </w:tc>
        <w:tc>
          <w:tcPr>
            <w:tcW w:w="851" w:type="dxa"/>
            <w:vAlign w:val="center"/>
          </w:tcPr>
          <w:p w14:paraId="581A0450" w14:textId="3E6BC319" w:rsidR="00E402A4" w:rsidRPr="00363CF9" w:rsidRDefault="00AA77DA" w:rsidP="00455437">
            <w:pPr>
              <w:pStyle w:val="Table-Text"/>
              <w:keepLines/>
              <w:tabs>
                <w:tab w:val="decimal" w:pos="514"/>
              </w:tabs>
              <w:spacing w:before="40" w:after="40"/>
            </w:pPr>
            <w:r>
              <w:t>31</w:t>
            </w:r>
          </w:p>
        </w:tc>
        <w:tc>
          <w:tcPr>
            <w:tcW w:w="850" w:type="dxa"/>
            <w:vAlign w:val="center"/>
          </w:tcPr>
          <w:p w14:paraId="79245517" w14:textId="0D2F478E" w:rsidR="00E402A4" w:rsidRPr="00363CF9" w:rsidRDefault="00AA77DA" w:rsidP="00455437">
            <w:pPr>
              <w:pStyle w:val="Table-Text"/>
              <w:keepLines/>
              <w:tabs>
                <w:tab w:val="decimal" w:pos="376"/>
              </w:tabs>
              <w:spacing w:before="40" w:after="40"/>
            </w:pPr>
            <w:r>
              <w:t>3.1</w:t>
            </w:r>
          </w:p>
        </w:tc>
        <w:tc>
          <w:tcPr>
            <w:tcW w:w="851" w:type="dxa"/>
            <w:vAlign w:val="center"/>
          </w:tcPr>
          <w:p w14:paraId="01E15702" w14:textId="172B6946" w:rsidR="00E402A4" w:rsidRPr="00363CF9" w:rsidRDefault="00AA77DA" w:rsidP="00455437">
            <w:pPr>
              <w:pStyle w:val="Table-Text"/>
              <w:keepLines/>
              <w:tabs>
                <w:tab w:val="decimal" w:pos="505"/>
              </w:tabs>
              <w:spacing w:before="40" w:after="40"/>
            </w:pPr>
            <w:r>
              <w:t>29</w:t>
            </w:r>
          </w:p>
        </w:tc>
        <w:tc>
          <w:tcPr>
            <w:tcW w:w="850" w:type="dxa"/>
          </w:tcPr>
          <w:p w14:paraId="3CD3A0BF" w14:textId="41E188F2" w:rsidR="00E402A4" w:rsidRPr="00363CF9" w:rsidRDefault="00AA77DA" w:rsidP="00455437">
            <w:pPr>
              <w:pStyle w:val="Table-Text"/>
              <w:keepLines/>
              <w:tabs>
                <w:tab w:val="decimal" w:pos="376"/>
              </w:tabs>
              <w:spacing w:before="40" w:after="40"/>
            </w:pPr>
            <w:r>
              <w:t>3.0</w:t>
            </w:r>
          </w:p>
        </w:tc>
        <w:tc>
          <w:tcPr>
            <w:tcW w:w="851" w:type="dxa"/>
          </w:tcPr>
          <w:p w14:paraId="1DCAA1FF" w14:textId="11488673" w:rsidR="00E402A4" w:rsidRPr="00363CF9" w:rsidRDefault="00AA77DA" w:rsidP="00455437">
            <w:pPr>
              <w:pStyle w:val="Table-Text"/>
              <w:keepLines/>
              <w:tabs>
                <w:tab w:val="decimal" w:pos="511"/>
              </w:tabs>
              <w:spacing w:before="40" w:after="40"/>
            </w:pPr>
            <w:r>
              <w:t>28</w:t>
            </w:r>
          </w:p>
        </w:tc>
      </w:tr>
      <w:tr w:rsidR="00EF4191" w:rsidRPr="00363CF9" w14:paraId="542D9584" w14:textId="77777777" w:rsidTr="00775A75">
        <w:tc>
          <w:tcPr>
            <w:tcW w:w="1985" w:type="dxa"/>
          </w:tcPr>
          <w:p w14:paraId="272502AC" w14:textId="613C449E" w:rsidR="00E402A4" w:rsidRPr="00072DC1" w:rsidRDefault="00E402A4" w:rsidP="00455437">
            <w:pPr>
              <w:pStyle w:val="Table-Text"/>
              <w:keepLines/>
              <w:spacing w:before="40" w:after="40"/>
              <w:rPr>
                <w:rStyle w:val="Strong"/>
              </w:rPr>
            </w:pPr>
            <w:r w:rsidRPr="00072DC1">
              <w:rPr>
                <w:rStyle w:val="Strong"/>
              </w:rPr>
              <w:t>Iceland</w:t>
            </w:r>
          </w:p>
        </w:tc>
        <w:tc>
          <w:tcPr>
            <w:tcW w:w="850" w:type="dxa"/>
          </w:tcPr>
          <w:p w14:paraId="51E4371B" w14:textId="4AF752BA" w:rsidR="00E402A4" w:rsidRPr="00363CF9" w:rsidRDefault="00AA77DA" w:rsidP="00455437">
            <w:pPr>
              <w:pStyle w:val="Table-Text"/>
              <w:keepLines/>
              <w:tabs>
                <w:tab w:val="decimal" w:pos="376"/>
              </w:tabs>
              <w:spacing w:before="40" w:after="40"/>
            </w:pPr>
            <w:r>
              <w:t>3.2</w:t>
            </w:r>
          </w:p>
        </w:tc>
        <w:tc>
          <w:tcPr>
            <w:tcW w:w="851" w:type="dxa"/>
          </w:tcPr>
          <w:p w14:paraId="3B22F09C" w14:textId="7581D0D6" w:rsidR="00E402A4" w:rsidRPr="00363CF9" w:rsidRDefault="00AA77DA" w:rsidP="00455437">
            <w:pPr>
              <w:pStyle w:val="Table-Text"/>
              <w:keepLines/>
              <w:tabs>
                <w:tab w:val="decimal" w:pos="508"/>
              </w:tabs>
              <w:spacing w:before="40" w:after="40"/>
            </w:pPr>
            <w:r>
              <w:t>24</w:t>
            </w:r>
          </w:p>
        </w:tc>
        <w:tc>
          <w:tcPr>
            <w:tcW w:w="850" w:type="dxa"/>
            <w:shd w:val="clear" w:color="auto" w:fill="auto"/>
            <w:vAlign w:val="bottom"/>
          </w:tcPr>
          <w:p w14:paraId="4675566E" w14:textId="1C1CAC9E" w:rsidR="00E402A4" w:rsidRPr="00363CF9" w:rsidRDefault="00AA77DA" w:rsidP="00455437">
            <w:pPr>
              <w:pStyle w:val="Table-Text"/>
              <w:keepLines/>
              <w:tabs>
                <w:tab w:val="decimal" w:pos="362"/>
              </w:tabs>
              <w:spacing w:before="40" w:after="40"/>
            </w:pPr>
            <w:r>
              <w:t>3.6</w:t>
            </w:r>
          </w:p>
        </w:tc>
        <w:tc>
          <w:tcPr>
            <w:tcW w:w="851" w:type="dxa"/>
            <w:vAlign w:val="center"/>
          </w:tcPr>
          <w:p w14:paraId="1E8197EC" w14:textId="50F8C5F2" w:rsidR="00E402A4" w:rsidRPr="00363CF9" w:rsidRDefault="00AA77DA" w:rsidP="00455437">
            <w:pPr>
              <w:pStyle w:val="Table-Text"/>
              <w:keepLines/>
              <w:tabs>
                <w:tab w:val="decimal" w:pos="514"/>
              </w:tabs>
              <w:spacing w:before="40" w:after="40"/>
            </w:pPr>
            <w:r>
              <w:t>18</w:t>
            </w:r>
          </w:p>
        </w:tc>
        <w:tc>
          <w:tcPr>
            <w:tcW w:w="850" w:type="dxa"/>
            <w:vAlign w:val="center"/>
          </w:tcPr>
          <w:p w14:paraId="6CAE0A07" w14:textId="3A6D152F" w:rsidR="00E402A4" w:rsidRPr="00363CF9" w:rsidRDefault="00AA77DA" w:rsidP="00455437">
            <w:pPr>
              <w:pStyle w:val="Table-Text"/>
              <w:keepLines/>
              <w:tabs>
                <w:tab w:val="decimal" w:pos="376"/>
              </w:tabs>
              <w:spacing w:before="40" w:after="40"/>
            </w:pPr>
            <w:r>
              <w:t>3.8</w:t>
            </w:r>
          </w:p>
        </w:tc>
        <w:tc>
          <w:tcPr>
            <w:tcW w:w="851" w:type="dxa"/>
            <w:vAlign w:val="center"/>
          </w:tcPr>
          <w:p w14:paraId="6BC3B1D1" w14:textId="2314F087" w:rsidR="00E402A4" w:rsidRPr="00363CF9" w:rsidRDefault="00AA77DA" w:rsidP="00455437">
            <w:pPr>
              <w:pStyle w:val="Table-Text"/>
              <w:keepLines/>
              <w:tabs>
                <w:tab w:val="decimal" w:pos="505"/>
              </w:tabs>
              <w:spacing w:before="40" w:after="40"/>
            </w:pPr>
            <w:r>
              <w:t>14</w:t>
            </w:r>
          </w:p>
        </w:tc>
        <w:tc>
          <w:tcPr>
            <w:tcW w:w="850" w:type="dxa"/>
          </w:tcPr>
          <w:p w14:paraId="4D8981C1" w14:textId="1DF00BA6" w:rsidR="00E402A4" w:rsidRPr="00363CF9" w:rsidRDefault="00AA77DA" w:rsidP="00455437">
            <w:pPr>
              <w:pStyle w:val="Table-Text"/>
              <w:keepLines/>
              <w:tabs>
                <w:tab w:val="decimal" w:pos="376"/>
              </w:tabs>
              <w:spacing w:before="40" w:after="40"/>
            </w:pPr>
            <w:r>
              <w:t>3.4</w:t>
            </w:r>
          </w:p>
        </w:tc>
        <w:tc>
          <w:tcPr>
            <w:tcW w:w="851" w:type="dxa"/>
          </w:tcPr>
          <w:p w14:paraId="2F43B96F" w14:textId="190E6715" w:rsidR="00E402A4" w:rsidRPr="00363CF9" w:rsidRDefault="00AA77DA" w:rsidP="00455437">
            <w:pPr>
              <w:pStyle w:val="Table-Text"/>
              <w:keepLines/>
              <w:tabs>
                <w:tab w:val="decimal" w:pos="511"/>
              </w:tabs>
              <w:spacing w:before="40" w:after="40"/>
            </w:pPr>
            <w:r>
              <w:t>13</w:t>
            </w:r>
          </w:p>
        </w:tc>
      </w:tr>
      <w:tr w:rsidR="00EF4191" w:rsidRPr="00363CF9" w14:paraId="224FEA2A" w14:textId="77777777" w:rsidTr="00775A75">
        <w:tc>
          <w:tcPr>
            <w:tcW w:w="1985" w:type="dxa"/>
          </w:tcPr>
          <w:p w14:paraId="70440A90" w14:textId="757DDCFA" w:rsidR="00E402A4" w:rsidRPr="00072DC1" w:rsidRDefault="00E402A4" w:rsidP="00455437">
            <w:pPr>
              <w:pStyle w:val="Table-Text"/>
              <w:keepLines/>
              <w:spacing w:before="40" w:after="40"/>
              <w:rPr>
                <w:rStyle w:val="Strong"/>
              </w:rPr>
            </w:pPr>
            <w:r w:rsidRPr="00072DC1">
              <w:rPr>
                <w:rStyle w:val="Strong"/>
              </w:rPr>
              <w:t>Ireland</w:t>
            </w:r>
          </w:p>
        </w:tc>
        <w:tc>
          <w:tcPr>
            <w:tcW w:w="850" w:type="dxa"/>
          </w:tcPr>
          <w:p w14:paraId="7D561D09" w14:textId="21DCE52C" w:rsidR="00E402A4" w:rsidRPr="00363CF9" w:rsidRDefault="00AA77DA" w:rsidP="00455437">
            <w:pPr>
              <w:pStyle w:val="Table-Text"/>
              <w:keepLines/>
              <w:tabs>
                <w:tab w:val="decimal" w:pos="376"/>
              </w:tabs>
              <w:spacing w:before="40" w:after="40"/>
            </w:pPr>
            <w:r>
              <w:t>3.1</w:t>
            </w:r>
          </w:p>
        </w:tc>
        <w:tc>
          <w:tcPr>
            <w:tcW w:w="851" w:type="dxa"/>
          </w:tcPr>
          <w:p w14:paraId="6BA4E3AB" w14:textId="02C405A7" w:rsidR="00E402A4" w:rsidRPr="00363CF9" w:rsidRDefault="00AA77DA" w:rsidP="00455437">
            <w:pPr>
              <w:pStyle w:val="Table-Text"/>
              <w:keepLines/>
              <w:tabs>
                <w:tab w:val="decimal" w:pos="508"/>
              </w:tabs>
              <w:spacing w:before="40" w:after="40"/>
            </w:pPr>
            <w:r>
              <w:t>28</w:t>
            </w:r>
          </w:p>
        </w:tc>
        <w:tc>
          <w:tcPr>
            <w:tcW w:w="850" w:type="dxa"/>
            <w:shd w:val="clear" w:color="auto" w:fill="auto"/>
            <w:vAlign w:val="bottom"/>
          </w:tcPr>
          <w:p w14:paraId="2FBF0BA3" w14:textId="30469545" w:rsidR="00E402A4" w:rsidRPr="00363CF9" w:rsidRDefault="00AA77DA" w:rsidP="00455437">
            <w:pPr>
              <w:pStyle w:val="Table-Text"/>
              <w:keepLines/>
              <w:tabs>
                <w:tab w:val="decimal" w:pos="362"/>
              </w:tabs>
              <w:spacing w:before="40" w:after="40"/>
            </w:pPr>
            <w:r>
              <w:t>3.4</w:t>
            </w:r>
          </w:p>
        </w:tc>
        <w:tc>
          <w:tcPr>
            <w:tcW w:w="851" w:type="dxa"/>
            <w:vAlign w:val="center"/>
          </w:tcPr>
          <w:p w14:paraId="4F2E3113" w14:textId="72EB3F54" w:rsidR="00E402A4" w:rsidRPr="00363CF9" w:rsidRDefault="00AA77DA" w:rsidP="00455437">
            <w:pPr>
              <w:pStyle w:val="Table-Text"/>
              <w:keepLines/>
              <w:tabs>
                <w:tab w:val="decimal" w:pos="514"/>
              </w:tabs>
              <w:spacing w:before="40" w:after="40"/>
            </w:pPr>
            <w:r>
              <w:t>30</w:t>
            </w:r>
          </w:p>
        </w:tc>
        <w:tc>
          <w:tcPr>
            <w:tcW w:w="850" w:type="dxa"/>
            <w:vAlign w:val="center"/>
          </w:tcPr>
          <w:p w14:paraId="3A1D7CF8" w14:textId="422027D8" w:rsidR="00E402A4" w:rsidRPr="00363CF9" w:rsidRDefault="00AA77DA" w:rsidP="00455437">
            <w:pPr>
              <w:pStyle w:val="Table-Text"/>
              <w:keepLines/>
              <w:tabs>
                <w:tab w:val="decimal" w:pos="376"/>
              </w:tabs>
              <w:spacing w:before="40" w:after="40"/>
            </w:pPr>
            <w:r>
              <w:t>3.8</w:t>
            </w:r>
          </w:p>
        </w:tc>
        <w:tc>
          <w:tcPr>
            <w:tcW w:w="851" w:type="dxa"/>
            <w:vAlign w:val="center"/>
          </w:tcPr>
          <w:p w14:paraId="1850127C" w14:textId="42199567" w:rsidR="00E402A4" w:rsidRPr="00363CF9" w:rsidRDefault="00AA77DA" w:rsidP="00455437">
            <w:pPr>
              <w:pStyle w:val="Table-Text"/>
              <w:keepLines/>
              <w:tabs>
                <w:tab w:val="decimal" w:pos="505"/>
              </w:tabs>
              <w:spacing w:before="40" w:after="40"/>
            </w:pPr>
            <w:r>
              <w:t>15</w:t>
            </w:r>
          </w:p>
        </w:tc>
        <w:tc>
          <w:tcPr>
            <w:tcW w:w="850" w:type="dxa"/>
          </w:tcPr>
          <w:p w14:paraId="52E1D119" w14:textId="49F6AC1F" w:rsidR="00E402A4" w:rsidRPr="00363CF9" w:rsidRDefault="00AA77DA" w:rsidP="00455437">
            <w:pPr>
              <w:pStyle w:val="Table-Text"/>
              <w:keepLines/>
              <w:tabs>
                <w:tab w:val="decimal" w:pos="376"/>
              </w:tabs>
              <w:spacing w:before="40" w:after="40"/>
            </w:pPr>
            <w:r>
              <w:t>3.3</w:t>
            </w:r>
          </w:p>
        </w:tc>
        <w:tc>
          <w:tcPr>
            <w:tcW w:w="851" w:type="dxa"/>
          </w:tcPr>
          <w:p w14:paraId="3C1F92CF" w14:textId="3A897E5D" w:rsidR="00E402A4" w:rsidRPr="00363CF9" w:rsidRDefault="00AA77DA" w:rsidP="00455437">
            <w:pPr>
              <w:pStyle w:val="Table-Text"/>
              <w:keepLines/>
              <w:tabs>
                <w:tab w:val="decimal" w:pos="511"/>
              </w:tabs>
              <w:spacing w:before="40" w:after="40"/>
            </w:pPr>
            <w:r>
              <w:t>19</w:t>
            </w:r>
          </w:p>
        </w:tc>
      </w:tr>
      <w:tr w:rsidR="00EF4191" w:rsidRPr="00363CF9" w14:paraId="78DA9F3C" w14:textId="77777777" w:rsidTr="00775A75">
        <w:tc>
          <w:tcPr>
            <w:tcW w:w="1985" w:type="dxa"/>
          </w:tcPr>
          <w:p w14:paraId="14BE2F61" w14:textId="0E8261B5" w:rsidR="00E402A4" w:rsidRPr="00072DC1" w:rsidRDefault="00E402A4" w:rsidP="00455437">
            <w:pPr>
              <w:pStyle w:val="Table-Text"/>
              <w:keepLines/>
              <w:spacing w:before="40" w:after="40"/>
              <w:rPr>
                <w:rStyle w:val="Strong"/>
              </w:rPr>
            </w:pPr>
            <w:r w:rsidRPr="00072DC1">
              <w:rPr>
                <w:rStyle w:val="Strong"/>
              </w:rPr>
              <w:t>Israel</w:t>
            </w:r>
          </w:p>
        </w:tc>
        <w:tc>
          <w:tcPr>
            <w:tcW w:w="850" w:type="dxa"/>
          </w:tcPr>
          <w:p w14:paraId="5F2C5269" w14:textId="4A5F30A2" w:rsidR="00E402A4" w:rsidRPr="00363CF9" w:rsidRDefault="00AA77DA" w:rsidP="00455437">
            <w:pPr>
              <w:pStyle w:val="Table-Text"/>
              <w:keepLines/>
              <w:tabs>
                <w:tab w:val="decimal" w:pos="376"/>
              </w:tabs>
              <w:spacing w:before="40" w:after="40"/>
            </w:pPr>
            <w:r>
              <w:t>3.3</w:t>
            </w:r>
          </w:p>
        </w:tc>
        <w:tc>
          <w:tcPr>
            <w:tcW w:w="851" w:type="dxa"/>
          </w:tcPr>
          <w:p w14:paraId="42626C7F" w14:textId="5EABAD42" w:rsidR="00E402A4" w:rsidRPr="00363CF9" w:rsidRDefault="00AA77DA" w:rsidP="00455437">
            <w:pPr>
              <w:pStyle w:val="Table-Text"/>
              <w:keepLines/>
              <w:tabs>
                <w:tab w:val="decimal" w:pos="508"/>
              </w:tabs>
              <w:spacing w:before="40" w:after="40"/>
            </w:pPr>
            <w:r>
              <w:t>20</w:t>
            </w:r>
          </w:p>
        </w:tc>
        <w:tc>
          <w:tcPr>
            <w:tcW w:w="850" w:type="dxa"/>
            <w:shd w:val="clear" w:color="auto" w:fill="auto"/>
            <w:vAlign w:val="bottom"/>
          </w:tcPr>
          <w:p w14:paraId="54E9229F" w14:textId="25FDDA20" w:rsidR="00E402A4" w:rsidRPr="00363CF9" w:rsidRDefault="00AA77DA" w:rsidP="00455437">
            <w:pPr>
              <w:pStyle w:val="Table-Text"/>
              <w:keepLines/>
              <w:tabs>
                <w:tab w:val="decimal" w:pos="362"/>
              </w:tabs>
              <w:spacing w:before="40" w:after="40"/>
            </w:pPr>
            <w:r>
              <w:t>3.8</w:t>
            </w:r>
          </w:p>
        </w:tc>
        <w:tc>
          <w:tcPr>
            <w:tcW w:w="851" w:type="dxa"/>
            <w:vAlign w:val="center"/>
          </w:tcPr>
          <w:p w14:paraId="0EE2097A" w14:textId="1F2C2F8E" w:rsidR="00E402A4" w:rsidRPr="00363CF9" w:rsidRDefault="00AA77DA" w:rsidP="00455437">
            <w:pPr>
              <w:pStyle w:val="Table-Text"/>
              <w:keepLines/>
              <w:tabs>
                <w:tab w:val="decimal" w:pos="514"/>
              </w:tabs>
              <w:spacing w:before="40" w:after="40"/>
            </w:pPr>
            <w:r>
              <w:t>11</w:t>
            </w:r>
          </w:p>
        </w:tc>
        <w:tc>
          <w:tcPr>
            <w:tcW w:w="850" w:type="dxa"/>
            <w:vAlign w:val="center"/>
          </w:tcPr>
          <w:p w14:paraId="10924D63" w14:textId="2CCA7DAC" w:rsidR="00E402A4" w:rsidRPr="00363CF9" w:rsidRDefault="00AA77DA" w:rsidP="00455437">
            <w:pPr>
              <w:pStyle w:val="Table-Text"/>
              <w:keepLines/>
              <w:tabs>
                <w:tab w:val="decimal" w:pos="376"/>
              </w:tabs>
              <w:spacing w:before="40" w:after="40"/>
            </w:pPr>
            <w:r>
              <w:t>3.6</w:t>
            </w:r>
          </w:p>
        </w:tc>
        <w:tc>
          <w:tcPr>
            <w:tcW w:w="851" w:type="dxa"/>
            <w:vAlign w:val="center"/>
          </w:tcPr>
          <w:p w14:paraId="57AF8E0E" w14:textId="19EC6D77" w:rsidR="00E402A4" w:rsidRPr="00363CF9" w:rsidRDefault="00AA77DA" w:rsidP="00455437">
            <w:pPr>
              <w:pStyle w:val="Table-Text"/>
              <w:keepLines/>
              <w:tabs>
                <w:tab w:val="decimal" w:pos="505"/>
              </w:tabs>
              <w:spacing w:before="40" w:after="40"/>
            </w:pPr>
            <w:r>
              <w:t>22</w:t>
            </w:r>
          </w:p>
        </w:tc>
        <w:tc>
          <w:tcPr>
            <w:tcW w:w="850" w:type="dxa"/>
          </w:tcPr>
          <w:p w14:paraId="04E986AE" w14:textId="63D54792" w:rsidR="00E402A4" w:rsidRPr="00363CF9" w:rsidRDefault="00AA77DA" w:rsidP="00455437">
            <w:pPr>
              <w:pStyle w:val="Table-Text"/>
              <w:keepLines/>
              <w:tabs>
                <w:tab w:val="decimal" w:pos="376"/>
              </w:tabs>
              <w:spacing w:before="40" w:after="40"/>
            </w:pPr>
            <w:r>
              <w:t>3.5</w:t>
            </w:r>
          </w:p>
        </w:tc>
        <w:tc>
          <w:tcPr>
            <w:tcW w:w="851" w:type="dxa"/>
          </w:tcPr>
          <w:p w14:paraId="0DE081A7" w14:textId="5FAA2EA9" w:rsidR="00E402A4" w:rsidRPr="00363CF9" w:rsidRDefault="00AA77DA" w:rsidP="00455437">
            <w:pPr>
              <w:pStyle w:val="Table-Text"/>
              <w:keepLines/>
              <w:tabs>
                <w:tab w:val="decimal" w:pos="511"/>
              </w:tabs>
              <w:spacing w:before="40" w:after="40"/>
            </w:pPr>
            <w:r>
              <w:t>10</w:t>
            </w:r>
          </w:p>
        </w:tc>
      </w:tr>
      <w:tr w:rsidR="00EF4191" w:rsidRPr="00363CF9" w14:paraId="478CC6B5" w14:textId="77777777" w:rsidTr="00775A75">
        <w:tc>
          <w:tcPr>
            <w:tcW w:w="1985" w:type="dxa"/>
          </w:tcPr>
          <w:p w14:paraId="4CBA1030" w14:textId="7E8BE74C" w:rsidR="00E402A4" w:rsidRPr="00072DC1" w:rsidRDefault="00E402A4" w:rsidP="00455437">
            <w:pPr>
              <w:pStyle w:val="Table-Text"/>
              <w:keepLines/>
              <w:spacing w:before="40" w:after="40"/>
              <w:rPr>
                <w:rStyle w:val="Strong"/>
              </w:rPr>
            </w:pPr>
            <w:r w:rsidRPr="00072DC1">
              <w:rPr>
                <w:rStyle w:val="Strong"/>
              </w:rPr>
              <w:t>Italy</w:t>
            </w:r>
          </w:p>
        </w:tc>
        <w:tc>
          <w:tcPr>
            <w:tcW w:w="850" w:type="dxa"/>
          </w:tcPr>
          <w:p w14:paraId="190BD6EF" w14:textId="0507B893" w:rsidR="00E402A4" w:rsidRPr="00363CF9" w:rsidRDefault="00AA77DA" w:rsidP="00455437">
            <w:pPr>
              <w:pStyle w:val="Table-Text"/>
              <w:keepLines/>
              <w:tabs>
                <w:tab w:val="decimal" w:pos="376"/>
              </w:tabs>
              <w:spacing w:before="40" w:after="40"/>
            </w:pPr>
            <w:r>
              <w:t>2.6</w:t>
            </w:r>
          </w:p>
        </w:tc>
        <w:tc>
          <w:tcPr>
            <w:tcW w:w="851" w:type="dxa"/>
          </w:tcPr>
          <w:p w14:paraId="76414BF6" w14:textId="1EB228B5" w:rsidR="00E402A4" w:rsidRPr="00363CF9" w:rsidRDefault="00AA77DA" w:rsidP="00455437">
            <w:pPr>
              <w:pStyle w:val="Table-Text"/>
              <w:keepLines/>
              <w:tabs>
                <w:tab w:val="decimal" w:pos="508"/>
              </w:tabs>
              <w:spacing w:before="40" w:after="40"/>
            </w:pPr>
            <w:r>
              <w:t>36</w:t>
            </w:r>
          </w:p>
        </w:tc>
        <w:tc>
          <w:tcPr>
            <w:tcW w:w="850" w:type="dxa"/>
            <w:shd w:val="clear" w:color="auto" w:fill="auto"/>
            <w:vAlign w:val="bottom"/>
          </w:tcPr>
          <w:p w14:paraId="420C24F6" w14:textId="650FB665" w:rsidR="00E402A4" w:rsidRPr="00363CF9" w:rsidRDefault="00AA77DA" w:rsidP="00455437">
            <w:pPr>
              <w:pStyle w:val="Table-Text"/>
              <w:keepLines/>
              <w:tabs>
                <w:tab w:val="decimal" w:pos="362"/>
              </w:tabs>
              <w:spacing w:before="40" w:after="40"/>
            </w:pPr>
            <w:r>
              <w:t>2.8</w:t>
            </w:r>
          </w:p>
        </w:tc>
        <w:tc>
          <w:tcPr>
            <w:tcW w:w="851" w:type="dxa"/>
            <w:vAlign w:val="center"/>
          </w:tcPr>
          <w:p w14:paraId="66F2D04D" w14:textId="613399A5" w:rsidR="00E402A4" w:rsidRPr="00363CF9" w:rsidRDefault="00AA77DA" w:rsidP="00455437">
            <w:pPr>
              <w:pStyle w:val="Table-Text"/>
              <w:keepLines/>
              <w:tabs>
                <w:tab w:val="decimal" w:pos="514"/>
              </w:tabs>
              <w:spacing w:before="40" w:after="40"/>
            </w:pPr>
            <w:r>
              <w:t>37</w:t>
            </w:r>
          </w:p>
        </w:tc>
        <w:tc>
          <w:tcPr>
            <w:tcW w:w="850" w:type="dxa"/>
            <w:vAlign w:val="center"/>
          </w:tcPr>
          <w:p w14:paraId="0C2DF923" w14:textId="544F81FF" w:rsidR="00E402A4" w:rsidRPr="00363CF9" w:rsidRDefault="00AA77DA" w:rsidP="00455437">
            <w:pPr>
              <w:pStyle w:val="Table-Text"/>
              <w:keepLines/>
              <w:tabs>
                <w:tab w:val="decimal" w:pos="376"/>
              </w:tabs>
              <w:spacing w:before="40" w:after="40"/>
            </w:pPr>
            <w:r>
              <w:t>2.9</w:t>
            </w:r>
          </w:p>
        </w:tc>
        <w:tc>
          <w:tcPr>
            <w:tcW w:w="851" w:type="dxa"/>
            <w:vAlign w:val="center"/>
          </w:tcPr>
          <w:p w14:paraId="5ABB5B0D" w14:textId="1604EA6D" w:rsidR="00E402A4" w:rsidRPr="00363CF9" w:rsidRDefault="00AA77DA" w:rsidP="00455437">
            <w:pPr>
              <w:pStyle w:val="Table-Text"/>
              <w:keepLines/>
              <w:tabs>
                <w:tab w:val="decimal" w:pos="505"/>
              </w:tabs>
              <w:spacing w:before="40" w:after="40"/>
            </w:pPr>
            <w:r>
              <w:t>36</w:t>
            </w:r>
          </w:p>
        </w:tc>
        <w:tc>
          <w:tcPr>
            <w:tcW w:w="850" w:type="dxa"/>
          </w:tcPr>
          <w:p w14:paraId="60A0E96C" w14:textId="43840555" w:rsidR="00E402A4" w:rsidRPr="00363CF9" w:rsidRDefault="00AA77DA" w:rsidP="00455437">
            <w:pPr>
              <w:pStyle w:val="Table-Text"/>
              <w:keepLines/>
              <w:tabs>
                <w:tab w:val="decimal" w:pos="376"/>
              </w:tabs>
              <w:spacing w:before="40" w:after="40"/>
            </w:pPr>
            <w:r>
              <w:t>1.3</w:t>
            </w:r>
          </w:p>
        </w:tc>
        <w:tc>
          <w:tcPr>
            <w:tcW w:w="851" w:type="dxa"/>
          </w:tcPr>
          <w:p w14:paraId="1827BD10" w14:textId="56E7E7AB" w:rsidR="00E402A4" w:rsidRPr="00363CF9" w:rsidRDefault="00AA77DA" w:rsidP="00455437">
            <w:pPr>
              <w:pStyle w:val="Table-Text"/>
              <w:keepLines/>
              <w:tabs>
                <w:tab w:val="decimal" w:pos="511"/>
              </w:tabs>
              <w:spacing w:before="40" w:after="40"/>
            </w:pPr>
            <w:r>
              <w:t>38</w:t>
            </w:r>
          </w:p>
        </w:tc>
      </w:tr>
      <w:tr w:rsidR="00EF4191" w:rsidRPr="00363CF9" w14:paraId="5C1C16C5" w14:textId="77777777" w:rsidTr="00775A75">
        <w:tc>
          <w:tcPr>
            <w:tcW w:w="1985" w:type="dxa"/>
          </w:tcPr>
          <w:p w14:paraId="4625E95C" w14:textId="305DA2F8" w:rsidR="00E402A4" w:rsidRPr="00072DC1" w:rsidRDefault="00E402A4" w:rsidP="00455437">
            <w:pPr>
              <w:pStyle w:val="Table-Text"/>
              <w:keepLines/>
              <w:spacing w:before="40" w:after="40"/>
              <w:rPr>
                <w:rStyle w:val="Strong"/>
              </w:rPr>
            </w:pPr>
            <w:r w:rsidRPr="00072DC1">
              <w:rPr>
                <w:rStyle w:val="Strong"/>
              </w:rPr>
              <w:t>Japan</w:t>
            </w:r>
          </w:p>
        </w:tc>
        <w:tc>
          <w:tcPr>
            <w:tcW w:w="850" w:type="dxa"/>
          </w:tcPr>
          <w:p w14:paraId="37763A1A" w14:textId="451F0765" w:rsidR="00E402A4" w:rsidRPr="00363CF9" w:rsidRDefault="00AA77DA" w:rsidP="00455437">
            <w:pPr>
              <w:pStyle w:val="Table-Text"/>
              <w:keepLines/>
              <w:tabs>
                <w:tab w:val="decimal" w:pos="376"/>
              </w:tabs>
              <w:spacing w:before="40" w:after="40"/>
            </w:pPr>
            <w:r>
              <w:t>3.7</w:t>
            </w:r>
          </w:p>
        </w:tc>
        <w:tc>
          <w:tcPr>
            <w:tcW w:w="851" w:type="dxa"/>
          </w:tcPr>
          <w:p w14:paraId="4D9FBC74" w14:textId="552493A5" w:rsidR="00E402A4" w:rsidRPr="00363CF9" w:rsidRDefault="00AA77DA" w:rsidP="00455437">
            <w:pPr>
              <w:pStyle w:val="Table-Text"/>
              <w:keepLines/>
              <w:tabs>
                <w:tab w:val="decimal" w:pos="508"/>
              </w:tabs>
              <w:spacing w:before="40" w:after="40"/>
            </w:pPr>
            <w:r>
              <w:t>3</w:t>
            </w:r>
          </w:p>
        </w:tc>
        <w:tc>
          <w:tcPr>
            <w:tcW w:w="850" w:type="dxa"/>
            <w:shd w:val="clear" w:color="auto" w:fill="auto"/>
            <w:vAlign w:val="bottom"/>
          </w:tcPr>
          <w:p w14:paraId="040D9326" w14:textId="7DADC7AF" w:rsidR="00E402A4" w:rsidRPr="00363CF9" w:rsidRDefault="00AA77DA" w:rsidP="00455437">
            <w:pPr>
              <w:pStyle w:val="Table-Text"/>
              <w:keepLines/>
              <w:tabs>
                <w:tab w:val="decimal" w:pos="362"/>
              </w:tabs>
              <w:spacing w:before="40" w:after="40"/>
            </w:pPr>
            <w:r>
              <w:t>3.9</w:t>
            </w:r>
          </w:p>
        </w:tc>
        <w:tc>
          <w:tcPr>
            <w:tcW w:w="851" w:type="dxa"/>
            <w:vAlign w:val="center"/>
          </w:tcPr>
          <w:p w14:paraId="17D2C697" w14:textId="3E38ECDD" w:rsidR="00E402A4" w:rsidRPr="00363CF9" w:rsidRDefault="00AA77DA" w:rsidP="00455437">
            <w:pPr>
              <w:pStyle w:val="Table-Text"/>
              <w:keepLines/>
              <w:tabs>
                <w:tab w:val="decimal" w:pos="514"/>
              </w:tabs>
              <w:spacing w:before="40" w:after="40"/>
            </w:pPr>
            <w:r>
              <w:t>9</w:t>
            </w:r>
          </w:p>
        </w:tc>
        <w:tc>
          <w:tcPr>
            <w:tcW w:w="850" w:type="dxa"/>
            <w:vAlign w:val="center"/>
          </w:tcPr>
          <w:p w14:paraId="0C1941A9" w14:textId="5CE1F129" w:rsidR="00E402A4" w:rsidRPr="00363CF9" w:rsidRDefault="00AA77DA" w:rsidP="00455437">
            <w:pPr>
              <w:pStyle w:val="Table-Text"/>
              <w:keepLines/>
              <w:tabs>
                <w:tab w:val="decimal" w:pos="376"/>
              </w:tabs>
              <w:spacing w:before="40" w:after="40"/>
            </w:pPr>
            <w:r>
              <w:t>5.0</w:t>
            </w:r>
          </w:p>
        </w:tc>
        <w:tc>
          <w:tcPr>
            <w:tcW w:w="851" w:type="dxa"/>
            <w:vAlign w:val="center"/>
          </w:tcPr>
          <w:p w14:paraId="3FF8A9B7" w14:textId="1B84CD3B" w:rsidR="00E402A4" w:rsidRPr="00363CF9" w:rsidRDefault="00AA77DA" w:rsidP="00455437">
            <w:pPr>
              <w:pStyle w:val="Table-Text"/>
              <w:keepLines/>
              <w:tabs>
                <w:tab w:val="decimal" w:pos="505"/>
              </w:tabs>
              <w:spacing w:before="40" w:after="40"/>
            </w:pPr>
            <w:r>
              <w:t>4</w:t>
            </w:r>
          </w:p>
        </w:tc>
        <w:tc>
          <w:tcPr>
            <w:tcW w:w="850" w:type="dxa"/>
          </w:tcPr>
          <w:p w14:paraId="4193A999" w14:textId="7E9D4630" w:rsidR="00E402A4" w:rsidRPr="00363CF9" w:rsidRDefault="00AA77DA" w:rsidP="00455437">
            <w:pPr>
              <w:pStyle w:val="Table-Text"/>
              <w:keepLines/>
              <w:tabs>
                <w:tab w:val="decimal" w:pos="376"/>
              </w:tabs>
              <w:spacing w:before="40" w:after="40"/>
            </w:pPr>
            <w:r>
              <w:t>4.1</w:t>
            </w:r>
          </w:p>
        </w:tc>
        <w:tc>
          <w:tcPr>
            <w:tcW w:w="851" w:type="dxa"/>
          </w:tcPr>
          <w:p w14:paraId="58DE1D6F" w14:textId="119F08E8" w:rsidR="00E402A4" w:rsidRPr="00363CF9" w:rsidRDefault="00AA77DA" w:rsidP="00455437">
            <w:pPr>
              <w:pStyle w:val="Table-Text"/>
              <w:keepLines/>
              <w:tabs>
                <w:tab w:val="decimal" w:pos="511"/>
              </w:tabs>
              <w:spacing w:before="40" w:after="40"/>
            </w:pPr>
            <w:r>
              <w:t>1</w:t>
            </w:r>
          </w:p>
        </w:tc>
      </w:tr>
      <w:tr w:rsidR="00EF4191" w:rsidRPr="00363CF9" w14:paraId="19319C38" w14:textId="77777777" w:rsidTr="00775A75">
        <w:tc>
          <w:tcPr>
            <w:tcW w:w="1985" w:type="dxa"/>
          </w:tcPr>
          <w:p w14:paraId="46EBD62E" w14:textId="07E47544" w:rsidR="00E402A4" w:rsidRPr="00072DC1" w:rsidRDefault="00E402A4" w:rsidP="00455437">
            <w:pPr>
              <w:pStyle w:val="Table-Text"/>
              <w:keepLines/>
              <w:spacing w:before="40" w:after="40"/>
              <w:rPr>
                <w:rStyle w:val="Strong"/>
              </w:rPr>
            </w:pPr>
            <w:r w:rsidRPr="00072DC1">
              <w:rPr>
                <w:rStyle w:val="Strong"/>
              </w:rPr>
              <w:t>Korea</w:t>
            </w:r>
          </w:p>
        </w:tc>
        <w:tc>
          <w:tcPr>
            <w:tcW w:w="850" w:type="dxa"/>
          </w:tcPr>
          <w:p w14:paraId="608485D7" w14:textId="7A4D6E67" w:rsidR="00E402A4" w:rsidRPr="00363CF9" w:rsidRDefault="00AA77DA" w:rsidP="00455437">
            <w:pPr>
              <w:pStyle w:val="Table-Text"/>
              <w:keepLines/>
              <w:tabs>
                <w:tab w:val="decimal" w:pos="376"/>
              </w:tabs>
              <w:spacing w:before="40" w:after="40"/>
            </w:pPr>
            <w:r>
              <w:t>3.5</w:t>
            </w:r>
          </w:p>
        </w:tc>
        <w:tc>
          <w:tcPr>
            <w:tcW w:w="851" w:type="dxa"/>
          </w:tcPr>
          <w:p w14:paraId="570F6EDB" w14:textId="58BACE90" w:rsidR="00E402A4" w:rsidRPr="00363CF9" w:rsidRDefault="00AA77DA" w:rsidP="00455437">
            <w:pPr>
              <w:pStyle w:val="Table-Text"/>
              <w:keepLines/>
              <w:tabs>
                <w:tab w:val="decimal" w:pos="508"/>
              </w:tabs>
              <w:spacing w:before="40" w:after="40"/>
            </w:pPr>
            <w:r>
              <w:t>13</w:t>
            </w:r>
          </w:p>
        </w:tc>
        <w:tc>
          <w:tcPr>
            <w:tcW w:w="850" w:type="dxa"/>
            <w:shd w:val="clear" w:color="auto" w:fill="auto"/>
            <w:vAlign w:val="bottom"/>
          </w:tcPr>
          <w:p w14:paraId="061CBB07" w14:textId="28DA2A57" w:rsidR="00E402A4" w:rsidRPr="00363CF9" w:rsidRDefault="00AA77DA" w:rsidP="00455437">
            <w:pPr>
              <w:pStyle w:val="Table-Text"/>
              <w:keepLines/>
              <w:tabs>
                <w:tab w:val="decimal" w:pos="362"/>
              </w:tabs>
              <w:spacing w:before="40" w:after="40"/>
            </w:pPr>
            <w:r>
              <w:t>3.8</w:t>
            </w:r>
          </w:p>
        </w:tc>
        <w:tc>
          <w:tcPr>
            <w:tcW w:w="851" w:type="dxa"/>
            <w:vAlign w:val="center"/>
          </w:tcPr>
          <w:p w14:paraId="173FAB80" w14:textId="6CB25923" w:rsidR="00E402A4" w:rsidRPr="00363CF9" w:rsidRDefault="00AA77DA" w:rsidP="00455437">
            <w:pPr>
              <w:pStyle w:val="Table-Text"/>
              <w:keepLines/>
              <w:tabs>
                <w:tab w:val="decimal" w:pos="514"/>
              </w:tabs>
              <w:spacing w:before="40" w:after="40"/>
            </w:pPr>
            <w:r>
              <w:t>10</w:t>
            </w:r>
          </w:p>
        </w:tc>
        <w:tc>
          <w:tcPr>
            <w:tcW w:w="850" w:type="dxa"/>
            <w:vAlign w:val="center"/>
          </w:tcPr>
          <w:p w14:paraId="00A30A92" w14:textId="7F5A82F0" w:rsidR="00E402A4" w:rsidRPr="00363CF9" w:rsidRDefault="00AA77DA" w:rsidP="00455437">
            <w:pPr>
              <w:pStyle w:val="Table-Text"/>
              <w:keepLines/>
              <w:tabs>
                <w:tab w:val="decimal" w:pos="376"/>
              </w:tabs>
              <w:spacing w:before="40" w:after="40"/>
            </w:pPr>
            <w:r>
              <w:t>4.3</w:t>
            </w:r>
          </w:p>
        </w:tc>
        <w:tc>
          <w:tcPr>
            <w:tcW w:w="851" w:type="dxa"/>
            <w:vAlign w:val="center"/>
          </w:tcPr>
          <w:p w14:paraId="09D937F1" w14:textId="1E8D7023" w:rsidR="00E402A4" w:rsidRPr="00363CF9" w:rsidRDefault="00AA77DA" w:rsidP="00455437">
            <w:pPr>
              <w:pStyle w:val="Table-Text"/>
              <w:keepLines/>
              <w:tabs>
                <w:tab w:val="decimal" w:pos="505"/>
              </w:tabs>
              <w:spacing w:before="40" w:after="40"/>
            </w:pPr>
            <w:r>
              <w:t>6</w:t>
            </w:r>
          </w:p>
        </w:tc>
        <w:tc>
          <w:tcPr>
            <w:tcW w:w="850" w:type="dxa"/>
          </w:tcPr>
          <w:p w14:paraId="6D43D52B" w14:textId="75F51602" w:rsidR="00E402A4" w:rsidRPr="00363CF9" w:rsidRDefault="00AA77DA" w:rsidP="00455437">
            <w:pPr>
              <w:pStyle w:val="Table-Text"/>
              <w:keepLines/>
              <w:tabs>
                <w:tab w:val="decimal" w:pos="376"/>
              </w:tabs>
              <w:spacing w:before="40" w:after="40"/>
            </w:pPr>
            <w:r>
              <w:t>3.2</w:t>
            </w:r>
          </w:p>
        </w:tc>
        <w:tc>
          <w:tcPr>
            <w:tcW w:w="851" w:type="dxa"/>
          </w:tcPr>
          <w:p w14:paraId="5E55B5F0" w14:textId="5AE99AD7" w:rsidR="00E402A4" w:rsidRPr="00363CF9" w:rsidRDefault="00AA77DA" w:rsidP="00455437">
            <w:pPr>
              <w:pStyle w:val="Table-Text"/>
              <w:keepLines/>
              <w:tabs>
                <w:tab w:val="decimal" w:pos="511"/>
              </w:tabs>
              <w:spacing w:before="40" w:after="40"/>
            </w:pPr>
            <w:r>
              <w:t>21</w:t>
            </w:r>
          </w:p>
        </w:tc>
      </w:tr>
      <w:tr w:rsidR="00EF4191" w:rsidRPr="00363CF9" w14:paraId="41927CF2" w14:textId="77777777" w:rsidTr="00775A75">
        <w:tc>
          <w:tcPr>
            <w:tcW w:w="1985" w:type="dxa"/>
          </w:tcPr>
          <w:p w14:paraId="41AD7934" w14:textId="54AD942B" w:rsidR="00E402A4" w:rsidRPr="00072DC1" w:rsidRDefault="00E402A4" w:rsidP="00455437">
            <w:pPr>
              <w:pStyle w:val="Table-Text"/>
              <w:keepLines/>
              <w:spacing w:before="40" w:after="40"/>
              <w:rPr>
                <w:rStyle w:val="Strong"/>
              </w:rPr>
            </w:pPr>
            <w:r w:rsidRPr="00072DC1">
              <w:rPr>
                <w:rStyle w:val="Strong"/>
              </w:rPr>
              <w:t>Latvia</w:t>
            </w:r>
          </w:p>
        </w:tc>
        <w:tc>
          <w:tcPr>
            <w:tcW w:w="850" w:type="dxa"/>
          </w:tcPr>
          <w:p w14:paraId="370F87F9" w14:textId="7ECA1471" w:rsidR="00E402A4" w:rsidRPr="00363CF9" w:rsidRDefault="00AA77DA" w:rsidP="00455437">
            <w:pPr>
              <w:pStyle w:val="Table-Text"/>
              <w:keepLines/>
              <w:tabs>
                <w:tab w:val="decimal" w:pos="376"/>
              </w:tabs>
              <w:spacing w:before="40" w:after="40"/>
            </w:pPr>
            <w:r>
              <w:t>3.0</w:t>
            </w:r>
          </w:p>
        </w:tc>
        <w:tc>
          <w:tcPr>
            <w:tcW w:w="851" w:type="dxa"/>
          </w:tcPr>
          <w:p w14:paraId="69E02B41" w14:textId="0BD67229" w:rsidR="00E402A4" w:rsidRPr="00363CF9" w:rsidRDefault="00AA77DA" w:rsidP="00455437">
            <w:pPr>
              <w:pStyle w:val="Table-Text"/>
              <w:keepLines/>
              <w:tabs>
                <w:tab w:val="decimal" w:pos="508"/>
              </w:tabs>
              <w:spacing w:before="40" w:after="40"/>
            </w:pPr>
            <w:r>
              <w:t>32</w:t>
            </w:r>
          </w:p>
        </w:tc>
        <w:tc>
          <w:tcPr>
            <w:tcW w:w="850" w:type="dxa"/>
            <w:shd w:val="clear" w:color="auto" w:fill="auto"/>
            <w:vAlign w:val="bottom"/>
          </w:tcPr>
          <w:p w14:paraId="57E8479C" w14:textId="019F4D62" w:rsidR="00E402A4" w:rsidRPr="00363CF9" w:rsidRDefault="00AA77DA" w:rsidP="00455437">
            <w:pPr>
              <w:pStyle w:val="Table-Text"/>
              <w:keepLines/>
              <w:tabs>
                <w:tab w:val="decimal" w:pos="362"/>
              </w:tabs>
              <w:spacing w:before="40" w:after="40"/>
            </w:pPr>
            <w:r>
              <w:t>3.0</w:t>
            </w:r>
          </w:p>
        </w:tc>
        <w:tc>
          <w:tcPr>
            <w:tcW w:w="851" w:type="dxa"/>
            <w:vAlign w:val="center"/>
          </w:tcPr>
          <w:p w14:paraId="05101433" w14:textId="3F132C4A" w:rsidR="00E402A4" w:rsidRPr="00363CF9" w:rsidRDefault="00AA77DA" w:rsidP="00455437">
            <w:pPr>
              <w:pStyle w:val="Table-Text"/>
              <w:keepLines/>
              <w:tabs>
                <w:tab w:val="decimal" w:pos="514"/>
              </w:tabs>
              <w:spacing w:before="40" w:after="40"/>
            </w:pPr>
            <w:r>
              <w:t>34</w:t>
            </w:r>
          </w:p>
        </w:tc>
        <w:tc>
          <w:tcPr>
            <w:tcW w:w="850" w:type="dxa"/>
            <w:vAlign w:val="center"/>
          </w:tcPr>
          <w:p w14:paraId="54E3AAEA" w14:textId="6299A962" w:rsidR="00E402A4" w:rsidRPr="00363CF9" w:rsidRDefault="00AA77DA" w:rsidP="00455437">
            <w:pPr>
              <w:pStyle w:val="Table-Text"/>
              <w:keepLines/>
              <w:tabs>
                <w:tab w:val="decimal" w:pos="376"/>
              </w:tabs>
              <w:spacing w:before="40" w:after="40"/>
            </w:pPr>
            <w:r>
              <w:t>3.0</w:t>
            </w:r>
          </w:p>
        </w:tc>
        <w:tc>
          <w:tcPr>
            <w:tcW w:w="851" w:type="dxa"/>
            <w:vAlign w:val="center"/>
          </w:tcPr>
          <w:p w14:paraId="3D20AA4D" w14:textId="0BE8A179" w:rsidR="00E402A4" w:rsidRPr="00363CF9" w:rsidRDefault="00AA77DA" w:rsidP="00455437">
            <w:pPr>
              <w:pStyle w:val="Table-Text"/>
              <w:keepLines/>
              <w:tabs>
                <w:tab w:val="decimal" w:pos="505"/>
              </w:tabs>
              <w:spacing w:before="40" w:after="40"/>
            </w:pPr>
            <w:r>
              <w:t>34</w:t>
            </w:r>
          </w:p>
        </w:tc>
        <w:tc>
          <w:tcPr>
            <w:tcW w:w="850" w:type="dxa"/>
          </w:tcPr>
          <w:p w14:paraId="293216E7" w14:textId="598BA876" w:rsidR="00E402A4" w:rsidRPr="00363CF9" w:rsidRDefault="00AA77DA" w:rsidP="00455437">
            <w:pPr>
              <w:pStyle w:val="Table-Text"/>
              <w:keepLines/>
              <w:tabs>
                <w:tab w:val="decimal" w:pos="376"/>
              </w:tabs>
              <w:spacing w:before="40" w:after="40"/>
            </w:pPr>
            <w:r>
              <w:t>3.0</w:t>
            </w:r>
          </w:p>
        </w:tc>
        <w:tc>
          <w:tcPr>
            <w:tcW w:w="851" w:type="dxa"/>
          </w:tcPr>
          <w:p w14:paraId="01A567F9" w14:textId="504C1CAB" w:rsidR="00E402A4" w:rsidRPr="00363CF9" w:rsidRDefault="00AA77DA" w:rsidP="00455437">
            <w:pPr>
              <w:pStyle w:val="Table-Text"/>
              <w:keepLines/>
              <w:tabs>
                <w:tab w:val="decimal" w:pos="511"/>
              </w:tabs>
              <w:spacing w:before="40" w:after="40"/>
            </w:pPr>
            <w:r>
              <w:t>30</w:t>
            </w:r>
          </w:p>
        </w:tc>
      </w:tr>
      <w:tr w:rsidR="00EF4191" w:rsidRPr="00363CF9" w14:paraId="1F0717E0" w14:textId="77777777" w:rsidTr="00775A75">
        <w:tc>
          <w:tcPr>
            <w:tcW w:w="1985" w:type="dxa"/>
          </w:tcPr>
          <w:p w14:paraId="1EF64669" w14:textId="28381A24" w:rsidR="00E402A4" w:rsidRPr="00072DC1" w:rsidRDefault="00E402A4" w:rsidP="00455437">
            <w:pPr>
              <w:pStyle w:val="Table-Text"/>
              <w:keepLines/>
              <w:spacing w:before="40" w:after="40"/>
              <w:rPr>
                <w:rStyle w:val="Strong"/>
              </w:rPr>
            </w:pPr>
            <w:r w:rsidRPr="00072DC1">
              <w:rPr>
                <w:rStyle w:val="Strong"/>
              </w:rPr>
              <w:t>Lithuania</w:t>
            </w:r>
          </w:p>
        </w:tc>
        <w:tc>
          <w:tcPr>
            <w:tcW w:w="850" w:type="dxa"/>
          </w:tcPr>
          <w:p w14:paraId="68F7F765" w14:textId="3E5AA894" w:rsidR="00E402A4" w:rsidRPr="00363CF9" w:rsidRDefault="00AA77DA" w:rsidP="00455437">
            <w:pPr>
              <w:pStyle w:val="Table-Text"/>
              <w:keepLines/>
              <w:tabs>
                <w:tab w:val="decimal" w:pos="376"/>
              </w:tabs>
              <w:spacing w:before="40" w:after="40"/>
            </w:pPr>
            <w:r>
              <w:t>2.9</w:t>
            </w:r>
          </w:p>
        </w:tc>
        <w:tc>
          <w:tcPr>
            <w:tcW w:w="851" w:type="dxa"/>
          </w:tcPr>
          <w:p w14:paraId="0BDAC1F3" w14:textId="1CEAD97E" w:rsidR="00E402A4" w:rsidRPr="00363CF9" w:rsidRDefault="00AA77DA" w:rsidP="00455437">
            <w:pPr>
              <w:pStyle w:val="Table-Text"/>
              <w:keepLines/>
              <w:tabs>
                <w:tab w:val="decimal" w:pos="508"/>
              </w:tabs>
              <w:spacing w:before="40" w:after="40"/>
            </w:pPr>
            <w:r>
              <w:t>33</w:t>
            </w:r>
          </w:p>
        </w:tc>
        <w:tc>
          <w:tcPr>
            <w:tcW w:w="850" w:type="dxa"/>
            <w:shd w:val="clear" w:color="auto" w:fill="auto"/>
            <w:vAlign w:val="bottom"/>
          </w:tcPr>
          <w:p w14:paraId="624F3C1A" w14:textId="5ECA9B08" w:rsidR="00E402A4" w:rsidRPr="00363CF9" w:rsidRDefault="00AA77DA" w:rsidP="00455437">
            <w:pPr>
              <w:pStyle w:val="Table-Text"/>
              <w:keepLines/>
              <w:tabs>
                <w:tab w:val="decimal" w:pos="362"/>
              </w:tabs>
              <w:spacing w:before="40" w:after="40"/>
            </w:pPr>
            <w:r>
              <w:t>3.5</w:t>
            </w:r>
          </w:p>
        </w:tc>
        <w:tc>
          <w:tcPr>
            <w:tcW w:w="851" w:type="dxa"/>
            <w:vAlign w:val="center"/>
          </w:tcPr>
          <w:p w14:paraId="14C18D76" w14:textId="2A894F6A" w:rsidR="00E402A4" w:rsidRPr="00363CF9" w:rsidRDefault="00AA77DA" w:rsidP="00455437">
            <w:pPr>
              <w:pStyle w:val="Table-Text"/>
              <w:keepLines/>
              <w:tabs>
                <w:tab w:val="decimal" w:pos="514"/>
              </w:tabs>
              <w:spacing w:before="40" w:after="40"/>
            </w:pPr>
            <w:r>
              <w:t>28</w:t>
            </w:r>
          </w:p>
        </w:tc>
        <w:tc>
          <w:tcPr>
            <w:tcW w:w="850" w:type="dxa"/>
            <w:vAlign w:val="center"/>
          </w:tcPr>
          <w:p w14:paraId="605C9D70" w14:textId="3285BD82" w:rsidR="00E402A4" w:rsidRPr="00363CF9" w:rsidRDefault="00AA77DA" w:rsidP="00455437">
            <w:pPr>
              <w:pStyle w:val="Table-Text"/>
              <w:keepLines/>
              <w:tabs>
                <w:tab w:val="decimal" w:pos="376"/>
              </w:tabs>
              <w:spacing w:before="40" w:after="40"/>
            </w:pPr>
            <w:r>
              <w:t>3.3</w:t>
            </w:r>
          </w:p>
        </w:tc>
        <w:tc>
          <w:tcPr>
            <w:tcW w:w="851" w:type="dxa"/>
            <w:vAlign w:val="center"/>
          </w:tcPr>
          <w:p w14:paraId="5C10CD05" w14:textId="48ADCAE2" w:rsidR="00E402A4" w:rsidRPr="00363CF9" w:rsidRDefault="00AA77DA" w:rsidP="00455437">
            <w:pPr>
              <w:pStyle w:val="Table-Text"/>
              <w:keepLines/>
              <w:tabs>
                <w:tab w:val="decimal" w:pos="505"/>
              </w:tabs>
              <w:spacing w:before="40" w:after="40"/>
            </w:pPr>
            <w:r>
              <w:t>25</w:t>
            </w:r>
          </w:p>
        </w:tc>
        <w:tc>
          <w:tcPr>
            <w:tcW w:w="850" w:type="dxa"/>
          </w:tcPr>
          <w:p w14:paraId="0B9611E9" w14:textId="3B1321CF" w:rsidR="00E402A4" w:rsidRPr="00363CF9" w:rsidRDefault="00AA77DA" w:rsidP="00455437">
            <w:pPr>
              <w:pStyle w:val="Table-Text"/>
              <w:keepLines/>
              <w:tabs>
                <w:tab w:val="decimal" w:pos="376"/>
              </w:tabs>
              <w:spacing w:before="40" w:after="40"/>
            </w:pPr>
            <w:r>
              <w:t>3.2</w:t>
            </w:r>
          </w:p>
        </w:tc>
        <w:tc>
          <w:tcPr>
            <w:tcW w:w="851" w:type="dxa"/>
          </w:tcPr>
          <w:p w14:paraId="1739CA00" w14:textId="71E9835F" w:rsidR="00E402A4" w:rsidRPr="00363CF9" w:rsidRDefault="00AA77DA" w:rsidP="00455437">
            <w:pPr>
              <w:pStyle w:val="Table-Text"/>
              <w:keepLines/>
              <w:tabs>
                <w:tab w:val="decimal" w:pos="511"/>
              </w:tabs>
              <w:spacing w:before="40" w:after="40"/>
            </w:pPr>
            <w:r>
              <w:t>24</w:t>
            </w:r>
          </w:p>
        </w:tc>
      </w:tr>
      <w:tr w:rsidR="00EF4191" w:rsidRPr="00363CF9" w14:paraId="5A2B4E86" w14:textId="77777777" w:rsidTr="00775A75">
        <w:tc>
          <w:tcPr>
            <w:tcW w:w="1985" w:type="dxa"/>
          </w:tcPr>
          <w:p w14:paraId="0E3B54CC" w14:textId="1504942B" w:rsidR="00E402A4" w:rsidRPr="00072DC1" w:rsidRDefault="00E402A4" w:rsidP="00455437">
            <w:pPr>
              <w:pStyle w:val="Table-Text"/>
              <w:keepLines/>
              <w:spacing w:before="40" w:after="40"/>
              <w:rPr>
                <w:rStyle w:val="Strong"/>
              </w:rPr>
            </w:pPr>
            <w:r w:rsidRPr="00072DC1">
              <w:rPr>
                <w:rStyle w:val="Strong"/>
              </w:rPr>
              <w:t>Luxembourg</w:t>
            </w:r>
          </w:p>
        </w:tc>
        <w:tc>
          <w:tcPr>
            <w:tcW w:w="850" w:type="dxa"/>
          </w:tcPr>
          <w:p w14:paraId="1530D008" w14:textId="2A541D80" w:rsidR="00E402A4" w:rsidRPr="00363CF9" w:rsidRDefault="00AA77DA" w:rsidP="00455437">
            <w:pPr>
              <w:pStyle w:val="Table-Text"/>
              <w:keepLines/>
              <w:tabs>
                <w:tab w:val="decimal" w:pos="376"/>
              </w:tabs>
              <w:spacing w:before="40" w:after="40"/>
            </w:pPr>
            <w:r>
              <w:t>3.3</w:t>
            </w:r>
          </w:p>
        </w:tc>
        <w:tc>
          <w:tcPr>
            <w:tcW w:w="851" w:type="dxa"/>
          </w:tcPr>
          <w:p w14:paraId="0CA9860C" w14:textId="7638F457" w:rsidR="00E402A4" w:rsidRPr="00363CF9" w:rsidRDefault="00AA77DA" w:rsidP="00455437">
            <w:pPr>
              <w:pStyle w:val="Table-Text"/>
              <w:keepLines/>
              <w:tabs>
                <w:tab w:val="decimal" w:pos="508"/>
              </w:tabs>
              <w:spacing w:before="40" w:after="40"/>
            </w:pPr>
            <w:r>
              <w:t>17</w:t>
            </w:r>
          </w:p>
        </w:tc>
        <w:tc>
          <w:tcPr>
            <w:tcW w:w="850" w:type="dxa"/>
            <w:shd w:val="clear" w:color="auto" w:fill="auto"/>
            <w:vAlign w:val="bottom"/>
          </w:tcPr>
          <w:p w14:paraId="5E88243E" w14:textId="3E511B58" w:rsidR="00E402A4" w:rsidRPr="00363CF9" w:rsidRDefault="00AA77DA" w:rsidP="00455437">
            <w:pPr>
              <w:pStyle w:val="Table-Text"/>
              <w:keepLines/>
              <w:tabs>
                <w:tab w:val="decimal" w:pos="362"/>
              </w:tabs>
              <w:spacing w:before="40" w:after="40"/>
            </w:pPr>
            <w:r>
              <w:t>3.5</w:t>
            </w:r>
          </w:p>
        </w:tc>
        <w:tc>
          <w:tcPr>
            <w:tcW w:w="851" w:type="dxa"/>
            <w:vAlign w:val="center"/>
          </w:tcPr>
          <w:p w14:paraId="27E34CF8" w14:textId="0CB0E16D" w:rsidR="00E402A4" w:rsidRPr="00363CF9" w:rsidRDefault="00AA77DA" w:rsidP="00455437">
            <w:pPr>
              <w:pStyle w:val="Table-Text"/>
              <w:keepLines/>
              <w:tabs>
                <w:tab w:val="decimal" w:pos="514"/>
              </w:tabs>
              <w:spacing w:before="40" w:after="40"/>
            </w:pPr>
            <w:r>
              <w:t>26</w:t>
            </w:r>
          </w:p>
        </w:tc>
        <w:tc>
          <w:tcPr>
            <w:tcW w:w="850" w:type="dxa"/>
            <w:vAlign w:val="center"/>
          </w:tcPr>
          <w:p w14:paraId="560C95E4" w14:textId="79AE8480" w:rsidR="00E402A4" w:rsidRPr="00363CF9" w:rsidRDefault="00AA77DA" w:rsidP="00455437">
            <w:pPr>
              <w:pStyle w:val="Table-Text"/>
              <w:keepLines/>
              <w:tabs>
                <w:tab w:val="decimal" w:pos="376"/>
              </w:tabs>
              <w:spacing w:before="40" w:after="40"/>
            </w:pPr>
            <w:r>
              <w:t>3.6</w:t>
            </w:r>
          </w:p>
        </w:tc>
        <w:tc>
          <w:tcPr>
            <w:tcW w:w="851" w:type="dxa"/>
            <w:vAlign w:val="center"/>
          </w:tcPr>
          <w:p w14:paraId="3BDF36D4" w14:textId="3B646940" w:rsidR="00E402A4" w:rsidRPr="00363CF9" w:rsidRDefault="00AA77DA" w:rsidP="00455437">
            <w:pPr>
              <w:pStyle w:val="Table-Text"/>
              <w:keepLines/>
              <w:tabs>
                <w:tab w:val="decimal" w:pos="505"/>
              </w:tabs>
              <w:spacing w:before="40" w:after="40"/>
            </w:pPr>
            <w:r>
              <w:t>21</w:t>
            </w:r>
          </w:p>
        </w:tc>
        <w:tc>
          <w:tcPr>
            <w:tcW w:w="850" w:type="dxa"/>
          </w:tcPr>
          <w:p w14:paraId="7D47252D" w14:textId="51B0717E" w:rsidR="00E402A4" w:rsidRPr="00363CF9" w:rsidRDefault="00AA77DA" w:rsidP="00455437">
            <w:pPr>
              <w:pStyle w:val="Table-Text"/>
              <w:keepLines/>
              <w:tabs>
                <w:tab w:val="decimal" w:pos="376"/>
              </w:tabs>
              <w:spacing w:before="40" w:after="40"/>
            </w:pPr>
            <w:r>
              <w:t>3.7</w:t>
            </w:r>
          </w:p>
        </w:tc>
        <w:tc>
          <w:tcPr>
            <w:tcW w:w="851" w:type="dxa"/>
          </w:tcPr>
          <w:p w14:paraId="2D6A1819" w14:textId="5E4DAA6A" w:rsidR="00E402A4" w:rsidRPr="00363CF9" w:rsidRDefault="00AA77DA" w:rsidP="00455437">
            <w:pPr>
              <w:pStyle w:val="Table-Text"/>
              <w:keepLines/>
              <w:tabs>
                <w:tab w:val="decimal" w:pos="511"/>
              </w:tabs>
              <w:spacing w:before="40" w:after="40"/>
            </w:pPr>
            <w:r>
              <w:t>4</w:t>
            </w:r>
          </w:p>
        </w:tc>
      </w:tr>
      <w:tr w:rsidR="00EF4191" w:rsidRPr="00363CF9" w14:paraId="6CD3F765" w14:textId="77777777" w:rsidTr="00775A75">
        <w:tc>
          <w:tcPr>
            <w:tcW w:w="1985" w:type="dxa"/>
          </w:tcPr>
          <w:p w14:paraId="4F4D5840" w14:textId="44B2903A" w:rsidR="00E402A4" w:rsidRPr="00072DC1" w:rsidRDefault="00E402A4" w:rsidP="00455437">
            <w:pPr>
              <w:pStyle w:val="Table-Text"/>
              <w:keepLines/>
              <w:spacing w:before="40" w:after="40"/>
              <w:rPr>
                <w:rStyle w:val="Strong"/>
              </w:rPr>
            </w:pPr>
            <w:r w:rsidRPr="00072DC1">
              <w:rPr>
                <w:rStyle w:val="Strong"/>
              </w:rPr>
              <w:t>Mexico</w:t>
            </w:r>
          </w:p>
        </w:tc>
        <w:tc>
          <w:tcPr>
            <w:tcW w:w="850" w:type="dxa"/>
          </w:tcPr>
          <w:p w14:paraId="653F6C3C" w14:textId="085C13BD" w:rsidR="00E402A4" w:rsidRPr="00363CF9" w:rsidRDefault="00AA77DA" w:rsidP="00455437">
            <w:pPr>
              <w:pStyle w:val="Table-Text"/>
              <w:keepLines/>
              <w:tabs>
                <w:tab w:val="decimal" w:pos="376"/>
              </w:tabs>
              <w:spacing w:before="40" w:after="40"/>
            </w:pPr>
            <w:r>
              <w:t>3.1</w:t>
            </w:r>
          </w:p>
        </w:tc>
        <w:tc>
          <w:tcPr>
            <w:tcW w:w="851" w:type="dxa"/>
          </w:tcPr>
          <w:p w14:paraId="4D282398" w14:textId="3FDB26A6" w:rsidR="00E402A4" w:rsidRPr="00363CF9" w:rsidRDefault="00AA77DA" w:rsidP="00455437">
            <w:pPr>
              <w:pStyle w:val="Table-Text"/>
              <w:keepLines/>
              <w:tabs>
                <w:tab w:val="decimal" w:pos="508"/>
              </w:tabs>
              <w:spacing w:before="40" w:after="40"/>
            </w:pPr>
            <w:r>
              <w:t>29</w:t>
            </w:r>
          </w:p>
        </w:tc>
        <w:tc>
          <w:tcPr>
            <w:tcW w:w="850" w:type="dxa"/>
            <w:shd w:val="clear" w:color="auto" w:fill="auto"/>
            <w:vAlign w:val="bottom"/>
          </w:tcPr>
          <w:p w14:paraId="17EA6A58" w14:textId="609564B4" w:rsidR="00E402A4" w:rsidRPr="00363CF9" w:rsidRDefault="00AA77DA" w:rsidP="00455437">
            <w:pPr>
              <w:pStyle w:val="Table-Text"/>
              <w:keepLines/>
              <w:tabs>
                <w:tab w:val="decimal" w:pos="362"/>
              </w:tabs>
              <w:spacing w:before="40" w:after="40"/>
            </w:pPr>
            <w:r>
              <w:t>3.9</w:t>
            </w:r>
          </w:p>
        </w:tc>
        <w:tc>
          <w:tcPr>
            <w:tcW w:w="851" w:type="dxa"/>
            <w:vAlign w:val="center"/>
          </w:tcPr>
          <w:p w14:paraId="16FE6992" w14:textId="06ED5E70" w:rsidR="00E402A4" w:rsidRPr="00363CF9" w:rsidRDefault="00AA77DA" w:rsidP="00455437">
            <w:pPr>
              <w:pStyle w:val="Table-Text"/>
              <w:keepLines/>
              <w:tabs>
                <w:tab w:val="decimal" w:pos="514"/>
              </w:tabs>
              <w:spacing w:before="40" w:after="40"/>
            </w:pPr>
            <w:r>
              <w:t>8</w:t>
            </w:r>
          </w:p>
        </w:tc>
        <w:tc>
          <w:tcPr>
            <w:tcW w:w="850" w:type="dxa"/>
            <w:vAlign w:val="center"/>
          </w:tcPr>
          <w:p w14:paraId="3924B0F9" w14:textId="3E954399" w:rsidR="00E402A4" w:rsidRPr="00363CF9" w:rsidRDefault="00AA77DA" w:rsidP="00455437">
            <w:pPr>
              <w:pStyle w:val="Table-Text"/>
              <w:keepLines/>
              <w:tabs>
                <w:tab w:val="decimal" w:pos="376"/>
              </w:tabs>
              <w:spacing w:before="40" w:after="40"/>
            </w:pPr>
            <w:r>
              <w:t>7.2</w:t>
            </w:r>
          </w:p>
        </w:tc>
        <w:tc>
          <w:tcPr>
            <w:tcW w:w="851" w:type="dxa"/>
            <w:vAlign w:val="center"/>
          </w:tcPr>
          <w:p w14:paraId="4FA61D5E" w14:textId="754D033D" w:rsidR="00E402A4" w:rsidRPr="00363CF9" w:rsidRDefault="00AA77DA" w:rsidP="00455437">
            <w:pPr>
              <w:pStyle w:val="Table-Text"/>
              <w:keepLines/>
              <w:tabs>
                <w:tab w:val="decimal" w:pos="505"/>
              </w:tabs>
              <w:spacing w:before="40" w:after="40"/>
            </w:pPr>
            <w:r>
              <w:t>3</w:t>
            </w:r>
          </w:p>
        </w:tc>
        <w:tc>
          <w:tcPr>
            <w:tcW w:w="850" w:type="dxa"/>
          </w:tcPr>
          <w:p w14:paraId="32C181FB" w14:textId="12DD84BA" w:rsidR="00E402A4" w:rsidRPr="00363CF9" w:rsidRDefault="00AA77DA" w:rsidP="00455437">
            <w:pPr>
              <w:pStyle w:val="Table-Text"/>
              <w:keepLines/>
              <w:tabs>
                <w:tab w:val="decimal" w:pos="376"/>
              </w:tabs>
              <w:spacing w:before="40" w:after="40"/>
            </w:pPr>
            <w:r>
              <w:t>3.1</w:t>
            </w:r>
          </w:p>
        </w:tc>
        <w:tc>
          <w:tcPr>
            <w:tcW w:w="851" w:type="dxa"/>
          </w:tcPr>
          <w:p w14:paraId="44A44410" w14:textId="0BD4D4D5" w:rsidR="00E402A4" w:rsidRPr="00363CF9" w:rsidRDefault="00AA77DA" w:rsidP="00455437">
            <w:pPr>
              <w:pStyle w:val="Table-Text"/>
              <w:keepLines/>
              <w:tabs>
                <w:tab w:val="decimal" w:pos="511"/>
              </w:tabs>
              <w:spacing w:before="40" w:after="40"/>
            </w:pPr>
            <w:r>
              <w:t>27</w:t>
            </w:r>
          </w:p>
        </w:tc>
      </w:tr>
      <w:tr w:rsidR="00EF4191" w:rsidRPr="00363CF9" w14:paraId="40A53FF3" w14:textId="77777777" w:rsidTr="00775A75">
        <w:tc>
          <w:tcPr>
            <w:tcW w:w="1985" w:type="dxa"/>
          </w:tcPr>
          <w:p w14:paraId="344FE082" w14:textId="5EE05698" w:rsidR="00E402A4" w:rsidRPr="00072DC1" w:rsidRDefault="00E402A4" w:rsidP="00455437">
            <w:pPr>
              <w:pStyle w:val="Table-Text"/>
              <w:keepLines/>
              <w:spacing w:before="40" w:after="40"/>
              <w:rPr>
                <w:rStyle w:val="Strong"/>
              </w:rPr>
            </w:pPr>
            <w:r w:rsidRPr="00072DC1">
              <w:rPr>
                <w:rStyle w:val="Strong"/>
              </w:rPr>
              <w:t>Netherlands</w:t>
            </w:r>
          </w:p>
        </w:tc>
        <w:tc>
          <w:tcPr>
            <w:tcW w:w="850" w:type="dxa"/>
          </w:tcPr>
          <w:p w14:paraId="7764BCEE" w14:textId="7D11786F" w:rsidR="00E402A4" w:rsidRPr="00363CF9" w:rsidRDefault="00AA77DA" w:rsidP="00455437">
            <w:pPr>
              <w:pStyle w:val="Table-Text"/>
              <w:keepLines/>
              <w:tabs>
                <w:tab w:val="decimal" w:pos="376"/>
              </w:tabs>
              <w:spacing w:before="40" w:after="40"/>
            </w:pPr>
            <w:r>
              <w:t>4.0</w:t>
            </w:r>
          </w:p>
        </w:tc>
        <w:tc>
          <w:tcPr>
            <w:tcW w:w="851" w:type="dxa"/>
          </w:tcPr>
          <w:p w14:paraId="6EB0F144" w14:textId="23F73428" w:rsidR="00E402A4" w:rsidRPr="00363CF9" w:rsidRDefault="00AA77DA" w:rsidP="00455437">
            <w:pPr>
              <w:pStyle w:val="Table-Text"/>
              <w:keepLines/>
              <w:tabs>
                <w:tab w:val="decimal" w:pos="508"/>
              </w:tabs>
              <w:spacing w:before="40" w:after="40"/>
            </w:pPr>
            <w:r>
              <w:t>2</w:t>
            </w:r>
          </w:p>
        </w:tc>
        <w:tc>
          <w:tcPr>
            <w:tcW w:w="850" w:type="dxa"/>
            <w:shd w:val="clear" w:color="auto" w:fill="auto"/>
            <w:vAlign w:val="bottom"/>
          </w:tcPr>
          <w:p w14:paraId="1524B2D2" w14:textId="32985697" w:rsidR="00E402A4" w:rsidRPr="00363CF9" w:rsidRDefault="00AA77DA" w:rsidP="00455437">
            <w:pPr>
              <w:pStyle w:val="Table-Text"/>
              <w:keepLines/>
              <w:tabs>
                <w:tab w:val="decimal" w:pos="362"/>
              </w:tabs>
              <w:spacing w:before="40" w:after="40"/>
            </w:pPr>
            <w:r>
              <w:t>3.5</w:t>
            </w:r>
          </w:p>
        </w:tc>
        <w:tc>
          <w:tcPr>
            <w:tcW w:w="851" w:type="dxa"/>
            <w:vAlign w:val="center"/>
          </w:tcPr>
          <w:p w14:paraId="3BECD22B" w14:textId="15D56841" w:rsidR="00E402A4" w:rsidRPr="00363CF9" w:rsidRDefault="00AA77DA" w:rsidP="00455437">
            <w:pPr>
              <w:pStyle w:val="Table-Text"/>
              <w:keepLines/>
              <w:tabs>
                <w:tab w:val="decimal" w:pos="514"/>
              </w:tabs>
              <w:spacing w:before="40" w:after="40"/>
            </w:pPr>
            <w:r>
              <w:t>24</w:t>
            </w:r>
          </w:p>
        </w:tc>
        <w:tc>
          <w:tcPr>
            <w:tcW w:w="850" w:type="dxa"/>
            <w:vAlign w:val="center"/>
          </w:tcPr>
          <w:p w14:paraId="07479816" w14:textId="55D76214" w:rsidR="00E402A4" w:rsidRPr="00363CF9" w:rsidRDefault="00AA77DA" w:rsidP="00455437">
            <w:pPr>
              <w:pStyle w:val="Table-Text"/>
              <w:keepLines/>
              <w:tabs>
                <w:tab w:val="decimal" w:pos="376"/>
              </w:tabs>
              <w:spacing w:before="40" w:after="40"/>
            </w:pPr>
            <w:r>
              <w:t>3.7</w:t>
            </w:r>
          </w:p>
        </w:tc>
        <w:tc>
          <w:tcPr>
            <w:tcW w:w="851" w:type="dxa"/>
            <w:vAlign w:val="center"/>
          </w:tcPr>
          <w:p w14:paraId="60A23D03" w14:textId="664BF20A" w:rsidR="00E402A4" w:rsidRPr="00363CF9" w:rsidRDefault="00AA77DA" w:rsidP="00455437">
            <w:pPr>
              <w:pStyle w:val="Table-Text"/>
              <w:keepLines/>
              <w:tabs>
                <w:tab w:val="decimal" w:pos="505"/>
              </w:tabs>
              <w:spacing w:before="40" w:after="40"/>
            </w:pPr>
            <w:r>
              <w:t>16</w:t>
            </w:r>
          </w:p>
        </w:tc>
        <w:tc>
          <w:tcPr>
            <w:tcW w:w="850" w:type="dxa"/>
          </w:tcPr>
          <w:p w14:paraId="4B0B7EB2" w14:textId="72EB1AD0" w:rsidR="00E402A4" w:rsidRPr="00363CF9" w:rsidRDefault="00AA77DA" w:rsidP="00455437">
            <w:pPr>
              <w:pStyle w:val="Table-Text"/>
              <w:keepLines/>
              <w:tabs>
                <w:tab w:val="decimal" w:pos="376"/>
              </w:tabs>
              <w:spacing w:before="40" w:after="40"/>
            </w:pPr>
            <w:r>
              <w:t>3.3</w:t>
            </w:r>
          </w:p>
        </w:tc>
        <w:tc>
          <w:tcPr>
            <w:tcW w:w="851" w:type="dxa"/>
          </w:tcPr>
          <w:p w14:paraId="13084E01" w14:textId="6CA811BF" w:rsidR="00E402A4" w:rsidRPr="00363CF9" w:rsidRDefault="00AA77DA" w:rsidP="00455437">
            <w:pPr>
              <w:pStyle w:val="Table-Text"/>
              <w:keepLines/>
              <w:tabs>
                <w:tab w:val="decimal" w:pos="511"/>
              </w:tabs>
              <w:spacing w:before="40" w:after="40"/>
            </w:pPr>
            <w:r>
              <w:t>17</w:t>
            </w:r>
          </w:p>
        </w:tc>
      </w:tr>
      <w:tr w:rsidR="00D7059B" w:rsidRPr="00363CF9" w14:paraId="4E93865F" w14:textId="77777777" w:rsidTr="00775A75">
        <w:tc>
          <w:tcPr>
            <w:tcW w:w="1985" w:type="dxa"/>
            <w:shd w:val="clear" w:color="auto" w:fill="BFBFBF" w:themeFill="background1" w:themeFillShade="BF"/>
          </w:tcPr>
          <w:p w14:paraId="582A4E33" w14:textId="4C59DEEF" w:rsidR="00E402A4" w:rsidRPr="00072DC1" w:rsidRDefault="00E402A4" w:rsidP="00455437">
            <w:pPr>
              <w:pStyle w:val="Table-Text"/>
              <w:keepLines/>
              <w:spacing w:before="40" w:after="40"/>
              <w:rPr>
                <w:rStyle w:val="Strong"/>
              </w:rPr>
            </w:pPr>
            <w:r w:rsidRPr="00072DC1">
              <w:rPr>
                <w:rStyle w:val="Strong"/>
              </w:rPr>
              <w:t>New Zealand</w:t>
            </w:r>
          </w:p>
        </w:tc>
        <w:tc>
          <w:tcPr>
            <w:tcW w:w="850" w:type="dxa"/>
            <w:shd w:val="clear" w:color="auto" w:fill="BFBFBF" w:themeFill="background1" w:themeFillShade="BF"/>
          </w:tcPr>
          <w:p w14:paraId="6A06EBBE" w14:textId="0BCFEB64" w:rsidR="00E402A4" w:rsidRPr="00363CF9" w:rsidRDefault="00AA77DA" w:rsidP="00455437">
            <w:pPr>
              <w:pStyle w:val="Table-Text"/>
              <w:keepLines/>
              <w:tabs>
                <w:tab w:val="decimal" w:pos="376"/>
              </w:tabs>
              <w:spacing w:before="40" w:after="40"/>
            </w:pPr>
            <w:r>
              <w:t>4.1</w:t>
            </w:r>
          </w:p>
        </w:tc>
        <w:tc>
          <w:tcPr>
            <w:tcW w:w="851" w:type="dxa"/>
            <w:shd w:val="clear" w:color="auto" w:fill="BFBFBF" w:themeFill="background1" w:themeFillShade="BF"/>
          </w:tcPr>
          <w:p w14:paraId="268EC379" w14:textId="42FCB560" w:rsidR="00E402A4" w:rsidRPr="00363CF9" w:rsidRDefault="00AA77DA" w:rsidP="00455437">
            <w:pPr>
              <w:pStyle w:val="Table-Text"/>
              <w:keepLines/>
              <w:tabs>
                <w:tab w:val="decimal" w:pos="508"/>
              </w:tabs>
              <w:spacing w:before="40" w:after="40"/>
            </w:pPr>
            <w:r>
              <w:t>1</w:t>
            </w:r>
          </w:p>
        </w:tc>
        <w:tc>
          <w:tcPr>
            <w:tcW w:w="850" w:type="dxa"/>
            <w:shd w:val="clear" w:color="auto" w:fill="BFBFBF" w:themeFill="background1" w:themeFillShade="BF"/>
            <w:vAlign w:val="bottom"/>
          </w:tcPr>
          <w:p w14:paraId="4DEDBE91" w14:textId="4CE559DA" w:rsidR="00E402A4" w:rsidRPr="00363CF9" w:rsidRDefault="00AA77DA" w:rsidP="00455437">
            <w:pPr>
              <w:pStyle w:val="Table-Text"/>
              <w:keepLines/>
              <w:tabs>
                <w:tab w:val="decimal" w:pos="362"/>
              </w:tabs>
              <w:spacing w:before="40" w:after="40"/>
            </w:pPr>
            <w:r>
              <w:t>4.0</w:t>
            </w:r>
          </w:p>
        </w:tc>
        <w:tc>
          <w:tcPr>
            <w:tcW w:w="851" w:type="dxa"/>
            <w:shd w:val="clear" w:color="auto" w:fill="BFBFBF" w:themeFill="background1" w:themeFillShade="BF"/>
            <w:vAlign w:val="center"/>
          </w:tcPr>
          <w:p w14:paraId="34B490B3" w14:textId="7BE959CD" w:rsidR="00E402A4" w:rsidRPr="00363CF9" w:rsidRDefault="00AA77DA" w:rsidP="00455437">
            <w:pPr>
              <w:pStyle w:val="Table-Text"/>
              <w:keepLines/>
              <w:tabs>
                <w:tab w:val="decimal" w:pos="514"/>
              </w:tabs>
              <w:spacing w:before="40" w:after="40"/>
            </w:pPr>
            <w:r>
              <w:t>3</w:t>
            </w:r>
          </w:p>
        </w:tc>
        <w:tc>
          <w:tcPr>
            <w:tcW w:w="850" w:type="dxa"/>
            <w:shd w:val="clear" w:color="auto" w:fill="BFBFBF" w:themeFill="background1" w:themeFillShade="BF"/>
            <w:vAlign w:val="center"/>
          </w:tcPr>
          <w:p w14:paraId="0E1FFC92" w14:textId="69F06F85" w:rsidR="00E402A4" w:rsidRPr="00363CF9" w:rsidRDefault="00AA77DA" w:rsidP="00455437">
            <w:pPr>
              <w:pStyle w:val="Table-Text"/>
              <w:keepLines/>
              <w:tabs>
                <w:tab w:val="decimal" w:pos="376"/>
              </w:tabs>
              <w:spacing w:before="40" w:after="40"/>
            </w:pPr>
            <w:r>
              <w:t>3.7</w:t>
            </w:r>
          </w:p>
        </w:tc>
        <w:tc>
          <w:tcPr>
            <w:tcW w:w="851" w:type="dxa"/>
            <w:shd w:val="clear" w:color="auto" w:fill="BFBFBF" w:themeFill="background1" w:themeFillShade="BF"/>
            <w:vAlign w:val="center"/>
          </w:tcPr>
          <w:p w14:paraId="7C2922D6" w14:textId="46E677CD" w:rsidR="00E402A4" w:rsidRPr="00363CF9" w:rsidRDefault="00AA77DA" w:rsidP="00455437">
            <w:pPr>
              <w:pStyle w:val="Table-Text"/>
              <w:keepLines/>
              <w:tabs>
                <w:tab w:val="decimal" w:pos="505"/>
              </w:tabs>
              <w:spacing w:before="40" w:after="40"/>
            </w:pPr>
            <w:r>
              <w:t>18</w:t>
            </w:r>
          </w:p>
        </w:tc>
        <w:tc>
          <w:tcPr>
            <w:tcW w:w="850" w:type="dxa"/>
            <w:shd w:val="clear" w:color="auto" w:fill="BFBFBF" w:themeFill="background1" w:themeFillShade="BF"/>
          </w:tcPr>
          <w:p w14:paraId="512A559D" w14:textId="5BB33D2F" w:rsidR="00E402A4" w:rsidRPr="00363CF9" w:rsidRDefault="00AA77DA" w:rsidP="00455437">
            <w:pPr>
              <w:pStyle w:val="Table-Text"/>
              <w:keepLines/>
              <w:tabs>
                <w:tab w:val="decimal" w:pos="376"/>
              </w:tabs>
              <w:spacing w:before="40" w:after="40"/>
            </w:pPr>
            <w:r>
              <w:t>3.9</w:t>
            </w:r>
          </w:p>
        </w:tc>
        <w:tc>
          <w:tcPr>
            <w:tcW w:w="851" w:type="dxa"/>
            <w:shd w:val="clear" w:color="auto" w:fill="BFBFBF" w:themeFill="background1" w:themeFillShade="BF"/>
          </w:tcPr>
          <w:p w14:paraId="60235B33" w14:textId="494427BA" w:rsidR="00E402A4" w:rsidRPr="00363CF9" w:rsidRDefault="00AA77DA" w:rsidP="00455437">
            <w:pPr>
              <w:pStyle w:val="Table-Text"/>
              <w:keepLines/>
              <w:tabs>
                <w:tab w:val="decimal" w:pos="511"/>
              </w:tabs>
              <w:spacing w:before="40" w:after="40"/>
            </w:pPr>
            <w:r>
              <w:t>2</w:t>
            </w:r>
          </w:p>
        </w:tc>
      </w:tr>
      <w:tr w:rsidR="00EF4191" w:rsidRPr="00363CF9" w14:paraId="0A0F792A" w14:textId="77777777" w:rsidTr="00775A75">
        <w:tc>
          <w:tcPr>
            <w:tcW w:w="1985" w:type="dxa"/>
          </w:tcPr>
          <w:p w14:paraId="1628CA08" w14:textId="3E2F706B" w:rsidR="00E402A4" w:rsidRPr="00072DC1" w:rsidRDefault="00E402A4" w:rsidP="00455437">
            <w:pPr>
              <w:pStyle w:val="Table-Text"/>
              <w:keepLines/>
              <w:spacing w:before="40" w:after="40"/>
              <w:rPr>
                <w:rStyle w:val="Strong"/>
              </w:rPr>
            </w:pPr>
            <w:r w:rsidRPr="00072DC1">
              <w:rPr>
                <w:rStyle w:val="Strong"/>
              </w:rPr>
              <w:t>Norway</w:t>
            </w:r>
          </w:p>
        </w:tc>
        <w:tc>
          <w:tcPr>
            <w:tcW w:w="850" w:type="dxa"/>
          </w:tcPr>
          <w:p w14:paraId="35DB4BAE" w14:textId="245CD004" w:rsidR="00E402A4" w:rsidRPr="00363CF9" w:rsidRDefault="00AA77DA" w:rsidP="00455437">
            <w:pPr>
              <w:pStyle w:val="Table-Text"/>
              <w:keepLines/>
              <w:tabs>
                <w:tab w:val="decimal" w:pos="376"/>
              </w:tabs>
              <w:spacing w:before="40" w:after="40"/>
            </w:pPr>
            <w:r>
              <w:t>3.5</w:t>
            </w:r>
          </w:p>
        </w:tc>
        <w:tc>
          <w:tcPr>
            <w:tcW w:w="851" w:type="dxa"/>
          </w:tcPr>
          <w:p w14:paraId="38F32395" w14:textId="304CD1BF" w:rsidR="00E402A4" w:rsidRPr="00363CF9" w:rsidRDefault="00AA77DA" w:rsidP="00455437">
            <w:pPr>
              <w:pStyle w:val="Table-Text"/>
              <w:keepLines/>
              <w:tabs>
                <w:tab w:val="decimal" w:pos="508"/>
              </w:tabs>
              <w:spacing w:before="40" w:after="40"/>
            </w:pPr>
            <w:r>
              <w:t>9</w:t>
            </w:r>
          </w:p>
        </w:tc>
        <w:tc>
          <w:tcPr>
            <w:tcW w:w="850" w:type="dxa"/>
            <w:shd w:val="clear" w:color="auto" w:fill="auto"/>
            <w:vAlign w:val="bottom"/>
          </w:tcPr>
          <w:p w14:paraId="62A8EF02" w14:textId="5D3815C1" w:rsidR="00E402A4" w:rsidRPr="00363CF9" w:rsidRDefault="00AA77DA" w:rsidP="00455437">
            <w:pPr>
              <w:pStyle w:val="Table-Text"/>
              <w:keepLines/>
              <w:tabs>
                <w:tab w:val="decimal" w:pos="362"/>
              </w:tabs>
              <w:spacing w:before="40" w:after="40"/>
            </w:pPr>
            <w:r>
              <w:t>3.7</w:t>
            </w:r>
          </w:p>
        </w:tc>
        <w:tc>
          <w:tcPr>
            <w:tcW w:w="851" w:type="dxa"/>
            <w:vAlign w:val="center"/>
          </w:tcPr>
          <w:p w14:paraId="05E5FE71" w14:textId="39F70BCD" w:rsidR="00E402A4" w:rsidRPr="00363CF9" w:rsidRDefault="00AA77DA" w:rsidP="00455437">
            <w:pPr>
              <w:pStyle w:val="Table-Text"/>
              <w:keepLines/>
              <w:tabs>
                <w:tab w:val="decimal" w:pos="514"/>
              </w:tabs>
              <w:spacing w:before="40" w:after="40"/>
            </w:pPr>
            <w:r>
              <w:t>12</w:t>
            </w:r>
          </w:p>
        </w:tc>
        <w:tc>
          <w:tcPr>
            <w:tcW w:w="850" w:type="dxa"/>
            <w:vAlign w:val="center"/>
          </w:tcPr>
          <w:p w14:paraId="635ED8F1" w14:textId="35072FF4" w:rsidR="00E402A4" w:rsidRPr="00363CF9" w:rsidRDefault="00AA77DA" w:rsidP="00455437">
            <w:pPr>
              <w:pStyle w:val="Table-Text"/>
              <w:keepLines/>
              <w:tabs>
                <w:tab w:val="decimal" w:pos="376"/>
              </w:tabs>
              <w:spacing w:before="40" w:after="40"/>
            </w:pPr>
            <w:r>
              <w:t>3.1</w:t>
            </w:r>
          </w:p>
        </w:tc>
        <w:tc>
          <w:tcPr>
            <w:tcW w:w="851" w:type="dxa"/>
            <w:vAlign w:val="center"/>
          </w:tcPr>
          <w:p w14:paraId="48B56F9D" w14:textId="1A1701CD" w:rsidR="00E402A4" w:rsidRPr="00363CF9" w:rsidRDefault="00AA77DA" w:rsidP="00455437">
            <w:pPr>
              <w:pStyle w:val="Table-Text"/>
              <w:keepLines/>
              <w:tabs>
                <w:tab w:val="decimal" w:pos="505"/>
              </w:tabs>
              <w:spacing w:before="40" w:after="40"/>
            </w:pPr>
            <w:r>
              <w:t>30</w:t>
            </w:r>
          </w:p>
        </w:tc>
        <w:tc>
          <w:tcPr>
            <w:tcW w:w="850" w:type="dxa"/>
          </w:tcPr>
          <w:p w14:paraId="7387C09C" w14:textId="6109E172" w:rsidR="00E402A4" w:rsidRPr="00363CF9" w:rsidRDefault="00AA77DA" w:rsidP="00455437">
            <w:pPr>
              <w:pStyle w:val="Table-Text"/>
              <w:keepLines/>
              <w:tabs>
                <w:tab w:val="decimal" w:pos="376"/>
              </w:tabs>
              <w:spacing w:before="40" w:after="40"/>
            </w:pPr>
            <w:r>
              <w:t>3.5</w:t>
            </w:r>
          </w:p>
        </w:tc>
        <w:tc>
          <w:tcPr>
            <w:tcW w:w="851" w:type="dxa"/>
          </w:tcPr>
          <w:p w14:paraId="39F51410" w14:textId="27250FAD" w:rsidR="00E402A4" w:rsidRPr="00363CF9" w:rsidRDefault="00AA77DA" w:rsidP="00455437">
            <w:pPr>
              <w:pStyle w:val="Table-Text"/>
              <w:keepLines/>
              <w:tabs>
                <w:tab w:val="decimal" w:pos="511"/>
              </w:tabs>
              <w:spacing w:before="40" w:after="40"/>
            </w:pPr>
            <w:r>
              <w:t>11</w:t>
            </w:r>
          </w:p>
        </w:tc>
      </w:tr>
      <w:tr w:rsidR="00EF4191" w:rsidRPr="00363CF9" w14:paraId="378179A4" w14:textId="77777777" w:rsidTr="00775A75">
        <w:tc>
          <w:tcPr>
            <w:tcW w:w="1985" w:type="dxa"/>
          </w:tcPr>
          <w:p w14:paraId="3DC8F9F2" w14:textId="166857A4" w:rsidR="00E402A4" w:rsidRPr="00072DC1" w:rsidRDefault="00E402A4" w:rsidP="00455437">
            <w:pPr>
              <w:pStyle w:val="Table-Text"/>
              <w:keepLines/>
              <w:spacing w:before="40" w:after="40"/>
              <w:rPr>
                <w:rStyle w:val="Strong"/>
              </w:rPr>
            </w:pPr>
            <w:r w:rsidRPr="00072DC1">
              <w:rPr>
                <w:rStyle w:val="Strong"/>
              </w:rPr>
              <w:t>Poland</w:t>
            </w:r>
          </w:p>
        </w:tc>
        <w:tc>
          <w:tcPr>
            <w:tcW w:w="850" w:type="dxa"/>
          </w:tcPr>
          <w:p w14:paraId="62299C0B" w14:textId="133610D8" w:rsidR="00E402A4" w:rsidRPr="00363CF9" w:rsidRDefault="00AA77DA" w:rsidP="00455437">
            <w:pPr>
              <w:pStyle w:val="Table-Text"/>
              <w:keepLines/>
              <w:tabs>
                <w:tab w:val="decimal" w:pos="376"/>
              </w:tabs>
              <w:spacing w:before="40" w:after="40"/>
            </w:pPr>
            <w:r>
              <w:t>2.8</w:t>
            </w:r>
          </w:p>
        </w:tc>
        <w:tc>
          <w:tcPr>
            <w:tcW w:w="851" w:type="dxa"/>
          </w:tcPr>
          <w:p w14:paraId="715437BF" w14:textId="5F74E999" w:rsidR="00E402A4" w:rsidRPr="00363CF9" w:rsidRDefault="00AA77DA" w:rsidP="00455437">
            <w:pPr>
              <w:pStyle w:val="Table-Text"/>
              <w:keepLines/>
              <w:tabs>
                <w:tab w:val="decimal" w:pos="508"/>
              </w:tabs>
              <w:spacing w:before="40" w:after="40"/>
            </w:pPr>
            <w:r>
              <w:t>34</w:t>
            </w:r>
          </w:p>
        </w:tc>
        <w:tc>
          <w:tcPr>
            <w:tcW w:w="850" w:type="dxa"/>
            <w:shd w:val="clear" w:color="auto" w:fill="auto"/>
            <w:vAlign w:val="bottom"/>
          </w:tcPr>
          <w:p w14:paraId="46EB8DDA" w14:textId="1EE5DA6E" w:rsidR="00E402A4" w:rsidRPr="00363CF9" w:rsidRDefault="00AA77DA" w:rsidP="00455437">
            <w:pPr>
              <w:pStyle w:val="Table-Text"/>
              <w:keepLines/>
              <w:tabs>
                <w:tab w:val="decimal" w:pos="362"/>
              </w:tabs>
              <w:spacing w:before="40" w:after="40"/>
            </w:pPr>
            <w:r>
              <w:t>2.8</w:t>
            </w:r>
          </w:p>
        </w:tc>
        <w:tc>
          <w:tcPr>
            <w:tcW w:w="851" w:type="dxa"/>
            <w:vAlign w:val="center"/>
          </w:tcPr>
          <w:p w14:paraId="55ADBA96" w14:textId="7CDE17DB" w:rsidR="00E402A4" w:rsidRPr="00363CF9" w:rsidRDefault="00AA77DA" w:rsidP="00455437">
            <w:pPr>
              <w:pStyle w:val="Table-Text"/>
              <w:keepLines/>
              <w:tabs>
                <w:tab w:val="decimal" w:pos="514"/>
              </w:tabs>
              <w:spacing w:before="40" w:after="40"/>
            </w:pPr>
            <w:r>
              <w:t>36</w:t>
            </w:r>
          </w:p>
        </w:tc>
        <w:tc>
          <w:tcPr>
            <w:tcW w:w="850" w:type="dxa"/>
            <w:vAlign w:val="center"/>
          </w:tcPr>
          <w:p w14:paraId="04DBF6E5" w14:textId="23D270E9" w:rsidR="00E402A4" w:rsidRPr="00363CF9" w:rsidRDefault="00AA77DA" w:rsidP="00455437">
            <w:pPr>
              <w:pStyle w:val="Table-Text"/>
              <w:keepLines/>
              <w:tabs>
                <w:tab w:val="decimal" w:pos="376"/>
              </w:tabs>
              <w:spacing w:before="40" w:after="40"/>
            </w:pPr>
            <w:r>
              <w:t>3.2</w:t>
            </w:r>
          </w:p>
        </w:tc>
        <w:tc>
          <w:tcPr>
            <w:tcW w:w="851" w:type="dxa"/>
            <w:vAlign w:val="center"/>
          </w:tcPr>
          <w:p w14:paraId="059B5FF9" w14:textId="6ECA0F53" w:rsidR="00E402A4" w:rsidRPr="00363CF9" w:rsidRDefault="00AA77DA" w:rsidP="00455437">
            <w:pPr>
              <w:pStyle w:val="Table-Text"/>
              <w:keepLines/>
              <w:tabs>
                <w:tab w:val="decimal" w:pos="505"/>
              </w:tabs>
              <w:spacing w:before="40" w:after="40"/>
            </w:pPr>
            <w:r>
              <w:t>28</w:t>
            </w:r>
          </w:p>
        </w:tc>
        <w:tc>
          <w:tcPr>
            <w:tcW w:w="850" w:type="dxa"/>
          </w:tcPr>
          <w:p w14:paraId="34BD9073" w14:textId="091566AF" w:rsidR="00E402A4" w:rsidRPr="00363CF9" w:rsidRDefault="00AA77DA" w:rsidP="00455437">
            <w:pPr>
              <w:pStyle w:val="Table-Text"/>
              <w:keepLines/>
              <w:tabs>
                <w:tab w:val="decimal" w:pos="376"/>
              </w:tabs>
              <w:spacing w:before="40" w:after="40"/>
            </w:pPr>
            <w:r>
              <w:t>2.6</w:t>
            </w:r>
          </w:p>
        </w:tc>
        <w:tc>
          <w:tcPr>
            <w:tcW w:w="851" w:type="dxa"/>
          </w:tcPr>
          <w:p w14:paraId="675B6012" w14:textId="18153B72" w:rsidR="00E402A4" w:rsidRPr="00363CF9" w:rsidRDefault="00AA77DA" w:rsidP="00455437">
            <w:pPr>
              <w:pStyle w:val="Table-Text"/>
              <w:keepLines/>
              <w:tabs>
                <w:tab w:val="decimal" w:pos="511"/>
              </w:tabs>
              <w:spacing w:before="40" w:after="40"/>
            </w:pPr>
            <w:r>
              <w:t>35</w:t>
            </w:r>
          </w:p>
        </w:tc>
      </w:tr>
      <w:tr w:rsidR="00EF4191" w:rsidRPr="00363CF9" w14:paraId="11B602DF" w14:textId="77777777" w:rsidTr="00775A75">
        <w:tc>
          <w:tcPr>
            <w:tcW w:w="1985" w:type="dxa"/>
          </w:tcPr>
          <w:p w14:paraId="53EC6DE8" w14:textId="70C4002F" w:rsidR="00E402A4" w:rsidRPr="00072DC1" w:rsidRDefault="00E402A4" w:rsidP="00455437">
            <w:pPr>
              <w:pStyle w:val="Table-Text"/>
              <w:keepLines/>
              <w:spacing w:before="40" w:after="40"/>
              <w:rPr>
                <w:rStyle w:val="Strong"/>
              </w:rPr>
            </w:pPr>
            <w:r w:rsidRPr="00072DC1">
              <w:rPr>
                <w:rStyle w:val="Strong"/>
              </w:rPr>
              <w:t>Portugal</w:t>
            </w:r>
          </w:p>
        </w:tc>
        <w:tc>
          <w:tcPr>
            <w:tcW w:w="850" w:type="dxa"/>
          </w:tcPr>
          <w:p w14:paraId="30413FAA" w14:textId="3C92EA20" w:rsidR="00E402A4" w:rsidRPr="00363CF9" w:rsidRDefault="00AA77DA" w:rsidP="00455437">
            <w:pPr>
              <w:pStyle w:val="Table-Text"/>
              <w:keepLines/>
              <w:tabs>
                <w:tab w:val="decimal" w:pos="376"/>
              </w:tabs>
              <w:spacing w:before="40" w:after="40"/>
            </w:pPr>
            <w:r>
              <w:t>2.1</w:t>
            </w:r>
          </w:p>
        </w:tc>
        <w:tc>
          <w:tcPr>
            <w:tcW w:w="851" w:type="dxa"/>
          </w:tcPr>
          <w:p w14:paraId="52342331" w14:textId="6295AF47" w:rsidR="00E402A4" w:rsidRPr="00363CF9" w:rsidRDefault="00AA77DA" w:rsidP="00455437">
            <w:pPr>
              <w:pStyle w:val="Table-Text"/>
              <w:keepLines/>
              <w:tabs>
                <w:tab w:val="decimal" w:pos="508"/>
              </w:tabs>
              <w:spacing w:before="40" w:after="40"/>
            </w:pPr>
            <w:r>
              <w:t>38</w:t>
            </w:r>
          </w:p>
        </w:tc>
        <w:tc>
          <w:tcPr>
            <w:tcW w:w="850" w:type="dxa"/>
            <w:shd w:val="clear" w:color="auto" w:fill="auto"/>
            <w:vAlign w:val="bottom"/>
          </w:tcPr>
          <w:p w14:paraId="3536DEC0" w14:textId="185EB13C" w:rsidR="00E402A4" w:rsidRPr="00363CF9" w:rsidRDefault="00AA77DA" w:rsidP="00455437">
            <w:pPr>
              <w:pStyle w:val="Table-Text"/>
              <w:keepLines/>
              <w:tabs>
                <w:tab w:val="decimal" w:pos="362"/>
              </w:tabs>
              <w:spacing w:before="40" w:after="40"/>
            </w:pPr>
            <w:r>
              <w:t>3.0</w:t>
            </w:r>
          </w:p>
        </w:tc>
        <w:tc>
          <w:tcPr>
            <w:tcW w:w="851" w:type="dxa"/>
            <w:vAlign w:val="center"/>
          </w:tcPr>
          <w:p w14:paraId="150C3E53" w14:textId="07C67834" w:rsidR="00E402A4" w:rsidRPr="00363CF9" w:rsidRDefault="00AA77DA" w:rsidP="00455437">
            <w:pPr>
              <w:pStyle w:val="Table-Text"/>
              <w:keepLines/>
              <w:tabs>
                <w:tab w:val="decimal" w:pos="514"/>
              </w:tabs>
              <w:spacing w:before="40" w:after="40"/>
            </w:pPr>
            <w:r>
              <w:t>35</w:t>
            </w:r>
          </w:p>
        </w:tc>
        <w:tc>
          <w:tcPr>
            <w:tcW w:w="850" w:type="dxa"/>
            <w:vAlign w:val="center"/>
          </w:tcPr>
          <w:p w14:paraId="11BFB013" w14:textId="3F161ED7" w:rsidR="00E402A4" w:rsidRPr="00363CF9" w:rsidRDefault="00AA77DA" w:rsidP="00455437">
            <w:pPr>
              <w:pStyle w:val="Table-Text"/>
              <w:keepLines/>
              <w:tabs>
                <w:tab w:val="decimal" w:pos="376"/>
              </w:tabs>
              <w:spacing w:before="40" w:after="40"/>
            </w:pPr>
            <w:r>
              <w:t>2.7</w:t>
            </w:r>
          </w:p>
        </w:tc>
        <w:tc>
          <w:tcPr>
            <w:tcW w:w="851" w:type="dxa"/>
            <w:vAlign w:val="center"/>
          </w:tcPr>
          <w:p w14:paraId="01D28C0B" w14:textId="6D635865" w:rsidR="00E402A4" w:rsidRPr="00363CF9" w:rsidRDefault="00AA77DA" w:rsidP="00455437">
            <w:pPr>
              <w:pStyle w:val="Table-Text"/>
              <w:keepLines/>
              <w:tabs>
                <w:tab w:val="decimal" w:pos="505"/>
              </w:tabs>
              <w:spacing w:before="40" w:after="40"/>
            </w:pPr>
            <w:r>
              <w:t>37</w:t>
            </w:r>
          </w:p>
        </w:tc>
        <w:tc>
          <w:tcPr>
            <w:tcW w:w="850" w:type="dxa"/>
          </w:tcPr>
          <w:p w14:paraId="05532BE3" w14:textId="79B3D864" w:rsidR="00E402A4" w:rsidRPr="00363CF9" w:rsidRDefault="00AA77DA" w:rsidP="00455437">
            <w:pPr>
              <w:pStyle w:val="Table-Text"/>
              <w:keepLines/>
              <w:tabs>
                <w:tab w:val="decimal" w:pos="376"/>
              </w:tabs>
              <w:spacing w:before="40" w:after="40"/>
            </w:pPr>
            <w:r>
              <w:t>2.2</w:t>
            </w:r>
          </w:p>
        </w:tc>
        <w:tc>
          <w:tcPr>
            <w:tcW w:w="851" w:type="dxa"/>
          </w:tcPr>
          <w:p w14:paraId="62C7452F" w14:textId="0222C161" w:rsidR="00E402A4" w:rsidRPr="00363CF9" w:rsidRDefault="00AA77DA" w:rsidP="00455437">
            <w:pPr>
              <w:pStyle w:val="Table-Text"/>
              <w:keepLines/>
              <w:tabs>
                <w:tab w:val="decimal" w:pos="511"/>
              </w:tabs>
              <w:spacing w:before="40" w:after="40"/>
            </w:pPr>
            <w:r>
              <w:t>37</w:t>
            </w:r>
          </w:p>
        </w:tc>
      </w:tr>
      <w:tr w:rsidR="00EF4191" w:rsidRPr="00363CF9" w14:paraId="133BAA44" w14:textId="77777777" w:rsidTr="00775A75">
        <w:tc>
          <w:tcPr>
            <w:tcW w:w="1985" w:type="dxa"/>
          </w:tcPr>
          <w:p w14:paraId="06773284" w14:textId="39054FF9" w:rsidR="00E402A4" w:rsidRPr="00072DC1" w:rsidRDefault="00E402A4" w:rsidP="00455437">
            <w:pPr>
              <w:pStyle w:val="Table-Text"/>
              <w:keepLines/>
              <w:spacing w:before="40" w:after="40"/>
              <w:rPr>
                <w:rStyle w:val="Strong"/>
              </w:rPr>
            </w:pPr>
            <w:r w:rsidRPr="00072DC1">
              <w:rPr>
                <w:rStyle w:val="Strong"/>
              </w:rPr>
              <w:t>Slovak Republic</w:t>
            </w:r>
          </w:p>
        </w:tc>
        <w:tc>
          <w:tcPr>
            <w:tcW w:w="850" w:type="dxa"/>
          </w:tcPr>
          <w:p w14:paraId="25D9B457" w14:textId="191A2645" w:rsidR="00E402A4" w:rsidRPr="00363CF9" w:rsidRDefault="00AA77DA" w:rsidP="00455437">
            <w:pPr>
              <w:pStyle w:val="Table-Text"/>
              <w:keepLines/>
              <w:tabs>
                <w:tab w:val="decimal" w:pos="376"/>
              </w:tabs>
              <w:spacing w:before="40" w:after="40"/>
            </w:pPr>
            <w:r>
              <w:t>3.2</w:t>
            </w:r>
          </w:p>
        </w:tc>
        <w:tc>
          <w:tcPr>
            <w:tcW w:w="851" w:type="dxa"/>
          </w:tcPr>
          <w:p w14:paraId="2BE844E6" w14:textId="0FB884A7" w:rsidR="00E402A4" w:rsidRPr="00363CF9" w:rsidRDefault="00AA77DA" w:rsidP="00455437">
            <w:pPr>
              <w:pStyle w:val="Table-Text"/>
              <w:keepLines/>
              <w:tabs>
                <w:tab w:val="decimal" w:pos="508"/>
              </w:tabs>
              <w:spacing w:before="40" w:after="40"/>
            </w:pPr>
            <w:r>
              <w:t>27</w:t>
            </w:r>
          </w:p>
        </w:tc>
        <w:tc>
          <w:tcPr>
            <w:tcW w:w="850" w:type="dxa"/>
            <w:shd w:val="clear" w:color="auto" w:fill="auto"/>
            <w:vAlign w:val="bottom"/>
          </w:tcPr>
          <w:p w14:paraId="08A7F67D" w14:textId="48EEEB5B" w:rsidR="00E402A4" w:rsidRPr="00363CF9" w:rsidRDefault="00AA77DA" w:rsidP="00455437">
            <w:pPr>
              <w:pStyle w:val="Table-Text"/>
              <w:keepLines/>
              <w:tabs>
                <w:tab w:val="decimal" w:pos="362"/>
              </w:tabs>
              <w:spacing w:before="40" w:after="40"/>
            </w:pPr>
            <w:r>
              <w:t>3.6</w:t>
            </w:r>
          </w:p>
        </w:tc>
        <w:tc>
          <w:tcPr>
            <w:tcW w:w="851" w:type="dxa"/>
            <w:vAlign w:val="center"/>
          </w:tcPr>
          <w:p w14:paraId="2EA7BF1A" w14:textId="4AFA9F3E" w:rsidR="00E402A4" w:rsidRPr="00363CF9" w:rsidRDefault="00AA77DA" w:rsidP="00455437">
            <w:pPr>
              <w:pStyle w:val="Table-Text"/>
              <w:keepLines/>
              <w:tabs>
                <w:tab w:val="decimal" w:pos="514"/>
              </w:tabs>
              <w:spacing w:before="40" w:after="40"/>
            </w:pPr>
            <w:r>
              <w:t>22</w:t>
            </w:r>
          </w:p>
        </w:tc>
        <w:tc>
          <w:tcPr>
            <w:tcW w:w="850" w:type="dxa"/>
            <w:vAlign w:val="center"/>
          </w:tcPr>
          <w:p w14:paraId="745B09EE" w14:textId="50A698A7" w:rsidR="00E402A4" w:rsidRPr="00363CF9" w:rsidRDefault="00AA77DA" w:rsidP="00455437">
            <w:pPr>
              <w:pStyle w:val="Table-Text"/>
              <w:keepLines/>
              <w:tabs>
                <w:tab w:val="decimal" w:pos="376"/>
              </w:tabs>
              <w:spacing w:before="40" w:after="40"/>
            </w:pPr>
            <w:r>
              <w:t>3.4</w:t>
            </w:r>
          </w:p>
        </w:tc>
        <w:tc>
          <w:tcPr>
            <w:tcW w:w="851" w:type="dxa"/>
            <w:vAlign w:val="center"/>
          </w:tcPr>
          <w:p w14:paraId="6398E638" w14:textId="339C17A3" w:rsidR="00E402A4" w:rsidRPr="00363CF9" w:rsidRDefault="00AA77DA" w:rsidP="00455437">
            <w:pPr>
              <w:pStyle w:val="Table-Text"/>
              <w:keepLines/>
              <w:tabs>
                <w:tab w:val="decimal" w:pos="505"/>
              </w:tabs>
              <w:spacing w:before="40" w:after="40"/>
            </w:pPr>
            <w:r>
              <w:t>23</w:t>
            </w:r>
          </w:p>
        </w:tc>
        <w:tc>
          <w:tcPr>
            <w:tcW w:w="850" w:type="dxa"/>
          </w:tcPr>
          <w:p w14:paraId="7BC4EECC" w14:textId="32EF769C" w:rsidR="00E402A4" w:rsidRPr="00363CF9" w:rsidRDefault="00AA77DA" w:rsidP="00455437">
            <w:pPr>
              <w:pStyle w:val="Table-Text"/>
              <w:keepLines/>
              <w:tabs>
                <w:tab w:val="decimal" w:pos="376"/>
              </w:tabs>
              <w:spacing w:before="40" w:after="40"/>
            </w:pPr>
            <w:r>
              <w:t>3.4</w:t>
            </w:r>
          </w:p>
        </w:tc>
        <w:tc>
          <w:tcPr>
            <w:tcW w:w="851" w:type="dxa"/>
          </w:tcPr>
          <w:p w14:paraId="4D09FCFF" w14:textId="2B71B83E" w:rsidR="00E402A4" w:rsidRPr="00363CF9" w:rsidRDefault="00AA77DA" w:rsidP="00455437">
            <w:pPr>
              <w:pStyle w:val="Table-Text"/>
              <w:keepLines/>
              <w:tabs>
                <w:tab w:val="decimal" w:pos="511"/>
              </w:tabs>
              <w:spacing w:before="40" w:after="40"/>
            </w:pPr>
            <w:r>
              <w:t>14</w:t>
            </w:r>
          </w:p>
        </w:tc>
      </w:tr>
      <w:tr w:rsidR="00EF4191" w:rsidRPr="00363CF9" w14:paraId="6169BB33" w14:textId="77777777" w:rsidTr="00775A75">
        <w:tc>
          <w:tcPr>
            <w:tcW w:w="1985" w:type="dxa"/>
          </w:tcPr>
          <w:p w14:paraId="494572B9" w14:textId="50740E7B" w:rsidR="00E402A4" w:rsidRPr="00072DC1" w:rsidRDefault="00E402A4" w:rsidP="00455437">
            <w:pPr>
              <w:pStyle w:val="Table-Text"/>
              <w:keepLines/>
              <w:spacing w:before="40" w:after="40"/>
              <w:rPr>
                <w:rStyle w:val="Strong"/>
              </w:rPr>
            </w:pPr>
            <w:r w:rsidRPr="00072DC1">
              <w:rPr>
                <w:rStyle w:val="Strong"/>
              </w:rPr>
              <w:t>Slovenia</w:t>
            </w:r>
          </w:p>
        </w:tc>
        <w:tc>
          <w:tcPr>
            <w:tcW w:w="850" w:type="dxa"/>
          </w:tcPr>
          <w:p w14:paraId="084F02AC" w14:textId="115CC6EE" w:rsidR="00E402A4" w:rsidRPr="00363CF9" w:rsidRDefault="00AA77DA" w:rsidP="00455437">
            <w:pPr>
              <w:pStyle w:val="Table-Text"/>
              <w:keepLines/>
              <w:tabs>
                <w:tab w:val="decimal" w:pos="376"/>
              </w:tabs>
              <w:spacing w:before="40" w:after="40"/>
            </w:pPr>
            <w:r>
              <w:t>3.3</w:t>
            </w:r>
          </w:p>
        </w:tc>
        <w:tc>
          <w:tcPr>
            <w:tcW w:w="851" w:type="dxa"/>
          </w:tcPr>
          <w:p w14:paraId="5A263455" w14:textId="38A03B16" w:rsidR="00E402A4" w:rsidRPr="00363CF9" w:rsidRDefault="00AA77DA" w:rsidP="00455437">
            <w:pPr>
              <w:pStyle w:val="Table-Text"/>
              <w:keepLines/>
              <w:tabs>
                <w:tab w:val="decimal" w:pos="508"/>
              </w:tabs>
              <w:spacing w:before="40" w:after="40"/>
            </w:pPr>
            <w:r>
              <w:t>15</w:t>
            </w:r>
          </w:p>
        </w:tc>
        <w:tc>
          <w:tcPr>
            <w:tcW w:w="850" w:type="dxa"/>
            <w:shd w:val="clear" w:color="auto" w:fill="auto"/>
            <w:vAlign w:val="bottom"/>
          </w:tcPr>
          <w:p w14:paraId="06B29565" w14:textId="2CA10D09" w:rsidR="00E402A4" w:rsidRPr="00363CF9" w:rsidRDefault="00AA77DA" w:rsidP="00455437">
            <w:pPr>
              <w:pStyle w:val="Table-Text"/>
              <w:keepLines/>
              <w:tabs>
                <w:tab w:val="decimal" w:pos="362"/>
              </w:tabs>
              <w:spacing w:before="40" w:after="40"/>
            </w:pPr>
            <w:r>
              <w:t>3.6</w:t>
            </w:r>
          </w:p>
        </w:tc>
        <w:tc>
          <w:tcPr>
            <w:tcW w:w="851" w:type="dxa"/>
            <w:vAlign w:val="center"/>
          </w:tcPr>
          <w:p w14:paraId="0C1A087B" w14:textId="4A4EEAF7" w:rsidR="00E402A4" w:rsidRPr="00363CF9" w:rsidRDefault="00AA77DA" w:rsidP="00455437">
            <w:pPr>
              <w:pStyle w:val="Table-Text"/>
              <w:keepLines/>
              <w:tabs>
                <w:tab w:val="decimal" w:pos="514"/>
              </w:tabs>
              <w:spacing w:before="40" w:after="40"/>
            </w:pPr>
            <w:r>
              <w:t>20</w:t>
            </w:r>
          </w:p>
        </w:tc>
        <w:tc>
          <w:tcPr>
            <w:tcW w:w="850" w:type="dxa"/>
            <w:vAlign w:val="center"/>
          </w:tcPr>
          <w:p w14:paraId="5DC4006B" w14:textId="64081506" w:rsidR="00E402A4" w:rsidRPr="00363CF9" w:rsidRDefault="00AA77DA" w:rsidP="00455437">
            <w:pPr>
              <w:pStyle w:val="Table-Text"/>
              <w:keepLines/>
              <w:tabs>
                <w:tab w:val="decimal" w:pos="376"/>
              </w:tabs>
              <w:spacing w:before="40" w:after="40"/>
            </w:pPr>
            <w:r>
              <w:t>3.3</w:t>
            </w:r>
          </w:p>
        </w:tc>
        <w:tc>
          <w:tcPr>
            <w:tcW w:w="851" w:type="dxa"/>
            <w:vAlign w:val="center"/>
          </w:tcPr>
          <w:p w14:paraId="4350E961" w14:textId="351B1CBC" w:rsidR="00E402A4" w:rsidRPr="00363CF9" w:rsidRDefault="00AA77DA" w:rsidP="00455437">
            <w:pPr>
              <w:pStyle w:val="Table-Text"/>
              <w:keepLines/>
              <w:tabs>
                <w:tab w:val="decimal" w:pos="505"/>
              </w:tabs>
              <w:spacing w:before="40" w:after="40"/>
            </w:pPr>
            <w:r>
              <w:t>27</w:t>
            </w:r>
          </w:p>
        </w:tc>
        <w:tc>
          <w:tcPr>
            <w:tcW w:w="850" w:type="dxa"/>
          </w:tcPr>
          <w:p w14:paraId="12160648" w14:textId="4ED283B6" w:rsidR="00E402A4" w:rsidRPr="00363CF9" w:rsidRDefault="00AA77DA" w:rsidP="00455437">
            <w:pPr>
              <w:pStyle w:val="Table-Text"/>
              <w:keepLines/>
              <w:tabs>
                <w:tab w:val="decimal" w:pos="376"/>
              </w:tabs>
              <w:spacing w:before="40" w:after="40"/>
            </w:pPr>
            <w:r>
              <w:t>3.1</w:t>
            </w:r>
          </w:p>
        </w:tc>
        <w:tc>
          <w:tcPr>
            <w:tcW w:w="851" w:type="dxa"/>
          </w:tcPr>
          <w:p w14:paraId="71FBBC0A" w14:textId="370EC398" w:rsidR="00E402A4" w:rsidRPr="00363CF9" w:rsidRDefault="00AA77DA" w:rsidP="00455437">
            <w:pPr>
              <w:pStyle w:val="Table-Text"/>
              <w:keepLines/>
              <w:tabs>
                <w:tab w:val="decimal" w:pos="511"/>
              </w:tabs>
              <w:spacing w:before="40" w:after="40"/>
            </w:pPr>
            <w:r>
              <w:t>26</w:t>
            </w:r>
          </w:p>
        </w:tc>
      </w:tr>
      <w:tr w:rsidR="00EF4191" w:rsidRPr="00363CF9" w14:paraId="7A3EA333" w14:textId="77777777" w:rsidTr="00775A75">
        <w:tc>
          <w:tcPr>
            <w:tcW w:w="1985" w:type="dxa"/>
          </w:tcPr>
          <w:p w14:paraId="0EF17000" w14:textId="4B0ACEB3" w:rsidR="00E402A4" w:rsidRPr="00072DC1" w:rsidRDefault="00E402A4" w:rsidP="00455437">
            <w:pPr>
              <w:pStyle w:val="Table-Text"/>
              <w:keepLines/>
              <w:spacing w:before="40" w:after="40"/>
              <w:rPr>
                <w:rStyle w:val="Strong"/>
              </w:rPr>
            </w:pPr>
            <w:r w:rsidRPr="00072DC1">
              <w:rPr>
                <w:rStyle w:val="Strong"/>
              </w:rPr>
              <w:t>Spain</w:t>
            </w:r>
          </w:p>
        </w:tc>
        <w:tc>
          <w:tcPr>
            <w:tcW w:w="850" w:type="dxa"/>
          </w:tcPr>
          <w:p w14:paraId="5F6266C5" w14:textId="22C5A42A" w:rsidR="00E402A4" w:rsidRPr="00363CF9" w:rsidRDefault="00AA77DA" w:rsidP="00455437">
            <w:pPr>
              <w:pStyle w:val="Table-Text"/>
              <w:keepLines/>
              <w:tabs>
                <w:tab w:val="decimal" w:pos="376"/>
              </w:tabs>
              <w:spacing w:before="40" w:after="40"/>
            </w:pPr>
            <w:r>
              <w:t>3.5</w:t>
            </w:r>
          </w:p>
        </w:tc>
        <w:tc>
          <w:tcPr>
            <w:tcW w:w="851" w:type="dxa"/>
          </w:tcPr>
          <w:p w14:paraId="5D0D8B4D" w14:textId="30D36855" w:rsidR="00E402A4" w:rsidRPr="00363CF9" w:rsidRDefault="00AA77DA" w:rsidP="00455437">
            <w:pPr>
              <w:pStyle w:val="Table-Text"/>
              <w:keepLines/>
              <w:tabs>
                <w:tab w:val="decimal" w:pos="508"/>
              </w:tabs>
              <w:spacing w:before="40" w:after="40"/>
            </w:pPr>
            <w:r>
              <w:t>10</w:t>
            </w:r>
          </w:p>
        </w:tc>
        <w:tc>
          <w:tcPr>
            <w:tcW w:w="850" w:type="dxa"/>
            <w:shd w:val="clear" w:color="auto" w:fill="auto"/>
            <w:vAlign w:val="bottom"/>
          </w:tcPr>
          <w:p w14:paraId="6BA5ECDA" w14:textId="04C87F72" w:rsidR="00E402A4" w:rsidRPr="00363CF9" w:rsidRDefault="00AA77DA" w:rsidP="00455437">
            <w:pPr>
              <w:pStyle w:val="Table-Text"/>
              <w:keepLines/>
              <w:tabs>
                <w:tab w:val="decimal" w:pos="362"/>
              </w:tabs>
              <w:spacing w:before="40" w:after="40"/>
            </w:pPr>
            <w:r>
              <w:t>3.7</w:t>
            </w:r>
          </w:p>
        </w:tc>
        <w:tc>
          <w:tcPr>
            <w:tcW w:w="851" w:type="dxa"/>
            <w:vAlign w:val="center"/>
          </w:tcPr>
          <w:p w14:paraId="577C45E7" w14:textId="71DB1AEA" w:rsidR="00E402A4" w:rsidRPr="00363CF9" w:rsidRDefault="00AA77DA" w:rsidP="00455437">
            <w:pPr>
              <w:pStyle w:val="Table-Text"/>
              <w:keepLines/>
              <w:tabs>
                <w:tab w:val="decimal" w:pos="514"/>
              </w:tabs>
              <w:spacing w:before="40" w:after="40"/>
            </w:pPr>
            <w:r>
              <w:t>15</w:t>
            </w:r>
          </w:p>
        </w:tc>
        <w:tc>
          <w:tcPr>
            <w:tcW w:w="850" w:type="dxa"/>
            <w:vAlign w:val="center"/>
          </w:tcPr>
          <w:p w14:paraId="55929F89" w14:textId="582350FD" w:rsidR="00E402A4" w:rsidRPr="00363CF9" w:rsidRDefault="00AA77DA" w:rsidP="00455437">
            <w:pPr>
              <w:pStyle w:val="Table-Text"/>
              <w:keepLines/>
              <w:tabs>
                <w:tab w:val="decimal" w:pos="376"/>
              </w:tabs>
              <w:spacing w:before="40" w:after="40"/>
            </w:pPr>
            <w:r>
              <w:t>3.6</w:t>
            </w:r>
          </w:p>
        </w:tc>
        <w:tc>
          <w:tcPr>
            <w:tcW w:w="851" w:type="dxa"/>
            <w:vAlign w:val="center"/>
          </w:tcPr>
          <w:p w14:paraId="74FF24D5" w14:textId="2B211C6F" w:rsidR="00E402A4" w:rsidRPr="00363CF9" w:rsidRDefault="00AA77DA" w:rsidP="00455437">
            <w:pPr>
              <w:pStyle w:val="Table-Text"/>
              <w:keepLines/>
              <w:tabs>
                <w:tab w:val="decimal" w:pos="505"/>
              </w:tabs>
              <w:spacing w:before="40" w:after="40"/>
            </w:pPr>
            <w:r>
              <w:t>20</w:t>
            </w:r>
          </w:p>
        </w:tc>
        <w:tc>
          <w:tcPr>
            <w:tcW w:w="850" w:type="dxa"/>
          </w:tcPr>
          <w:p w14:paraId="7B34E5F4" w14:textId="7CFAD564" w:rsidR="00E402A4" w:rsidRPr="00363CF9" w:rsidRDefault="00AA77DA" w:rsidP="00455437">
            <w:pPr>
              <w:pStyle w:val="Table-Text"/>
              <w:keepLines/>
              <w:tabs>
                <w:tab w:val="decimal" w:pos="376"/>
              </w:tabs>
              <w:spacing w:before="40" w:after="40"/>
            </w:pPr>
            <w:r>
              <w:t>3.4</w:t>
            </w:r>
          </w:p>
        </w:tc>
        <w:tc>
          <w:tcPr>
            <w:tcW w:w="851" w:type="dxa"/>
          </w:tcPr>
          <w:p w14:paraId="3766B51B" w14:textId="0BA0C0D2" w:rsidR="00E402A4" w:rsidRPr="00363CF9" w:rsidRDefault="00AA77DA" w:rsidP="00455437">
            <w:pPr>
              <w:pStyle w:val="Table-Text"/>
              <w:keepLines/>
              <w:tabs>
                <w:tab w:val="decimal" w:pos="511"/>
              </w:tabs>
              <w:spacing w:before="40" w:after="40"/>
            </w:pPr>
            <w:r>
              <w:t>16</w:t>
            </w:r>
          </w:p>
        </w:tc>
      </w:tr>
      <w:tr w:rsidR="00EF4191" w:rsidRPr="00363CF9" w14:paraId="3DAB7FFF" w14:textId="77777777" w:rsidTr="00775A75">
        <w:tc>
          <w:tcPr>
            <w:tcW w:w="1985" w:type="dxa"/>
          </w:tcPr>
          <w:p w14:paraId="16BB0E73" w14:textId="6B7AADCC" w:rsidR="00E402A4" w:rsidRPr="00072DC1" w:rsidRDefault="00E402A4" w:rsidP="00455437">
            <w:pPr>
              <w:pStyle w:val="Table-Text"/>
              <w:keepLines/>
              <w:spacing w:before="40" w:after="40"/>
              <w:rPr>
                <w:rStyle w:val="Strong"/>
              </w:rPr>
            </w:pPr>
            <w:r w:rsidRPr="00072DC1">
              <w:rPr>
                <w:rStyle w:val="Strong"/>
              </w:rPr>
              <w:t>Sweden</w:t>
            </w:r>
          </w:p>
        </w:tc>
        <w:tc>
          <w:tcPr>
            <w:tcW w:w="850" w:type="dxa"/>
          </w:tcPr>
          <w:p w14:paraId="2126070E" w14:textId="72E9CA8D" w:rsidR="00E402A4" w:rsidRPr="00363CF9" w:rsidRDefault="00AA77DA" w:rsidP="00455437">
            <w:pPr>
              <w:pStyle w:val="Table-Text"/>
              <w:keepLines/>
              <w:tabs>
                <w:tab w:val="decimal" w:pos="376"/>
              </w:tabs>
              <w:spacing w:before="40" w:after="40"/>
            </w:pPr>
            <w:r>
              <w:t>3.3</w:t>
            </w:r>
          </w:p>
        </w:tc>
        <w:tc>
          <w:tcPr>
            <w:tcW w:w="851" w:type="dxa"/>
          </w:tcPr>
          <w:p w14:paraId="4AE9742F" w14:textId="19C641B0" w:rsidR="00E402A4" w:rsidRPr="00363CF9" w:rsidRDefault="00AA77DA" w:rsidP="00455437">
            <w:pPr>
              <w:pStyle w:val="Table-Text"/>
              <w:keepLines/>
              <w:tabs>
                <w:tab w:val="decimal" w:pos="508"/>
              </w:tabs>
              <w:spacing w:before="40" w:after="40"/>
            </w:pPr>
            <w:r>
              <w:t>23</w:t>
            </w:r>
          </w:p>
        </w:tc>
        <w:tc>
          <w:tcPr>
            <w:tcW w:w="850" w:type="dxa"/>
            <w:shd w:val="clear" w:color="auto" w:fill="auto"/>
            <w:vAlign w:val="bottom"/>
          </w:tcPr>
          <w:p w14:paraId="791B0F94" w14:textId="315F6AFB" w:rsidR="00E402A4" w:rsidRPr="00363CF9" w:rsidRDefault="00AA77DA" w:rsidP="00455437">
            <w:pPr>
              <w:pStyle w:val="Table-Text"/>
              <w:keepLines/>
              <w:tabs>
                <w:tab w:val="decimal" w:pos="362"/>
              </w:tabs>
              <w:spacing w:before="40" w:after="40"/>
            </w:pPr>
            <w:r>
              <w:t>3.7</w:t>
            </w:r>
          </w:p>
        </w:tc>
        <w:tc>
          <w:tcPr>
            <w:tcW w:w="851" w:type="dxa"/>
            <w:vAlign w:val="center"/>
          </w:tcPr>
          <w:p w14:paraId="1E319F2C" w14:textId="2DA29536" w:rsidR="00E402A4" w:rsidRPr="00363CF9" w:rsidRDefault="00AA77DA" w:rsidP="00455437">
            <w:pPr>
              <w:pStyle w:val="Table-Text"/>
              <w:keepLines/>
              <w:tabs>
                <w:tab w:val="decimal" w:pos="514"/>
              </w:tabs>
              <w:spacing w:before="40" w:after="40"/>
            </w:pPr>
            <w:r>
              <w:t>14</w:t>
            </w:r>
          </w:p>
        </w:tc>
        <w:tc>
          <w:tcPr>
            <w:tcW w:w="850" w:type="dxa"/>
            <w:vAlign w:val="center"/>
          </w:tcPr>
          <w:p w14:paraId="70B41EF1" w14:textId="13E01170" w:rsidR="00E402A4" w:rsidRPr="00363CF9" w:rsidRDefault="00AA77DA" w:rsidP="00455437">
            <w:pPr>
              <w:pStyle w:val="Table-Text"/>
              <w:keepLines/>
              <w:tabs>
                <w:tab w:val="decimal" w:pos="376"/>
              </w:tabs>
              <w:spacing w:before="40" w:after="40"/>
            </w:pPr>
            <w:r>
              <w:t>4.0</w:t>
            </w:r>
          </w:p>
        </w:tc>
        <w:tc>
          <w:tcPr>
            <w:tcW w:w="851" w:type="dxa"/>
            <w:vAlign w:val="center"/>
          </w:tcPr>
          <w:p w14:paraId="4913FA16" w14:textId="33183645" w:rsidR="00E402A4" w:rsidRPr="00363CF9" w:rsidRDefault="00AA77DA" w:rsidP="00455437">
            <w:pPr>
              <w:pStyle w:val="Table-Text"/>
              <w:keepLines/>
              <w:tabs>
                <w:tab w:val="decimal" w:pos="505"/>
              </w:tabs>
              <w:spacing w:before="40" w:after="40"/>
            </w:pPr>
            <w:r>
              <w:t>10</w:t>
            </w:r>
          </w:p>
        </w:tc>
        <w:tc>
          <w:tcPr>
            <w:tcW w:w="850" w:type="dxa"/>
          </w:tcPr>
          <w:p w14:paraId="1E6E059F" w14:textId="2715049D" w:rsidR="00E402A4" w:rsidRPr="00363CF9" w:rsidRDefault="00AA77DA" w:rsidP="00455437">
            <w:pPr>
              <w:pStyle w:val="Table-Text"/>
              <w:keepLines/>
              <w:tabs>
                <w:tab w:val="decimal" w:pos="376"/>
              </w:tabs>
              <w:spacing w:before="40" w:after="40"/>
            </w:pPr>
            <w:r>
              <w:t>3.3</w:t>
            </w:r>
          </w:p>
        </w:tc>
        <w:tc>
          <w:tcPr>
            <w:tcW w:w="851" w:type="dxa"/>
          </w:tcPr>
          <w:p w14:paraId="7DDA6040" w14:textId="12104E9E" w:rsidR="00E402A4" w:rsidRPr="00363CF9" w:rsidRDefault="00AA77DA" w:rsidP="00455437">
            <w:pPr>
              <w:pStyle w:val="Table-Text"/>
              <w:keepLines/>
              <w:tabs>
                <w:tab w:val="decimal" w:pos="511"/>
              </w:tabs>
              <w:spacing w:before="40" w:after="40"/>
            </w:pPr>
            <w:r>
              <w:t>18</w:t>
            </w:r>
          </w:p>
        </w:tc>
      </w:tr>
      <w:tr w:rsidR="00EF4191" w:rsidRPr="00363CF9" w14:paraId="0C2A3CF7" w14:textId="77777777" w:rsidTr="00775A75">
        <w:tc>
          <w:tcPr>
            <w:tcW w:w="1985" w:type="dxa"/>
          </w:tcPr>
          <w:p w14:paraId="1703621A" w14:textId="438F0460" w:rsidR="00E402A4" w:rsidRPr="00072DC1" w:rsidRDefault="00E402A4" w:rsidP="00455437">
            <w:pPr>
              <w:pStyle w:val="Table-Text"/>
              <w:keepLines/>
              <w:spacing w:before="40" w:after="40"/>
              <w:rPr>
                <w:rStyle w:val="Strong"/>
              </w:rPr>
            </w:pPr>
            <w:r w:rsidRPr="00072DC1">
              <w:rPr>
                <w:rStyle w:val="Strong"/>
              </w:rPr>
              <w:t>Switzerland</w:t>
            </w:r>
          </w:p>
        </w:tc>
        <w:tc>
          <w:tcPr>
            <w:tcW w:w="850" w:type="dxa"/>
          </w:tcPr>
          <w:p w14:paraId="77D72E92" w14:textId="06985765" w:rsidR="00E402A4" w:rsidRPr="00363CF9" w:rsidRDefault="00AA77DA" w:rsidP="00455437">
            <w:pPr>
              <w:pStyle w:val="Table-Text"/>
              <w:keepLines/>
              <w:tabs>
                <w:tab w:val="decimal" w:pos="376"/>
              </w:tabs>
              <w:spacing w:before="40" w:after="40"/>
            </w:pPr>
            <w:r>
              <w:t>3.5</w:t>
            </w:r>
          </w:p>
        </w:tc>
        <w:tc>
          <w:tcPr>
            <w:tcW w:w="851" w:type="dxa"/>
          </w:tcPr>
          <w:p w14:paraId="1522A0E9" w14:textId="045147D4" w:rsidR="00E402A4" w:rsidRPr="00363CF9" w:rsidRDefault="00AA77DA" w:rsidP="00455437">
            <w:pPr>
              <w:pStyle w:val="Table-Text"/>
              <w:keepLines/>
              <w:tabs>
                <w:tab w:val="decimal" w:pos="508"/>
              </w:tabs>
              <w:spacing w:before="40" w:after="40"/>
            </w:pPr>
            <w:r>
              <w:t>11</w:t>
            </w:r>
          </w:p>
        </w:tc>
        <w:tc>
          <w:tcPr>
            <w:tcW w:w="850" w:type="dxa"/>
            <w:shd w:val="clear" w:color="auto" w:fill="auto"/>
            <w:vAlign w:val="bottom"/>
          </w:tcPr>
          <w:p w14:paraId="6C83C683" w14:textId="5350B2CA" w:rsidR="00E402A4" w:rsidRPr="00363CF9" w:rsidRDefault="00AA77DA" w:rsidP="00455437">
            <w:pPr>
              <w:pStyle w:val="Table-Text"/>
              <w:keepLines/>
              <w:tabs>
                <w:tab w:val="decimal" w:pos="362"/>
              </w:tabs>
              <w:spacing w:before="40" w:after="40"/>
            </w:pPr>
            <w:r>
              <w:t>3.6</w:t>
            </w:r>
          </w:p>
        </w:tc>
        <w:tc>
          <w:tcPr>
            <w:tcW w:w="851" w:type="dxa"/>
            <w:vAlign w:val="center"/>
          </w:tcPr>
          <w:p w14:paraId="16636E74" w14:textId="5814057C" w:rsidR="00E402A4" w:rsidRPr="00363CF9" w:rsidRDefault="00AA77DA" w:rsidP="00455437">
            <w:pPr>
              <w:pStyle w:val="Table-Text"/>
              <w:keepLines/>
              <w:tabs>
                <w:tab w:val="decimal" w:pos="514"/>
              </w:tabs>
              <w:spacing w:before="40" w:after="40"/>
            </w:pPr>
            <w:r>
              <w:t>21</w:t>
            </w:r>
          </w:p>
        </w:tc>
        <w:tc>
          <w:tcPr>
            <w:tcW w:w="850" w:type="dxa"/>
            <w:vAlign w:val="center"/>
          </w:tcPr>
          <w:p w14:paraId="7F910A1D" w14:textId="0A8F699D" w:rsidR="00E402A4" w:rsidRPr="00363CF9" w:rsidRDefault="00AA77DA" w:rsidP="00455437">
            <w:pPr>
              <w:pStyle w:val="Table-Text"/>
              <w:keepLines/>
              <w:tabs>
                <w:tab w:val="decimal" w:pos="376"/>
              </w:tabs>
              <w:spacing w:before="40" w:after="40"/>
            </w:pPr>
            <w:r>
              <w:t>3.7</w:t>
            </w:r>
          </w:p>
        </w:tc>
        <w:tc>
          <w:tcPr>
            <w:tcW w:w="851" w:type="dxa"/>
            <w:vAlign w:val="center"/>
          </w:tcPr>
          <w:p w14:paraId="7A3E00A7" w14:textId="306A1037" w:rsidR="00E402A4" w:rsidRPr="00363CF9" w:rsidRDefault="00AA77DA" w:rsidP="00455437">
            <w:pPr>
              <w:pStyle w:val="Table-Text"/>
              <w:keepLines/>
              <w:tabs>
                <w:tab w:val="decimal" w:pos="505"/>
              </w:tabs>
              <w:spacing w:before="40" w:after="40"/>
            </w:pPr>
            <w:r>
              <w:t>19</w:t>
            </w:r>
          </w:p>
        </w:tc>
        <w:tc>
          <w:tcPr>
            <w:tcW w:w="850" w:type="dxa"/>
          </w:tcPr>
          <w:p w14:paraId="37AC0C44" w14:textId="1D9906EB" w:rsidR="00E402A4" w:rsidRPr="00363CF9" w:rsidRDefault="00AA77DA" w:rsidP="00455437">
            <w:pPr>
              <w:pStyle w:val="Table-Text"/>
              <w:keepLines/>
              <w:tabs>
                <w:tab w:val="decimal" w:pos="376"/>
              </w:tabs>
              <w:spacing w:before="40" w:after="40"/>
            </w:pPr>
            <w:r>
              <w:t>3.3</w:t>
            </w:r>
          </w:p>
        </w:tc>
        <w:tc>
          <w:tcPr>
            <w:tcW w:w="851" w:type="dxa"/>
          </w:tcPr>
          <w:p w14:paraId="5E5F6172" w14:textId="5BCE5DF4" w:rsidR="00E402A4" w:rsidRPr="00363CF9" w:rsidRDefault="00AA77DA" w:rsidP="00455437">
            <w:pPr>
              <w:pStyle w:val="Table-Text"/>
              <w:keepLines/>
              <w:tabs>
                <w:tab w:val="decimal" w:pos="511"/>
              </w:tabs>
              <w:spacing w:before="40" w:after="40"/>
            </w:pPr>
            <w:r>
              <w:t>20</w:t>
            </w:r>
          </w:p>
        </w:tc>
      </w:tr>
      <w:tr w:rsidR="00EF4191" w:rsidRPr="00363CF9" w14:paraId="3BBF8333" w14:textId="77777777" w:rsidTr="00775A75">
        <w:tc>
          <w:tcPr>
            <w:tcW w:w="1985" w:type="dxa"/>
          </w:tcPr>
          <w:p w14:paraId="37B4E27E" w14:textId="4F66C9E9" w:rsidR="00E402A4" w:rsidRPr="00072DC1" w:rsidRDefault="00E402A4" w:rsidP="00455437">
            <w:pPr>
              <w:pStyle w:val="Table-Text"/>
              <w:keepLines/>
              <w:spacing w:before="40" w:after="40"/>
              <w:rPr>
                <w:rStyle w:val="Strong"/>
              </w:rPr>
            </w:pPr>
            <w:r w:rsidRPr="00072DC1">
              <w:rPr>
                <w:rStyle w:val="Strong"/>
              </w:rPr>
              <w:t>Turkey</w:t>
            </w:r>
          </w:p>
        </w:tc>
        <w:tc>
          <w:tcPr>
            <w:tcW w:w="850" w:type="dxa"/>
          </w:tcPr>
          <w:p w14:paraId="46824CA6" w14:textId="6CB3B3E2" w:rsidR="00E402A4" w:rsidRPr="00363CF9" w:rsidRDefault="00AA77DA" w:rsidP="00455437">
            <w:pPr>
              <w:pStyle w:val="Table-Text"/>
              <w:keepLines/>
              <w:tabs>
                <w:tab w:val="decimal" w:pos="376"/>
              </w:tabs>
              <w:spacing w:before="40" w:after="40"/>
            </w:pPr>
            <w:r>
              <w:t>2.6</w:t>
            </w:r>
          </w:p>
        </w:tc>
        <w:tc>
          <w:tcPr>
            <w:tcW w:w="851" w:type="dxa"/>
          </w:tcPr>
          <w:p w14:paraId="3161BC5D" w14:textId="06E20755" w:rsidR="00E402A4" w:rsidRPr="00363CF9" w:rsidRDefault="00AA77DA" w:rsidP="00455437">
            <w:pPr>
              <w:pStyle w:val="Table-Text"/>
              <w:keepLines/>
              <w:tabs>
                <w:tab w:val="decimal" w:pos="508"/>
              </w:tabs>
              <w:spacing w:before="40" w:after="40"/>
            </w:pPr>
            <w:r>
              <w:t>35</w:t>
            </w:r>
          </w:p>
        </w:tc>
        <w:tc>
          <w:tcPr>
            <w:tcW w:w="850" w:type="dxa"/>
            <w:shd w:val="clear" w:color="auto" w:fill="auto"/>
            <w:vAlign w:val="bottom"/>
          </w:tcPr>
          <w:p w14:paraId="0D84054B" w14:textId="21FB8043" w:rsidR="00E402A4" w:rsidRPr="00363CF9" w:rsidRDefault="00AA77DA" w:rsidP="00455437">
            <w:pPr>
              <w:pStyle w:val="Table-Text"/>
              <w:keepLines/>
              <w:tabs>
                <w:tab w:val="decimal" w:pos="362"/>
              </w:tabs>
              <w:spacing w:before="40" w:after="40"/>
            </w:pPr>
            <w:r>
              <w:t>3.2</w:t>
            </w:r>
          </w:p>
        </w:tc>
        <w:tc>
          <w:tcPr>
            <w:tcW w:w="851" w:type="dxa"/>
            <w:vAlign w:val="center"/>
          </w:tcPr>
          <w:p w14:paraId="1CCBC8FE" w14:textId="378977D8" w:rsidR="00E402A4" w:rsidRPr="00363CF9" w:rsidRDefault="00AA77DA" w:rsidP="00455437">
            <w:pPr>
              <w:pStyle w:val="Table-Text"/>
              <w:keepLines/>
              <w:tabs>
                <w:tab w:val="decimal" w:pos="514"/>
              </w:tabs>
              <w:spacing w:before="40" w:after="40"/>
            </w:pPr>
            <w:r>
              <w:t>32</w:t>
            </w:r>
          </w:p>
        </w:tc>
        <w:tc>
          <w:tcPr>
            <w:tcW w:w="850" w:type="dxa"/>
            <w:vAlign w:val="center"/>
          </w:tcPr>
          <w:p w14:paraId="50EA7B55" w14:textId="799FABC8" w:rsidR="00E402A4" w:rsidRPr="00363CF9" w:rsidRDefault="00AA77DA" w:rsidP="00455437">
            <w:pPr>
              <w:pStyle w:val="Table-Text"/>
              <w:keepLines/>
              <w:tabs>
                <w:tab w:val="decimal" w:pos="376"/>
              </w:tabs>
              <w:spacing w:before="40" w:after="40"/>
            </w:pPr>
            <w:r>
              <w:t>2.9</w:t>
            </w:r>
          </w:p>
        </w:tc>
        <w:tc>
          <w:tcPr>
            <w:tcW w:w="851" w:type="dxa"/>
            <w:vAlign w:val="center"/>
          </w:tcPr>
          <w:p w14:paraId="4E8A5B86" w14:textId="4980DF7C" w:rsidR="00E402A4" w:rsidRPr="00363CF9" w:rsidRDefault="00AA77DA" w:rsidP="00455437">
            <w:pPr>
              <w:pStyle w:val="Table-Text"/>
              <w:keepLines/>
              <w:tabs>
                <w:tab w:val="decimal" w:pos="505"/>
              </w:tabs>
              <w:spacing w:before="40" w:after="40"/>
            </w:pPr>
            <w:r>
              <w:t>35</w:t>
            </w:r>
          </w:p>
        </w:tc>
        <w:tc>
          <w:tcPr>
            <w:tcW w:w="850" w:type="dxa"/>
          </w:tcPr>
          <w:p w14:paraId="2CE5EFE2" w14:textId="52DCC612" w:rsidR="00E402A4" w:rsidRPr="00363CF9" w:rsidRDefault="00AA77DA" w:rsidP="00455437">
            <w:pPr>
              <w:pStyle w:val="Table-Text"/>
              <w:keepLines/>
              <w:tabs>
                <w:tab w:val="decimal" w:pos="376"/>
              </w:tabs>
              <w:spacing w:before="40" w:after="40"/>
            </w:pPr>
            <w:r>
              <w:t>2.9</w:t>
            </w:r>
          </w:p>
        </w:tc>
        <w:tc>
          <w:tcPr>
            <w:tcW w:w="851" w:type="dxa"/>
          </w:tcPr>
          <w:p w14:paraId="0C308087" w14:textId="061774F0" w:rsidR="00E402A4" w:rsidRPr="00363CF9" w:rsidRDefault="00AA77DA" w:rsidP="00455437">
            <w:pPr>
              <w:pStyle w:val="Table-Text"/>
              <w:keepLines/>
              <w:tabs>
                <w:tab w:val="decimal" w:pos="511"/>
              </w:tabs>
              <w:spacing w:before="40" w:after="40"/>
            </w:pPr>
            <w:r>
              <w:t>33</w:t>
            </w:r>
          </w:p>
        </w:tc>
      </w:tr>
      <w:tr w:rsidR="00EF4191" w:rsidRPr="00363CF9" w14:paraId="74468E32" w14:textId="77777777" w:rsidTr="00775A75">
        <w:tc>
          <w:tcPr>
            <w:tcW w:w="1985" w:type="dxa"/>
          </w:tcPr>
          <w:p w14:paraId="3D19124B" w14:textId="23BCBF26" w:rsidR="00E402A4" w:rsidRPr="00072DC1" w:rsidRDefault="00E402A4" w:rsidP="00455437">
            <w:pPr>
              <w:pStyle w:val="Table-Text"/>
              <w:keepLines/>
              <w:spacing w:before="40" w:after="40"/>
              <w:rPr>
                <w:rStyle w:val="Strong"/>
              </w:rPr>
            </w:pPr>
            <w:r w:rsidRPr="00072DC1">
              <w:rPr>
                <w:rStyle w:val="Strong"/>
              </w:rPr>
              <w:t>United Kingdom</w:t>
            </w:r>
          </w:p>
        </w:tc>
        <w:tc>
          <w:tcPr>
            <w:tcW w:w="850" w:type="dxa"/>
          </w:tcPr>
          <w:p w14:paraId="56C378F8" w14:textId="6C38B909" w:rsidR="00E402A4" w:rsidRPr="00363CF9" w:rsidRDefault="00AA77DA" w:rsidP="00455437">
            <w:pPr>
              <w:pStyle w:val="Table-Text"/>
              <w:keepLines/>
              <w:tabs>
                <w:tab w:val="decimal" w:pos="376"/>
              </w:tabs>
              <w:spacing w:before="40" w:after="40"/>
            </w:pPr>
            <w:r>
              <w:t>3.3</w:t>
            </w:r>
          </w:p>
        </w:tc>
        <w:tc>
          <w:tcPr>
            <w:tcW w:w="851" w:type="dxa"/>
          </w:tcPr>
          <w:p w14:paraId="05DFAE20" w14:textId="743000CB" w:rsidR="00E402A4" w:rsidRPr="00363CF9" w:rsidRDefault="00AA77DA" w:rsidP="00455437">
            <w:pPr>
              <w:pStyle w:val="Table-Text"/>
              <w:keepLines/>
              <w:tabs>
                <w:tab w:val="decimal" w:pos="508"/>
              </w:tabs>
              <w:spacing w:before="40" w:after="40"/>
            </w:pPr>
            <w:r>
              <w:t>16</w:t>
            </w:r>
          </w:p>
        </w:tc>
        <w:tc>
          <w:tcPr>
            <w:tcW w:w="850" w:type="dxa"/>
            <w:shd w:val="clear" w:color="auto" w:fill="auto"/>
            <w:vAlign w:val="bottom"/>
          </w:tcPr>
          <w:p w14:paraId="7127C429" w14:textId="091334A5" w:rsidR="00E402A4" w:rsidRPr="00363CF9" w:rsidRDefault="00AA77DA" w:rsidP="00455437">
            <w:pPr>
              <w:pStyle w:val="Table-Text"/>
              <w:keepLines/>
              <w:tabs>
                <w:tab w:val="decimal" w:pos="362"/>
              </w:tabs>
              <w:spacing w:before="40" w:after="40"/>
            </w:pPr>
            <w:r>
              <w:t>3.4</w:t>
            </w:r>
          </w:p>
        </w:tc>
        <w:tc>
          <w:tcPr>
            <w:tcW w:w="851" w:type="dxa"/>
            <w:vAlign w:val="center"/>
          </w:tcPr>
          <w:p w14:paraId="1D9D3E20" w14:textId="243876B5" w:rsidR="00E402A4" w:rsidRPr="00363CF9" w:rsidRDefault="00AA77DA" w:rsidP="00455437">
            <w:pPr>
              <w:pStyle w:val="Table-Text"/>
              <w:keepLines/>
              <w:tabs>
                <w:tab w:val="decimal" w:pos="514"/>
              </w:tabs>
              <w:spacing w:before="40" w:after="40"/>
            </w:pPr>
            <w:r>
              <w:t>29</w:t>
            </w:r>
          </w:p>
        </w:tc>
        <w:tc>
          <w:tcPr>
            <w:tcW w:w="850" w:type="dxa"/>
            <w:vAlign w:val="center"/>
          </w:tcPr>
          <w:p w14:paraId="34651463" w14:textId="5786FEEA" w:rsidR="00E402A4" w:rsidRPr="00363CF9" w:rsidRDefault="00AA77DA" w:rsidP="00455437">
            <w:pPr>
              <w:pStyle w:val="Table-Text"/>
              <w:keepLines/>
              <w:tabs>
                <w:tab w:val="decimal" w:pos="376"/>
              </w:tabs>
              <w:spacing w:before="40" w:after="40"/>
            </w:pPr>
            <w:r>
              <w:t>3.1</w:t>
            </w:r>
          </w:p>
        </w:tc>
        <w:tc>
          <w:tcPr>
            <w:tcW w:w="851" w:type="dxa"/>
            <w:vAlign w:val="center"/>
          </w:tcPr>
          <w:p w14:paraId="24CBEDBD" w14:textId="6B0116B3" w:rsidR="00E402A4" w:rsidRPr="00363CF9" w:rsidRDefault="00AA77DA" w:rsidP="00455437">
            <w:pPr>
              <w:pStyle w:val="Table-Text"/>
              <w:keepLines/>
              <w:tabs>
                <w:tab w:val="decimal" w:pos="505"/>
              </w:tabs>
              <w:spacing w:before="40" w:after="40"/>
            </w:pPr>
            <w:r>
              <w:t>32</w:t>
            </w:r>
          </w:p>
        </w:tc>
        <w:tc>
          <w:tcPr>
            <w:tcW w:w="850" w:type="dxa"/>
          </w:tcPr>
          <w:p w14:paraId="3E6C21FC" w14:textId="7240ADD0" w:rsidR="00E402A4" w:rsidRPr="00363CF9" w:rsidRDefault="00AA77DA" w:rsidP="00455437">
            <w:pPr>
              <w:pStyle w:val="Table-Text"/>
              <w:keepLines/>
              <w:tabs>
                <w:tab w:val="decimal" w:pos="376"/>
              </w:tabs>
              <w:spacing w:before="40" w:after="40"/>
            </w:pPr>
            <w:r>
              <w:t>2.9</w:t>
            </w:r>
          </w:p>
        </w:tc>
        <w:tc>
          <w:tcPr>
            <w:tcW w:w="851" w:type="dxa"/>
          </w:tcPr>
          <w:p w14:paraId="55608E79" w14:textId="5E1628C3" w:rsidR="00E402A4" w:rsidRPr="00363CF9" w:rsidRDefault="00AA77DA" w:rsidP="00455437">
            <w:pPr>
              <w:pStyle w:val="Table-Text"/>
              <w:keepLines/>
              <w:tabs>
                <w:tab w:val="decimal" w:pos="511"/>
              </w:tabs>
              <w:spacing w:before="40" w:after="40"/>
            </w:pPr>
            <w:r>
              <w:t>32</w:t>
            </w:r>
          </w:p>
        </w:tc>
      </w:tr>
      <w:tr w:rsidR="00EF342B" w:rsidRPr="00363CF9" w14:paraId="40D1A850" w14:textId="77777777" w:rsidTr="00775A75">
        <w:tc>
          <w:tcPr>
            <w:tcW w:w="1985" w:type="dxa"/>
          </w:tcPr>
          <w:p w14:paraId="51CA16FD" w14:textId="59EF8C18" w:rsidR="00E402A4" w:rsidRPr="00072DC1" w:rsidRDefault="00E402A4" w:rsidP="00455437">
            <w:pPr>
              <w:pStyle w:val="Table-Text"/>
              <w:keepLines/>
              <w:spacing w:before="40" w:after="40"/>
              <w:rPr>
                <w:rStyle w:val="Strong"/>
              </w:rPr>
            </w:pPr>
            <w:r w:rsidRPr="00072DC1">
              <w:rPr>
                <w:rStyle w:val="Strong"/>
              </w:rPr>
              <w:t>United States</w:t>
            </w:r>
          </w:p>
        </w:tc>
        <w:tc>
          <w:tcPr>
            <w:tcW w:w="850" w:type="dxa"/>
          </w:tcPr>
          <w:p w14:paraId="637C87DA" w14:textId="65A38F0A" w:rsidR="00E402A4" w:rsidRPr="00363CF9" w:rsidRDefault="00AA77DA" w:rsidP="00455437">
            <w:pPr>
              <w:pStyle w:val="Table-Text"/>
              <w:keepLines/>
              <w:tabs>
                <w:tab w:val="decimal" w:pos="376"/>
              </w:tabs>
              <w:spacing w:before="40" w:after="40"/>
            </w:pPr>
            <w:r>
              <w:t>3.6</w:t>
            </w:r>
          </w:p>
        </w:tc>
        <w:tc>
          <w:tcPr>
            <w:tcW w:w="851" w:type="dxa"/>
          </w:tcPr>
          <w:p w14:paraId="50E0C771" w14:textId="1B3046B2" w:rsidR="00E402A4" w:rsidRPr="00363CF9" w:rsidRDefault="00AA77DA" w:rsidP="00455437">
            <w:pPr>
              <w:pStyle w:val="Table-Text"/>
              <w:keepLines/>
              <w:tabs>
                <w:tab w:val="decimal" w:pos="508"/>
              </w:tabs>
              <w:spacing w:before="40" w:after="40"/>
            </w:pPr>
            <w:r>
              <w:t>7</w:t>
            </w:r>
          </w:p>
        </w:tc>
        <w:tc>
          <w:tcPr>
            <w:tcW w:w="850" w:type="dxa"/>
            <w:shd w:val="clear" w:color="auto" w:fill="auto"/>
            <w:vAlign w:val="bottom"/>
          </w:tcPr>
          <w:p w14:paraId="5A502A97" w14:textId="678365F8" w:rsidR="00E402A4" w:rsidRPr="00363CF9" w:rsidRDefault="00AA77DA" w:rsidP="00455437">
            <w:pPr>
              <w:pStyle w:val="Table-Text"/>
              <w:keepLines/>
              <w:tabs>
                <w:tab w:val="decimal" w:pos="362"/>
              </w:tabs>
              <w:spacing w:before="40" w:after="40"/>
            </w:pPr>
            <w:r>
              <w:t>3.6</w:t>
            </w:r>
          </w:p>
        </w:tc>
        <w:tc>
          <w:tcPr>
            <w:tcW w:w="851" w:type="dxa"/>
            <w:vAlign w:val="center"/>
          </w:tcPr>
          <w:p w14:paraId="507EDC50" w14:textId="2D3699EA" w:rsidR="00E402A4" w:rsidRPr="00363CF9" w:rsidRDefault="00AA77DA" w:rsidP="00455437">
            <w:pPr>
              <w:pStyle w:val="Table-Text"/>
              <w:keepLines/>
              <w:tabs>
                <w:tab w:val="decimal" w:pos="514"/>
              </w:tabs>
              <w:spacing w:before="40" w:after="40"/>
            </w:pPr>
            <w:r>
              <w:t>23</w:t>
            </w:r>
          </w:p>
        </w:tc>
        <w:tc>
          <w:tcPr>
            <w:tcW w:w="850" w:type="dxa"/>
            <w:vAlign w:val="center"/>
          </w:tcPr>
          <w:p w14:paraId="2DD6D3C3" w14:textId="7D73C2FC" w:rsidR="00E402A4" w:rsidRPr="00363CF9" w:rsidRDefault="00AA77DA" w:rsidP="00455437">
            <w:pPr>
              <w:pStyle w:val="Table-Text"/>
              <w:keepLines/>
              <w:tabs>
                <w:tab w:val="decimal" w:pos="376"/>
              </w:tabs>
              <w:spacing w:before="40" w:after="40"/>
            </w:pPr>
            <w:r>
              <w:t>2.6</w:t>
            </w:r>
          </w:p>
        </w:tc>
        <w:tc>
          <w:tcPr>
            <w:tcW w:w="851" w:type="dxa"/>
            <w:vAlign w:val="center"/>
          </w:tcPr>
          <w:p w14:paraId="2586AC7E" w14:textId="12B9C2A6" w:rsidR="00E402A4" w:rsidRPr="00363CF9" w:rsidRDefault="00AA77DA" w:rsidP="00455437">
            <w:pPr>
              <w:pStyle w:val="Table-Text"/>
              <w:keepLines/>
              <w:tabs>
                <w:tab w:val="decimal" w:pos="505"/>
              </w:tabs>
              <w:spacing w:before="40" w:after="40"/>
            </w:pPr>
            <w:r>
              <w:t>38</w:t>
            </w:r>
          </w:p>
        </w:tc>
        <w:tc>
          <w:tcPr>
            <w:tcW w:w="850" w:type="dxa"/>
          </w:tcPr>
          <w:p w14:paraId="3A9430A5" w14:textId="3857B1FC" w:rsidR="00E402A4" w:rsidRPr="00363CF9" w:rsidRDefault="00AA77DA" w:rsidP="00455437">
            <w:pPr>
              <w:pStyle w:val="Table-Text"/>
              <w:keepLines/>
              <w:tabs>
                <w:tab w:val="decimal" w:pos="376"/>
              </w:tabs>
              <w:spacing w:before="40" w:after="40"/>
            </w:pPr>
            <w:r>
              <w:t>2.6</w:t>
            </w:r>
          </w:p>
        </w:tc>
        <w:tc>
          <w:tcPr>
            <w:tcW w:w="851" w:type="dxa"/>
          </w:tcPr>
          <w:p w14:paraId="621AFFBC" w14:textId="70C3F46C" w:rsidR="00E402A4" w:rsidRPr="00363CF9" w:rsidRDefault="00AA77DA" w:rsidP="00455437">
            <w:pPr>
              <w:pStyle w:val="Table-Text"/>
              <w:keepLines/>
              <w:tabs>
                <w:tab w:val="decimal" w:pos="511"/>
              </w:tabs>
              <w:spacing w:before="40" w:after="40"/>
            </w:pPr>
            <w:r>
              <w:t>34</w:t>
            </w:r>
          </w:p>
        </w:tc>
      </w:tr>
      <w:tr w:rsidR="00D7059B" w:rsidRPr="00072DC1" w14:paraId="61D4B21F" w14:textId="77777777" w:rsidTr="00775A75">
        <w:tc>
          <w:tcPr>
            <w:tcW w:w="1985" w:type="dxa"/>
            <w:shd w:val="clear" w:color="auto" w:fill="A6A6A6" w:themeFill="background1" w:themeFillShade="A6"/>
          </w:tcPr>
          <w:p w14:paraId="522506E8" w14:textId="0E18A59D" w:rsidR="00E402A4" w:rsidRPr="00E402A4" w:rsidRDefault="00E402A4" w:rsidP="00455437">
            <w:pPr>
              <w:pStyle w:val="Table-Text"/>
              <w:keepLines/>
              <w:spacing w:before="40" w:after="40"/>
              <w:rPr>
                <w:rStyle w:val="Strong"/>
              </w:rPr>
            </w:pPr>
            <w:r w:rsidRPr="00E402A4">
              <w:rPr>
                <w:rStyle w:val="Strong"/>
              </w:rPr>
              <w:t>Average</w:t>
            </w:r>
          </w:p>
        </w:tc>
        <w:tc>
          <w:tcPr>
            <w:tcW w:w="850" w:type="dxa"/>
            <w:shd w:val="clear" w:color="auto" w:fill="A6A6A6" w:themeFill="background1" w:themeFillShade="A6"/>
          </w:tcPr>
          <w:p w14:paraId="7186CA3F" w14:textId="7B2A7961" w:rsidR="00E402A4" w:rsidRPr="00072DC1" w:rsidRDefault="00A07B92" w:rsidP="00455437">
            <w:pPr>
              <w:pStyle w:val="Table-Text"/>
              <w:keepLines/>
              <w:tabs>
                <w:tab w:val="decimal" w:pos="376"/>
              </w:tabs>
              <w:spacing w:before="40" w:after="40"/>
              <w:rPr>
                <w:b/>
                <w:bCs/>
              </w:rPr>
            </w:pPr>
            <w:r>
              <w:rPr>
                <w:b/>
                <w:bCs/>
              </w:rPr>
              <w:t>3.3</w:t>
            </w:r>
          </w:p>
        </w:tc>
        <w:tc>
          <w:tcPr>
            <w:tcW w:w="851" w:type="dxa"/>
            <w:shd w:val="clear" w:color="auto" w:fill="A6A6A6" w:themeFill="background1" w:themeFillShade="A6"/>
          </w:tcPr>
          <w:p w14:paraId="5B09B62A" w14:textId="77777777" w:rsidR="00E402A4" w:rsidRPr="00072DC1" w:rsidRDefault="00E402A4" w:rsidP="00455437">
            <w:pPr>
              <w:pStyle w:val="Table-Text"/>
              <w:keepLines/>
              <w:tabs>
                <w:tab w:val="decimal" w:pos="508"/>
              </w:tabs>
              <w:spacing w:before="40" w:after="40"/>
              <w:rPr>
                <w:b/>
                <w:bCs/>
              </w:rPr>
            </w:pPr>
          </w:p>
        </w:tc>
        <w:tc>
          <w:tcPr>
            <w:tcW w:w="850" w:type="dxa"/>
            <w:shd w:val="clear" w:color="auto" w:fill="A6A6A6" w:themeFill="background1" w:themeFillShade="A6"/>
            <w:vAlign w:val="bottom"/>
          </w:tcPr>
          <w:p w14:paraId="1E9E5D06" w14:textId="43D6BC06" w:rsidR="00E402A4" w:rsidRPr="00072DC1" w:rsidRDefault="00A07B92" w:rsidP="00455437">
            <w:pPr>
              <w:pStyle w:val="Table-Text"/>
              <w:keepLines/>
              <w:tabs>
                <w:tab w:val="decimal" w:pos="362"/>
              </w:tabs>
              <w:spacing w:before="40" w:after="40"/>
              <w:rPr>
                <w:b/>
                <w:bCs/>
              </w:rPr>
            </w:pPr>
            <w:r>
              <w:rPr>
                <w:b/>
                <w:bCs/>
              </w:rPr>
              <w:t>3.6</w:t>
            </w:r>
          </w:p>
        </w:tc>
        <w:tc>
          <w:tcPr>
            <w:tcW w:w="851" w:type="dxa"/>
            <w:shd w:val="clear" w:color="auto" w:fill="A6A6A6" w:themeFill="background1" w:themeFillShade="A6"/>
            <w:vAlign w:val="center"/>
          </w:tcPr>
          <w:p w14:paraId="3C637B02" w14:textId="77777777" w:rsidR="00E402A4" w:rsidRPr="00072DC1" w:rsidRDefault="00E402A4" w:rsidP="00455437">
            <w:pPr>
              <w:pStyle w:val="Table-Text"/>
              <w:keepLines/>
              <w:tabs>
                <w:tab w:val="decimal" w:pos="514"/>
              </w:tabs>
              <w:spacing w:before="40" w:after="40"/>
              <w:rPr>
                <w:b/>
                <w:bCs/>
              </w:rPr>
            </w:pPr>
          </w:p>
        </w:tc>
        <w:tc>
          <w:tcPr>
            <w:tcW w:w="850" w:type="dxa"/>
            <w:shd w:val="clear" w:color="auto" w:fill="A6A6A6" w:themeFill="background1" w:themeFillShade="A6"/>
            <w:vAlign w:val="center"/>
          </w:tcPr>
          <w:p w14:paraId="4F72CEAC" w14:textId="3C961D71" w:rsidR="00E402A4" w:rsidRPr="00072DC1" w:rsidRDefault="00A07B92" w:rsidP="00455437">
            <w:pPr>
              <w:pStyle w:val="Table-Text"/>
              <w:keepLines/>
              <w:tabs>
                <w:tab w:val="decimal" w:pos="376"/>
              </w:tabs>
              <w:spacing w:before="40" w:after="40"/>
              <w:rPr>
                <w:b/>
                <w:bCs/>
              </w:rPr>
            </w:pPr>
            <w:r>
              <w:rPr>
                <w:b/>
                <w:bCs/>
              </w:rPr>
              <w:t>4.5</w:t>
            </w:r>
          </w:p>
        </w:tc>
        <w:tc>
          <w:tcPr>
            <w:tcW w:w="851" w:type="dxa"/>
            <w:shd w:val="clear" w:color="auto" w:fill="A6A6A6" w:themeFill="background1" w:themeFillShade="A6"/>
            <w:vAlign w:val="center"/>
          </w:tcPr>
          <w:p w14:paraId="026F7940" w14:textId="77777777" w:rsidR="00E402A4" w:rsidRPr="00072DC1" w:rsidRDefault="00E402A4" w:rsidP="00455437">
            <w:pPr>
              <w:pStyle w:val="Table-Text"/>
              <w:keepLines/>
              <w:tabs>
                <w:tab w:val="decimal" w:pos="505"/>
              </w:tabs>
              <w:spacing w:before="40" w:after="40"/>
              <w:rPr>
                <w:b/>
                <w:bCs/>
              </w:rPr>
            </w:pPr>
          </w:p>
        </w:tc>
        <w:tc>
          <w:tcPr>
            <w:tcW w:w="850" w:type="dxa"/>
            <w:shd w:val="clear" w:color="auto" w:fill="A6A6A6" w:themeFill="background1" w:themeFillShade="A6"/>
          </w:tcPr>
          <w:p w14:paraId="098B3AC9" w14:textId="062AA93E" w:rsidR="00E402A4" w:rsidRPr="00072DC1" w:rsidRDefault="00A07B92" w:rsidP="00455437">
            <w:pPr>
              <w:pStyle w:val="Table-Text"/>
              <w:keepLines/>
              <w:tabs>
                <w:tab w:val="decimal" w:pos="376"/>
              </w:tabs>
              <w:spacing w:before="40" w:after="40"/>
              <w:rPr>
                <w:b/>
                <w:bCs/>
              </w:rPr>
            </w:pPr>
            <w:r>
              <w:rPr>
                <w:b/>
                <w:bCs/>
              </w:rPr>
              <w:t>3.2</w:t>
            </w:r>
          </w:p>
        </w:tc>
        <w:tc>
          <w:tcPr>
            <w:tcW w:w="851" w:type="dxa"/>
            <w:shd w:val="clear" w:color="auto" w:fill="A6A6A6" w:themeFill="background1" w:themeFillShade="A6"/>
          </w:tcPr>
          <w:p w14:paraId="3D5ADCC8" w14:textId="77777777" w:rsidR="00E402A4" w:rsidRPr="00072DC1" w:rsidRDefault="00E402A4" w:rsidP="00455437">
            <w:pPr>
              <w:pStyle w:val="Table-Text"/>
              <w:keepLines/>
              <w:tabs>
                <w:tab w:val="decimal" w:pos="511"/>
              </w:tabs>
              <w:spacing w:before="40" w:after="40"/>
              <w:rPr>
                <w:b/>
                <w:bCs/>
              </w:rPr>
            </w:pPr>
          </w:p>
        </w:tc>
      </w:tr>
    </w:tbl>
    <w:bookmarkEnd w:id="22"/>
    <w:p w14:paraId="26FC5EA6" w14:textId="77777777" w:rsidR="00A24486" w:rsidRPr="00A24486" w:rsidRDefault="00A24486" w:rsidP="00075D72">
      <w:pPr>
        <w:pStyle w:val="NumberedParagraph"/>
        <w:numPr>
          <w:ilvl w:val="1"/>
          <w:numId w:val="64"/>
        </w:numPr>
      </w:pPr>
      <w:r w:rsidRPr="00A24486">
        <w:lastRenderedPageBreak/>
        <w:t>It is helpful to consider what the results are telling us. The underlying assumption is of a 3% real interest rate demanded by non-resident investors. Take buildings, for example. The OECD analysis suggests that the hurdle rate of return for investment in buildings (mainly commercial and industrial buildings) is 3.4% in Australia. This means that tax is resulting in a higher hurdle rate of return than would be the case if investment were untaxed (when the cost of capital would be 3%). This is unsurprising. One would normally expect that taxes would raise hurdle rates of return.</w:t>
      </w:r>
    </w:p>
    <w:p w14:paraId="3AC7CCE3" w14:textId="77777777" w:rsidR="00A24486" w:rsidRPr="00A24486" w:rsidRDefault="00A24486" w:rsidP="00075D72">
      <w:pPr>
        <w:pStyle w:val="NumberedParagraph"/>
        <w:numPr>
          <w:ilvl w:val="1"/>
          <w:numId w:val="64"/>
        </w:numPr>
      </w:pPr>
      <w:r w:rsidRPr="00A24486">
        <w:t>To the right of the cost of capital estimate for Australia, there is a rank measure of 14. This means that Australia has the 14</w:t>
      </w:r>
      <w:r w:rsidRPr="00075D72">
        <w:rPr>
          <w:vertAlign w:val="superscript"/>
        </w:rPr>
        <w:t>th</w:t>
      </w:r>
      <w:r w:rsidRPr="00A24486">
        <w:t xml:space="preserve"> highest cost of capital for buildings under the OECD estimates.</w:t>
      </w:r>
    </w:p>
    <w:p w14:paraId="1E0BFE5A" w14:textId="70F644D9" w:rsidR="00A24486" w:rsidRPr="00A24486" w:rsidRDefault="00A24486" w:rsidP="00075D72">
      <w:pPr>
        <w:pStyle w:val="NumberedParagraph"/>
        <w:numPr>
          <w:ilvl w:val="1"/>
          <w:numId w:val="64"/>
        </w:numPr>
      </w:pPr>
      <w:r w:rsidRPr="00A24486">
        <w:t>Other things being equal, higher costs of capital will tend to reduce investment and capital stock because fewer investments will generate the required rate of return. The OECD data suggests that New Zealand has relatively high costs of capital. It has the highest for buildings, third highest for inventories, 18</w:t>
      </w:r>
      <w:r w:rsidRPr="00075D72">
        <w:rPr>
          <w:vertAlign w:val="superscript"/>
        </w:rPr>
        <w:t>th</w:t>
      </w:r>
      <w:r w:rsidR="007175B6">
        <w:t> </w:t>
      </w:r>
      <w:r w:rsidRPr="00A24486">
        <w:t xml:space="preserve">highest for acquired intangibles, and second highest for </w:t>
      </w:r>
      <w:r w:rsidR="002F4854">
        <w:t>‘</w:t>
      </w:r>
      <w:r w:rsidRPr="00A24486">
        <w:t>tangible assets</w:t>
      </w:r>
      <w:r w:rsidR="002F4854">
        <w:t>’</w:t>
      </w:r>
      <w:r w:rsidRPr="00A24486">
        <w:t xml:space="preserve"> (meaning non-building tangible assets).</w:t>
      </w:r>
    </w:p>
    <w:p w14:paraId="4D298D06" w14:textId="77777777" w:rsidR="00A24486" w:rsidRPr="00A24486" w:rsidRDefault="00A24486" w:rsidP="00075D72">
      <w:pPr>
        <w:pStyle w:val="NumberedParagraph"/>
        <w:numPr>
          <w:ilvl w:val="1"/>
          <w:numId w:val="64"/>
        </w:numPr>
      </w:pPr>
      <w:r w:rsidRPr="00A24486">
        <w:t>Of the various estimates, the figures for buildings and for inventories are likely to be most accurate. The figures for tangible assets are attempting to make an estimate for a large group of different non-building tangible assets that can have different tax depreciation rates and different economic depreciation rates. It can be very difficult to aggregate these into a single average cost of capital.</w:t>
      </w:r>
    </w:p>
    <w:p w14:paraId="4E140036" w14:textId="77777777" w:rsidR="00A24486" w:rsidRPr="00A24486" w:rsidRDefault="00A24486" w:rsidP="00075D72">
      <w:pPr>
        <w:pStyle w:val="NumberedParagraph"/>
        <w:numPr>
          <w:ilvl w:val="1"/>
          <w:numId w:val="64"/>
        </w:numPr>
      </w:pPr>
      <w:r w:rsidRPr="00A24486">
        <w:t>A smaller group of assets, with less variety in economic and tax depreciation rates, is grouped under buildings. Also, costs of capital for inventories can be calculated reasonably simply.</w:t>
      </w:r>
    </w:p>
    <w:p w14:paraId="7058FA12" w14:textId="4E8B6CE1" w:rsidR="00A24486" w:rsidRPr="00A24486" w:rsidRDefault="00A24486" w:rsidP="00075D72">
      <w:pPr>
        <w:pStyle w:val="NumberedParagraph"/>
        <w:numPr>
          <w:ilvl w:val="1"/>
          <w:numId w:val="64"/>
        </w:numPr>
      </w:pPr>
      <w:r w:rsidRPr="00A24486">
        <w:t xml:space="preserve">The variability </w:t>
      </w:r>
      <w:r w:rsidR="001C5451">
        <w:t>across countries</w:t>
      </w:r>
      <w:r w:rsidRPr="00A24486">
        <w:t xml:space="preserve"> of costs of capital for acquired intangibles is surprising and may be a reason for treating results for these assets with some caution. Very high figures for Chile and Costa Rica are pushing up the average cost of capital estimate significantly. It should be noted that purchased intangibles are likely to comprise a relatively small part of New Zealand’s capital stock. The main purchased intangible may be software. As we discuss in </w:t>
      </w:r>
      <w:r w:rsidR="009D5F5F">
        <w:t xml:space="preserve">appendix </w:t>
      </w:r>
      <w:r w:rsidR="00DF1EBD" w:rsidRPr="00B85F29">
        <w:t>6</w:t>
      </w:r>
      <w:r w:rsidR="009D5F5F">
        <w:t xml:space="preserve"> of our </w:t>
      </w:r>
      <w:proofErr w:type="gramStart"/>
      <w:r w:rsidR="00DD6E95">
        <w:rPr>
          <w:i/>
          <w:iCs/>
        </w:rPr>
        <w:t>Technical</w:t>
      </w:r>
      <w:proofErr w:type="gramEnd"/>
      <w:r w:rsidR="00DD6E95">
        <w:rPr>
          <w:i/>
          <w:iCs/>
        </w:rPr>
        <w:t xml:space="preserve"> appendices</w:t>
      </w:r>
      <w:r w:rsidRPr="00A24486">
        <w:t>, this is only 3.7% of the net capital stock of ‘market entities’ whose investment decisions are likely to be directly impacted by the tax settings we are analysing in this LTIB.</w:t>
      </w:r>
    </w:p>
    <w:p w14:paraId="207E784E" w14:textId="77777777" w:rsidR="00A24486" w:rsidRPr="00A24486" w:rsidRDefault="00A24486" w:rsidP="00075D72">
      <w:pPr>
        <w:pStyle w:val="NumberedParagraph"/>
        <w:numPr>
          <w:ilvl w:val="1"/>
          <w:numId w:val="64"/>
        </w:numPr>
      </w:pPr>
      <w:r w:rsidRPr="00A24486">
        <w:t>These estimates are for a few highly aggregated assets only.</w:t>
      </w:r>
    </w:p>
    <w:p w14:paraId="2EDA143D" w14:textId="04D50A97" w:rsidR="00A24486" w:rsidRPr="00A24486" w:rsidRDefault="00A24486" w:rsidP="00075D72">
      <w:pPr>
        <w:pStyle w:val="NumberedParagraph"/>
        <w:numPr>
          <w:ilvl w:val="1"/>
          <w:numId w:val="64"/>
        </w:numPr>
      </w:pPr>
      <w:r w:rsidRPr="00A24486">
        <w:t xml:space="preserve">Little difference exists between New Zealand’s costs of capital for the three main types of business investment included in the data: buildings, </w:t>
      </w:r>
      <w:proofErr w:type="gramStart"/>
      <w:r w:rsidRPr="00A24486">
        <w:t>inventory</w:t>
      </w:r>
      <w:proofErr w:type="gramEnd"/>
      <w:r w:rsidRPr="00A24486">
        <w:t xml:space="preserve"> and tangible assets. Thus, New Zealand’s tax settings appear to be reasonably neutral across these three different aggregate assets. In later chapters, we extend the analysis to consider other forms of investment, including investment in assets where capital expenditure can be immediately written off (or expensed). This will include most investment in self-created intangibles. Looking at a broader set of assets reveals some biases that can be hidden in the OECD’s highly aggregated analysis.</w:t>
      </w:r>
    </w:p>
    <w:p w14:paraId="7F474212" w14:textId="6D26C8C7" w:rsidR="00A24486" w:rsidRPr="00A24486" w:rsidRDefault="00A24486" w:rsidP="00075D72">
      <w:pPr>
        <w:pStyle w:val="NumberedParagraph"/>
        <w:numPr>
          <w:ilvl w:val="1"/>
          <w:numId w:val="64"/>
        </w:numPr>
      </w:pPr>
      <w:r w:rsidRPr="00A24486">
        <w:t>The OECD data only goes back to 2017. The most major change for New Zealand during the period from 2017 to the present was the restoration of building depreciation for commercial and industrial property in 2020. Before that, in 2019, the OECD estimated that New Zealand had a significantly higher cost of capital for buildings of 4.9%. The Netherlands was in second place with a cost of capital of 4.0%. This suggested that</w:t>
      </w:r>
      <w:r w:rsidR="00896460">
        <w:t>,</w:t>
      </w:r>
      <w:r w:rsidRPr="00A24486">
        <w:t xml:space="preserve"> while taxes were pushing the hurdle rate of return for buildings up from 3.0% to a maximum of 4.0% in other OECD countries, they were pushing that rate up to 4.9% in New Zealand. This </w:t>
      </w:r>
      <w:r w:rsidRPr="00A24486">
        <w:lastRenderedPageBreak/>
        <w:t>suggests that a significant number of investments that would have been profitable in other countries were not profitable in New Zealand. In addition, the cost of capital for investment in commercial and industrial buildings was very high relative to other forms of investment. This was likely to be distorting decisions about investment in different assets.</w:t>
      </w:r>
    </w:p>
    <w:p w14:paraId="6BBEAB8A" w14:textId="0148B20F" w:rsidR="00A24486" w:rsidRPr="00A24486" w:rsidRDefault="00A24486" w:rsidP="00075D72">
      <w:pPr>
        <w:pStyle w:val="NumberedParagraph"/>
        <w:numPr>
          <w:ilvl w:val="1"/>
          <w:numId w:val="64"/>
        </w:numPr>
      </w:pPr>
      <w:r w:rsidRPr="00A24486">
        <w:t xml:space="preserve">Thus, the 2020 change appears to have reduced the cost of capital for the least favourably taxed form of business investment (commercial and industrial buildings) and made costs of capital more neutral. However, </w:t>
      </w:r>
      <w:r w:rsidR="00DF1EBD">
        <w:t>the OECD analysis suggests that</w:t>
      </w:r>
      <w:r w:rsidRPr="00A24486">
        <w:t xml:space="preserve"> New Zealand’s costs of capital </w:t>
      </w:r>
      <w:r w:rsidR="00DF1EBD">
        <w:t xml:space="preserve">are </w:t>
      </w:r>
      <w:r w:rsidRPr="00A24486">
        <w:t xml:space="preserve">still </w:t>
      </w:r>
      <w:r w:rsidR="00DF1EBD">
        <w:t>very</w:t>
      </w:r>
      <w:r w:rsidRPr="00A24486">
        <w:t xml:space="preserve"> high relative to </w:t>
      </w:r>
      <w:r w:rsidR="00DF1EBD">
        <w:t xml:space="preserve">most </w:t>
      </w:r>
      <w:r w:rsidRPr="00A24486">
        <w:t xml:space="preserve">other </w:t>
      </w:r>
      <w:r w:rsidR="00DF1EBD">
        <w:t xml:space="preserve">OECD </w:t>
      </w:r>
      <w:r w:rsidRPr="00A24486">
        <w:t>countries.</w:t>
      </w:r>
    </w:p>
    <w:p w14:paraId="0CC7C8D8" w14:textId="466AE9CA" w:rsidR="00A24486" w:rsidRPr="00A24486" w:rsidRDefault="00A24486" w:rsidP="00075D72">
      <w:pPr>
        <w:pStyle w:val="NumberedParagraph"/>
        <w:numPr>
          <w:ilvl w:val="1"/>
          <w:numId w:val="64"/>
        </w:numPr>
      </w:pPr>
      <w:r w:rsidRPr="00A24486">
        <w:t xml:space="preserve">The OECD also provides information on effective marginal tax rate or EMTRs. The </w:t>
      </w:r>
      <w:r w:rsidR="00236A50">
        <w:rPr>
          <w:i/>
          <w:iCs/>
        </w:rPr>
        <w:t>EMTR</w:t>
      </w:r>
      <w:r w:rsidR="00822497">
        <w:rPr>
          <w:i/>
          <w:iCs/>
        </w:rPr>
        <w:t xml:space="preserve"> = </w:t>
      </w:r>
      <w:r w:rsidR="00822497">
        <w:t>(</w:t>
      </w:r>
      <w:r w:rsidR="00822497">
        <w:rPr>
          <w:i/>
          <w:iCs/>
        </w:rPr>
        <w:t>p</w:t>
      </w:r>
      <w:r w:rsidR="00422519">
        <w:rPr>
          <w:i/>
          <w:iCs/>
        </w:rPr>
        <w:t xml:space="preserve"> </w:t>
      </w:r>
      <w:r w:rsidR="00822497">
        <w:rPr>
          <w:i/>
          <w:iCs/>
        </w:rPr>
        <w:t>– r</w:t>
      </w:r>
      <w:r w:rsidR="00822497">
        <w:t>)/</w:t>
      </w:r>
      <w:r w:rsidR="0092132E" w:rsidRPr="007813AD">
        <w:rPr>
          <w:i/>
          <w:iCs/>
        </w:rPr>
        <w:t>p</w:t>
      </w:r>
      <w:r w:rsidRPr="00A24486">
        <w:t xml:space="preserve"> where </w:t>
      </w:r>
      <w:r w:rsidRPr="00075D72">
        <w:rPr>
          <w:i/>
          <w:iCs/>
        </w:rPr>
        <w:t xml:space="preserve">p </w:t>
      </w:r>
      <w:r w:rsidRPr="00A24486">
        <w:t xml:space="preserve">is the pre-tax rate of return on a marginal investment and </w:t>
      </w:r>
      <w:r w:rsidRPr="00075D72">
        <w:rPr>
          <w:i/>
          <w:iCs/>
        </w:rPr>
        <w:t>r</w:t>
      </w:r>
      <w:r w:rsidRPr="00A24486">
        <w:t xml:space="preserve"> is the cost of funds to the economy. For example, as discussed earlier, the cost of capital for investment in buildings in Australia was 3.4% and the cost of funds was 3.0%. This results in an EMTR of 11.8%</w:t>
      </w:r>
      <w:r w:rsidR="00C8084C">
        <w:t>, that is</w:t>
      </w:r>
      <w:r w:rsidR="00477A93">
        <w:t>,</w:t>
      </w:r>
      <w:r w:rsidRPr="00A24486">
        <w:t xml:space="preserve"> </w:t>
      </w:r>
      <w:r w:rsidR="008F1A59">
        <w:br/>
      </w:r>
      <w:r w:rsidRPr="007058C1">
        <w:t>(3.4%</w:t>
      </w:r>
      <w:r w:rsidR="008F1A59" w:rsidRPr="007058C1">
        <w:t>–</w:t>
      </w:r>
      <w:r w:rsidRPr="007058C1">
        <w:t>3.0%)/3.4%</w:t>
      </w:r>
      <w:r w:rsidRPr="00BE231C">
        <w:t>.</w:t>
      </w:r>
      <w:r w:rsidRPr="00A24486">
        <w:t xml:space="preserve"> Clearly there is a very close relationship between the cost of capital and EMTR measures. The higher the cost of capital, the higher will be the EMTR. A higher cost of capital of, say, 3.5% would imply an EMTR of 14.2%</w:t>
      </w:r>
      <w:r w:rsidR="00FA63E7">
        <w:t>, that is</w:t>
      </w:r>
      <w:r w:rsidR="00477A93">
        <w:t>,</w:t>
      </w:r>
      <w:r w:rsidRPr="00A24486">
        <w:t xml:space="preserve"> (3.5%-3.0%)/3.5%.</w:t>
      </w:r>
    </w:p>
    <w:p w14:paraId="6770B5BF" w14:textId="273AC747" w:rsidR="00A24486" w:rsidRPr="00A24486" w:rsidRDefault="00A24486" w:rsidP="00075D72">
      <w:pPr>
        <w:pStyle w:val="NumberedParagraph"/>
        <w:numPr>
          <w:ilvl w:val="1"/>
          <w:numId w:val="64"/>
        </w:numPr>
      </w:pPr>
      <w:r w:rsidRPr="00A24486">
        <w:t>The OECD provides estimates of average EMTRs for the 38 OECD countries across their four categories of asset. The OECD estimates that if the real interest rate is 3% and inflation is 1%, these average EMTRs vary from 33.4% for Costa Rica to -30.4% in Italy. New Zealand has an average EMTR of 20.1%, which is 4</w:t>
      </w:r>
      <w:r w:rsidRPr="00075D72">
        <w:rPr>
          <w:vertAlign w:val="superscript"/>
        </w:rPr>
        <w:t>th</w:t>
      </w:r>
      <w:r w:rsidR="005A6C58">
        <w:rPr>
          <w:vertAlign w:val="superscript"/>
        </w:rPr>
        <w:t> </w:t>
      </w:r>
      <w:r w:rsidRPr="00A24486">
        <w:t>highest, and Australia has an average EMTR of 14.9%, which is 10</w:t>
      </w:r>
      <w:r w:rsidRPr="00075D72">
        <w:rPr>
          <w:vertAlign w:val="superscript"/>
        </w:rPr>
        <w:t>th</w:t>
      </w:r>
      <w:r w:rsidRPr="00A24486">
        <w:t xml:space="preserve"> highest. However, these estimates are unweighted averages across the four types of assets. This means that equal weighting is being given to each of the four categories of asset. In principle, it would be preferable to use a weighted average EMTR, reflecting the relative sizes of the four categories of asset in the asset mix, but data limitations may make this impractical for a cross-country benchmarking study.</w:t>
      </w:r>
    </w:p>
    <w:p w14:paraId="69F951D3" w14:textId="76F310F7" w:rsidR="00A24486" w:rsidRPr="00A24486" w:rsidRDefault="00A24486" w:rsidP="00075D72">
      <w:pPr>
        <w:pStyle w:val="NumberedParagraph"/>
        <w:numPr>
          <w:ilvl w:val="1"/>
          <w:numId w:val="64"/>
        </w:numPr>
      </w:pPr>
      <w:r w:rsidRPr="0059107C">
        <w:t>In their 2022 Economic Survey of New Zealand</w:t>
      </w:r>
      <w:r w:rsidRPr="00A24486">
        <w:t xml:space="preserve">, the OECD </w:t>
      </w:r>
      <w:r w:rsidR="00816783">
        <w:t xml:space="preserve">has </w:t>
      </w:r>
      <w:r w:rsidRPr="00A24486">
        <w:t>noted that New Zealand’s statutory company tax rate and its average level of EMTRs were high relative to other OECD countries and to other small, advanced economies. Data is provided in figure 3.1</w:t>
      </w:r>
      <w:r w:rsidR="009E1C54">
        <w:t xml:space="preserve"> with data for small, advanced economies on the left-hand side of both diagrams</w:t>
      </w:r>
      <w:r w:rsidRPr="00A24486">
        <w:t>.</w:t>
      </w:r>
      <w:r w:rsidRPr="00A24486">
        <w:rPr>
          <w:vertAlign w:val="superscript"/>
        </w:rPr>
        <w:footnoteReference w:id="28"/>
      </w:r>
      <w:r w:rsidR="00A95A68">
        <w:t xml:space="preserve"> F</w:t>
      </w:r>
      <w:r w:rsidR="004657F4">
        <w:t>or internationally mobile firms with substantial economic rents</w:t>
      </w:r>
      <w:r w:rsidR="00B15342">
        <w:t xml:space="preserve"> that can set up operations and earn these rents in different countries</w:t>
      </w:r>
      <w:r w:rsidR="00BC4549">
        <w:t>, the company tax rate can be an important</w:t>
      </w:r>
      <w:r w:rsidR="00B13346">
        <w:t xml:space="preserve"> factor in deciding whether to set up in a country.</w:t>
      </w:r>
      <w:r w:rsidR="00B079BB">
        <w:rPr>
          <w:rStyle w:val="FootnoteReference"/>
        </w:rPr>
        <w:footnoteReference w:id="29"/>
      </w:r>
    </w:p>
    <w:p w14:paraId="13FD5836" w14:textId="4132838B" w:rsidR="00A24486" w:rsidRDefault="00A05F4B" w:rsidP="00075D72">
      <w:pPr>
        <w:pStyle w:val="Caption"/>
      </w:pPr>
      <w:r>
        <w:lastRenderedPageBreak/>
        <w:t>Figure 3.1:</w:t>
      </w:r>
      <w:r w:rsidR="009C160D">
        <w:t xml:space="preserve"> </w:t>
      </w:r>
      <w:r>
        <w:t>Company tax rate and EMTRs relative to other small, advanced economies</w:t>
      </w:r>
    </w:p>
    <w:p w14:paraId="6190D2C4" w14:textId="123D59AD" w:rsidR="00A05F4B" w:rsidRDefault="00197C79" w:rsidP="00197C79">
      <w:pPr>
        <w:spacing w:before="0"/>
        <w:jc w:val="center"/>
      </w:pPr>
      <w:r>
        <w:rPr>
          <w:noProof/>
          <w:lang w:eastAsia="en-GB"/>
        </w:rPr>
        <w:drawing>
          <wp:inline distT="0" distB="0" distL="0" distR="0" wp14:anchorId="56A601C3" wp14:editId="60EF06FD">
            <wp:extent cx="5580380" cy="4692729"/>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r:link="rId19" cstate="print">
                      <a:extLst>
                        <a:ext uri="{28A0092B-C50C-407E-A947-70E740481C1C}">
                          <a14:useLocalDpi xmlns:a14="http://schemas.microsoft.com/office/drawing/2010/main" val="0"/>
                        </a:ext>
                      </a:extLst>
                    </a:blip>
                    <a:stretch>
                      <a:fillRect/>
                    </a:stretch>
                  </pic:blipFill>
                  <pic:spPr>
                    <a:xfrm>
                      <a:off x="0" y="0"/>
                      <a:ext cx="5580380" cy="4692729"/>
                    </a:xfrm>
                    <a:prstGeom prst="rect">
                      <a:avLst/>
                    </a:prstGeom>
                  </pic:spPr>
                </pic:pic>
              </a:graphicData>
            </a:graphic>
          </wp:inline>
        </w:drawing>
      </w:r>
    </w:p>
    <w:p w14:paraId="577BC38E" w14:textId="77777777" w:rsidR="007B57B5" w:rsidRPr="001758FB" w:rsidRDefault="007B57B5" w:rsidP="007B57B5">
      <w:pPr>
        <w:keepLines/>
        <w:spacing w:before="0" w:after="240" w:line="220" w:lineRule="exact"/>
        <w:contextualSpacing/>
        <w:rPr>
          <w:rFonts w:eastAsia="Calibri"/>
          <w:color w:val="000000"/>
          <w:sz w:val="16"/>
          <w:szCs w:val="16"/>
          <w:lang w:val="en-GB" w:eastAsia="en-US"/>
        </w:rPr>
      </w:pPr>
      <w:r w:rsidRPr="001758FB">
        <w:rPr>
          <w:rFonts w:eastAsia="Calibri"/>
          <w:color w:val="000000"/>
          <w:sz w:val="16"/>
          <w:szCs w:val="16"/>
          <w:lang w:val="en-GB" w:eastAsia="en-US"/>
        </w:rPr>
        <w:t>1. Sample average.</w:t>
      </w:r>
    </w:p>
    <w:p w14:paraId="4209FF2B" w14:textId="15C1BE02" w:rsidR="007B57B5" w:rsidRPr="001758FB" w:rsidRDefault="007B57B5" w:rsidP="007B57B5">
      <w:pPr>
        <w:keepLines/>
        <w:spacing w:before="120" w:after="360" w:line="220" w:lineRule="exact"/>
        <w:contextualSpacing/>
        <w:rPr>
          <w:rFonts w:eastAsia="Calibri"/>
          <w:color w:val="000000"/>
          <w:sz w:val="16"/>
          <w:szCs w:val="16"/>
          <w:lang w:val="en-GB" w:eastAsia="en-US"/>
        </w:rPr>
      </w:pPr>
      <w:r w:rsidRPr="001758FB">
        <w:rPr>
          <w:rFonts w:eastAsia="Calibri"/>
          <w:color w:val="000000"/>
          <w:sz w:val="16"/>
          <w:szCs w:val="16"/>
          <w:lang w:val="en-GB" w:eastAsia="en-US"/>
        </w:rPr>
        <w:t xml:space="preserve">Note: Effective tax rates (ETRs) are forward-looking synthetic tax policy indicators calculated on the basis of a prospective, hypothetical investment project. See Hanappi </w:t>
      </w:r>
      <w:r w:rsidR="00AB1676">
        <w:rPr>
          <w:rFonts w:eastAsia="Calibri"/>
          <w:color w:val="000000"/>
          <w:sz w:val="16"/>
          <w:szCs w:val="16"/>
          <w:lang w:val="en-GB" w:eastAsia="en-US"/>
        </w:rPr>
        <w:t>(</w:t>
      </w:r>
      <w:r w:rsidRPr="001758FB">
        <w:rPr>
          <w:rFonts w:eastAsia="Calibri"/>
          <w:color w:val="000000"/>
          <w:sz w:val="16"/>
          <w:szCs w:val="16"/>
          <w:lang w:val="en-GB" w:eastAsia="en-US"/>
        </w:rPr>
        <w:t>2018</w:t>
      </w:r>
      <w:r w:rsidR="00AB1676">
        <w:rPr>
          <w:rFonts w:eastAsia="Calibri"/>
          <w:color w:val="000000"/>
          <w:sz w:val="16"/>
          <w:szCs w:val="16"/>
          <w:lang w:val="en-GB" w:eastAsia="en-US"/>
        </w:rPr>
        <w:t>)</w:t>
      </w:r>
      <w:r w:rsidRPr="001758FB">
        <w:rPr>
          <w:rFonts w:eastAsia="Calibri"/>
          <w:color w:val="000000"/>
          <w:sz w:val="16"/>
          <w:szCs w:val="16"/>
          <w:lang w:val="en-GB" w:eastAsia="en-US"/>
        </w:rPr>
        <w:t xml:space="preserve"> for the OECD methodology. Small</w:t>
      </w:r>
      <w:r w:rsidR="00455B2B">
        <w:rPr>
          <w:rFonts w:eastAsia="Calibri"/>
          <w:color w:val="000000"/>
          <w:sz w:val="16"/>
          <w:szCs w:val="16"/>
          <w:lang w:val="en-GB" w:eastAsia="en-US"/>
        </w:rPr>
        <w:t>,</w:t>
      </w:r>
      <w:r w:rsidRPr="001758FB">
        <w:rPr>
          <w:rFonts w:eastAsia="Calibri"/>
          <w:color w:val="000000"/>
          <w:sz w:val="16"/>
          <w:szCs w:val="16"/>
          <w:lang w:val="en-GB" w:eastAsia="en-US"/>
        </w:rPr>
        <w:t xml:space="preserve"> advanced economies are defined as the OECD countries with populations above 1 million and below 20 million people, and with a per capita income above </w:t>
      </w:r>
      <w:r w:rsidR="008F1A59" w:rsidRPr="001758FB">
        <w:rPr>
          <w:rFonts w:eastAsia="Calibri"/>
          <w:color w:val="000000"/>
          <w:sz w:val="16"/>
          <w:szCs w:val="16"/>
          <w:lang w:val="en-GB" w:eastAsia="en-US"/>
        </w:rPr>
        <w:t>US</w:t>
      </w:r>
      <w:r w:rsidR="008F1A59">
        <w:rPr>
          <w:rFonts w:eastAsia="Calibri"/>
          <w:color w:val="000000"/>
          <w:sz w:val="16"/>
          <w:szCs w:val="16"/>
          <w:lang w:val="en-GB" w:eastAsia="en-US"/>
        </w:rPr>
        <w:t>$</w:t>
      </w:r>
      <w:r w:rsidR="008F1A59" w:rsidRPr="001758FB">
        <w:rPr>
          <w:rFonts w:eastAsia="Calibri"/>
          <w:color w:val="000000"/>
          <w:sz w:val="16"/>
          <w:szCs w:val="16"/>
          <w:lang w:val="en-GB" w:eastAsia="en-US"/>
        </w:rPr>
        <w:t>30</w:t>
      </w:r>
      <w:r w:rsidR="008F1A59">
        <w:rPr>
          <w:rFonts w:eastAsia="Calibri"/>
          <w:color w:val="000000"/>
          <w:sz w:val="16"/>
          <w:szCs w:val="16"/>
          <w:lang w:val="en-GB" w:eastAsia="en-US"/>
        </w:rPr>
        <w:t>,</w:t>
      </w:r>
      <w:r w:rsidRPr="001758FB">
        <w:rPr>
          <w:rFonts w:eastAsia="Calibri"/>
          <w:color w:val="000000"/>
          <w:sz w:val="16"/>
          <w:szCs w:val="16"/>
          <w:lang w:val="en-GB" w:eastAsia="en-US"/>
        </w:rPr>
        <w:t>000.</w:t>
      </w:r>
    </w:p>
    <w:p w14:paraId="148EF3A2" w14:textId="77777777" w:rsidR="007B57B5" w:rsidRPr="001758FB" w:rsidRDefault="007B57B5" w:rsidP="007B57B5">
      <w:pPr>
        <w:keepLines/>
        <w:spacing w:before="0" w:after="120" w:line="220" w:lineRule="exact"/>
        <w:contextualSpacing/>
        <w:rPr>
          <w:rFonts w:eastAsia="Calibri"/>
          <w:color w:val="000000"/>
          <w:sz w:val="16"/>
          <w:szCs w:val="16"/>
          <w:lang w:val="en-GB" w:eastAsia="en-US"/>
        </w:rPr>
      </w:pPr>
      <w:r w:rsidRPr="001758FB">
        <w:rPr>
          <w:rFonts w:eastAsia="Calibri"/>
          <w:color w:val="000000"/>
          <w:sz w:val="16"/>
          <w:szCs w:val="16"/>
          <w:lang w:val="en-GB" w:eastAsia="en-US"/>
        </w:rPr>
        <w:t>Source: OECD Tax Database</w:t>
      </w:r>
    </w:p>
    <w:p w14:paraId="4B254D9D" w14:textId="7A628231" w:rsidR="007B57B5" w:rsidRDefault="007B57B5" w:rsidP="00075D72">
      <w:pPr>
        <w:pStyle w:val="NumberedParagraph"/>
      </w:pPr>
      <w:r w:rsidRPr="007B57B5">
        <w:t>It might be noted that while New Zealand has relatively high EMTRs, there are some countries that are estimated to have negative EMTRs. The models discussed in chapter 2 would support reducing EMTRs to zero but not going further and driving them negative unless there are externalities or other broader benefits from inbound investment.</w:t>
      </w:r>
    </w:p>
    <w:p w14:paraId="1D909DFD" w14:textId="344E39E4" w:rsidR="004B5B9F" w:rsidRPr="00644621" w:rsidRDefault="00DE543D" w:rsidP="004B5B9F">
      <w:pPr>
        <w:pStyle w:val="Heading2"/>
        <w:rPr>
          <w:rFonts w:eastAsia="Calibri"/>
          <w:lang w:eastAsia="en-US"/>
        </w:rPr>
      </w:pPr>
      <w:bookmarkStart w:id="23" w:name="_Toc112857401"/>
      <w:r>
        <w:rPr>
          <w:rFonts w:eastAsia="Calibri"/>
          <w:lang w:eastAsia="en-US"/>
        </w:rPr>
        <w:t xml:space="preserve">EMTRs </w:t>
      </w:r>
      <w:r w:rsidR="00415DE0">
        <w:rPr>
          <w:rFonts w:eastAsia="Calibri"/>
          <w:lang w:eastAsia="en-US"/>
        </w:rPr>
        <w:t>in different stu</w:t>
      </w:r>
      <w:r w:rsidR="00897674">
        <w:rPr>
          <w:rFonts w:eastAsia="Calibri"/>
          <w:lang w:eastAsia="en-US"/>
        </w:rPr>
        <w:t>dies</w:t>
      </w:r>
      <w:bookmarkEnd w:id="23"/>
    </w:p>
    <w:p w14:paraId="2A3575E7" w14:textId="3CAAB0A4" w:rsidR="003C60C7" w:rsidRDefault="005A1960" w:rsidP="004B5B9F">
      <w:pPr>
        <w:pStyle w:val="NumberedParagraph"/>
        <w:numPr>
          <w:ilvl w:val="1"/>
          <w:numId w:val="64"/>
        </w:numPr>
      </w:pPr>
      <w:r>
        <w:t>Both external review</w:t>
      </w:r>
      <w:r w:rsidR="00124EBF">
        <w:t>er</w:t>
      </w:r>
      <w:r>
        <w:t xml:space="preserve">s of our draft LTIB questioned </w:t>
      </w:r>
      <w:r w:rsidR="000F7BD1">
        <w:t>our exclusive focus on the OECD study for benchmarking</w:t>
      </w:r>
      <w:r w:rsidR="0014589D">
        <w:t xml:space="preserve"> costs of capital and EMTRs across countries. Some other studies have done a similar benchmarking exercise and there is</w:t>
      </w:r>
      <w:r w:rsidR="00D01A12">
        <w:t xml:space="preserve"> quite some variability in estimates in the </w:t>
      </w:r>
      <w:r w:rsidR="00BD5545">
        <w:t>different</w:t>
      </w:r>
      <w:r w:rsidR="00D01A12">
        <w:t xml:space="preserve"> studies. </w:t>
      </w:r>
      <w:r w:rsidR="009D74CD">
        <w:t xml:space="preserve">This </w:t>
      </w:r>
      <w:r w:rsidR="00613C1A">
        <w:t>suggests that estimates from any single study should not be regarded as definitive.</w:t>
      </w:r>
    </w:p>
    <w:p w14:paraId="1698B70A" w14:textId="0209C32F" w:rsidR="00E52A85" w:rsidRDefault="003C60C7" w:rsidP="004B5B9F">
      <w:pPr>
        <w:pStyle w:val="NumberedParagraph"/>
        <w:numPr>
          <w:ilvl w:val="1"/>
          <w:numId w:val="64"/>
        </w:numPr>
      </w:pPr>
      <w:r>
        <w:t>Both reviewer</w:t>
      </w:r>
      <w:r w:rsidR="00137851">
        <w:t>s</w:t>
      </w:r>
      <w:r w:rsidR="00580FC2">
        <w:t xml:space="preserve"> </w:t>
      </w:r>
      <w:r w:rsidR="00D9380F">
        <w:t>commented that focussing too closely on the results of a single study</w:t>
      </w:r>
      <w:r w:rsidR="002E1BEB">
        <w:t xml:space="preserve"> </w:t>
      </w:r>
      <w:r w:rsidR="001A0BFD">
        <w:t>may make th</w:t>
      </w:r>
      <w:r w:rsidR="0044234D">
        <w:t xml:space="preserve">e conclusions of that study </w:t>
      </w:r>
      <w:r w:rsidR="000376A2">
        <w:t>appear more definite and conclusive than is true.</w:t>
      </w:r>
      <w:r w:rsidR="00266BBF">
        <w:t xml:space="preserve"> </w:t>
      </w:r>
      <w:r w:rsidR="0096574D">
        <w:t xml:space="preserve">They pointed to some other analysis </w:t>
      </w:r>
      <w:r w:rsidR="00E97649">
        <w:t>that</w:t>
      </w:r>
      <w:r w:rsidR="0096574D">
        <w:t xml:space="preserve"> </w:t>
      </w:r>
      <w:r w:rsidR="00341CC6">
        <w:t>ha</w:t>
      </w:r>
      <w:r w:rsidR="00137851">
        <w:t>s</w:t>
      </w:r>
      <w:r w:rsidR="00341CC6">
        <w:t xml:space="preserve"> also </w:t>
      </w:r>
      <w:r w:rsidR="00341CC6">
        <w:lastRenderedPageBreak/>
        <w:t>benchmarked EMTRs across countries.</w:t>
      </w:r>
      <w:r w:rsidR="00C659B4">
        <w:t xml:space="preserve"> </w:t>
      </w:r>
      <w:r w:rsidR="00D22A06">
        <w:t>While the OECD study</w:t>
      </w:r>
      <w:r w:rsidR="003A7C41">
        <w:t xml:space="preserve"> estimates that</w:t>
      </w:r>
      <w:r w:rsidR="00824A66">
        <w:t xml:space="preserve"> </w:t>
      </w:r>
      <w:r w:rsidR="001B26B2">
        <w:t xml:space="preserve">New Zealand </w:t>
      </w:r>
      <w:r w:rsidR="003A7C41">
        <w:t xml:space="preserve">had </w:t>
      </w:r>
      <w:r w:rsidR="00DE70B7">
        <w:t xml:space="preserve">the </w:t>
      </w:r>
      <w:r w:rsidR="001B26B2">
        <w:t>fourth highest EMTR on average for the 38 OECD countries</w:t>
      </w:r>
      <w:r w:rsidR="003A7C41">
        <w:t xml:space="preserve"> in 2020 (see </w:t>
      </w:r>
      <w:r w:rsidR="00604AF9">
        <w:t>f</w:t>
      </w:r>
      <w:r w:rsidR="003A7C41">
        <w:t>igure 3.1 above)</w:t>
      </w:r>
      <w:r w:rsidR="001B26B2">
        <w:t>,</w:t>
      </w:r>
      <w:r w:rsidR="00130D96">
        <w:t xml:space="preserve"> </w:t>
      </w:r>
      <w:proofErr w:type="spellStart"/>
      <w:r w:rsidR="00130D96" w:rsidRPr="0059712F">
        <w:t>Bazel</w:t>
      </w:r>
      <w:proofErr w:type="spellEnd"/>
      <w:r w:rsidR="00130D96" w:rsidRPr="0059712F">
        <w:t xml:space="preserve"> and Mintz</w:t>
      </w:r>
      <w:r w:rsidR="008430DB" w:rsidRPr="0059712F">
        <w:t xml:space="preserve"> (2021)</w:t>
      </w:r>
      <w:r w:rsidR="00130D96">
        <w:t xml:space="preserve"> </w:t>
      </w:r>
      <w:r w:rsidR="00271277">
        <w:t xml:space="preserve">estimate that New Zealand </w:t>
      </w:r>
      <w:r w:rsidR="005E6999">
        <w:t>had</w:t>
      </w:r>
      <w:r w:rsidR="00271277">
        <w:t xml:space="preserve"> </w:t>
      </w:r>
      <w:r w:rsidR="00604AF9">
        <w:t xml:space="preserve">the </w:t>
      </w:r>
      <w:r w:rsidR="00271277">
        <w:t>14</w:t>
      </w:r>
      <w:r w:rsidR="00271277" w:rsidRPr="00060DBD">
        <w:rPr>
          <w:vertAlign w:val="superscript"/>
        </w:rPr>
        <w:t>th</w:t>
      </w:r>
      <w:r w:rsidR="00271277">
        <w:t xml:space="preserve"> highest </w:t>
      </w:r>
      <w:r w:rsidR="005E6999">
        <w:t xml:space="preserve">EMTR for </w:t>
      </w:r>
      <w:r w:rsidR="005117AB">
        <w:t>2020</w:t>
      </w:r>
      <w:r w:rsidR="005E6999">
        <w:t xml:space="preserve"> </w:t>
      </w:r>
      <w:r w:rsidR="00271277">
        <w:t>of the 37 OECD countr</w:t>
      </w:r>
      <w:r w:rsidR="00342BD0">
        <w:t>ies they analyse (the</w:t>
      </w:r>
      <w:r w:rsidR="00FE2BE8">
        <w:t>y</w:t>
      </w:r>
      <w:r w:rsidR="00342BD0">
        <w:t xml:space="preserve"> omit Lithuania). </w:t>
      </w:r>
      <w:proofErr w:type="spellStart"/>
      <w:r w:rsidR="00E44B7E">
        <w:t>Bazel</w:t>
      </w:r>
      <w:proofErr w:type="spellEnd"/>
      <w:r w:rsidR="00E44B7E">
        <w:t xml:space="preserve"> and Mintz estimate that New Zealand</w:t>
      </w:r>
      <w:r w:rsidR="00CB0F4B">
        <w:t>’s</w:t>
      </w:r>
      <w:r w:rsidR="00E44B7E">
        <w:t xml:space="preserve"> EMTR </w:t>
      </w:r>
      <w:r w:rsidR="00EB56B0">
        <w:t>was</w:t>
      </w:r>
      <w:r w:rsidR="00E44B7E">
        <w:t xml:space="preserve"> </w:t>
      </w:r>
      <w:r w:rsidR="00CB0F4B">
        <w:t>1</w:t>
      </w:r>
      <w:r w:rsidR="00E44B7E">
        <w:t xml:space="preserve">9.7% </w:t>
      </w:r>
      <w:r w:rsidR="004F08D2">
        <w:t>and this</w:t>
      </w:r>
      <w:r w:rsidR="00EB56B0">
        <w:t xml:space="preserve"> </w:t>
      </w:r>
      <w:r w:rsidR="00E413E8">
        <w:t>i</w:t>
      </w:r>
      <w:r w:rsidR="00CB0F4B">
        <w:t>s considerably low</w:t>
      </w:r>
      <w:r w:rsidR="00EB56B0">
        <w:t xml:space="preserve">er than </w:t>
      </w:r>
      <w:r w:rsidR="004F08D2">
        <w:t>Australia’s which they estimate to be 28.3</w:t>
      </w:r>
      <w:r w:rsidR="006A390C">
        <w:t>%.</w:t>
      </w:r>
      <w:r w:rsidR="00EB56B0">
        <w:t xml:space="preserve"> </w:t>
      </w:r>
      <w:r w:rsidR="00042EFF">
        <w:t xml:space="preserve">There are also somewhat dated estimates </w:t>
      </w:r>
      <w:r w:rsidR="00617F04">
        <w:t xml:space="preserve">in a study </w:t>
      </w:r>
      <w:r w:rsidR="00042EFF">
        <w:t xml:space="preserve">by </w:t>
      </w:r>
      <w:r w:rsidR="00604AF9">
        <w:t xml:space="preserve">the </w:t>
      </w:r>
      <w:r w:rsidR="00042EFF">
        <w:t>Oxford Centre for Business Taxation from 2017 (which was before a substantial company tax rate cut in the United States and before building depreciation for commercial and industrial buildings was restored in New Zealand).</w:t>
      </w:r>
      <w:r w:rsidR="00042EFF">
        <w:rPr>
          <w:rStyle w:val="FootnoteReference"/>
        </w:rPr>
        <w:footnoteReference w:id="30"/>
      </w:r>
      <w:r w:rsidR="00042EFF">
        <w:t xml:space="preserve"> </w:t>
      </w:r>
      <w:r w:rsidR="00DE7CDC">
        <w:t>That study suggests that New Zealand ha</w:t>
      </w:r>
      <w:r w:rsidR="0039542C">
        <w:t>d</w:t>
      </w:r>
      <w:r w:rsidR="00DE7CDC">
        <w:t xml:space="preserve"> the fifth highest EMTR for the 34 OECD countries analyse</w:t>
      </w:r>
      <w:r w:rsidR="005C173F">
        <w:t>d</w:t>
      </w:r>
      <w:r w:rsidR="00DE7CDC">
        <w:t xml:space="preserve">. </w:t>
      </w:r>
      <w:r w:rsidR="009E0427">
        <w:t xml:space="preserve">Thus, in the OECD and Oxford University studies, New Zealand appears to be more of an outlier than in </w:t>
      </w:r>
      <w:r w:rsidR="00916798">
        <w:t xml:space="preserve">the </w:t>
      </w:r>
      <w:r w:rsidR="00C65158">
        <w:t xml:space="preserve">study by </w:t>
      </w:r>
      <w:proofErr w:type="spellStart"/>
      <w:r w:rsidR="009E0427">
        <w:t>Bazel</w:t>
      </w:r>
      <w:proofErr w:type="spellEnd"/>
      <w:r w:rsidR="009E0427">
        <w:t xml:space="preserve"> and Mintz.</w:t>
      </w:r>
    </w:p>
    <w:p w14:paraId="47E9FCB4" w14:textId="1ABE3421" w:rsidR="00C96629" w:rsidRDefault="002E108A" w:rsidP="004B5B9F">
      <w:pPr>
        <w:pStyle w:val="NumberedParagraph"/>
        <w:numPr>
          <w:ilvl w:val="1"/>
          <w:numId w:val="64"/>
        </w:numPr>
      </w:pPr>
      <w:r>
        <w:t xml:space="preserve">Part of the reason </w:t>
      </w:r>
      <w:r w:rsidR="00B15D7B">
        <w:t>for the difference</w:t>
      </w:r>
      <w:r w:rsidR="00BC72B6">
        <w:t>s between these studies</w:t>
      </w:r>
      <w:r w:rsidR="00B15D7B">
        <w:t xml:space="preserve"> is likely to be</w:t>
      </w:r>
      <w:r>
        <w:t xml:space="preserve"> that</w:t>
      </w:r>
      <w:r w:rsidR="00C75DCA">
        <w:t xml:space="preserve"> the OECD </w:t>
      </w:r>
      <w:r w:rsidR="00AB18D4">
        <w:t>and Oxford University stud</w:t>
      </w:r>
      <w:r w:rsidR="00B15D7B">
        <w:t>ies</w:t>
      </w:r>
      <w:r w:rsidR="00AB18D4">
        <w:t xml:space="preserve"> </w:t>
      </w:r>
      <w:r w:rsidR="00C75DCA">
        <w:t>only examine company income tax provisions</w:t>
      </w:r>
      <w:r w:rsidR="00C42A1F">
        <w:t>,</w:t>
      </w:r>
      <w:r w:rsidR="00C75DCA">
        <w:t xml:space="preserve"> while </w:t>
      </w:r>
      <w:r w:rsidR="003A2FCF">
        <w:t xml:space="preserve">the </w:t>
      </w:r>
      <w:proofErr w:type="spellStart"/>
      <w:r w:rsidR="00C75DCA">
        <w:t>Bazel</w:t>
      </w:r>
      <w:proofErr w:type="spellEnd"/>
      <w:r w:rsidR="00C75DCA">
        <w:t xml:space="preserve"> and Min</w:t>
      </w:r>
      <w:r w:rsidR="00306BF5">
        <w:t xml:space="preserve">tz </w:t>
      </w:r>
      <w:r w:rsidR="006561EA">
        <w:t xml:space="preserve">study </w:t>
      </w:r>
      <w:r w:rsidR="00306BF5">
        <w:t>considers a broader range of taxes</w:t>
      </w:r>
      <w:r w:rsidR="00D16D47">
        <w:t>,</w:t>
      </w:r>
      <w:r w:rsidR="00306BF5">
        <w:t xml:space="preserve"> including </w:t>
      </w:r>
      <w:r w:rsidR="00E04415">
        <w:t>capital transfer taxes</w:t>
      </w:r>
      <w:r w:rsidR="00AB18D4">
        <w:t xml:space="preserve"> (such as stamp duties in Australia) </w:t>
      </w:r>
      <w:r w:rsidR="006B2760">
        <w:t xml:space="preserve">and </w:t>
      </w:r>
      <w:r w:rsidR="00E04415">
        <w:t xml:space="preserve">certain </w:t>
      </w:r>
      <w:r w:rsidR="00306BF5">
        <w:t xml:space="preserve">sales taxes </w:t>
      </w:r>
      <w:r w:rsidR="00C96629">
        <w:t>in the United States, which</w:t>
      </w:r>
      <w:r w:rsidR="00306BF5">
        <w:t xml:space="preserve"> (unlike New Zealand’s GST) can be an impost on business inputs</w:t>
      </w:r>
      <w:r w:rsidR="00C96629">
        <w:t xml:space="preserve">. These other taxes can also increase costs of capital and EMTRs. However, this seems to be </w:t>
      </w:r>
      <w:r w:rsidR="00F628CC">
        <w:t xml:space="preserve">only </w:t>
      </w:r>
      <w:r w:rsidR="00C96629">
        <w:t xml:space="preserve">a </w:t>
      </w:r>
      <w:r w:rsidR="00F628CC">
        <w:t>small</w:t>
      </w:r>
      <w:r w:rsidR="00C96629">
        <w:t xml:space="preserve"> part of the difference between the </w:t>
      </w:r>
      <w:proofErr w:type="spellStart"/>
      <w:proofErr w:type="gramStart"/>
      <w:r w:rsidR="00C96629">
        <w:t>Bazel</w:t>
      </w:r>
      <w:proofErr w:type="spellEnd"/>
      <w:proofErr w:type="gramEnd"/>
      <w:r w:rsidR="00C96629">
        <w:t xml:space="preserve"> and Mintz and OECD stud</w:t>
      </w:r>
      <w:r w:rsidR="00C920A8">
        <w:t>ies’ estimates for New Zealand and Australia</w:t>
      </w:r>
      <w:r w:rsidR="00C970AD">
        <w:t xml:space="preserve"> accounting for roughly </w:t>
      </w:r>
      <w:r w:rsidR="00AE096D">
        <w:t>3 percentage points of the</w:t>
      </w:r>
      <w:r w:rsidR="00511DE4">
        <w:t>ir higher EMTR estimate for Australia than New Zealand</w:t>
      </w:r>
      <w:r w:rsidR="0073331E">
        <w:t>.</w:t>
      </w:r>
      <w:r w:rsidR="00DE57FD">
        <w:rPr>
          <w:rStyle w:val="FootnoteReference"/>
        </w:rPr>
        <w:footnoteReference w:id="31"/>
      </w:r>
    </w:p>
    <w:p w14:paraId="345969AD" w14:textId="57D10919" w:rsidR="009E5064" w:rsidRDefault="00BB2031" w:rsidP="004B5B9F">
      <w:pPr>
        <w:pStyle w:val="NumberedParagraph"/>
        <w:numPr>
          <w:ilvl w:val="1"/>
          <w:numId w:val="64"/>
        </w:numPr>
      </w:pPr>
      <w:r>
        <w:t xml:space="preserve">A bigger part of the reason for the difference is differences in the set of assets included in the studies and in </w:t>
      </w:r>
      <w:r w:rsidR="00731C6D">
        <w:t xml:space="preserve">the </w:t>
      </w:r>
      <w:r>
        <w:t xml:space="preserve">economic depreciation rates and tax depreciation rates assumed. The OECD study </w:t>
      </w:r>
      <w:r w:rsidR="00127312">
        <w:t xml:space="preserve">includes only four aggregated sets of assets </w:t>
      </w:r>
      <w:r w:rsidR="00345EC7">
        <w:t>built up from ten</w:t>
      </w:r>
      <w:r w:rsidR="00C57CBF">
        <w:t xml:space="preserve"> </w:t>
      </w:r>
      <w:r w:rsidR="00345EC7">
        <w:t xml:space="preserve">specific assets (as described in para </w:t>
      </w:r>
      <w:r w:rsidR="005117AB" w:rsidRPr="00E908B1">
        <w:t>3.18</w:t>
      </w:r>
      <w:r w:rsidR="00345EC7">
        <w:t xml:space="preserve"> above). The small set of assets may create its own biases</w:t>
      </w:r>
      <w:r w:rsidR="004F699D">
        <w:t>,</w:t>
      </w:r>
      <w:r w:rsidR="00345EC7">
        <w:t xml:space="preserve"> but there is a </w:t>
      </w:r>
      <w:r w:rsidR="001D2696">
        <w:t>significant</w:t>
      </w:r>
      <w:r w:rsidR="00345EC7">
        <w:t xml:space="preserve"> advantage in the OECD model</w:t>
      </w:r>
      <w:r w:rsidR="0044478B">
        <w:t>. This is</w:t>
      </w:r>
      <w:r w:rsidR="00345EC7">
        <w:t xml:space="preserve"> </w:t>
      </w:r>
      <w:r w:rsidR="0044478B">
        <w:t>bec</w:t>
      </w:r>
      <w:r w:rsidR="00345EC7">
        <w:t>a</w:t>
      </w:r>
      <w:r w:rsidR="0044478B">
        <w:t>u</w:t>
      </w:r>
      <w:r w:rsidR="00345EC7">
        <w:t>s</w:t>
      </w:r>
      <w:r w:rsidR="0044478B">
        <w:t>e</w:t>
      </w:r>
      <w:r w:rsidR="00345EC7">
        <w:t xml:space="preserve"> the OECD </w:t>
      </w:r>
      <w:r w:rsidR="004A17CE">
        <w:t>can</w:t>
      </w:r>
      <w:r w:rsidR="00345EC7">
        <w:t xml:space="preserve"> draw on expertise in the various OECD countries</w:t>
      </w:r>
      <w:r w:rsidR="00127FB6">
        <w:t xml:space="preserve"> to make sure that parameter values entered into the model are as accurate as possible</w:t>
      </w:r>
      <w:r w:rsidR="00ED6123">
        <w:t xml:space="preserve"> for the assets included in the study</w:t>
      </w:r>
      <w:r w:rsidR="00127FB6">
        <w:t xml:space="preserve">. </w:t>
      </w:r>
      <w:r w:rsidR="006561EA">
        <w:t>T</w:t>
      </w:r>
      <w:r w:rsidR="00127FB6">
        <w:t xml:space="preserve">he model is </w:t>
      </w:r>
      <w:r w:rsidR="006561EA">
        <w:t xml:space="preserve">also </w:t>
      </w:r>
      <w:r w:rsidR="00127FB6">
        <w:t>very simple</w:t>
      </w:r>
      <w:r w:rsidR="006561EA">
        <w:t>,</w:t>
      </w:r>
      <w:r w:rsidR="00127FB6">
        <w:t xml:space="preserve"> allowing parameter values to be as transparent as possible. </w:t>
      </w:r>
      <w:r w:rsidR="00093F79">
        <w:t>By contrast</w:t>
      </w:r>
      <w:r w:rsidR="006561EA">
        <w:t>,</w:t>
      </w:r>
      <w:r w:rsidR="00093F79">
        <w:t xml:space="preserve"> </w:t>
      </w:r>
      <w:r w:rsidR="006561EA">
        <w:t xml:space="preserve">the </w:t>
      </w:r>
      <w:proofErr w:type="spellStart"/>
      <w:r w:rsidR="00093F79">
        <w:t>Bazel</w:t>
      </w:r>
      <w:proofErr w:type="spellEnd"/>
      <w:r w:rsidR="00093F79">
        <w:t xml:space="preserve"> and Mintz </w:t>
      </w:r>
      <w:r w:rsidR="006561EA">
        <w:t xml:space="preserve">study </w:t>
      </w:r>
      <w:r w:rsidR="00093F79">
        <w:t xml:space="preserve">is much more complex and the parameter values driving the results are </w:t>
      </w:r>
      <w:r w:rsidR="00E93A3B">
        <w:t>less</w:t>
      </w:r>
      <w:r w:rsidR="00093F79">
        <w:t xml:space="preserve"> transparent.</w:t>
      </w:r>
    </w:p>
    <w:p w14:paraId="28685502" w14:textId="0ECD1A3E" w:rsidR="00BD1114" w:rsidRDefault="004F56C7" w:rsidP="001F02C4">
      <w:pPr>
        <w:pStyle w:val="NumberedParagraph"/>
        <w:numPr>
          <w:ilvl w:val="1"/>
          <w:numId w:val="64"/>
        </w:numPr>
      </w:pPr>
      <w:r>
        <w:t>At the same time</w:t>
      </w:r>
      <w:r w:rsidR="009748A9">
        <w:t>,</w:t>
      </w:r>
      <w:r>
        <w:t xml:space="preserve"> it is important to point out that estimates of costs of capital and EMTRs in any study are likely to be imprecise. For example, we have discussed how the overall EMTR in the OECD study is an unweighted average of EMTRs for four categor</w:t>
      </w:r>
      <w:r w:rsidR="00A90719">
        <w:t>ies of asset. One of these categories of asset (</w:t>
      </w:r>
      <w:r w:rsidR="00410FF9">
        <w:t>acquir</w:t>
      </w:r>
      <w:r w:rsidR="00A90719">
        <w:t xml:space="preserve">ed intangibles) is represented by a single asset, </w:t>
      </w:r>
      <w:r w:rsidR="00410FF9">
        <w:t>acquir</w:t>
      </w:r>
      <w:r w:rsidR="00A90719">
        <w:t xml:space="preserve">ed software. </w:t>
      </w:r>
      <w:r w:rsidR="00410FF9">
        <w:t xml:space="preserve">This means </w:t>
      </w:r>
      <w:r w:rsidR="009547D2">
        <w:t>that this single asset ends up with a 25% weighting in the OECD’s estima</w:t>
      </w:r>
      <w:r w:rsidR="002554D2">
        <w:t>tes. Because of this,</w:t>
      </w:r>
      <w:r w:rsidR="004B1BEF">
        <w:t xml:space="preserve"> </w:t>
      </w:r>
      <w:r w:rsidR="00410FF9">
        <w:t xml:space="preserve">any changes to the depreciation deductions for software are likely to have a </w:t>
      </w:r>
      <w:r w:rsidR="004B1BEF">
        <w:t>misleadingly large</w:t>
      </w:r>
      <w:r w:rsidR="00410FF9">
        <w:t xml:space="preserve"> effect on a country’s position </w:t>
      </w:r>
      <w:r w:rsidR="00484E98">
        <w:t>in the OECD rankings.</w:t>
      </w:r>
    </w:p>
    <w:p w14:paraId="36C954A9" w14:textId="0F226CE2" w:rsidR="002508AC" w:rsidRDefault="00BD3A63" w:rsidP="004B5B9F">
      <w:pPr>
        <w:pStyle w:val="NumberedParagraph"/>
        <w:numPr>
          <w:ilvl w:val="1"/>
          <w:numId w:val="64"/>
        </w:numPr>
      </w:pPr>
      <w:r>
        <w:t>In chapter 4</w:t>
      </w:r>
      <w:r w:rsidR="00542A32">
        <w:t>,</w:t>
      </w:r>
      <w:r>
        <w:t xml:space="preserve"> we discuss assets not included in the OECD study</w:t>
      </w:r>
      <w:r w:rsidR="00BA4BBD">
        <w:t>,</w:t>
      </w:r>
      <w:r>
        <w:t xml:space="preserve"> such as zero-depreciation assets, appreciating assets and assets where capital expenditure can be deducted immediately (or expensed). These assets are all likely to have lower costs of capital and EMTRs than the assets included in the study. By itself</w:t>
      </w:r>
      <w:r w:rsidR="00BA4BBD">
        <w:t>,</w:t>
      </w:r>
      <w:r>
        <w:t xml:space="preserve"> </w:t>
      </w:r>
      <w:r>
        <w:lastRenderedPageBreak/>
        <w:t>bringing in these additional assets will tend to reduce costs of capital and EMTRs</w:t>
      </w:r>
      <w:r w:rsidR="0099112E">
        <w:t xml:space="preserve"> in New Zealand. </w:t>
      </w:r>
      <w:r w:rsidR="00321CD2">
        <w:t>However,</w:t>
      </w:r>
      <w:r w:rsidR="0099112E">
        <w:t xml:space="preserve"> similar inclusions for other countries might also lower costs of capital and EMTRs in other countries as well.</w:t>
      </w:r>
    </w:p>
    <w:p w14:paraId="421FA571" w14:textId="012ABAED" w:rsidR="00C14C15" w:rsidRDefault="00BD1114" w:rsidP="004B5B9F">
      <w:pPr>
        <w:pStyle w:val="NumberedParagraph"/>
        <w:numPr>
          <w:ilvl w:val="1"/>
          <w:numId w:val="64"/>
        </w:numPr>
      </w:pPr>
      <w:r>
        <w:t xml:space="preserve">Ultimately, </w:t>
      </w:r>
      <w:r w:rsidR="00B15D7B">
        <w:t>we suspect that the OECD’s conclusion about New Zealand being an outlier</w:t>
      </w:r>
      <w:r w:rsidR="00321CD2">
        <w:t>,</w:t>
      </w:r>
      <w:r w:rsidR="00B15D7B">
        <w:t xml:space="preserve"> with </w:t>
      </w:r>
      <w:r w:rsidR="005117AB">
        <w:t xml:space="preserve">very </w:t>
      </w:r>
      <w:r w:rsidR="00B15D7B">
        <w:t>high costs of capital and EMTRs relative to most other OECD</w:t>
      </w:r>
      <w:r w:rsidR="00B820C7">
        <w:t xml:space="preserve"> countries</w:t>
      </w:r>
      <w:r w:rsidR="00321CD2">
        <w:t>,</w:t>
      </w:r>
      <w:r w:rsidR="00B820C7">
        <w:t xml:space="preserve"> is likely to be robust</w:t>
      </w:r>
      <w:r w:rsidR="00FF29DD">
        <w:t xml:space="preserve"> for the company tax provisions analysed in the OECD study</w:t>
      </w:r>
      <w:r w:rsidR="00B820C7">
        <w:t xml:space="preserve">. </w:t>
      </w:r>
      <w:r w:rsidR="00FA0D71">
        <w:t xml:space="preserve">Consideration of a broader set of taxes as suggested </w:t>
      </w:r>
      <w:r w:rsidR="003B47A0">
        <w:t xml:space="preserve">by </w:t>
      </w:r>
      <w:proofErr w:type="spellStart"/>
      <w:r w:rsidR="003B47A0">
        <w:t>Bazel</w:t>
      </w:r>
      <w:proofErr w:type="spellEnd"/>
      <w:r w:rsidR="003B47A0">
        <w:t xml:space="preserve"> and Mintz that are imposed in other countries but not New Zealand can moderate this effect</w:t>
      </w:r>
      <w:r w:rsidR="002D1374">
        <w:t xml:space="preserve"> but </w:t>
      </w:r>
      <w:r w:rsidR="00FA0D78">
        <w:t>costs of capital and EMTRs are still likely</w:t>
      </w:r>
      <w:r w:rsidR="002D1374">
        <w:t xml:space="preserve"> to </w:t>
      </w:r>
      <w:r w:rsidR="00FA0D78">
        <w:t>be high compared to most other OECD countries</w:t>
      </w:r>
      <w:r w:rsidR="002D1374">
        <w:t>.</w:t>
      </w:r>
    </w:p>
    <w:p w14:paraId="53CF9393" w14:textId="07013034" w:rsidR="004F56C7" w:rsidRDefault="00C14C15" w:rsidP="004B5B9F">
      <w:pPr>
        <w:pStyle w:val="NumberedParagraph"/>
        <w:numPr>
          <w:ilvl w:val="1"/>
          <w:numId w:val="64"/>
        </w:numPr>
      </w:pPr>
      <w:r>
        <w:t>T</w:t>
      </w:r>
      <w:r w:rsidR="00B820C7">
        <w:t xml:space="preserve">he question of exactly where </w:t>
      </w:r>
      <w:r>
        <w:t>New Zealand sits</w:t>
      </w:r>
      <w:r w:rsidR="00B820C7">
        <w:t xml:space="preserve"> relative to other OECD countries </w:t>
      </w:r>
      <w:r w:rsidR="0045426E">
        <w:t xml:space="preserve">is likely to be uncertain. However, this </w:t>
      </w:r>
      <w:r w:rsidR="00B820C7">
        <w:t>is probably not a critical issue</w:t>
      </w:r>
      <w:r w:rsidR="00F52C60">
        <w:t xml:space="preserve">. </w:t>
      </w:r>
      <w:r w:rsidR="002025EC">
        <w:t>Whether New Zealand is likely to benefit from lower and more neutral costs of capital and EMTRs</w:t>
      </w:r>
      <w:r w:rsidR="001F6F06">
        <w:t>,</w:t>
      </w:r>
      <w:r w:rsidR="002025EC">
        <w:t xml:space="preserve"> and the pros and cons of different possible measures</w:t>
      </w:r>
      <w:r w:rsidR="001F6F06">
        <w:t>,</w:t>
      </w:r>
      <w:r w:rsidR="002025EC">
        <w:t xml:space="preserve"> </w:t>
      </w:r>
      <w:r w:rsidR="00DD0CB8">
        <w:t>are</w:t>
      </w:r>
      <w:r w:rsidR="002025EC">
        <w:t xml:space="preserve"> largely independent of our precise ranking in the set of OECD countries.</w:t>
      </w:r>
    </w:p>
    <w:p w14:paraId="66F5D410" w14:textId="4B7AE26C" w:rsidR="009E19A1" w:rsidRPr="00644621" w:rsidRDefault="009E19A1" w:rsidP="009E19A1">
      <w:pPr>
        <w:pStyle w:val="Heading2"/>
        <w:rPr>
          <w:rFonts w:eastAsia="Calibri"/>
          <w:lang w:eastAsia="en-US"/>
        </w:rPr>
      </w:pPr>
      <w:bookmarkStart w:id="24" w:name="_Toc112857402"/>
      <w:r>
        <w:rPr>
          <w:rFonts w:eastAsia="Calibri"/>
          <w:lang w:eastAsia="en-US"/>
        </w:rPr>
        <w:t>Concluding comments</w:t>
      </w:r>
      <w:bookmarkEnd w:id="24"/>
    </w:p>
    <w:p w14:paraId="711F6FFA" w14:textId="0668D7E2" w:rsidR="007B57B5" w:rsidRPr="007B57B5" w:rsidRDefault="007B57B5" w:rsidP="009E19A1">
      <w:pPr>
        <w:pStyle w:val="NumberedParagraph"/>
        <w:numPr>
          <w:ilvl w:val="1"/>
          <w:numId w:val="64"/>
        </w:numPr>
      </w:pPr>
      <w:r w:rsidRPr="007B57B5">
        <w:t>Chapter 4 explores the effects of changing some of the assumptions. We extend the modelling by</w:t>
      </w:r>
      <w:r w:rsidR="00A647F8">
        <w:t xml:space="preserve"> considering</w:t>
      </w:r>
      <w:r w:rsidRPr="007B57B5">
        <w:t>:</w:t>
      </w:r>
    </w:p>
    <w:p w14:paraId="4E108392" w14:textId="44173B48" w:rsidR="007B57B5" w:rsidRPr="007B57B5" w:rsidRDefault="007B57B5" w:rsidP="00075D72">
      <w:pPr>
        <w:pStyle w:val="NumberedParagraph-BulletL1"/>
        <w:numPr>
          <w:ilvl w:val="2"/>
          <w:numId w:val="64"/>
        </w:numPr>
      </w:pPr>
      <w:r w:rsidRPr="007B57B5">
        <w:t>possible changes to macroeconomic assumptions and assumptions on gearing that are likely to be more relevant for New Zealand</w:t>
      </w:r>
    </w:p>
    <w:p w14:paraId="6A9448A9" w14:textId="18CCFB08" w:rsidR="007B57B5" w:rsidRPr="007B57B5" w:rsidRDefault="007B57B5" w:rsidP="00075D72">
      <w:pPr>
        <w:pStyle w:val="NumberedParagraph-BulletL1"/>
        <w:numPr>
          <w:ilvl w:val="2"/>
          <w:numId w:val="64"/>
        </w:numPr>
      </w:pPr>
      <w:r w:rsidRPr="007B57B5">
        <w:t>some factors missing from the OECD analysis, such as non-resident withholding tax on interest and New Zealand’s approved issuer levy</w:t>
      </w:r>
      <w:r w:rsidR="007A407B">
        <w:t>,</w:t>
      </w:r>
      <w:r w:rsidR="009E199E">
        <w:t xml:space="preserve"> and</w:t>
      </w:r>
    </w:p>
    <w:p w14:paraId="04C612FD" w14:textId="0AC72E69" w:rsidR="007B57B5" w:rsidRDefault="007B57B5" w:rsidP="00075D72">
      <w:pPr>
        <w:pStyle w:val="NumberedParagraph-BulletL1"/>
        <w:numPr>
          <w:ilvl w:val="2"/>
          <w:numId w:val="64"/>
        </w:numPr>
      </w:pPr>
      <w:r w:rsidRPr="007B57B5">
        <w:t>how the model might be extended to domestic small and medium enterprises (SMEs) where foreign investors may not be the marginal investors</w:t>
      </w:r>
      <w:r w:rsidR="00794A3C">
        <w:t>.</w:t>
      </w:r>
    </w:p>
    <w:p w14:paraId="62A26FF8" w14:textId="25E18741" w:rsidR="00D06FD9" w:rsidRDefault="0040039D" w:rsidP="00E64476">
      <w:pPr>
        <w:pStyle w:val="NumberedParagraph"/>
        <w:numPr>
          <w:ilvl w:val="1"/>
          <w:numId w:val="64"/>
        </w:numPr>
      </w:pPr>
      <w:r>
        <w:t>Subsequent chapters discuss various policy options for reducing costs of capital and EMTRs and making these more neutral</w:t>
      </w:r>
      <w:r w:rsidR="00A23C83">
        <w:t>.</w:t>
      </w:r>
    </w:p>
    <w:p w14:paraId="0C69250B" w14:textId="15869624" w:rsidR="003A68A9" w:rsidRPr="007B57B5" w:rsidRDefault="003A68A9" w:rsidP="00256F35">
      <w:pPr>
        <w:pStyle w:val="Heading1"/>
        <w:numPr>
          <w:ilvl w:val="0"/>
          <w:numId w:val="64"/>
        </w:numPr>
        <w:ind w:left="0"/>
      </w:pPr>
      <w:r>
        <w:lastRenderedPageBreak/>
        <w:br/>
      </w:r>
      <w:r>
        <w:br/>
      </w:r>
      <w:bookmarkStart w:id="25" w:name="_Toc112857403"/>
      <w:r>
        <w:t xml:space="preserve">A </w:t>
      </w:r>
      <w:r w:rsidR="00256F35" w:rsidRPr="004B1C56">
        <w:rPr>
          <w:rFonts w:eastAsia="Calibri"/>
          <w:lang w:eastAsia="en-US"/>
        </w:rPr>
        <w:t>deeper look at costs of capital and EMTRs for New Zealand</w:t>
      </w:r>
      <w:bookmarkEnd w:id="25"/>
    </w:p>
    <w:tbl>
      <w:tblPr>
        <w:tblStyle w:val="SummaryBox"/>
        <w:tblW w:w="8778" w:type="dxa"/>
        <w:tblLayout w:type="fixed"/>
        <w:tblLook w:val="04A0" w:firstRow="1" w:lastRow="0" w:firstColumn="1" w:lastColumn="0" w:noHBand="0" w:noVBand="1"/>
      </w:tblPr>
      <w:tblGrid>
        <w:gridCol w:w="8778"/>
      </w:tblGrid>
      <w:tr w:rsidR="00F119EE" w:rsidRPr="000C0C83" w14:paraId="1D3EF947" w14:textId="77777777" w:rsidTr="00256F35">
        <w:tc>
          <w:tcPr>
            <w:tcW w:w="8778" w:type="dxa"/>
          </w:tcPr>
          <w:p w14:paraId="40C83CC4" w14:textId="77777777" w:rsidR="00F119EE" w:rsidRPr="000C0C83" w:rsidRDefault="00F119EE" w:rsidP="00345DEF">
            <w:pPr>
              <w:pStyle w:val="ListBullet"/>
            </w:pPr>
            <w:r w:rsidRPr="000C0C83">
              <w:t>If depreciation deductions are set to mirror how assets would depreciate in the absence of inflation, they will not be neutral in the presence of even small amounts of inflation. They will tend to favour investment in assets that have lower rates of economic depreciation relative to assets with higher rates of economic depreciation. New Zealand’s tax settings are likely to contain these biases.</w:t>
            </w:r>
          </w:p>
          <w:p w14:paraId="5CD01261" w14:textId="22FC2B32" w:rsidR="00F119EE" w:rsidRPr="000C0C83" w:rsidRDefault="00F119EE" w:rsidP="00345DEF">
            <w:pPr>
              <w:pStyle w:val="ListBullet"/>
            </w:pPr>
            <w:r w:rsidRPr="000C0C83">
              <w:t>We find evidence of significant biases between different tangible assets</w:t>
            </w:r>
            <w:r>
              <w:t xml:space="preserve"> with different economic depreciation rates.</w:t>
            </w:r>
          </w:p>
          <w:p w14:paraId="355DF1A6" w14:textId="77777777" w:rsidR="00F119EE" w:rsidRDefault="00F119EE" w:rsidP="00345DEF">
            <w:pPr>
              <w:pStyle w:val="ListBullet"/>
            </w:pPr>
            <w:r w:rsidRPr="000C0C83">
              <w:t>While we saw in chapter 3 that New Zealand’s costs of capital and EMTRs are often high relative to other countries, at times EMTRs will be negative and costs of capital will be less than the cost to New Zealand of importing capital. In these cases, investment is effectively being subsidised by the tax system.</w:t>
            </w:r>
          </w:p>
          <w:p w14:paraId="700C420C" w14:textId="3F11EB3D" w:rsidR="00F119EE" w:rsidRPr="000C0C83" w:rsidRDefault="00F119EE" w:rsidP="00345DEF">
            <w:pPr>
              <w:pStyle w:val="ListBullet"/>
            </w:pPr>
            <w:r>
              <w:t>Inflation tends to increase costs of capital and EMTRs for many types of assets that are already relatively heavily taxed</w:t>
            </w:r>
            <w:r w:rsidR="00AF7F7A">
              <w:t>. This is</w:t>
            </w:r>
            <w:r>
              <w:t xml:space="preserve"> especially </w:t>
            </w:r>
            <w:r w:rsidR="00AF7F7A">
              <w:t xml:space="preserve">the case </w:t>
            </w:r>
            <w:r>
              <w:t xml:space="preserve">for plant, </w:t>
            </w:r>
            <w:proofErr w:type="gramStart"/>
            <w:r>
              <w:t>machinery</w:t>
            </w:r>
            <w:proofErr w:type="gramEnd"/>
            <w:r>
              <w:t xml:space="preserve"> and equipment with high economic rates of depreciation and for inventories. At the same time, i</w:t>
            </w:r>
            <w:r w:rsidR="009E389A">
              <w:t>nfla</w:t>
            </w:r>
            <w:r>
              <w:t>t</w:t>
            </w:r>
            <w:r w:rsidR="009E389A">
              <w:t>ion</w:t>
            </w:r>
            <w:r>
              <w:t xml:space="preserve"> can reduce costs of capital and increase tax subsidies for assets that would be subsidised and have negative EMTRs even if there were no inflation.</w:t>
            </w:r>
          </w:p>
          <w:p w14:paraId="214EB0E9" w14:textId="77777777" w:rsidR="00F119EE" w:rsidRDefault="00F119EE" w:rsidP="00345DEF">
            <w:pPr>
              <w:pStyle w:val="ListBullet"/>
            </w:pPr>
            <w:r w:rsidRPr="000C0C83">
              <w:t>Accounting for NRWT and AIL will add to costs of capital and EMTRs</w:t>
            </w:r>
            <w:r>
              <w:t xml:space="preserve"> slightly</w:t>
            </w:r>
            <w:r w:rsidRPr="000C0C83">
              <w:t xml:space="preserve">. </w:t>
            </w:r>
            <w:r>
              <w:t>NRWT</w:t>
            </w:r>
            <w:r w:rsidRPr="000C0C83">
              <w:t xml:space="preserve"> will also introduce some variability in tax imposts between companies that are foreign controlled and </w:t>
            </w:r>
            <w:r>
              <w:t>domestic companies with marginal foreign portfolio shareholders</w:t>
            </w:r>
            <w:r w:rsidRPr="000C0C83">
              <w:t xml:space="preserve">, although </w:t>
            </w:r>
            <w:r>
              <w:t xml:space="preserve">at average debt levels </w:t>
            </w:r>
            <w:r w:rsidRPr="000C0C83">
              <w:t>the biases between the</w:t>
            </w:r>
            <w:r>
              <w:t>se</w:t>
            </w:r>
            <w:r w:rsidRPr="000C0C83">
              <w:t xml:space="preserve"> two </w:t>
            </w:r>
            <w:r>
              <w:t xml:space="preserve">types of companies </w:t>
            </w:r>
            <w:r w:rsidRPr="000C0C83">
              <w:t>seem</w:t>
            </w:r>
            <w:r>
              <w:t>s</w:t>
            </w:r>
            <w:r w:rsidRPr="000C0C83">
              <w:t xml:space="preserve"> quite small relative to the tax biases between different types of </w:t>
            </w:r>
            <w:proofErr w:type="gramStart"/>
            <w:r w:rsidRPr="000C0C83">
              <w:t>asset</w:t>
            </w:r>
            <w:proofErr w:type="gramEnd"/>
            <w:r w:rsidRPr="000C0C83">
              <w:t>.</w:t>
            </w:r>
          </w:p>
          <w:p w14:paraId="62E59982" w14:textId="2B78DDF1" w:rsidR="00F119EE" w:rsidRPr="000C0C83" w:rsidRDefault="00F119EE" w:rsidP="00345DEF">
            <w:pPr>
              <w:pStyle w:val="ListBullet"/>
            </w:pPr>
            <w:r>
              <w:t>In the analysis in this LTIB, we mainly focus on the case that underpins the OECD model where non-residents are marginal shareholders in companies operating in New Zealand. It is when non-residents are marginal shareholders that New Zealand’s relatively high costs of capital and EMTRs are likely to arise. If, instead, New Zealanders are marginal shareholders, it becomes more likely that EMTRs will be low or negative.</w:t>
            </w:r>
          </w:p>
        </w:tc>
      </w:tr>
    </w:tbl>
    <w:p w14:paraId="64CBAF18" w14:textId="77777777" w:rsidR="00F119EE" w:rsidRPr="000C0C83" w:rsidRDefault="00F119EE" w:rsidP="00F119EE">
      <w:pPr>
        <w:pStyle w:val="Heading2"/>
        <w:rPr>
          <w:rFonts w:eastAsia="Calibri"/>
          <w:lang w:eastAsia="en-US"/>
        </w:rPr>
      </w:pPr>
      <w:bookmarkStart w:id="26" w:name="_Toc112857404"/>
      <w:r w:rsidRPr="000C0C83">
        <w:rPr>
          <w:rFonts w:eastAsia="Calibri"/>
          <w:lang w:eastAsia="en-US"/>
        </w:rPr>
        <w:t>Introduction</w:t>
      </w:r>
      <w:bookmarkEnd w:id="26"/>
    </w:p>
    <w:p w14:paraId="7509057B" w14:textId="77777777" w:rsidR="00F119EE" w:rsidRPr="000C0C83" w:rsidRDefault="00F119EE" w:rsidP="000C1388">
      <w:pPr>
        <w:pStyle w:val="NumberedParagraph"/>
        <w:numPr>
          <w:ilvl w:val="1"/>
          <w:numId w:val="64"/>
        </w:numPr>
      </w:pPr>
      <w:r w:rsidRPr="000C0C83">
        <w:t xml:space="preserve">The OECD benchmarking exercise discussed in chapter 3 rested on assumptions the OECD has made and applied to all OECD countries. </w:t>
      </w:r>
      <w:r w:rsidRPr="00DC48B7">
        <w:t xml:space="preserve">In appendix 2 of our </w:t>
      </w:r>
      <w:proofErr w:type="gramStart"/>
      <w:r w:rsidRPr="00DC48B7">
        <w:rPr>
          <w:i/>
          <w:iCs/>
        </w:rPr>
        <w:t>Technical</w:t>
      </w:r>
      <w:proofErr w:type="gramEnd"/>
      <w:r w:rsidRPr="00DC48B7">
        <w:rPr>
          <w:i/>
          <w:iCs/>
        </w:rPr>
        <w:t xml:space="preserve"> appendices</w:t>
      </w:r>
      <w:r w:rsidRPr="00DC48B7">
        <w:t>,</w:t>
      </w:r>
      <w:r>
        <w:t xml:space="preserve"> we</w:t>
      </w:r>
      <w:r w:rsidRPr="000C0C83">
        <w:t xml:space="preserve"> modify and extend the analysis in various ways.</w:t>
      </w:r>
      <w:r>
        <w:t xml:space="preserve"> In this chapter, we provide a shorter discussion of some of the main results.</w:t>
      </w:r>
    </w:p>
    <w:p w14:paraId="762430BF" w14:textId="65924615" w:rsidR="00F119EE" w:rsidRDefault="00F119EE" w:rsidP="000C1388">
      <w:pPr>
        <w:pStyle w:val="NumberedParagraph"/>
        <w:numPr>
          <w:ilvl w:val="1"/>
          <w:numId w:val="64"/>
        </w:numPr>
      </w:pPr>
      <w:r>
        <w:t xml:space="preserve">We consider the implications of different levels of debt, </w:t>
      </w:r>
      <w:proofErr w:type="gramStart"/>
      <w:r>
        <w:t>inflation</w:t>
      </w:r>
      <w:proofErr w:type="gramEnd"/>
      <w:r>
        <w:t xml:space="preserve"> and real interest rates. We also allow for investment in a broader set of assets than in the OECD study. The OECD model takes account of company tax settings</w:t>
      </w:r>
      <w:r w:rsidR="00CF2A5D">
        <w:t>,</w:t>
      </w:r>
      <w:r>
        <w:t xml:space="preserve"> including depreciation provisions</w:t>
      </w:r>
      <w:r w:rsidR="00CF2A5D">
        <w:t>,</w:t>
      </w:r>
      <w:r>
        <w:t xml:space="preserve"> but not of levies or taxes on interest paid overseas</w:t>
      </w:r>
      <w:r w:rsidR="00EF5308">
        <w:t>,</w:t>
      </w:r>
      <w:r>
        <w:t xml:space="preserve"> such as New Zealand’s approved issuer levy (AIL) and non-resident withholding tax (NRWT) on interest. AIL and NRWT were incorporated in the </w:t>
      </w:r>
      <w:r>
        <w:lastRenderedPageBreak/>
        <w:t>effective tax rates calculated by the McLeod Review</w:t>
      </w:r>
      <w:r w:rsidR="00EF5308">
        <w:t>.</w:t>
      </w:r>
      <w:r>
        <w:rPr>
          <w:rStyle w:val="FootnoteReference"/>
        </w:rPr>
        <w:footnoteReference w:id="32"/>
      </w:r>
      <w:r>
        <w:t xml:space="preserve"> On the other hand, the McLeod Review assumed that economic income was fully taxed at the company level so that the EMTR on a fully equity-financed investment was the statutory company tax rate. This is equivalent to assuming that there is no inflation and that depreciation provisions reflect economic depreciation (that is, how assets would fall in value in the absence of inflation). The McLeod Review approach does not capture the way that tax incentives</w:t>
      </w:r>
      <w:r w:rsidR="00340784">
        <w:t>,</w:t>
      </w:r>
      <w:r>
        <w:t xml:space="preserve"> such as accelerated depreciation provisions</w:t>
      </w:r>
      <w:r w:rsidR="00340784">
        <w:t>,</w:t>
      </w:r>
      <w:r>
        <w:t xml:space="preserve"> or inflation can affect EMTRs and incentives to invest</w:t>
      </w:r>
      <w:r w:rsidR="00E97720">
        <w:t>,</w:t>
      </w:r>
      <w:r>
        <w:t xml:space="preserve"> whereas the OECD study aims to analyse these issues.</w:t>
      </w:r>
    </w:p>
    <w:p w14:paraId="656F1355" w14:textId="51F41ED2" w:rsidR="00F119EE" w:rsidRDefault="00F119EE" w:rsidP="000C1388">
      <w:pPr>
        <w:pStyle w:val="NumberedParagraph"/>
        <w:numPr>
          <w:ilvl w:val="1"/>
          <w:numId w:val="64"/>
        </w:numPr>
      </w:pPr>
      <w:r>
        <w:t xml:space="preserve">This chapter attempts to blend insights from the OECD analysis with those from the McLeod Review. It extends the OECD analysis to take account of AIL and NRWT on interest. By taking account of </w:t>
      </w:r>
      <w:r w:rsidR="00B06E73">
        <w:t xml:space="preserve">the </w:t>
      </w:r>
      <w:r>
        <w:t xml:space="preserve">ways in which depreciation provisions may depart from economic depreciation and the impact of inflation, we are able to analyse possible biases in the tax treatment of different assets and of firms financed in different ways. We also explore possible biases between different types of </w:t>
      </w:r>
      <w:proofErr w:type="gramStart"/>
      <w:r>
        <w:t>firm</w:t>
      </w:r>
      <w:proofErr w:type="gramEnd"/>
      <w:r>
        <w:t>.</w:t>
      </w:r>
    </w:p>
    <w:p w14:paraId="71459F22" w14:textId="77777777" w:rsidR="00F119EE" w:rsidRDefault="00F119EE" w:rsidP="000C1388">
      <w:pPr>
        <w:pStyle w:val="NumberedParagraph"/>
        <w:numPr>
          <w:ilvl w:val="1"/>
          <w:numId w:val="64"/>
        </w:numPr>
      </w:pPr>
      <w:r>
        <w:t xml:space="preserve">We consider three possible types of </w:t>
      </w:r>
      <w:proofErr w:type="gramStart"/>
      <w:r>
        <w:t>firm</w:t>
      </w:r>
      <w:proofErr w:type="gramEnd"/>
      <w:r>
        <w:t>:</w:t>
      </w:r>
    </w:p>
    <w:p w14:paraId="16F6D3D7" w14:textId="712EB256" w:rsidR="00F119EE" w:rsidRDefault="00993A53" w:rsidP="000C1388">
      <w:pPr>
        <w:pStyle w:val="NumberedParagraph-BulletL1"/>
        <w:numPr>
          <w:ilvl w:val="2"/>
          <w:numId w:val="64"/>
        </w:numPr>
      </w:pPr>
      <w:r>
        <w:rPr>
          <w:i/>
          <w:iCs/>
        </w:rPr>
        <w:t>D</w:t>
      </w:r>
      <w:r w:rsidR="00F119EE">
        <w:rPr>
          <w:i/>
          <w:iCs/>
        </w:rPr>
        <w:t>omestic companies with marginal foreign portfolio shareholders</w:t>
      </w:r>
      <w:r>
        <w:rPr>
          <w:i/>
          <w:iCs/>
        </w:rPr>
        <w:t>.</w:t>
      </w:r>
      <w:r w:rsidR="00F119EE">
        <w:t xml:space="preserve"> </w:t>
      </w:r>
      <w:r>
        <w:t>T</w:t>
      </w:r>
      <w:r w:rsidR="00F119EE">
        <w:t xml:space="preserve">hese are companies </w:t>
      </w:r>
      <w:r w:rsidR="005E64A3">
        <w:t>that</w:t>
      </w:r>
      <w:r w:rsidR="007A591B">
        <w:t xml:space="preserve"> </w:t>
      </w:r>
      <w:r w:rsidR="008400A1">
        <w:t>are not foreign controlled</w:t>
      </w:r>
      <w:r w:rsidR="00004AC3">
        <w:t xml:space="preserve"> </w:t>
      </w:r>
      <w:r w:rsidR="00F119EE">
        <w:t>with marginal non-resident shareholders. As will be discussed, for these firms AIL is likely to affect borrowing costs</w:t>
      </w:r>
      <w:r w:rsidR="00472307">
        <w:t>,</w:t>
      </w:r>
      <w:r w:rsidR="00F119EE">
        <w:t xml:space="preserve"> while borrowing costs are unlikely to be affected by NRWT.</w:t>
      </w:r>
    </w:p>
    <w:p w14:paraId="16299595" w14:textId="05DFA9BA" w:rsidR="00F119EE" w:rsidRDefault="00472307" w:rsidP="000C1388">
      <w:pPr>
        <w:pStyle w:val="NumberedParagraph-BulletL1"/>
        <w:numPr>
          <w:ilvl w:val="2"/>
          <w:numId w:val="64"/>
        </w:numPr>
      </w:pPr>
      <w:r>
        <w:rPr>
          <w:i/>
          <w:iCs/>
        </w:rPr>
        <w:t>F</w:t>
      </w:r>
      <w:r w:rsidR="00F119EE">
        <w:rPr>
          <w:i/>
          <w:iCs/>
        </w:rPr>
        <w:t>oreign</w:t>
      </w:r>
      <w:r w:rsidR="0064133A">
        <w:rPr>
          <w:i/>
          <w:iCs/>
        </w:rPr>
        <w:t>-</w:t>
      </w:r>
      <w:r w:rsidR="00F119EE">
        <w:rPr>
          <w:i/>
          <w:iCs/>
        </w:rPr>
        <w:t>controlled companies</w:t>
      </w:r>
      <w:r>
        <w:rPr>
          <w:i/>
          <w:iCs/>
        </w:rPr>
        <w:t>.</w:t>
      </w:r>
      <w:r w:rsidR="00F119EE">
        <w:rPr>
          <w:i/>
          <w:iCs/>
        </w:rPr>
        <w:t xml:space="preserve"> </w:t>
      </w:r>
      <w:r>
        <w:t>T</w:t>
      </w:r>
      <w:r w:rsidR="00F119EE">
        <w:t>hese are companies where foreign direct investors will be marginal shareholders. For these firms</w:t>
      </w:r>
      <w:r>
        <w:t>,</w:t>
      </w:r>
      <w:r w:rsidR="00F119EE">
        <w:t xml:space="preserve"> borrowing costs are likely to be affected by both AIL and NRWT.</w:t>
      </w:r>
    </w:p>
    <w:p w14:paraId="545C2AA0" w14:textId="707EFD10" w:rsidR="00F119EE" w:rsidRDefault="0081453A" w:rsidP="000C1388">
      <w:pPr>
        <w:pStyle w:val="NumberedParagraph-BulletL1"/>
        <w:numPr>
          <w:ilvl w:val="2"/>
          <w:numId w:val="64"/>
        </w:numPr>
      </w:pPr>
      <w:r>
        <w:rPr>
          <w:i/>
          <w:iCs/>
        </w:rPr>
        <w:t>D</w:t>
      </w:r>
      <w:r w:rsidR="00F119EE">
        <w:rPr>
          <w:i/>
          <w:iCs/>
        </w:rPr>
        <w:t>omestic SMEs without marginal foreign shareholders.</w:t>
      </w:r>
      <w:r w:rsidR="00F119EE">
        <w:t xml:space="preserve"> Some firms are likely to have little or no foreign shareholding and for these companies it may be unreasonable to think of non-residents as marginal shareholders. There are significant uncertainties about how best to measure costs of capital and EMTRs for these firms</w:t>
      </w:r>
      <w:r>
        <w:t>,</w:t>
      </w:r>
      <w:r w:rsidR="00F119EE">
        <w:t xml:space="preserve"> but it seems likely that these SMEs will have lower costs of capital and EMTRs than companies with marginal foreign shareholders. Both borrowing costs and the opportunity cost of the funds of owners can potentially be affected by AIL for marginal shareholders in these firms.</w:t>
      </w:r>
    </w:p>
    <w:p w14:paraId="6EDC307C" w14:textId="61AB8AE3" w:rsidR="00F119EE" w:rsidRDefault="00F119EE" w:rsidP="000C1388">
      <w:pPr>
        <w:pStyle w:val="NumberedParagraph"/>
        <w:numPr>
          <w:ilvl w:val="1"/>
          <w:numId w:val="64"/>
        </w:numPr>
      </w:pPr>
      <w:r>
        <w:t xml:space="preserve">As discussed in chapter 3, </w:t>
      </w:r>
      <w:r w:rsidR="00FA0D78">
        <w:t>the OECD study</w:t>
      </w:r>
      <w:r w:rsidR="007F5A60">
        <w:t xml:space="preserve"> has</w:t>
      </w:r>
      <w:r>
        <w:t xml:space="preserve"> suggested that New Zealand has high costs of capital and EMTRs for inbound investment for the types of </w:t>
      </w:r>
      <w:proofErr w:type="gramStart"/>
      <w:r>
        <w:t>asset</w:t>
      </w:r>
      <w:proofErr w:type="gramEnd"/>
      <w:r>
        <w:t xml:space="preserve"> included in the</w:t>
      </w:r>
      <w:r w:rsidR="007F5A60">
        <w:t>ir</w:t>
      </w:r>
      <w:r>
        <w:t xml:space="preserve"> study. By incorporating AIL and NRWT on interest into the analysis, this chapter aims to achieve a fuller measure of costs of capital and EMTRs than the OECD study</w:t>
      </w:r>
      <w:r w:rsidR="002F605A">
        <w:t xml:space="preserve"> achieved</w:t>
      </w:r>
      <w:r>
        <w:t xml:space="preserve">. It also aims to analyse the variability of costs of capital and EMTRs across different assets, methods of finance and types of </w:t>
      </w:r>
      <w:proofErr w:type="gramStart"/>
      <w:r>
        <w:t>firm</w:t>
      </w:r>
      <w:proofErr w:type="gramEnd"/>
      <w:r>
        <w:t>.</w:t>
      </w:r>
    </w:p>
    <w:p w14:paraId="103D08A0" w14:textId="23122A68" w:rsidR="00F119EE" w:rsidRDefault="00F119EE" w:rsidP="000C1388">
      <w:pPr>
        <w:pStyle w:val="NumberedParagraph"/>
        <w:numPr>
          <w:ilvl w:val="1"/>
          <w:numId w:val="64"/>
        </w:numPr>
      </w:pPr>
      <w:r>
        <w:t xml:space="preserve">The structure of this chapter is as follows. First, we outline some key features of New Zealand’s tax system </w:t>
      </w:r>
      <w:r w:rsidR="00A8330C">
        <w:t>that</w:t>
      </w:r>
      <w:r>
        <w:t xml:space="preserve"> will be helpful in understanding how personal and company tax settings are likely to interact. Second, we discuss the set of assets we will be considering in this and subsequent chapters and some key ways in which we are extending and modifying the OECD analysis. Third, we discuss how New Zealand’s tax settings can impact on costs of capital and EMTRs for domestic companies with marginal foreign portfolio shareholders (that is companies </w:t>
      </w:r>
      <w:r w:rsidR="009925ED">
        <w:t>that</w:t>
      </w:r>
      <w:r w:rsidR="00096962">
        <w:t xml:space="preserve"> are not foreign controlled </w:t>
      </w:r>
      <w:r>
        <w:t xml:space="preserve">with non-resident marginal </w:t>
      </w:r>
      <w:r>
        <w:lastRenderedPageBreak/>
        <w:t>shareholders). For these firms, costs of capital and EMTRs are likely to be influenced by AIL but not NRWT on interest. Fourth, we consider NRWT on interest and how this can impact on costs of capital and EMTRs for foreign-controlled companies. Finally</w:t>
      </w:r>
      <w:r w:rsidR="0064133A">
        <w:t>,</w:t>
      </w:r>
      <w:r>
        <w:t xml:space="preserve"> we extend the cost of capital and EMTR analysis to consider domestic SMEs without foreign marginal shareholders.</w:t>
      </w:r>
    </w:p>
    <w:p w14:paraId="1080941B" w14:textId="77777777" w:rsidR="00F119EE" w:rsidRPr="000C0C83" w:rsidRDefault="00F119EE" w:rsidP="00F119EE">
      <w:pPr>
        <w:pStyle w:val="Heading2"/>
        <w:rPr>
          <w:rFonts w:eastAsia="Calibri"/>
          <w:lang w:eastAsia="en-US"/>
        </w:rPr>
      </w:pPr>
      <w:bookmarkStart w:id="27" w:name="_Toc112857405"/>
      <w:r>
        <w:rPr>
          <w:rFonts w:eastAsia="Calibri"/>
          <w:lang w:eastAsia="en-US"/>
        </w:rPr>
        <w:t>New Zealand’s tax rules: some basics</w:t>
      </w:r>
      <w:bookmarkEnd w:id="27"/>
    </w:p>
    <w:p w14:paraId="2FBE8934" w14:textId="0AF198BF" w:rsidR="00F119EE" w:rsidRDefault="00F119EE" w:rsidP="000C1388">
      <w:pPr>
        <w:pStyle w:val="NumberedParagraph"/>
        <w:numPr>
          <w:ilvl w:val="1"/>
          <w:numId w:val="64"/>
        </w:numPr>
      </w:pPr>
      <w:r>
        <w:t>Some key features of New Zealand’s tax system are listed in this section.</w:t>
      </w:r>
    </w:p>
    <w:p w14:paraId="3BA26EFA" w14:textId="5224B5B6" w:rsidR="00F119EE" w:rsidRDefault="00F119EE" w:rsidP="000C1388">
      <w:pPr>
        <w:pStyle w:val="NumberedParagraph"/>
        <w:numPr>
          <w:ilvl w:val="1"/>
          <w:numId w:val="64"/>
        </w:numPr>
      </w:pPr>
      <w:r>
        <w:t xml:space="preserve">As was discussed in chapter 2, company tax has a dual role in New Zealand. As well as being a way of taxing non-residents on the income they derive from investing in New Zealand, it has an important role in shoring up the integrity and progressivity of the personal tax system. The rules outlined below help in understanding these dual roles of company tax </w:t>
      </w:r>
      <w:r w:rsidR="00702823">
        <w:t>as well as</w:t>
      </w:r>
      <w:r>
        <w:t xml:space="preserve"> policy challenges when changing tax settings in this area. Tax settings are as follows:</w:t>
      </w:r>
    </w:p>
    <w:p w14:paraId="6188338D" w14:textId="6F8BA32C" w:rsidR="00F119EE" w:rsidRDefault="00F119EE" w:rsidP="000C1388">
      <w:pPr>
        <w:pStyle w:val="NumberedParagraph-BulletL1"/>
        <w:numPr>
          <w:ilvl w:val="2"/>
          <w:numId w:val="64"/>
        </w:numPr>
      </w:pPr>
      <w:r>
        <w:t xml:space="preserve">Companies are taxed at a rate of 28% on their taxable income </w:t>
      </w:r>
      <w:r w:rsidR="00F5104B">
        <w:t>regardless</w:t>
      </w:r>
      <w:r>
        <w:t xml:space="preserve"> of company size and whether this income is earned by domestic-owned or foreign-owned companies.</w:t>
      </w:r>
    </w:p>
    <w:p w14:paraId="412E940B" w14:textId="0ED9CB8E" w:rsidR="00F119EE" w:rsidRDefault="00F119EE" w:rsidP="000C1388">
      <w:pPr>
        <w:pStyle w:val="NumberedParagraph-BulletL1"/>
        <w:numPr>
          <w:ilvl w:val="2"/>
          <w:numId w:val="64"/>
        </w:numPr>
      </w:pPr>
      <w:r>
        <w:t>Personal income is taxed at increasing marginal rates</w:t>
      </w:r>
      <w:r w:rsidR="00F52C60">
        <w:t xml:space="preserve">. </w:t>
      </w:r>
      <w:r w:rsidR="00F14237">
        <w:t>Before</w:t>
      </w:r>
      <w:r>
        <w:t xml:space="preserve"> 1 April 2021, the top personal marginal tax rate was 33%. This applied to all income over $70,000 per annum. From 1 April 2021, a higher top marginal tax rate of 39% was introduced</w:t>
      </w:r>
      <w:r w:rsidR="00F52C60">
        <w:t xml:space="preserve">. </w:t>
      </w:r>
      <w:r>
        <w:t>This applies to income over $180,000 per annum.</w:t>
      </w:r>
    </w:p>
    <w:p w14:paraId="32F25272" w14:textId="4F0AE6A2" w:rsidR="00F119EE" w:rsidRDefault="00F119EE" w:rsidP="000C1388">
      <w:pPr>
        <w:pStyle w:val="NumberedParagraph-BulletL1"/>
        <w:numPr>
          <w:ilvl w:val="2"/>
          <w:numId w:val="64"/>
        </w:numPr>
      </w:pPr>
      <w:r>
        <w:t>Trusts are taxed at a rate of 33% on trustee income</w:t>
      </w:r>
      <w:r w:rsidR="007A5505">
        <w:t>,</w:t>
      </w:r>
      <w:r>
        <w:t xml:space="preserve"> which is income earned and retained in the trust for six months or longer. </w:t>
      </w:r>
      <w:r w:rsidR="00103DB4">
        <w:t>Trustee income</w:t>
      </w:r>
      <w:r>
        <w:t xml:space="preserve"> distributed from a trust is not subject to further tax when it is distributed.</w:t>
      </w:r>
    </w:p>
    <w:p w14:paraId="1551C133" w14:textId="703EA699" w:rsidR="00F119EE" w:rsidRDefault="00F119EE" w:rsidP="000C1388">
      <w:pPr>
        <w:pStyle w:val="NumberedParagraph-BulletL1"/>
        <w:numPr>
          <w:ilvl w:val="2"/>
          <w:numId w:val="64"/>
        </w:numPr>
      </w:pPr>
      <w:r>
        <w:t xml:space="preserve">New Zealand has a full imputation system. This means that if $100 of taxable income is earned by a company, the company is required to pay $28 in company tax. If the remaining $72 is distributed to domestic shareholders as a fully imputed dividend, the </w:t>
      </w:r>
      <w:r w:rsidR="007B576C">
        <w:t xml:space="preserve">shareholders </w:t>
      </w:r>
      <w:r>
        <w:t xml:space="preserve">are taxed on the full $100 (the cash dividend of $72 plus $28 of imputation credits) but can claim an imputation credit for </w:t>
      </w:r>
      <w:r w:rsidR="00FC1DC5">
        <w:t xml:space="preserve">the </w:t>
      </w:r>
      <w:r>
        <w:t xml:space="preserve">tax paid at the company level of $28. This means that on distribution to a shareholder on a tax rate of 33%, further tax of $5 would be paid. </w:t>
      </w:r>
      <w:r w:rsidR="005B4466">
        <w:t>This is because t</w:t>
      </w:r>
      <w:r>
        <w:t>ax on the gross income of $100 would be $33</w:t>
      </w:r>
      <w:r w:rsidR="005B4466">
        <w:t>,</w:t>
      </w:r>
      <w:r>
        <w:t xml:space="preserve"> but this is re</w:t>
      </w:r>
      <w:r w:rsidR="00C007FA">
        <w:t>duced to a $5 liability</w:t>
      </w:r>
      <w:r>
        <w:t xml:space="preserve"> by the $28 imputation credit. Once profits are distributed, the total tax rate on the income earned is topped up to the shareholder’s marginal tax rate. If income is untaxed at the company level</w:t>
      </w:r>
      <w:r w:rsidR="00163518">
        <w:t>,</w:t>
      </w:r>
      <w:r>
        <w:t xml:space="preserve"> the dividends will be fully taxed in shareholders hands. Thus, if the $100 earned by the company was non-taxable to the company and the full $100 of income were distributed to shareholders on a marginal tax rate of 33% as an unimputed dividend, there would be tax of $33</w:t>
      </w:r>
      <w:r w:rsidR="00FA359D">
        <w:t xml:space="preserve"> on the dividend</w:t>
      </w:r>
      <w:r>
        <w:t>. Once again</w:t>
      </w:r>
      <w:r w:rsidR="00FA359D">
        <w:t>,</w:t>
      </w:r>
      <w:r>
        <w:t xml:space="preserve"> profits would have been fully taxed in shareholders’ hands.</w:t>
      </w:r>
    </w:p>
    <w:p w14:paraId="7C6D7693" w14:textId="1399CCB4" w:rsidR="00F119EE" w:rsidRDefault="00F119EE" w:rsidP="000C1388">
      <w:pPr>
        <w:pStyle w:val="NumberedParagraph-BulletL1"/>
        <w:numPr>
          <w:ilvl w:val="2"/>
          <w:numId w:val="64"/>
        </w:numPr>
      </w:pPr>
      <w:r>
        <w:lastRenderedPageBreak/>
        <w:t>Imputation credits are available to domestic</w:t>
      </w:r>
      <w:r w:rsidR="00171062">
        <w:t>,</w:t>
      </w:r>
      <w:r>
        <w:t xml:space="preserve"> but not foreign</w:t>
      </w:r>
      <w:r w:rsidR="00171062">
        <w:t>,</w:t>
      </w:r>
      <w:r>
        <w:t xml:space="preserve"> shareholders. This means that company tax will normally be a final tax for foreign shareholders.</w:t>
      </w:r>
      <w:r>
        <w:rPr>
          <w:rStyle w:val="FootnoteReference"/>
        </w:rPr>
        <w:footnoteReference w:id="33"/>
      </w:r>
    </w:p>
    <w:p w14:paraId="0E6AD653" w14:textId="5B6AF302" w:rsidR="00F119EE" w:rsidRDefault="00F119EE" w:rsidP="000C1388">
      <w:pPr>
        <w:pStyle w:val="NumberedParagraph-BulletL1"/>
        <w:numPr>
          <w:ilvl w:val="2"/>
          <w:numId w:val="64"/>
        </w:numPr>
      </w:pPr>
      <w:r>
        <w:t>New Zealand does not have a general capital gains tax. This means that capital profits earned by a company will normally not be subject to tax. Also</w:t>
      </w:r>
      <w:r w:rsidR="004C2464">
        <w:t>,</w:t>
      </w:r>
      <w:r>
        <w:t xml:space="preserve"> shareholders will not generally be taxed on gains that are realised when shares are sold.</w:t>
      </w:r>
    </w:p>
    <w:p w14:paraId="33ACD770" w14:textId="65D0B81E" w:rsidR="00F119EE" w:rsidRDefault="00F119EE" w:rsidP="000C1388">
      <w:pPr>
        <w:pStyle w:val="NumberedParagraph-BulletL1"/>
        <w:numPr>
          <w:ilvl w:val="2"/>
          <w:numId w:val="64"/>
        </w:numPr>
      </w:pPr>
      <w:r>
        <w:t xml:space="preserve">NRWT is withheld on interest payments to non-residents at </w:t>
      </w:r>
      <w:r w:rsidRPr="009C1F81">
        <w:t xml:space="preserve">a rate of 10% for countries with which New Zealand has a double tax agreement </w:t>
      </w:r>
      <w:r>
        <w:t>and</w:t>
      </w:r>
      <w:r w:rsidRPr="009C1F81">
        <w:t xml:space="preserve"> 15% for other countries. Most often it will be withheld at a rate of 10%</w:t>
      </w:r>
      <w:r>
        <w:t xml:space="preserve">. </w:t>
      </w:r>
      <w:r w:rsidRPr="009C1F81">
        <w:t xml:space="preserve">Where debt is from a related party (for example, a foreign parent company), NRWT must be withheld. However, an alternative exists when debt is from third parties. This </w:t>
      </w:r>
      <w:r>
        <w:t xml:space="preserve">alternative </w:t>
      </w:r>
      <w:r w:rsidRPr="009C1F81">
        <w:t>is for the borrowing firms to pay AIL at a rate of 2% in lieu of NRWT.</w:t>
      </w:r>
      <w:r>
        <w:t xml:space="preserve"> </w:t>
      </w:r>
      <w:r w:rsidRPr="009C1F81">
        <w:t>A difference between the</w:t>
      </w:r>
      <w:r w:rsidR="00AD2EB9">
        <w:t>se</w:t>
      </w:r>
      <w:r w:rsidRPr="009C1F81">
        <w:t xml:space="preserve"> two types of taxes is that NRWT may give rise to tax credits overseas that reduce the amount of tax overseas lenders must pay on their interest income from New Zealand.</w:t>
      </w:r>
      <w:r>
        <w:t xml:space="preserve"> No foreign tax credits are available for AIL.</w:t>
      </w:r>
    </w:p>
    <w:p w14:paraId="08D1C0C1" w14:textId="77777777" w:rsidR="00F119EE" w:rsidRPr="000C0C83" w:rsidRDefault="00F119EE" w:rsidP="00F119EE">
      <w:pPr>
        <w:pStyle w:val="Heading2"/>
        <w:rPr>
          <w:rFonts w:eastAsia="Calibri"/>
          <w:lang w:eastAsia="en-US"/>
        </w:rPr>
      </w:pPr>
      <w:bookmarkStart w:id="28" w:name="_Toc112857406"/>
      <w:r>
        <w:rPr>
          <w:rFonts w:eastAsia="Calibri"/>
          <w:lang w:eastAsia="en-US"/>
        </w:rPr>
        <w:t>Modifying the OECD analysis for New Zealand settings</w:t>
      </w:r>
      <w:bookmarkEnd w:id="28"/>
    </w:p>
    <w:p w14:paraId="71DC5027" w14:textId="7D4126F3" w:rsidR="00F119EE" w:rsidRDefault="00F119EE" w:rsidP="000C1388">
      <w:pPr>
        <w:pStyle w:val="NumberedParagraph"/>
        <w:numPr>
          <w:ilvl w:val="1"/>
          <w:numId w:val="64"/>
        </w:numPr>
      </w:pPr>
      <w:r>
        <w:t>The OECD analysis provides a single estimated cost of capital and a single estimated EMTR for non-building tangible assets. However, there are different types of these assets with different economic and tax depreciation rates. This will lead to a variety of costs of capital and EMTRs for these assets. We extend the OECD analysis by considering costs of capital and EMTRs for a broader set of these assets. This allows potential tax biases between different types of these assets to be considered.</w:t>
      </w:r>
    </w:p>
    <w:p w14:paraId="2BFBD02C" w14:textId="6B52006E" w:rsidR="00F119EE" w:rsidRPr="0029729D" w:rsidRDefault="00F119EE" w:rsidP="000C1388">
      <w:pPr>
        <w:pStyle w:val="NumberedParagraph"/>
        <w:numPr>
          <w:ilvl w:val="1"/>
          <w:numId w:val="64"/>
        </w:numPr>
      </w:pPr>
      <w:r>
        <w:t>We also extend the analysis by considering other important classes of assets</w:t>
      </w:r>
      <w:r w:rsidR="00F52C60">
        <w:t xml:space="preserve">. </w:t>
      </w:r>
      <w:r>
        <w:t>We</w:t>
      </w:r>
      <w:r w:rsidRPr="0029729D">
        <w:t xml:space="preserve"> </w:t>
      </w:r>
      <w:r>
        <w:t>consider the following set of assets</w:t>
      </w:r>
      <w:r w:rsidRPr="0029729D">
        <w:t>:</w:t>
      </w:r>
    </w:p>
    <w:p w14:paraId="766DDFF4" w14:textId="77777777" w:rsidR="00F119EE" w:rsidRPr="0029729D" w:rsidRDefault="00F119EE" w:rsidP="000C1388">
      <w:pPr>
        <w:pStyle w:val="NumberedParagraph-BulletL1"/>
        <w:numPr>
          <w:ilvl w:val="2"/>
          <w:numId w:val="64"/>
        </w:numPr>
      </w:pPr>
      <w:r w:rsidRPr="0029729D">
        <w:t>commercial and industrial buildings</w:t>
      </w:r>
    </w:p>
    <w:p w14:paraId="703587C7" w14:textId="0A7EB486" w:rsidR="00F119EE" w:rsidRPr="0029729D" w:rsidRDefault="00F119EE" w:rsidP="000C1388">
      <w:pPr>
        <w:pStyle w:val="NumberedParagraph-BulletL1"/>
        <w:numPr>
          <w:ilvl w:val="2"/>
          <w:numId w:val="64"/>
        </w:numPr>
      </w:pPr>
      <w:r w:rsidRPr="0029729D">
        <w:t xml:space="preserve">plant, </w:t>
      </w:r>
      <w:proofErr w:type="gramStart"/>
      <w:r w:rsidRPr="0029729D">
        <w:t>machinery</w:t>
      </w:r>
      <w:proofErr w:type="gramEnd"/>
      <w:r w:rsidRPr="0029729D">
        <w:t xml:space="preserve"> and equipment that is assumed to have a variety of economic </w:t>
      </w:r>
      <w:r>
        <w:t xml:space="preserve">DV depreciation rates (denoted by </w:t>
      </w:r>
      <w:r>
        <w:rPr>
          <w:i/>
          <w:iCs/>
        </w:rPr>
        <w:t>d</w:t>
      </w:r>
      <w:r>
        <w:t xml:space="preserve">) and DV tax depreciation rates (denoted by </w:t>
      </w:r>
      <w:r w:rsidRPr="006C0BDE">
        <w:rPr>
          <w:i/>
          <w:iCs/>
        </w:rPr>
        <w:t>d</w:t>
      </w:r>
      <w:r>
        <w:t>*)</w:t>
      </w:r>
    </w:p>
    <w:p w14:paraId="50A6CC1C" w14:textId="77777777" w:rsidR="00F119EE" w:rsidRPr="0029729D" w:rsidRDefault="00F119EE" w:rsidP="000C1388">
      <w:pPr>
        <w:pStyle w:val="NumberedParagraph-BulletL1"/>
        <w:numPr>
          <w:ilvl w:val="2"/>
          <w:numId w:val="64"/>
        </w:numPr>
      </w:pPr>
      <w:r w:rsidRPr="0029729D">
        <w:t>a zero-depreciation asset that is assumed to neither appreciate nor depreciate in real terms</w:t>
      </w:r>
    </w:p>
    <w:p w14:paraId="29F140E4" w14:textId="77777777" w:rsidR="00F119EE" w:rsidRPr="0029729D" w:rsidRDefault="00F119EE" w:rsidP="000C1388">
      <w:pPr>
        <w:pStyle w:val="NumberedParagraph-BulletL1"/>
        <w:numPr>
          <w:ilvl w:val="2"/>
          <w:numId w:val="64"/>
        </w:numPr>
      </w:pPr>
      <w:r w:rsidRPr="0029729D">
        <w:t>inventories</w:t>
      </w:r>
    </w:p>
    <w:p w14:paraId="275321D4" w14:textId="77777777" w:rsidR="00F119EE" w:rsidRPr="0029729D" w:rsidRDefault="00F119EE" w:rsidP="000C1388">
      <w:pPr>
        <w:pStyle w:val="NumberedParagraph-BulletL1"/>
        <w:numPr>
          <w:ilvl w:val="2"/>
          <w:numId w:val="64"/>
        </w:numPr>
      </w:pPr>
      <w:r w:rsidRPr="0029729D">
        <w:t>appreciating assets, and</w:t>
      </w:r>
    </w:p>
    <w:p w14:paraId="3B4581EE" w14:textId="77777777" w:rsidR="00F119EE" w:rsidRPr="0029729D" w:rsidRDefault="00F119EE" w:rsidP="000C1388">
      <w:pPr>
        <w:pStyle w:val="NumberedParagraph-BulletL1"/>
        <w:numPr>
          <w:ilvl w:val="2"/>
          <w:numId w:val="64"/>
        </w:numPr>
      </w:pPr>
      <w:r w:rsidRPr="0029729D">
        <w:t>assets for which capital expenditure can be deducted immediately (or expensed).</w:t>
      </w:r>
    </w:p>
    <w:p w14:paraId="74965EF9" w14:textId="502D1C19" w:rsidR="00F119EE" w:rsidRDefault="00F119EE" w:rsidP="000C1388">
      <w:pPr>
        <w:pStyle w:val="NumberedParagraph"/>
        <w:numPr>
          <w:ilvl w:val="1"/>
          <w:numId w:val="64"/>
        </w:numPr>
      </w:pPr>
      <w:r>
        <w:lastRenderedPageBreak/>
        <w:t xml:space="preserve">Commercial and industrial buildings </w:t>
      </w:r>
      <w:r w:rsidRPr="0029729D">
        <w:t>are assumed to have an economic depreciation rate of 2.69%, which is an OECD estimate of a weighted average of economic depreciation rates across these two types of buildings.</w:t>
      </w:r>
    </w:p>
    <w:p w14:paraId="47C67CA7" w14:textId="54BD0EA4" w:rsidR="00F119EE" w:rsidRPr="0029729D" w:rsidRDefault="00F119EE" w:rsidP="000C1388">
      <w:pPr>
        <w:pStyle w:val="NumberedParagraph"/>
        <w:numPr>
          <w:ilvl w:val="1"/>
          <w:numId w:val="64"/>
        </w:numPr>
      </w:pPr>
      <w:r>
        <w:t xml:space="preserve">New Zealand’s tax depreciation rates for plant, </w:t>
      </w:r>
      <w:proofErr w:type="gramStart"/>
      <w:r>
        <w:t>machinery</w:t>
      </w:r>
      <w:proofErr w:type="gramEnd"/>
      <w:r>
        <w:t xml:space="preserve"> and equipment (PME) attempt to reflect economic depreciation, that is, how assets are expected to fall in value.</w:t>
      </w:r>
      <w:r>
        <w:rPr>
          <w:rStyle w:val="FootnoteReference"/>
        </w:rPr>
        <w:footnoteReference w:id="34"/>
      </w:r>
      <w:r>
        <w:t xml:space="preserve"> However, inflation has not been taken into account when setting these depreciation rates. In our modelling</w:t>
      </w:r>
      <w:r w:rsidR="000F1E9D">
        <w:t>,</w:t>
      </w:r>
      <w:r>
        <w:t xml:space="preserve"> we assume that tax depreciation rates for PME reflect economic depreciation. This allows us to examine biases that would arise if New Zealand were perfectly successful in matching tax depreciation rates with economic depreciation rates. In practice, biases are likely to be larger than we identify because tax depreciation rates will</w:t>
      </w:r>
      <w:r w:rsidR="00281E34">
        <w:t>,</w:t>
      </w:r>
      <w:r>
        <w:t xml:space="preserve"> at best</w:t>
      </w:r>
      <w:r w:rsidR="00281E34">
        <w:t>,</w:t>
      </w:r>
      <w:r>
        <w:t xml:space="preserve"> approximat</w:t>
      </w:r>
      <w:r w:rsidR="00313E28">
        <w:t>e</w:t>
      </w:r>
      <w:r>
        <w:t xml:space="preserve"> economic depreciation rates.</w:t>
      </w:r>
    </w:p>
    <w:p w14:paraId="24A8F8CC" w14:textId="73E78D74" w:rsidR="00F119EE" w:rsidRDefault="00F119EE" w:rsidP="000C1388">
      <w:pPr>
        <w:pStyle w:val="NumberedParagraph"/>
        <w:numPr>
          <w:ilvl w:val="1"/>
          <w:numId w:val="64"/>
        </w:numPr>
      </w:pPr>
      <w:r>
        <w:t xml:space="preserve">An example of a zero-depreciation asset might be </w:t>
      </w:r>
      <w:proofErr w:type="gramStart"/>
      <w:r>
        <w:t>land</w:t>
      </w:r>
      <w:r w:rsidR="004B2416">
        <w:t>,</w:t>
      </w:r>
      <w:r>
        <w:t xml:space="preserve"> if</w:t>
      </w:r>
      <w:proofErr w:type="gramEnd"/>
      <w:r>
        <w:t xml:space="preserve"> land were not expected to either increase or decrease in real value. If land were expected to increase in real value, it might be covered in the appreciating assets category.</w:t>
      </w:r>
    </w:p>
    <w:p w14:paraId="015D73B1" w14:textId="655E0E24" w:rsidR="00F119EE" w:rsidRDefault="00F119EE" w:rsidP="000C1388">
      <w:pPr>
        <w:pStyle w:val="NumberedParagraph"/>
        <w:numPr>
          <w:ilvl w:val="1"/>
          <w:numId w:val="64"/>
        </w:numPr>
      </w:pPr>
      <w:r>
        <w:t>As in the OECD analysis, we allow for trading stock or inventories. Inventories are subject to first-in, first-out (FIFO) accounting in New Zealand</w:t>
      </w:r>
      <w:r w:rsidR="006110C3">
        <w:t>,</w:t>
      </w:r>
      <w:r>
        <w:t xml:space="preserve"> and we make this assumption in our modelling.</w:t>
      </w:r>
      <w:r w:rsidR="00E91F09">
        <w:t xml:space="preserve"> We also assume that inve</w:t>
      </w:r>
      <w:r w:rsidR="00BC096E">
        <w:t>ntories are turned over at least once a year. A slower rate of turnover would tend to reduce costs of capital and EMTRs.</w:t>
      </w:r>
    </w:p>
    <w:p w14:paraId="792C0F02" w14:textId="463FEBEC" w:rsidR="00F119EE" w:rsidRDefault="00F119EE" w:rsidP="000C1388">
      <w:pPr>
        <w:pStyle w:val="NumberedParagraph"/>
        <w:numPr>
          <w:ilvl w:val="1"/>
          <w:numId w:val="64"/>
        </w:numPr>
      </w:pPr>
      <w:r>
        <w:t>Appreciating assets are assumed to appreciate at a real rate of 1% per annum. Neither the real</w:t>
      </w:r>
      <w:r w:rsidR="001D4095">
        <w:t>,</w:t>
      </w:r>
      <w:r>
        <w:t xml:space="preserve"> nor the inflationary</w:t>
      </w:r>
      <w:r w:rsidR="001D4095">
        <w:t>,</w:t>
      </w:r>
      <w:r>
        <w:t xml:space="preserve"> component of this gain is subject to capital gains tax.</w:t>
      </w:r>
    </w:p>
    <w:p w14:paraId="2A48CB65" w14:textId="25ECBB17" w:rsidR="00F119EE" w:rsidRDefault="00F119EE" w:rsidP="000C1388">
      <w:pPr>
        <w:pStyle w:val="NumberedParagraph"/>
        <w:numPr>
          <w:ilvl w:val="1"/>
          <w:numId w:val="64"/>
        </w:numPr>
      </w:pPr>
      <w:r w:rsidRPr="0029729D">
        <w:t xml:space="preserve">We also consider investment in capital assets that can be immediately written off (or </w:t>
      </w:r>
      <w:r>
        <w:t>‘</w:t>
      </w:r>
      <w:r w:rsidRPr="0029729D">
        <w:t>expensed</w:t>
      </w:r>
      <w:r>
        <w:t>’</w:t>
      </w:r>
      <w:r w:rsidRPr="0029729D">
        <w:t xml:space="preserve">). This </w:t>
      </w:r>
      <w:r w:rsidR="001D4095">
        <w:t xml:space="preserve">is </w:t>
      </w:r>
      <w:r>
        <w:t>quite a broad set of investments</w:t>
      </w:r>
      <w:r w:rsidR="00CE247E">
        <w:t>,</w:t>
      </w:r>
      <w:r>
        <w:t xml:space="preserve"> </w:t>
      </w:r>
      <w:r w:rsidR="00CE247E">
        <w:t>which</w:t>
      </w:r>
      <w:r>
        <w:t xml:space="preserve"> are not considered in the OECD modelling. It </w:t>
      </w:r>
      <w:r w:rsidRPr="0029729D">
        <w:t>includes investment in planting and growing a forest, mining exploration expenditure, and repairs and maintenance expenditure where this provides ongoing benefits for many years. It also includes investment by a firm in building up intangible assets if the costs of the investment can be deducted immediately, for example, as salaries and wages. Capital expenditure on many intangible assets that are created by a firm itself can be expensed</w:t>
      </w:r>
      <w:r>
        <w:t>,</w:t>
      </w:r>
      <w:r w:rsidRPr="0029729D">
        <w:t xml:space="preserve"> including building up good information and data</w:t>
      </w:r>
      <w:r w:rsidR="00DC0BAC">
        <w:t xml:space="preserve"> and</w:t>
      </w:r>
      <w:r w:rsidRPr="0029729D">
        <w:t xml:space="preserve"> establishing reputation and customer goodwill.</w:t>
      </w:r>
    </w:p>
    <w:p w14:paraId="45AFB6E3" w14:textId="39FDD6D1" w:rsidR="00F119EE" w:rsidRDefault="00F119EE" w:rsidP="000C1388">
      <w:pPr>
        <w:pStyle w:val="NumberedParagraph"/>
        <w:numPr>
          <w:ilvl w:val="1"/>
          <w:numId w:val="64"/>
        </w:numPr>
      </w:pPr>
      <w:r>
        <w:t xml:space="preserve">While the OECD modelling assumed an average debt level </w:t>
      </w:r>
      <w:r w:rsidR="00DC0BAC">
        <w:t xml:space="preserve">(namely, a debt/(debt+equity) ratio) </w:t>
      </w:r>
      <w:r>
        <w:t>of 35%, the average debt level for both foreign</w:t>
      </w:r>
      <w:r w:rsidR="009F7886">
        <w:t>-</w:t>
      </w:r>
      <w:r>
        <w:t xml:space="preserve">controlled companies and NZX 50 firms </w:t>
      </w:r>
      <w:r w:rsidR="007543FE">
        <w:t>(</w:t>
      </w:r>
      <w:r>
        <w:t>other than banks</w:t>
      </w:r>
      <w:r w:rsidR="007543FE">
        <w:t>)</w:t>
      </w:r>
      <w:r>
        <w:t xml:space="preserve"> is </w:t>
      </w:r>
      <w:r w:rsidR="003308E2">
        <w:t xml:space="preserve">approximately </w:t>
      </w:r>
      <w:r>
        <w:t xml:space="preserve">43%. This is discussed in </w:t>
      </w:r>
      <w:r w:rsidR="007543FE">
        <w:t>a</w:t>
      </w:r>
      <w:r>
        <w:t xml:space="preserve">ppendix 2 of the </w:t>
      </w:r>
      <w:proofErr w:type="gramStart"/>
      <w:r w:rsidRPr="001573D2">
        <w:rPr>
          <w:i/>
          <w:iCs/>
        </w:rPr>
        <w:t>Technical</w:t>
      </w:r>
      <w:proofErr w:type="gramEnd"/>
      <w:r w:rsidRPr="001573D2">
        <w:rPr>
          <w:i/>
          <w:iCs/>
        </w:rPr>
        <w:t xml:space="preserve"> </w:t>
      </w:r>
      <w:r w:rsidR="007543FE">
        <w:rPr>
          <w:i/>
          <w:iCs/>
        </w:rPr>
        <w:t>a</w:t>
      </w:r>
      <w:r w:rsidRPr="001573D2">
        <w:rPr>
          <w:i/>
          <w:iCs/>
        </w:rPr>
        <w:t>ppendices</w:t>
      </w:r>
      <w:r>
        <w:t>. While the OECD assumed an inflation rate of 1%, we often focus on a slightly higher inflation rate of 2%</w:t>
      </w:r>
      <w:r w:rsidR="007543FE">
        <w:t>,</w:t>
      </w:r>
      <w:r>
        <w:t xml:space="preserve"> which is in the middle of the Reserve Bank target range. This seems reasonable as a long-term estimate of inflation even though the increase in the CPI in the year to </w:t>
      </w:r>
      <w:r w:rsidR="00934E93">
        <w:t xml:space="preserve">June </w:t>
      </w:r>
      <w:r>
        <w:t xml:space="preserve">2022 was significantly higher (CPI inflation of </w:t>
      </w:r>
      <w:r w:rsidR="00934E93">
        <w:t>7.3</w:t>
      </w:r>
      <w:r>
        <w:t>% over this period).</w:t>
      </w:r>
    </w:p>
    <w:p w14:paraId="0107EA1A" w14:textId="0525232E" w:rsidR="00F119EE" w:rsidRDefault="00F119EE" w:rsidP="000C1388">
      <w:pPr>
        <w:pStyle w:val="NumberedParagraph"/>
        <w:numPr>
          <w:ilvl w:val="1"/>
          <w:numId w:val="64"/>
        </w:numPr>
      </w:pPr>
      <w:r>
        <w:t>Finally, we will be taking account of the way in which AIL and NRWT can increase domestic interest rates and the cost of borrowing for companies. For foreign-controlled companies</w:t>
      </w:r>
      <w:r w:rsidR="000059F0">
        <w:t>,</w:t>
      </w:r>
      <w:r>
        <w:t xml:space="preserve"> things become a little complicated because third</w:t>
      </w:r>
      <w:r w:rsidR="000059F0">
        <w:t>-</w:t>
      </w:r>
      <w:r>
        <w:t>party borrowings will normally be subject to AIL and related</w:t>
      </w:r>
      <w:r w:rsidR="00743758">
        <w:t>-</w:t>
      </w:r>
      <w:r>
        <w:t>party loans will be subject to NRWT on interest. We will discuss this case later in the chapter.</w:t>
      </w:r>
    </w:p>
    <w:p w14:paraId="27AC8D70" w14:textId="435608EA" w:rsidR="00F119EE" w:rsidRDefault="00F119EE" w:rsidP="000C1388">
      <w:pPr>
        <w:pStyle w:val="NumberedParagraph"/>
        <w:numPr>
          <w:ilvl w:val="1"/>
          <w:numId w:val="64"/>
        </w:numPr>
      </w:pPr>
      <w:r>
        <w:lastRenderedPageBreak/>
        <w:t xml:space="preserve">We start, however, with the simpler case of domestic companies </w:t>
      </w:r>
      <w:r w:rsidR="00E76C0E">
        <w:t>that</w:t>
      </w:r>
      <w:r>
        <w:t xml:space="preserve"> are not foreign controlled but </w:t>
      </w:r>
      <w:r w:rsidR="00E76C0E">
        <w:t>that</w:t>
      </w:r>
      <w:r>
        <w:t xml:space="preserve"> are assumed to have marginal foreign portfolio shareholders. For these firms</w:t>
      </w:r>
      <w:r w:rsidR="00292BE5">
        <w:t>,</w:t>
      </w:r>
      <w:r>
        <w:t xml:space="preserve"> AIL is likely to be pushing up interest costs</w:t>
      </w:r>
      <w:r w:rsidR="00292BE5">
        <w:t xml:space="preserve"> rather than NRWT</w:t>
      </w:r>
      <w:r>
        <w:t>. This would happen if these companies borrowed from third parties abroad</w:t>
      </w:r>
      <w:r w:rsidR="008271BA">
        <w:t xml:space="preserve"> themselves</w:t>
      </w:r>
      <w:r>
        <w:t xml:space="preserve">. However, New Zealand financial institutions are required to pay AIL on their borrowings from abroad, so AIL is </w:t>
      </w:r>
      <w:r w:rsidR="008271BA">
        <w:t xml:space="preserve">also </w:t>
      </w:r>
      <w:r>
        <w:t>likely to push up interest rates more generally in New Zealand and be reflected in the interest rates paid by domestic firms when they borrow from domestic financial institutions.</w:t>
      </w:r>
    </w:p>
    <w:p w14:paraId="21BAB8B0" w14:textId="35E7E4A5" w:rsidR="00F119EE" w:rsidRDefault="00F119EE" w:rsidP="000C1388">
      <w:pPr>
        <w:pStyle w:val="NumberedParagraph"/>
        <w:numPr>
          <w:ilvl w:val="1"/>
          <w:numId w:val="64"/>
        </w:numPr>
      </w:pPr>
      <w:r>
        <w:t xml:space="preserve">We assume that </w:t>
      </w:r>
      <w:proofErr w:type="gramStart"/>
      <w:r w:rsidR="00CF60DA">
        <w:t>regardless</w:t>
      </w:r>
      <w:proofErr w:type="gramEnd"/>
      <w:r>
        <w:t xml:space="preserve"> whether these firms borrow </w:t>
      </w:r>
      <w:r w:rsidR="0013162B">
        <w:t>from</w:t>
      </w:r>
      <w:r>
        <w:t xml:space="preserve"> overseas </w:t>
      </w:r>
      <w:r w:rsidR="006D1684">
        <w:t xml:space="preserve">themselves </w:t>
      </w:r>
      <w:r>
        <w:t xml:space="preserve">or </w:t>
      </w:r>
      <w:r w:rsidR="0013162B">
        <w:t>through</w:t>
      </w:r>
      <w:r>
        <w:t xml:space="preserve"> domestic financial institutions, AIL pushes up the domestic nominal interest rate they face by 2%. If the nominal cost of debt would be 3.0% in the absence of AIL, the cost would be expected to rise to 3.06% so that</w:t>
      </w:r>
      <w:r w:rsidR="00C553A5">
        <w:t>,</w:t>
      </w:r>
      <w:r>
        <w:t xml:space="preserve"> after AIL is levied at a rate of 2%, non-residents receive the net return they demand. Similarly, if the nominal cost of debt would have been 5.06% in the absence of AIL, the cost would be expected to rise to 5.16%.</w:t>
      </w:r>
      <w:r w:rsidRPr="009C1F81">
        <w:rPr>
          <w:vertAlign w:val="superscript"/>
        </w:rPr>
        <w:footnoteReference w:id="35"/>
      </w:r>
    </w:p>
    <w:p w14:paraId="134C035B" w14:textId="77777777" w:rsidR="00F119EE" w:rsidRPr="009C1F81" w:rsidRDefault="00F119EE" w:rsidP="00F119EE">
      <w:pPr>
        <w:pStyle w:val="Heading2"/>
        <w:rPr>
          <w:rFonts w:eastAsia="Calibri"/>
          <w:lang w:eastAsia="en-US"/>
        </w:rPr>
      </w:pPr>
      <w:bookmarkStart w:id="29" w:name="_Toc112857407"/>
      <w:r>
        <w:rPr>
          <w:rFonts w:eastAsia="Calibri"/>
          <w:lang w:eastAsia="en-US"/>
        </w:rPr>
        <w:t>Domestic companies with marginal foreign portfolio shareholders</w:t>
      </w:r>
      <w:bookmarkEnd w:id="29"/>
    </w:p>
    <w:p w14:paraId="662979DC" w14:textId="42D5A6B5" w:rsidR="00F119EE" w:rsidRDefault="00F119EE" w:rsidP="000C1388">
      <w:pPr>
        <w:pStyle w:val="NumberedParagraph"/>
        <w:numPr>
          <w:ilvl w:val="1"/>
          <w:numId w:val="64"/>
        </w:numPr>
      </w:pPr>
      <w:r>
        <w:t xml:space="preserve">Appendix 2 of the </w:t>
      </w:r>
      <w:proofErr w:type="gramStart"/>
      <w:r w:rsidR="009C7E1C" w:rsidRPr="004B3B83">
        <w:rPr>
          <w:i/>
          <w:iCs/>
        </w:rPr>
        <w:t>T</w:t>
      </w:r>
      <w:r w:rsidRPr="004B3B83">
        <w:rPr>
          <w:i/>
          <w:iCs/>
        </w:rPr>
        <w:t>echnical</w:t>
      </w:r>
      <w:proofErr w:type="gramEnd"/>
      <w:r w:rsidRPr="004B3B83">
        <w:rPr>
          <w:i/>
          <w:iCs/>
        </w:rPr>
        <w:t xml:space="preserve"> appendices</w:t>
      </w:r>
      <w:r>
        <w:t xml:space="preserve"> discusses how New Zealand’s tax settings are likely to impact on costs of capital and EMTRs. Table 4.1 is the same as </w:t>
      </w:r>
      <w:r w:rsidR="004D407D">
        <w:t>t</w:t>
      </w:r>
      <w:r>
        <w:t xml:space="preserve">able A2.2 and examines costs of capital when AIL is being levied at a 2% rate. It reports results for two levels of inflation, namely, 0% and 2%, and for different levels of debt. When </w:t>
      </w:r>
      <w:r>
        <w:rPr>
          <w:i/>
          <w:iCs/>
        </w:rPr>
        <w:t xml:space="preserve">b = </w:t>
      </w:r>
      <w:r>
        <w:t xml:space="preserve">0%, </w:t>
      </w:r>
      <w:r w:rsidR="00DB22AC">
        <w:t>the debt ratio,</w:t>
      </w:r>
      <w:r>
        <w:t xml:space="preserve"> debt/(debt+equity)</w:t>
      </w:r>
      <w:r w:rsidR="00DB22AC">
        <w:t>,</w:t>
      </w:r>
      <w:r>
        <w:t xml:space="preserve"> is 0% and investment is fully equity financed. When </w:t>
      </w:r>
      <w:r>
        <w:rPr>
          <w:i/>
          <w:iCs/>
        </w:rPr>
        <w:t xml:space="preserve">b = </w:t>
      </w:r>
      <w:r>
        <w:t xml:space="preserve">100%, investment is fully debt financed. When </w:t>
      </w:r>
      <w:r>
        <w:rPr>
          <w:i/>
          <w:iCs/>
        </w:rPr>
        <w:t xml:space="preserve">b = </w:t>
      </w:r>
      <w:r>
        <w:t>43%, firms are 43% debt financed</w:t>
      </w:r>
      <w:r w:rsidR="00B50FD8">
        <w:t>,</w:t>
      </w:r>
      <w:r>
        <w:t xml:space="preserve"> which is about an average level of debt for New Zealand companies.</w:t>
      </w:r>
    </w:p>
    <w:p w14:paraId="6034CD2A" w14:textId="25770495" w:rsidR="00F119EE" w:rsidRDefault="00F119EE" w:rsidP="000C1388">
      <w:pPr>
        <w:pStyle w:val="NumberedParagraph"/>
        <w:numPr>
          <w:ilvl w:val="1"/>
          <w:numId w:val="64"/>
        </w:numPr>
      </w:pPr>
      <w:r>
        <w:t xml:space="preserve">The first two rows </w:t>
      </w:r>
      <w:r w:rsidR="00B50FD8">
        <w:t xml:space="preserve">in </w:t>
      </w:r>
      <w:r w:rsidR="003C7A93">
        <w:t>t</w:t>
      </w:r>
      <w:r w:rsidR="00DA7822">
        <w:t xml:space="preserve">able 4.1 </w:t>
      </w:r>
      <w:r>
        <w:t>show the DV rates of economic depreciation (</w:t>
      </w:r>
      <w:r w:rsidRPr="00455A9B">
        <w:rPr>
          <w:i/>
          <w:iCs/>
        </w:rPr>
        <w:t>d</w:t>
      </w:r>
      <w:r>
        <w:t>) and tax depreciation (</w:t>
      </w:r>
      <w:r>
        <w:rPr>
          <w:i/>
          <w:iCs/>
        </w:rPr>
        <w:t>d*</w:t>
      </w:r>
      <w:r>
        <w:t xml:space="preserve">) that are being assumed. </w:t>
      </w:r>
      <w:r w:rsidRPr="00455A9B">
        <w:t>The</w:t>
      </w:r>
      <w:r>
        <w:t xml:space="preserve"> columns report results for the different assets. The columns show the different assets being considered</w:t>
      </w:r>
      <w:r w:rsidR="00B9634A">
        <w:t>,</w:t>
      </w:r>
      <w:r>
        <w:t xml:space="preserve"> including commercial and industrial buildings, PME with a range of economic and tax depreciation rates, zero-depreciation assets, inventory, appreciating assets and assets </w:t>
      </w:r>
      <w:r w:rsidR="00B9634A">
        <w:t>that</w:t>
      </w:r>
      <w:r>
        <w:t xml:space="preserve"> can be expensed. For PME</w:t>
      </w:r>
      <w:r w:rsidR="003A1F58">
        <w:t>,</w:t>
      </w:r>
      <w:r>
        <w:t xml:space="preserve"> we are assuming that tax depreciation rates reflect economic depreciation rates. For assets that can be expensed, the results hold i</w:t>
      </w:r>
      <w:r w:rsidR="00DB22AC">
        <w:t>rrespective</w:t>
      </w:r>
      <w:r>
        <w:t xml:space="preserve"> of the economic depreciation rate assumed so no value </w:t>
      </w:r>
      <w:proofErr w:type="spellStart"/>
      <w:r>
        <w:t xml:space="preserve">for </w:t>
      </w:r>
      <w:r>
        <w:rPr>
          <w:i/>
          <w:iCs/>
        </w:rPr>
        <w:t>d</w:t>
      </w:r>
      <w:proofErr w:type="spellEnd"/>
      <w:r>
        <w:t xml:space="preserve"> is provided</w:t>
      </w:r>
      <w:r w:rsidR="009C4851">
        <w:t>.</w:t>
      </w:r>
      <w:r w:rsidR="00DB22AC">
        <w:rPr>
          <w:rStyle w:val="FootnoteReference"/>
        </w:rPr>
        <w:footnoteReference w:id="36"/>
      </w:r>
      <w:r>
        <w:t xml:space="preserve"> Tax depreciation is an immediate deduction for these assets.</w:t>
      </w:r>
    </w:p>
    <w:p w14:paraId="64AFBD7D" w14:textId="03099421" w:rsidR="00F119EE" w:rsidRDefault="00F119EE" w:rsidP="000C1388">
      <w:pPr>
        <w:pStyle w:val="NumberedParagraph"/>
        <w:numPr>
          <w:ilvl w:val="1"/>
          <w:numId w:val="64"/>
        </w:numPr>
      </w:pPr>
      <w:r>
        <w:t>It is helpful to start by considering the case where there is no inflation and when investment is fully equity finance</w:t>
      </w:r>
      <w:r w:rsidR="003A1F58">
        <w:t>d</w:t>
      </w:r>
      <w:r>
        <w:t>. In this case, provided tax depreciation reflects economic depreciation, for zero</w:t>
      </w:r>
      <w:r w:rsidR="00DD5209">
        <w:t>-</w:t>
      </w:r>
      <w:r>
        <w:t xml:space="preserve">depreciation assets and for inventory </w:t>
      </w:r>
      <w:r w:rsidR="00DD5209">
        <w:t>that</w:t>
      </w:r>
      <w:r>
        <w:t xml:space="preserve"> is taxed on a FIFO basis, EMTRs are all equal to 28.0%</w:t>
      </w:r>
      <w:r w:rsidR="007D2BCB">
        <w:t>. This</w:t>
      </w:r>
      <w:r>
        <w:t xml:space="preserve"> is the company tax rate and costs of capital are all 4.17%.</w:t>
      </w:r>
    </w:p>
    <w:p w14:paraId="7E65ED6C" w14:textId="4643A607" w:rsidR="0004586C" w:rsidRDefault="00A622F7" w:rsidP="0004586C">
      <w:pPr>
        <w:pStyle w:val="NumberedParagraph"/>
        <w:numPr>
          <w:ilvl w:val="1"/>
          <w:numId w:val="64"/>
        </w:numPr>
      </w:pPr>
      <w:r>
        <w:t xml:space="preserve">Interest is deductible and, if firms are partly debt financed, there will be lower costs of capital and EMTRs. </w:t>
      </w:r>
      <w:r w:rsidR="00F119EE">
        <w:t xml:space="preserve">If there </w:t>
      </w:r>
      <w:r w:rsidR="00634866">
        <w:t>were</w:t>
      </w:r>
      <w:r w:rsidR="00F119EE">
        <w:t xml:space="preserve"> no inflation and investment were fully debt financed, EMTRs would also be the same across assets if economic depreciation is deductible. If there were no AIL, EMTRs for all these assets</w:t>
      </w:r>
      <w:r w:rsidR="00407466">
        <w:t xml:space="preserve"> would be 0.0%</w:t>
      </w:r>
      <w:r w:rsidR="00F119EE">
        <w:t xml:space="preserve">. With AIL of 2%, EMTRs would all be approximately 2%. With </w:t>
      </w:r>
      <w:r w:rsidR="00F119EE">
        <w:lastRenderedPageBreak/>
        <w:t>an average level of debt of 43%, EMTRs for assets where economic depreciation is deductible</w:t>
      </w:r>
      <w:r w:rsidR="00D552CB">
        <w:t xml:space="preserve"> would all be 18.7%</w:t>
      </w:r>
      <w:r w:rsidR="00F119EE">
        <w:t>.</w:t>
      </w:r>
      <w:r w:rsidR="0004586C">
        <w:t xml:space="preserve"> For any given level of debt, EMTRs would be the same across different assets so long as tax depreciation reflects economic depreciation and there is no inflation. Tax policy officials have often advocated setting tax depreciation rates as close to economic depreciation rates as possible because of the neutral way in which assets with different economic depreciation rates are taxed. However, this depends on there being no inflation.</w:t>
      </w:r>
    </w:p>
    <w:p w14:paraId="7A5673B0" w14:textId="7FB9A6A6" w:rsidR="00F119EE" w:rsidRDefault="00F119EE" w:rsidP="00F119EE">
      <w:pPr>
        <w:pStyle w:val="Caption"/>
      </w:pPr>
      <w:r w:rsidRPr="00ED6D49">
        <w:t xml:space="preserve">Table </w:t>
      </w:r>
      <w:r>
        <w:t>4</w:t>
      </w:r>
      <w:r w:rsidRPr="00ED6D49">
        <w:t>.</w:t>
      </w:r>
      <w:r>
        <w:t>1</w:t>
      </w:r>
      <w:r w:rsidRPr="00ED6D49">
        <w:t xml:space="preserve">: Costs of capital and EMTRs for domestic companies </w:t>
      </w:r>
      <w:r>
        <w:t>with marginal foreign port</w:t>
      </w:r>
      <w:r w:rsidR="00693B60">
        <w:t>f</w:t>
      </w:r>
      <w:r>
        <w:t>o</w:t>
      </w:r>
      <w:r w:rsidR="00693B60">
        <w:t>l</w:t>
      </w:r>
      <w:r>
        <w:t>io shareholders,</w:t>
      </w:r>
      <w:r w:rsidRPr="00ED6D49">
        <w:t xml:space="preserve"> r</w:t>
      </w:r>
      <w:r w:rsidR="00A53532">
        <w:t>*</w:t>
      </w:r>
      <w:r w:rsidRPr="00ED6D49">
        <w:t xml:space="preserve"> = 3%, AIL = 2%</w:t>
      </w:r>
    </w:p>
    <w:tbl>
      <w:tblPr>
        <w:tblStyle w:val="TableGrid"/>
        <w:tblW w:w="9781" w:type="dxa"/>
        <w:tblInd w:w="-5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8" w:type="dxa"/>
          <w:right w:w="28" w:type="dxa"/>
        </w:tblCellMar>
        <w:tblLook w:val="04A0" w:firstRow="1" w:lastRow="0" w:firstColumn="1" w:lastColumn="0" w:noHBand="0" w:noVBand="1"/>
      </w:tblPr>
      <w:tblGrid>
        <w:gridCol w:w="1347"/>
        <w:gridCol w:w="992"/>
        <w:gridCol w:w="737"/>
        <w:gridCol w:w="681"/>
        <w:gridCol w:w="651"/>
        <w:gridCol w:w="666"/>
        <w:gridCol w:w="667"/>
        <w:gridCol w:w="1134"/>
        <w:gridCol w:w="851"/>
        <w:gridCol w:w="1134"/>
        <w:gridCol w:w="921"/>
      </w:tblGrid>
      <w:tr w:rsidR="005D47F0" w:rsidRPr="008F735E" w14:paraId="19E44103" w14:textId="77777777" w:rsidTr="0028532D">
        <w:trPr>
          <w:tblHeader/>
        </w:trPr>
        <w:tc>
          <w:tcPr>
            <w:tcW w:w="1347" w:type="dxa"/>
            <w:shd w:val="clear" w:color="auto" w:fill="232E36"/>
          </w:tcPr>
          <w:p w14:paraId="314C1AC7" w14:textId="77777777" w:rsidR="00121090" w:rsidRPr="008F735E" w:rsidRDefault="00121090" w:rsidP="00345DEF">
            <w:pPr>
              <w:keepNext/>
              <w:keepLines/>
              <w:spacing w:before="120" w:after="120"/>
              <w:rPr>
                <w:color w:val="FFFFFF" w:themeColor="background1"/>
                <w:sz w:val="14"/>
                <w:szCs w:val="14"/>
              </w:rPr>
            </w:pPr>
          </w:p>
        </w:tc>
        <w:tc>
          <w:tcPr>
            <w:tcW w:w="992" w:type="dxa"/>
            <w:shd w:val="clear" w:color="auto" w:fill="232E36"/>
          </w:tcPr>
          <w:p w14:paraId="4FAC1238" w14:textId="77777777" w:rsidR="00121090" w:rsidRPr="008F735E" w:rsidRDefault="00121090"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Commercial and industrial buildings</w:t>
            </w:r>
          </w:p>
        </w:tc>
        <w:tc>
          <w:tcPr>
            <w:tcW w:w="3402" w:type="dxa"/>
            <w:gridSpan w:val="5"/>
            <w:shd w:val="clear" w:color="auto" w:fill="232E36"/>
          </w:tcPr>
          <w:p w14:paraId="1743C497" w14:textId="77777777" w:rsidR="00121090" w:rsidRPr="008F735E" w:rsidRDefault="00121090"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 xml:space="preserve">Plant, </w:t>
            </w:r>
            <w:proofErr w:type="gramStart"/>
            <w:r w:rsidRPr="008F735E">
              <w:rPr>
                <w:b/>
                <w:bCs/>
                <w:color w:val="FFFFFF" w:themeColor="background1"/>
                <w:sz w:val="14"/>
                <w:szCs w:val="14"/>
              </w:rPr>
              <w:t>machinery</w:t>
            </w:r>
            <w:proofErr w:type="gramEnd"/>
            <w:r w:rsidRPr="008F735E">
              <w:rPr>
                <w:b/>
                <w:bCs/>
                <w:color w:val="FFFFFF" w:themeColor="background1"/>
                <w:sz w:val="14"/>
                <w:szCs w:val="14"/>
              </w:rPr>
              <w:t xml:space="preserve"> and equipment</w:t>
            </w:r>
          </w:p>
        </w:tc>
        <w:tc>
          <w:tcPr>
            <w:tcW w:w="1134" w:type="dxa"/>
            <w:shd w:val="clear" w:color="auto" w:fill="232E36"/>
          </w:tcPr>
          <w:p w14:paraId="1DD98AF5" w14:textId="77777777" w:rsidR="00121090" w:rsidRPr="008F735E" w:rsidRDefault="00121090"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Zero</w:t>
            </w:r>
            <w:r>
              <w:rPr>
                <w:b/>
                <w:bCs/>
                <w:color w:val="FFFFFF" w:themeColor="background1"/>
                <w:sz w:val="14"/>
                <w:szCs w:val="14"/>
              </w:rPr>
              <w:t>-</w:t>
            </w:r>
            <w:r w:rsidRPr="008F735E">
              <w:rPr>
                <w:b/>
                <w:bCs/>
                <w:color w:val="FFFFFF" w:themeColor="background1"/>
                <w:sz w:val="14"/>
                <w:szCs w:val="14"/>
              </w:rPr>
              <w:t>depreciating assets</w:t>
            </w:r>
          </w:p>
        </w:tc>
        <w:tc>
          <w:tcPr>
            <w:tcW w:w="851" w:type="dxa"/>
            <w:shd w:val="clear" w:color="auto" w:fill="232E36"/>
          </w:tcPr>
          <w:p w14:paraId="3DB49206" w14:textId="77777777" w:rsidR="00121090" w:rsidRPr="008F735E" w:rsidRDefault="00121090"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Inventory</w:t>
            </w:r>
          </w:p>
        </w:tc>
        <w:tc>
          <w:tcPr>
            <w:tcW w:w="1134" w:type="dxa"/>
            <w:shd w:val="clear" w:color="auto" w:fill="232E36"/>
          </w:tcPr>
          <w:p w14:paraId="5352D2C9" w14:textId="77777777" w:rsidR="00121090" w:rsidRPr="008F735E" w:rsidRDefault="00121090"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Appreciating assets</w:t>
            </w:r>
          </w:p>
        </w:tc>
        <w:tc>
          <w:tcPr>
            <w:tcW w:w="921" w:type="dxa"/>
            <w:shd w:val="clear" w:color="auto" w:fill="232E36"/>
          </w:tcPr>
          <w:p w14:paraId="2B6D445C" w14:textId="77777777" w:rsidR="00121090" w:rsidRPr="008F735E" w:rsidRDefault="00121090"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Expensing</w:t>
            </w:r>
          </w:p>
        </w:tc>
      </w:tr>
      <w:tr w:rsidR="00121090" w:rsidRPr="008F735E" w14:paraId="7EB657E0" w14:textId="77777777" w:rsidTr="0028532D">
        <w:tc>
          <w:tcPr>
            <w:tcW w:w="1347" w:type="dxa"/>
            <w:shd w:val="clear" w:color="auto" w:fill="auto"/>
            <w:vAlign w:val="bottom"/>
          </w:tcPr>
          <w:p w14:paraId="649EBD6B" w14:textId="77777777" w:rsidR="00121090" w:rsidRPr="00CF778C" w:rsidRDefault="00121090" w:rsidP="00345DEF">
            <w:pPr>
              <w:keepNext/>
              <w:keepLines/>
              <w:tabs>
                <w:tab w:val="left" w:pos="106"/>
              </w:tabs>
              <w:spacing w:before="60" w:after="60"/>
              <w:rPr>
                <w:rStyle w:val="Strong"/>
                <w:b w:val="0"/>
                <w:bCs w:val="0"/>
                <w:sz w:val="14"/>
                <w:szCs w:val="14"/>
              </w:rPr>
            </w:pPr>
            <w:r>
              <w:rPr>
                <w:rStyle w:val="Strong"/>
                <w:sz w:val="14"/>
                <w:szCs w:val="14"/>
              </w:rPr>
              <w:t>d</w:t>
            </w:r>
          </w:p>
        </w:tc>
        <w:tc>
          <w:tcPr>
            <w:tcW w:w="992" w:type="dxa"/>
            <w:vAlign w:val="center"/>
          </w:tcPr>
          <w:p w14:paraId="38D5ADF4" w14:textId="77777777" w:rsidR="00121090" w:rsidRPr="008F735E" w:rsidRDefault="00121090" w:rsidP="00345DEF">
            <w:pPr>
              <w:keepNext/>
              <w:keepLines/>
              <w:tabs>
                <w:tab w:val="decimal" w:pos="256"/>
              </w:tabs>
              <w:spacing w:before="60" w:after="60"/>
              <w:jc w:val="center"/>
              <w:rPr>
                <w:sz w:val="14"/>
                <w:szCs w:val="14"/>
              </w:rPr>
            </w:pPr>
            <w:r w:rsidRPr="008F735E">
              <w:rPr>
                <w:sz w:val="14"/>
                <w:szCs w:val="14"/>
              </w:rPr>
              <w:t>2.69%</w:t>
            </w:r>
          </w:p>
        </w:tc>
        <w:tc>
          <w:tcPr>
            <w:tcW w:w="737" w:type="dxa"/>
            <w:vAlign w:val="center"/>
          </w:tcPr>
          <w:p w14:paraId="787F3BAF" w14:textId="77777777" w:rsidR="00121090" w:rsidRPr="008F735E" w:rsidRDefault="00121090" w:rsidP="00345DEF">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4421A4CE" w14:textId="77777777" w:rsidR="00121090" w:rsidRPr="008F735E" w:rsidRDefault="00121090" w:rsidP="00345DEF">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59BC52F8" w14:textId="77777777" w:rsidR="00121090" w:rsidRPr="008F735E" w:rsidRDefault="00121090" w:rsidP="00345DEF">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28C7CFA8" w14:textId="77777777" w:rsidR="00121090" w:rsidRPr="008F735E" w:rsidRDefault="00121090" w:rsidP="00345DEF">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14763886" w14:textId="77777777" w:rsidR="00121090" w:rsidRPr="008F735E" w:rsidRDefault="00121090" w:rsidP="00345DEF">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16633404" w14:textId="77777777" w:rsidR="00121090" w:rsidRPr="008F735E" w:rsidRDefault="00121090" w:rsidP="00345DEF">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76CF2DEE" w14:textId="77777777" w:rsidR="00121090" w:rsidRPr="008F735E" w:rsidRDefault="00121090" w:rsidP="00345DEF">
            <w:pPr>
              <w:keepNext/>
              <w:keepLines/>
              <w:tabs>
                <w:tab w:val="decimal" w:pos="256"/>
              </w:tabs>
              <w:spacing w:before="60" w:after="60"/>
              <w:jc w:val="center"/>
              <w:rPr>
                <w:sz w:val="14"/>
                <w:szCs w:val="14"/>
              </w:rPr>
            </w:pPr>
          </w:p>
        </w:tc>
        <w:tc>
          <w:tcPr>
            <w:tcW w:w="1134" w:type="dxa"/>
            <w:vAlign w:val="center"/>
          </w:tcPr>
          <w:p w14:paraId="0521F14F" w14:textId="77777777" w:rsidR="00121090" w:rsidRPr="008F735E" w:rsidRDefault="00121090" w:rsidP="00345DEF">
            <w:pPr>
              <w:keepNext/>
              <w:keepLines/>
              <w:tabs>
                <w:tab w:val="decimal" w:pos="256"/>
              </w:tabs>
              <w:spacing w:before="60" w:after="60"/>
              <w:jc w:val="center"/>
              <w:rPr>
                <w:sz w:val="14"/>
                <w:szCs w:val="14"/>
              </w:rPr>
            </w:pPr>
            <w:r w:rsidRPr="008F735E">
              <w:rPr>
                <w:sz w:val="14"/>
                <w:szCs w:val="14"/>
              </w:rPr>
              <w:t>-1.00%</w:t>
            </w:r>
          </w:p>
        </w:tc>
        <w:tc>
          <w:tcPr>
            <w:tcW w:w="921" w:type="dxa"/>
            <w:vAlign w:val="center"/>
          </w:tcPr>
          <w:p w14:paraId="02332245" w14:textId="77777777" w:rsidR="00121090" w:rsidRPr="008F735E" w:rsidRDefault="00121090" w:rsidP="00345DEF">
            <w:pPr>
              <w:keepNext/>
              <w:keepLines/>
              <w:tabs>
                <w:tab w:val="decimal" w:pos="256"/>
              </w:tabs>
              <w:spacing w:before="60" w:after="60"/>
              <w:jc w:val="center"/>
              <w:rPr>
                <w:sz w:val="14"/>
                <w:szCs w:val="14"/>
              </w:rPr>
            </w:pPr>
          </w:p>
        </w:tc>
      </w:tr>
      <w:tr w:rsidR="00121090" w:rsidRPr="008F735E" w14:paraId="490288F5" w14:textId="77777777" w:rsidTr="0028532D">
        <w:tc>
          <w:tcPr>
            <w:tcW w:w="1347" w:type="dxa"/>
            <w:shd w:val="clear" w:color="auto" w:fill="auto"/>
            <w:vAlign w:val="bottom"/>
          </w:tcPr>
          <w:p w14:paraId="34563007" w14:textId="77777777" w:rsidR="00121090" w:rsidRPr="00CF778C" w:rsidRDefault="00121090" w:rsidP="00345DEF">
            <w:pPr>
              <w:keepNext/>
              <w:keepLines/>
              <w:tabs>
                <w:tab w:val="left" w:pos="106"/>
              </w:tabs>
              <w:spacing w:before="60" w:after="60"/>
              <w:rPr>
                <w:rStyle w:val="Strong"/>
                <w:b w:val="0"/>
                <w:bCs w:val="0"/>
                <w:sz w:val="14"/>
                <w:szCs w:val="14"/>
              </w:rPr>
            </w:pPr>
            <w:r>
              <w:rPr>
                <w:rStyle w:val="Strong"/>
                <w:sz w:val="14"/>
                <w:szCs w:val="14"/>
              </w:rPr>
              <w:t>d*</w:t>
            </w:r>
          </w:p>
        </w:tc>
        <w:tc>
          <w:tcPr>
            <w:tcW w:w="992" w:type="dxa"/>
            <w:vAlign w:val="center"/>
          </w:tcPr>
          <w:p w14:paraId="697D4C7D" w14:textId="77777777" w:rsidR="00121090" w:rsidRPr="008F735E" w:rsidRDefault="00121090" w:rsidP="00345DEF">
            <w:pPr>
              <w:keepNext/>
              <w:keepLines/>
              <w:tabs>
                <w:tab w:val="decimal" w:pos="256"/>
              </w:tabs>
              <w:spacing w:before="60" w:after="60"/>
              <w:jc w:val="center"/>
              <w:rPr>
                <w:sz w:val="14"/>
                <w:szCs w:val="14"/>
              </w:rPr>
            </w:pPr>
            <w:r w:rsidRPr="008F735E">
              <w:rPr>
                <w:sz w:val="14"/>
                <w:szCs w:val="14"/>
              </w:rPr>
              <w:t>2.00%</w:t>
            </w:r>
          </w:p>
        </w:tc>
        <w:tc>
          <w:tcPr>
            <w:tcW w:w="737" w:type="dxa"/>
            <w:vAlign w:val="center"/>
          </w:tcPr>
          <w:p w14:paraId="06EC5059" w14:textId="77777777" w:rsidR="00121090" w:rsidRPr="008F735E" w:rsidRDefault="00121090" w:rsidP="00345DEF">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32D32041" w14:textId="77777777" w:rsidR="00121090" w:rsidRPr="008F735E" w:rsidRDefault="00121090" w:rsidP="00345DEF">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688920BF" w14:textId="77777777" w:rsidR="00121090" w:rsidRPr="008F735E" w:rsidRDefault="00121090" w:rsidP="00345DEF">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6FBA35FF" w14:textId="77777777" w:rsidR="00121090" w:rsidRPr="008F735E" w:rsidRDefault="00121090" w:rsidP="00345DEF">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55B66614" w14:textId="77777777" w:rsidR="00121090" w:rsidRPr="008F735E" w:rsidRDefault="00121090" w:rsidP="00345DEF">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51770394" w14:textId="77777777" w:rsidR="00121090" w:rsidRPr="008F735E" w:rsidRDefault="00121090" w:rsidP="00345DEF">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5DD11756" w14:textId="77777777" w:rsidR="00121090" w:rsidRPr="008F735E" w:rsidRDefault="00121090" w:rsidP="00345DEF">
            <w:pPr>
              <w:keepNext/>
              <w:keepLines/>
              <w:tabs>
                <w:tab w:val="decimal" w:pos="256"/>
              </w:tabs>
              <w:spacing w:before="60" w:after="60"/>
              <w:jc w:val="center"/>
              <w:rPr>
                <w:sz w:val="14"/>
                <w:szCs w:val="14"/>
              </w:rPr>
            </w:pPr>
          </w:p>
        </w:tc>
        <w:tc>
          <w:tcPr>
            <w:tcW w:w="1134" w:type="dxa"/>
            <w:vAlign w:val="center"/>
          </w:tcPr>
          <w:p w14:paraId="39791E87" w14:textId="77777777" w:rsidR="00121090" w:rsidRPr="008F735E" w:rsidRDefault="00121090" w:rsidP="00345DEF">
            <w:pPr>
              <w:keepNext/>
              <w:keepLines/>
              <w:tabs>
                <w:tab w:val="decimal" w:pos="256"/>
              </w:tabs>
              <w:spacing w:before="60" w:after="60"/>
              <w:jc w:val="center"/>
              <w:rPr>
                <w:sz w:val="14"/>
                <w:szCs w:val="14"/>
              </w:rPr>
            </w:pPr>
            <w:r w:rsidRPr="008F735E">
              <w:rPr>
                <w:sz w:val="14"/>
                <w:szCs w:val="14"/>
              </w:rPr>
              <w:t>0.00%</w:t>
            </w:r>
          </w:p>
        </w:tc>
        <w:tc>
          <w:tcPr>
            <w:tcW w:w="921" w:type="dxa"/>
            <w:vAlign w:val="center"/>
          </w:tcPr>
          <w:p w14:paraId="7694E42D" w14:textId="77777777" w:rsidR="00121090" w:rsidRPr="008F735E" w:rsidRDefault="00121090" w:rsidP="00345DEF">
            <w:pPr>
              <w:keepNext/>
              <w:keepLines/>
              <w:tabs>
                <w:tab w:val="decimal" w:pos="256"/>
              </w:tabs>
              <w:spacing w:before="60" w:after="60"/>
              <w:jc w:val="center"/>
              <w:rPr>
                <w:sz w:val="14"/>
                <w:szCs w:val="14"/>
              </w:rPr>
            </w:pPr>
          </w:p>
        </w:tc>
      </w:tr>
      <w:tr w:rsidR="00121090" w:rsidRPr="008F735E" w14:paraId="337F49AC" w14:textId="77777777" w:rsidTr="0028532D">
        <w:tc>
          <w:tcPr>
            <w:tcW w:w="1347" w:type="dxa"/>
            <w:shd w:val="clear" w:color="auto" w:fill="auto"/>
            <w:vAlign w:val="bottom"/>
          </w:tcPr>
          <w:p w14:paraId="014D0D87" w14:textId="77777777" w:rsidR="00121090" w:rsidRPr="008F735E" w:rsidRDefault="00121090" w:rsidP="00345DEF">
            <w:pPr>
              <w:keepNext/>
              <w:keepLines/>
              <w:tabs>
                <w:tab w:val="left" w:pos="106"/>
              </w:tabs>
              <w:spacing w:before="60" w:after="60"/>
              <w:rPr>
                <w:b/>
                <w:bCs/>
                <w:sz w:val="14"/>
                <w:szCs w:val="14"/>
              </w:rPr>
            </w:pPr>
            <w:r w:rsidRPr="008F735E">
              <w:rPr>
                <w:b/>
                <w:bCs/>
                <w:sz w:val="14"/>
                <w:szCs w:val="14"/>
              </w:rPr>
              <w:t>Costs of capital</w:t>
            </w:r>
          </w:p>
        </w:tc>
        <w:tc>
          <w:tcPr>
            <w:tcW w:w="992" w:type="dxa"/>
            <w:vAlign w:val="center"/>
          </w:tcPr>
          <w:p w14:paraId="040CA473" w14:textId="77777777" w:rsidR="00121090" w:rsidRPr="008F735E" w:rsidRDefault="00121090" w:rsidP="00345DEF">
            <w:pPr>
              <w:keepNext/>
              <w:keepLines/>
              <w:tabs>
                <w:tab w:val="decimal" w:pos="256"/>
              </w:tabs>
              <w:spacing w:before="60" w:after="60"/>
              <w:jc w:val="center"/>
              <w:rPr>
                <w:sz w:val="14"/>
                <w:szCs w:val="14"/>
              </w:rPr>
            </w:pPr>
          </w:p>
        </w:tc>
        <w:tc>
          <w:tcPr>
            <w:tcW w:w="737" w:type="dxa"/>
            <w:vAlign w:val="center"/>
          </w:tcPr>
          <w:p w14:paraId="740D904A" w14:textId="77777777" w:rsidR="00121090" w:rsidRPr="008F735E" w:rsidRDefault="00121090" w:rsidP="00345DEF">
            <w:pPr>
              <w:keepNext/>
              <w:keepLines/>
              <w:tabs>
                <w:tab w:val="decimal" w:pos="256"/>
              </w:tabs>
              <w:spacing w:before="60" w:after="60"/>
              <w:jc w:val="center"/>
              <w:rPr>
                <w:sz w:val="14"/>
                <w:szCs w:val="14"/>
              </w:rPr>
            </w:pPr>
          </w:p>
        </w:tc>
        <w:tc>
          <w:tcPr>
            <w:tcW w:w="681" w:type="dxa"/>
            <w:vAlign w:val="center"/>
          </w:tcPr>
          <w:p w14:paraId="47655B47" w14:textId="77777777" w:rsidR="00121090" w:rsidRPr="008F735E" w:rsidRDefault="00121090" w:rsidP="00345DEF">
            <w:pPr>
              <w:keepNext/>
              <w:keepLines/>
              <w:tabs>
                <w:tab w:val="decimal" w:pos="256"/>
              </w:tabs>
              <w:spacing w:before="60" w:after="60"/>
              <w:jc w:val="center"/>
              <w:rPr>
                <w:sz w:val="14"/>
                <w:szCs w:val="14"/>
              </w:rPr>
            </w:pPr>
          </w:p>
        </w:tc>
        <w:tc>
          <w:tcPr>
            <w:tcW w:w="651" w:type="dxa"/>
            <w:vAlign w:val="center"/>
          </w:tcPr>
          <w:p w14:paraId="166B9F11" w14:textId="77777777" w:rsidR="00121090" w:rsidRPr="008F735E" w:rsidRDefault="00121090" w:rsidP="00345DEF">
            <w:pPr>
              <w:keepNext/>
              <w:keepLines/>
              <w:tabs>
                <w:tab w:val="decimal" w:pos="256"/>
              </w:tabs>
              <w:spacing w:before="60" w:after="60"/>
              <w:jc w:val="center"/>
              <w:rPr>
                <w:sz w:val="14"/>
                <w:szCs w:val="14"/>
              </w:rPr>
            </w:pPr>
          </w:p>
        </w:tc>
        <w:tc>
          <w:tcPr>
            <w:tcW w:w="666" w:type="dxa"/>
            <w:vAlign w:val="center"/>
          </w:tcPr>
          <w:p w14:paraId="39C214B6" w14:textId="77777777" w:rsidR="00121090" w:rsidRPr="008F735E" w:rsidRDefault="00121090" w:rsidP="00345DEF">
            <w:pPr>
              <w:keepNext/>
              <w:keepLines/>
              <w:tabs>
                <w:tab w:val="decimal" w:pos="256"/>
              </w:tabs>
              <w:spacing w:before="60" w:after="60"/>
              <w:jc w:val="center"/>
              <w:rPr>
                <w:sz w:val="14"/>
                <w:szCs w:val="14"/>
              </w:rPr>
            </w:pPr>
          </w:p>
        </w:tc>
        <w:tc>
          <w:tcPr>
            <w:tcW w:w="667" w:type="dxa"/>
            <w:vAlign w:val="center"/>
          </w:tcPr>
          <w:p w14:paraId="65A1532C" w14:textId="77777777" w:rsidR="00121090" w:rsidRPr="008F735E" w:rsidRDefault="00121090" w:rsidP="00345DEF">
            <w:pPr>
              <w:keepNext/>
              <w:keepLines/>
              <w:tabs>
                <w:tab w:val="decimal" w:pos="256"/>
              </w:tabs>
              <w:spacing w:before="60" w:after="60"/>
              <w:jc w:val="center"/>
              <w:rPr>
                <w:sz w:val="14"/>
                <w:szCs w:val="14"/>
              </w:rPr>
            </w:pPr>
          </w:p>
        </w:tc>
        <w:tc>
          <w:tcPr>
            <w:tcW w:w="1134" w:type="dxa"/>
            <w:vAlign w:val="center"/>
          </w:tcPr>
          <w:p w14:paraId="79009CA4" w14:textId="77777777" w:rsidR="00121090" w:rsidRPr="008F735E" w:rsidRDefault="00121090" w:rsidP="00345DEF">
            <w:pPr>
              <w:keepNext/>
              <w:keepLines/>
              <w:tabs>
                <w:tab w:val="decimal" w:pos="256"/>
              </w:tabs>
              <w:spacing w:before="60" w:after="60"/>
              <w:jc w:val="center"/>
              <w:rPr>
                <w:sz w:val="14"/>
                <w:szCs w:val="14"/>
              </w:rPr>
            </w:pPr>
          </w:p>
        </w:tc>
        <w:tc>
          <w:tcPr>
            <w:tcW w:w="851" w:type="dxa"/>
            <w:vAlign w:val="center"/>
          </w:tcPr>
          <w:p w14:paraId="278641BB" w14:textId="77777777" w:rsidR="00121090" w:rsidRPr="008F735E" w:rsidRDefault="00121090" w:rsidP="00345DEF">
            <w:pPr>
              <w:keepNext/>
              <w:keepLines/>
              <w:tabs>
                <w:tab w:val="decimal" w:pos="256"/>
              </w:tabs>
              <w:spacing w:before="60" w:after="60"/>
              <w:jc w:val="center"/>
              <w:rPr>
                <w:sz w:val="14"/>
                <w:szCs w:val="14"/>
              </w:rPr>
            </w:pPr>
          </w:p>
        </w:tc>
        <w:tc>
          <w:tcPr>
            <w:tcW w:w="1134" w:type="dxa"/>
            <w:vAlign w:val="center"/>
          </w:tcPr>
          <w:p w14:paraId="64946A0A" w14:textId="77777777" w:rsidR="00121090" w:rsidRPr="008F735E" w:rsidRDefault="00121090" w:rsidP="00345DEF">
            <w:pPr>
              <w:keepNext/>
              <w:keepLines/>
              <w:tabs>
                <w:tab w:val="decimal" w:pos="256"/>
              </w:tabs>
              <w:spacing w:before="60" w:after="60"/>
              <w:jc w:val="center"/>
              <w:rPr>
                <w:sz w:val="14"/>
                <w:szCs w:val="14"/>
              </w:rPr>
            </w:pPr>
          </w:p>
        </w:tc>
        <w:tc>
          <w:tcPr>
            <w:tcW w:w="921" w:type="dxa"/>
            <w:vAlign w:val="center"/>
          </w:tcPr>
          <w:p w14:paraId="2CB4E9EF" w14:textId="77777777" w:rsidR="00121090" w:rsidRPr="008F735E" w:rsidRDefault="00121090" w:rsidP="00345DEF">
            <w:pPr>
              <w:keepNext/>
              <w:keepLines/>
              <w:tabs>
                <w:tab w:val="decimal" w:pos="256"/>
              </w:tabs>
              <w:spacing w:before="60" w:after="60"/>
              <w:jc w:val="center"/>
              <w:rPr>
                <w:sz w:val="14"/>
                <w:szCs w:val="14"/>
              </w:rPr>
            </w:pPr>
          </w:p>
        </w:tc>
      </w:tr>
      <w:tr w:rsidR="00121090" w14:paraId="32933BAC" w14:textId="77777777" w:rsidTr="0028532D">
        <w:tc>
          <w:tcPr>
            <w:tcW w:w="1347" w:type="dxa"/>
            <w:shd w:val="clear" w:color="auto" w:fill="auto"/>
            <w:vAlign w:val="bottom"/>
          </w:tcPr>
          <w:p w14:paraId="353A08C7" w14:textId="77777777" w:rsidR="00121090" w:rsidRPr="006B6DF2" w:rsidRDefault="00121090" w:rsidP="00345DEF">
            <w:pPr>
              <w:keepNext/>
              <w:keepLines/>
              <w:tabs>
                <w:tab w:val="left" w:pos="106"/>
              </w:tabs>
              <w:spacing w:before="60" w:after="60"/>
              <w:rPr>
                <w:b/>
                <w:bCs/>
                <w:sz w:val="14"/>
                <w:szCs w:val="14"/>
              </w:rPr>
            </w:pPr>
            <w:r>
              <w:rPr>
                <w:sz w:val="14"/>
                <w:szCs w:val="14"/>
              </w:rPr>
              <w:t xml:space="preserve">  </w:t>
            </w:r>
            <w:r>
              <w:rPr>
                <w:b/>
                <w:bCs/>
                <w:sz w:val="14"/>
                <w:szCs w:val="14"/>
              </w:rPr>
              <w:t>Inflation = 0%</w:t>
            </w:r>
          </w:p>
        </w:tc>
        <w:tc>
          <w:tcPr>
            <w:tcW w:w="992" w:type="dxa"/>
          </w:tcPr>
          <w:p w14:paraId="0E6F841A" w14:textId="77777777" w:rsidR="00121090" w:rsidRDefault="00121090" w:rsidP="00345DEF">
            <w:pPr>
              <w:keepNext/>
              <w:keepLines/>
              <w:tabs>
                <w:tab w:val="decimal" w:pos="256"/>
              </w:tabs>
              <w:spacing w:before="60" w:after="60"/>
              <w:jc w:val="center"/>
              <w:rPr>
                <w:sz w:val="14"/>
                <w:szCs w:val="14"/>
              </w:rPr>
            </w:pPr>
          </w:p>
        </w:tc>
        <w:tc>
          <w:tcPr>
            <w:tcW w:w="737" w:type="dxa"/>
          </w:tcPr>
          <w:p w14:paraId="672B89B2" w14:textId="77777777" w:rsidR="00121090" w:rsidRDefault="00121090" w:rsidP="00345DEF">
            <w:pPr>
              <w:keepNext/>
              <w:keepLines/>
              <w:tabs>
                <w:tab w:val="decimal" w:pos="256"/>
              </w:tabs>
              <w:spacing w:before="60" w:after="60"/>
              <w:jc w:val="center"/>
              <w:rPr>
                <w:sz w:val="14"/>
                <w:szCs w:val="14"/>
              </w:rPr>
            </w:pPr>
          </w:p>
        </w:tc>
        <w:tc>
          <w:tcPr>
            <w:tcW w:w="681" w:type="dxa"/>
          </w:tcPr>
          <w:p w14:paraId="0C4E70F9" w14:textId="77777777" w:rsidR="00121090" w:rsidRDefault="00121090" w:rsidP="00345DEF">
            <w:pPr>
              <w:keepNext/>
              <w:keepLines/>
              <w:tabs>
                <w:tab w:val="decimal" w:pos="256"/>
              </w:tabs>
              <w:spacing w:before="60" w:after="60"/>
              <w:jc w:val="center"/>
              <w:rPr>
                <w:sz w:val="14"/>
                <w:szCs w:val="14"/>
              </w:rPr>
            </w:pPr>
          </w:p>
        </w:tc>
        <w:tc>
          <w:tcPr>
            <w:tcW w:w="651" w:type="dxa"/>
          </w:tcPr>
          <w:p w14:paraId="3850A4DF" w14:textId="77777777" w:rsidR="00121090" w:rsidRDefault="00121090" w:rsidP="00345DEF">
            <w:pPr>
              <w:keepNext/>
              <w:keepLines/>
              <w:tabs>
                <w:tab w:val="decimal" w:pos="256"/>
              </w:tabs>
              <w:spacing w:before="60" w:after="60"/>
              <w:jc w:val="center"/>
              <w:rPr>
                <w:sz w:val="14"/>
                <w:szCs w:val="14"/>
              </w:rPr>
            </w:pPr>
          </w:p>
        </w:tc>
        <w:tc>
          <w:tcPr>
            <w:tcW w:w="666" w:type="dxa"/>
          </w:tcPr>
          <w:p w14:paraId="08D1E37F" w14:textId="77777777" w:rsidR="00121090" w:rsidRDefault="00121090" w:rsidP="00345DEF">
            <w:pPr>
              <w:keepNext/>
              <w:keepLines/>
              <w:tabs>
                <w:tab w:val="decimal" w:pos="256"/>
              </w:tabs>
              <w:spacing w:before="60" w:after="60"/>
              <w:jc w:val="center"/>
              <w:rPr>
                <w:sz w:val="14"/>
                <w:szCs w:val="14"/>
              </w:rPr>
            </w:pPr>
          </w:p>
        </w:tc>
        <w:tc>
          <w:tcPr>
            <w:tcW w:w="667" w:type="dxa"/>
          </w:tcPr>
          <w:p w14:paraId="77112280" w14:textId="77777777" w:rsidR="00121090" w:rsidRDefault="00121090" w:rsidP="00345DEF">
            <w:pPr>
              <w:keepNext/>
              <w:keepLines/>
              <w:tabs>
                <w:tab w:val="decimal" w:pos="256"/>
              </w:tabs>
              <w:spacing w:before="60" w:after="60"/>
              <w:jc w:val="center"/>
              <w:rPr>
                <w:sz w:val="14"/>
                <w:szCs w:val="14"/>
              </w:rPr>
            </w:pPr>
          </w:p>
        </w:tc>
        <w:tc>
          <w:tcPr>
            <w:tcW w:w="1134" w:type="dxa"/>
          </w:tcPr>
          <w:p w14:paraId="67657E83" w14:textId="77777777" w:rsidR="00121090" w:rsidRDefault="00121090" w:rsidP="00345DEF">
            <w:pPr>
              <w:keepNext/>
              <w:keepLines/>
              <w:tabs>
                <w:tab w:val="decimal" w:pos="256"/>
              </w:tabs>
              <w:spacing w:before="60" w:after="60"/>
              <w:jc w:val="center"/>
              <w:rPr>
                <w:sz w:val="14"/>
                <w:szCs w:val="14"/>
              </w:rPr>
            </w:pPr>
          </w:p>
        </w:tc>
        <w:tc>
          <w:tcPr>
            <w:tcW w:w="851" w:type="dxa"/>
          </w:tcPr>
          <w:p w14:paraId="3BB344BA" w14:textId="77777777" w:rsidR="00121090" w:rsidRDefault="00121090" w:rsidP="00345DEF">
            <w:pPr>
              <w:keepNext/>
              <w:keepLines/>
              <w:tabs>
                <w:tab w:val="decimal" w:pos="256"/>
              </w:tabs>
              <w:spacing w:before="60" w:after="60"/>
              <w:jc w:val="center"/>
              <w:rPr>
                <w:sz w:val="14"/>
                <w:szCs w:val="14"/>
              </w:rPr>
            </w:pPr>
          </w:p>
        </w:tc>
        <w:tc>
          <w:tcPr>
            <w:tcW w:w="1134" w:type="dxa"/>
          </w:tcPr>
          <w:p w14:paraId="676064F1" w14:textId="77777777" w:rsidR="00121090" w:rsidRDefault="00121090" w:rsidP="00345DEF">
            <w:pPr>
              <w:keepNext/>
              <w:keepLines/>
              <w:tabs>
                <w:tab w:val="decimal" w:pos="256"/>
              </w:tabs>
              <w:spacing w:before="60" w:after="60"/>
              <w:jc w:val="center"/>
              <w:rPr>
                <w:sz w:val="14"/>
                <w:szCs w:val="14"/>
              </w:rPr>
            </w:pPr>
          </w:p>
        </w:tc>
        <w:tc>
          <w:tcPr>
            <w:tcW w:w="921" w:type="dxa"/>
          </w:tcPr>
          <w:p w14:paraId="780D556D" w14:textId="77777777" w:rsidR="00121090" w:rsidRDefault="00121090" w:rsidP="00345DEF">
            <w:pPr>
              <w:keepNext/>
              <w:keepLines/>
              <w:tabs>
                <w:tab w:val="decimal" w:pos="256"/>
              </w:tabs>
              <w:spacing w:before="60" w:after="60"/>
              <w:jc w:val="center"/>
              <w:rPr>
                <w:sz w:val="14"/>
                <w:szCs w:val="14"/>
              </w:rPr>
            </w:pPr>
          </w:p>
        </w:tc>
      </w:tr>
      <w:tr w:rsidR="00121090" w:rsidRPr="0008735C" w14:paraId="6032EF77" w14:textId="77777777" w:rsidTr="0028532D">
        <w:tc>
          <w:tcPr>
            <w:tcW w:w="1347" w:type="dxa"/>
            <w:shd w:val="clear" w:color="auto" w:fill="auto"/>
            <w:vAlign w:val="bottom"/>
          </w:tcPr>
          <w:p w14:paraId="5564FFBD" w14:textId="77777777" w:rsidR="00121090" w:rsidRPr="008F735E" w:rsidRDefault="00121090" w:rsidP="00345DEF">
            <w:pPr>
              <w:keepNext/>
              <w:keepLines/>
              <w:tabs>
                <w:tab w:val="left" w:pos="106"/>
              </w:tabs>
              <w:spacing w:before="60" w:after="60"/>
              <w:rPr>
                <w:sz w:val="14"/>
                <w:szCs w:val="14"/>
              </w:rPr>
            </w:pPr>
            <w:r>
              <w:rPr>
                <w:sz w:val="14"/>
                <w:szCs w:val="14"/>
              </w:rPr>
              <w:t xml:space="preserve">  b = 0%</w:t>
            </w:r>
          </w:p>
        </w:tc>
        <w:tc>
          <w:tcPr>
            <w:tcW w:w="992" w:type="dxa"/>
            <w:shd w:val="clear" w:color="auto" w:fill="auto"/>
            <w:vAlign w:val="bottom"/>
          </w:tcPr>
          <w:p w14:paraId="1EB3CFBA"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4.33%</w:t>
            </w:r>
          </w:p>
        </w:tc>
        <w:tc>
          <w:tcPr>
            <w:tcW w:w="737" w:type="dxa"/>
            <w:shd w:val="clear" w:color="auto" w:fill="auto"/>
            <w:vAlign w:val="bottom"/>
          </w:tcPr>
          <w:p w14:paraId="7334D2C8"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4.17%</w:t>
            </w:r>
          </w:p>
        </w:tc>
        <w:tc>
          <w:tcPr>
            <w:tcW w:w="681" w:type="dxa"/>
            <w:shd w:val="clear" w:color="auto" w:fill="auto"/>
            <w:vAlign w:val="bottom"/>
          </w:tcPr>
          <w:p w14:paraId="4C87360C"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4.17%</w:t>
            </w:r>
          </w:p>
        </w:tc>
        <w:tc>
          <w:tcPr>
            <w:tcW w:w="651" w:type="dxa"/>
            <w:shd w:val="clear" w:color="auto" w:fill="auto"/>
            <w:vAlign w:val="bottom"/>
          </w:tcPr>
          <w:p w14:paraId="7A3139B5"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4.17%</w:t>
            </w:r>
          </w:p>
        </w:tc>
        <w:tc>
          <w:tcPr>
            <w:tcW w:w="666" w:type="dxa"/>
            <w:shd w:val="clear" w:color="auto" w:fill="auto"/>
            <w:vAlign w:val="bottom"/>
          </w:tcPr>
          <w:p w14:paraId="4D7FBC4E"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4.17%</w:t>
            </w:r>
          </w:p>
        </w:tc>
        <w:tc>
          <w:tcPr>
            <w:tcW w:w="667" w:type="dxa"/>
            <w:shd w:val="clear" w:color="auto" w:fill="auto"/>
            <w:vAlign w:val="bottom"/>
          </w:tcPr>
          <w:p w14:paraId="3867D760"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4.17%</w:t>
            </w:r>
          </w:p>
        </w:tc>
        <w:tc>
          <w:tcPr>
            <w:tcW w:w="1134" w:type="dxa"/>
            <w:shd w:val="clear" w:color="auto" w:fill="auto"/>
            <w:vAlign w:val="bottom"/>
          </w:tcPr>
          <w:p w14:paraId="02BE4BF4"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4.17%</w:t>
            </w:r>
          </w:p>
        </w:tc>
        <w:tc>
          <w:tcPr>
            <w:tcW w:w="851" w:type="dxa"/>
            <w:shd w:val="clear" w:color="auto" w:fill="auto"/>
            <w:vAlign w:val="bottom"/>
          </w:tcPr>
          <w:p w14:paraId="59748D75"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4.17%</w:t>
            </w:r>
          </w:p>
        </w:tc>
        <w:tc>
          <w:tcPr>
            <w:tcW w:w="1134" w:type="dxa"/>
            <w:shd w:val="clear" w:color="auto" w:fill="auto"/>
            <w:vAlign w:val="bottom"/>
          </w:tcPr>
          <w:p w14:paraId="676395B9"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3.78%</w:t>
            </w:r>
          </w:p>
        </w:tc>
        <w:tc>
          <w:tcPr>
            <w:tcW w:w="921" w:type="dxa"/>
            <w:shd w:val="clear" w:color="auto" w:fill="auto"/>
            <w:vAlign w:val="bottom"/>
          </w:tcPr>
          <w:p w14:paraId="7273D157"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3.00%</w:t>
            </w:r>
          </w:p>
        </w:tc>
      </w:tr>
      <w:tr w:rsidR="00121090" w:rsidRPr="0008735C" w14:paraId="50C696C1" w14:textId="77777777" w:rsidTr="0028532D">
        <w:tc>
          <w:tcPr>
            <w:tcW w:w="1347" w:type="dxa"/>
            <w:shd w:val="clear" w:color="auto" w:fill="auto"/>
            <w:vAlign w:val="bottom"/>
          </w:tcPr>
          <w:p w14:paraId="1D19819F" w14:textId="77777777" w:rsidR="00121090" w:rsidRPr="008F735E" w:rsidRDefault="00121090" w:rsidP="00345DEF">
            <w:pPr>
              <w:keepNext/>
              <w:keepLines/>
              <w:tabs>
                <w:tab w:val="left" w:pos="106"/>
              </w:tabs>
              <w:spacing w:before="60" w:after="60"/>
              <w:rPr>
                <w:sz w:val="14"/>
                <w:szCs w:val="14"/>
              </w:rPr>
            </w:pPr>
            <w:r>
              <w:rPr>
                <w:sz w:val="14"/>
                <w:szCs w:val="14"/>
              </w:rPr>
              <w:t xml:space="preserve">  b = 100%</w:t>
            </w:r>
          </w:p>
        </w:tc>
        <w:tc>
          <w:tcPr>
            <w:tcW w:w="992" w:type="dxa"/>
            <w:shd w:val="clear" w:color="auto" w:fill="auto"/>
            <w:vAlign w:val="bottom"/>
          </w:tcPr>
          <w:p w14:paraId="768E7EFC"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3.20%</w:t>
            </w:r>
          </w:p>
        </w:tc>
        <w:tc>
          <w:tcPr>
            <w:tcW w:w="737" w:type="dxa"/>
            <w:shd w:val="clear" w:color="auto" w:fill="auto"/>
            <w:vAlign w:val="bottom"/>
          </w:tcPr>
          <w:p w14:paraId="53AA7BA9"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3.06%</w:t>
            </w:r>
          </w:p>
        </w:tc>
        <w:tc>
          <w:tcPr>
            <w:tcW w:w="681" w:type="dxa"/>
            <w:shd w:val="clear" w:color="auto" w:fill="auto"/>
            <w:vAlign w:val="bottom"/>
          </w:tcPr>
          <w:p w14:paraId="4E56F4CF"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3.06%</w:t>
            </w:r>
          </w:p>
        </w:tc>
        <w:tc>
          <w:tcPr>
            <w:tcW w:w="651" w:type="dxa"/>
            <w:shd w:val="clear" w:color="auto" w:fill="auto"/>
            <w:vAlign w:val="bottom"/>
          </w:tcPr>
          <w:p w14:paraId="78FA910C"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3.06%</w:t>
            </w:r>
          </w:p>
        </w:tc>
        <w:tc>
          <w:tcPr>
            <w:tcW w:w="666" w:type="dxa"/>
            <w:shd w:val="clear" w:color="auto" w:fill="auto"/>
            <w:vAlign w:val="bottom"/>
          </w:tcPr>
          <w:p w14:paraId="3F9B701F"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3.06%</w:t>
            </w:r>
          </w:p>
        </w:tc>
        <w:tc>
          <w:tcPr>
            <w:tcW w:w="667" w:type="dxa"/>
            <w:shd w:val="clear" w:color="auto" w:fill="auto"/>
            <w:vAlign w:val="bottom"/>
          </w:tcPr>
          <w:p w14:paraId="49292B5B"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3.06%</w:t>
            </w:r>
          </w:p>
        </w:tc>
        <w:tc>
          <w:tcPr>
            <w:tcW w:w="1134" w:type="dxa"/>
            <w:shd w:val="clear" w:color="auto" w:fill="auto"/>
            <w:vAlign w:val="bottom"/>
          </w:tcPr>
          <w:p w14:paraId="4B711095"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3.06%</w:t>
            </w:r>
          </w:p>
        </w:tc>
        <w:tc>
          <w:tcPr>
            <w:tcW w:w="851" w:type="dxa"/>
            <w:shd w:val="clear" w:color="auto" w:fill="auto"/>
            <w:vAlign w:val="bottom"/>
          </w:tcPr>
          <w:p w14:paraId="4B960BC1"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3.06%</w:t>
            </w:r>
          </w:p>
        </w:tc>
        <w:tc>
          <w:tcPr>
            <w:tcW w:w="1134" w:type="dxa"/>
            <w:shd w:val="clear" w:color="auto" w:fill="auto"/>
            <w:vAlign w:val="bottom"/>
          </w:tcPr>
          <w:p w14:paraId="564DCCF8"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2.67%</w:t>
            </w:r>
          </w:p>
        </w:tc>
        <w:tc>
          <w:tcPr>
            <w:tcW w:w="921" w:type="dxa"/>
            <w:shd w:val="clear" w:color="auto" w:fill="auto"/>
            <w:vAlign w:val="bottom"/>
          </w:tcPr>
          <w:p w14:paraId="01BD287B"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2.20%</w:t>
            </w:r>
          </w:p>
        </w:tc>
      </w:tr>
      <w:tr w:rsidR="00121090" w:rsidRPr="0008735C" w14:paraId="4EE3F477" w14:textId="77777777" w:rsidTr="0028532D">
        <w:tc>
          <w:tcPr>
            <w:tcW w:w="1347" w:type="dxa"/>
            <w:shd w:val="clear" w:color="auto" w:fill="auto"/>
            <w:vAlign w:val="bottom"/>
          </w:tcPr>
          <w:p w14:paraId="6D923A10" w14:textId="77777777" w:rsidR="00121090" w:rsidRPr="008F735E" w:rsidRDefault="00121090" w:rsidP="00345DEF">
            <w:pPr>
              <w:keepNext/>
              <w:keepLines/>
              <w:tabs>
                <w:tab w:val="left" w:pos="106"/>
              </w:tabs>
              <w:spacing w:before="60" w:after="60"/>
              <w:rPr>
                <w:sz w:val="14"/>
                <w:szCs w:val="14"/>
              </w:rPr>
            </w:pPr>
            <w:r>
              <w:rPr>
                <w:sz w:val="14"/>
                <w:szCs w:val="14"/>
              </w:rPr>
              <w:t xml:space="preserve">  b = 43%</w:t>
            </w:r>
          </w:p>
        </w:tc>
        <w:tc>
          <w:tcPr>
            <w:tcW w:w="992" w:type="dxa"/>
            <w:shd w:val="clear" w:color="auto" w:fill="auto"/>
            <w:vAlign w:val="bottom"/>
          </w:tcPr>
          <w:p w14:paraId="1DCA6164"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3.84%</w:t>
            </w:r>
          </w:p>
        </w:tc>
        <w:tc>
          <w:tcPr>
            <w:tcW w:w="737" w:type="dxa"/>
            <w:shd w:val="clear" w:color="auto" w:fill="auto"/>
            <w:vAlign w:val="bottom"/>
          </w:tcPr>
          <w:p w14:paraId="7806EA41"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3.69%</w:t>
            </w:r>
          </w:p>
        </w:tc>
        <w:tc>
          <w:tcPr>
            <w:tcW w:w="681" w:type="dxa"/>
            <w:shd w:val="clear" w:color="auto" w:fill="auto"/>
            <w:vAlign w:val="bottom"/>
          </w:tcPr>
          <w:p w14:paraId="3C55B0E8"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3.69%</w:t>
            </w:r>
          </w:p>
        </w:tc>
        <w:tc>
          <w:tcPr>
            <w:tcW w:w="651" w:type="dxa"/>
            <w:shd w:val="clear" w:color="auto" w:fill="auto"/>
            <w:vAlign w:val="bottom"/>
          </w:tcPr>
          <w:p w14:paraId="3E708055"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3.69%</w:t>
            </w:r>
          </w:p>
        </w:tc>
        <w:tc>
          <w:tcPr>
            <w:tcW w:w="666" w:type="dxa"/>
            <w:shd w:val="clear" w:color="auto" w:fill="auto"/>
            <w:vAlign w:val="bottom"/>
          </w:tcPr>
          <w:p w14:paraId="7CF824BA"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3.69%</w:t>
            </w:r>
          </w:p>
        </w:tc>
        <w:tc>
          <w:tcPr>
            <w:tcW w:w="667" w:type="dxa"/>
            <w:shd w:val="clear" w:color="auto" w:fill="auto"/>
            <w:vAlign w:val="bottom"/>
          </w:tcPr>
          <w:p w14:paraId="56A5EA55"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3.69%</w:t>
            </w:r>
          </w:p>
        </w:tc>
        <w:tc>
          <w:tcPr>
            <w:tcW w:w="1134" w:type="dxa"/>
            <w:shd w:val="clear" w:color="auto" w:fill="auto"/>
            <w:vAlign w:val="bottom"/>
          </w:tcPr>
          <w:p w14:paraId="361B94F9"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3.69%</w:t>
            </w:r>
          </w:p>
        </w:tc>
        <w:tc>
          <w:tcPr>
            <w:tcW w:w="851" w:type="dxa"/>
            <w:shd w:val="clear" w:color="auto" w:fill="auto"/>
            <w:vAlign w:val="bottom"/>
          </w:tcPr>
          <w:p w14:paraId="5B2EE2FB"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3.69%</w:t>
            </w:r>
          </w:p>
        </w:tc>
        <w:tc>
          <w:tcPr>
            <w:tcW w:w="1134" w:type="dxa"/>
            <w:shd w:val="clear" w:color="auto" w:fill="auto"/>
            <w:vAlign w:val="bottom"/>
          </w:tcPr>
          <w:p w14:paraId="30C69ED0"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3.30%</w:t>
            </w:r>
          </w:p>
        </w:tc>
        <w:tc>
          <w:tcPr>
            <w:tcW w:w="921" w:type="dxa"/>
            <w:shd w:val="clear" w:color="auto" w:fill="auto"/>
            <w:vAlign w:val="bottom"/>
          </w:tcPr>
          <w:p w14:paraId="4EC74D0E"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2.66%</w:t>
            </w:r>
          </w:p>
        </w:tc>
      </w:tr>
      <w:tr w:rsidR="00121090" w:rsidRPr="0008735C" w14:paraId="2F695F71" w14:textId="77777777" w:rsidTr="0028532D">
        <w:tc>
          <w:tcPr>
            <w:tcW w:w="1347" w:type="dxa"/>
            <w:shd w:val="clear" w:color="auto" w:fill="auto"/>
            <w:vAlign w:val="bottom"/>
          </w:tcPr>
          <w:p w14:paraId="1A266607" w14:textId="77777777" w:rsidR="00121090" w:rsidRPr="008F735E" w:rsidRDefault="00121090" w:rsidP="00345DEF">
            <w:pPr>
              <w:keepNext/>
              <w:keepLines/>
              <w:tabs>
                <w:tab w:val="left" w:pos="106"/>
              </w:tabs>
              <w:spacing w:before="60" w:after="60"/>
              <w:rPr>
                <w:sz w:val="14"/>
                <w:szCs w:val="14"/>
              </w:rPr>
            </w:pPr>
            <w:r>
              <w:rPr>
                <w:sz w:val="14"/>
                <w:szCs w:val="14"/>
              </w:rPr>
              <w:t xml:space="preserve">  </w:t>
            </w:r>
            <w:r>
              <w:rPr>
                <w:b/>
                <w:bCs/>
                <w:sz w:val="14"/>
                <w:szCs w:val="14"/>
              </w:rPr>
              <w:t>Inflation = 2%</w:t>
            </w:r>
          </w:p>
        </w:tc>
        <w:tc>
          <w:tcPr>
            <w:tcW w:w="992" w:type="dxa"/>
            <w:shd w:val="clear" w:color="auto" w:fill="auto"/>
            <w:vAlign w:val="bottom"/>
          </w:tcPr>
          <w:p w14:paraId="4E24EA7E"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737" w:type="dxa"/>
            <w:shd w:val="clear" w:color="auto" w:fill="auto"/>
            <w:vAlign w:val="bottom"/>
          </w:tcPr>
          <w:p w14:paraId="7944B657"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681" w:type="dxa"/>
            <w:shd w:val="clear" w:color="auto" w:fill="auto"/>
            <w:vAlign w:val="bottom"/>
          </w:tcPr>
          <w:p w14:paraId="5C142E40"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651" w:type="dxa"/>
            <w:shd w:val="clear" w:color="auto" w:fill="auto"/>
            <w:vAlign w:val="bottom"/>
          </w:tcPr>
          <w:p w14:paraId="0D3F36D4"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666" w:type="dxa"/>
            <w:shd w:val="clear" w:color="auto" w:fill="auto"/>
            <w:vAlign w:val="bottom"/>
          </w:tcPr>
          <w:p w14:paraId="4D2713DE"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667" w:type="dxa"/>
            <w:shd w:val="clear" w:color="auto" w:fill="auto"/>
            <w:vAlign w:val="bottom"/>
          </w:tcPr>
          <w:p w14:paraId="6F3215F8"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1134" w:type="dxa"/>
            <w:shd w:val="clear" w:color="auto" w:fill="auto"/>
            <w:vAlign w:val="bottom"/>
          </w:tcPr>
          <w:p w14:paraId="6F81C1A1"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851" w:type="dxa"/>
            <w:shd w:val="clear" w:color="auto" w:fill="auto"/>
            <w:vAlign w:val="bottom"/>
          </w:tcPr>
          <w:p w14:paraId="5FEE251D"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1134" w:type="dxa"/>
            <w:shd w:val="clear" w:color="auto" w:fill="auto"/>
            <w:vAlign w:val="bottom"/>
          </w:tcPr>
          <w:p w14:paraId="4E12AB77"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921" w:type="dxa"/>
            <w:shd w:val="clear" w:color="auto" w:fill="auto"/>
            <w:vAlign w:val="bottom"/>
          </w:tcPr>
          <w:p w14:paraId="3D48DD95"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r>
      <w:tr w:rsidR="00121090" w:rsidRPr="0008735C" w14:paraId="202A5FAD" w14:textId="77777777" w:rsidTr="0028532D">
        <w:tc>
          <w:tcPr>
            <w:tcW w:w="1347" w:type="dxa"/>
            <w:shd w:val="clear" w:color="auto" w:fill="auto"/>
            <w:vAlign w:val="bottom"/>
          </w:tcPr>
          <w:p w14:paraId="787F425F" w14:textId="77777777" w:rsidR="00121090" w:rsidRPr="008F735E" w:rsidRDefault="00121090" w:rsidP="00345DEF">
            <w:pPr>
              <w:keepNext/>
              <w:keepLines/>
              <w:tabs>
                <w:tab w:val="left" w:pos="106"/>
              </w:tabs>
              <w:spacing w:before="60" w:after="60"/>
              <w:rPr>
                <w:sz w:val="14"/>
                <w:szCs w:val="14"/>
              </w:rPr>
            </w:pPr>
            <w:r>
              <w:rPr>
                <w:sz w:val="14"/>
                <w:szCs w:val="14"/>
              </w:rPr>
              <w:t xml:space="preserve">  b = 0%</w:t>
            </w:r>
          </w:p>
        </w:tc>
        <w:tc>
          <w:tcPr>
            <w:tcW w:w="992" w:type="dxa"/>
            <w:shd w:val="clear" w:color="auto" w:fill="auto"/>
            <w:vAlign w:val="bottom"/>
          </w:tcPr>
          <w:p w14:paraId="45222BED"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4.59%</w:t>
            </w:r>
          </w:p>
        </w:tc>
        <w:tc>
          <w:tcPr>
            <w:tcW w:w="737" w:type="dxa"/>
            <w:shd w:val="clear" w:color="auto" w:fill="auto"/>
            <w:vAlign w:val="bottom"/>
          </w:tcPr>
          <w:p w14:paraId="4AFBEEDA"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4.93%</w:t>
            </w:r>
          </w:p>
        </w:tc>
        <w:tc>
          <w:tcPr>
            <w:tcW w:w="681" w:type="dxa"/>
            <w:shd w:val="clear" w:color="auto" w:fill="auto"/>
            <w:vAlign w:val="bottom"/>
          </w:tcPr>
          <w:p w14:paraId="3E06ED2C"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4.89%</w:t>
            </w:r>
          </w:p>
        </w:tc>
        <w:tc>
          <w:tcPr>
            <w:tcW w:w="651" w:type="dxa"/>
            <w:shd w:val="clear" w:color="auto" w:fill="auto"/>
            <w:vAlign w:val="bottom"/>
          </w:tcPr>
          <w:p w14:paraId="2AC591DE"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4.70%</w:t>
            </w:r>
          </w:p>
        </w:tc>
        <w:tc>
          <w:tcPr>
            <w:tcW w:w="666" w:type="dxa"/>
            <w:shd w:val="clear" w:color="auto" w:fill="auto"/>
            <w:vAlign w:val="bottom"/>
          </w:tcPr>
          <w:p w14:paraId="7879C62A"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4.52%</w:t>
            </w:r>
          </w:p>
        </w:tc>
        <w:tc>
          <w:tcPr>
            <w:tcW w:w="667" w:type="dxa"/>
            <w:shd w:val="clear" w:color="auto" w:fill="auto"/>
            <w:vAlign w:val="bottom"/>
          </w:tcPr>
          <w:p w14:paraId="72B43543"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4.39%</w:t>
            </w:r>
          </w:p>
        </w:tc>
        <w:tc>
          <w:tcPr>
            <w:tcW w:w="1134" w:type="dxa"/>
            <w:shd w:val="clear" w:color="auto" w:fill="auto"/>
            <w:vAlign w:val="bottom"/>
          </w:tcPr>
          <w:p w14:paraId="066C3CDC"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4.17%</w:t>
            </w:r>
          </w:p>
        </w:tc>
        <w:tc>
          <w:tcPr>
            <w:tcW w:w="851" w:type="dxa"/>
            <w:shd w:val="clear" w:color="auto" w:fill="auto"/>
            <w:vAlign w:val="bottom"/>
          </w:tcPr>
          <w:p w14:paraId="01677E98"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4.93%</w:t>
            </w:r>
          </w:p>
        </w:tc>
        <w:tc>
          <w:tcPr>
            <w:tcW w:w="1134" w:type="dxa"/>
            <w:shd w:val="clear" w:color="auto" w:fill="auto"/>
            <w:vAlign w:val="bottom"/>
          </w:tcPr>
          <w:p w14:paraId="7A70494F"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3.78%</w:t>
            </w:r>
          </w:p>
        </w:tc>
        <w:tc>
          <w:tcPr>
            <w:tcW w:w="921" w:type="dxa"/>
            <w:shd w:val="clear" w:color="auto" w:fill="auto"/>
            <w:vAlign w:val="bottom"/>
          </w:tcPr>
          <w:p w14:paraId="40B94F77"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3.00%</w:t>
            </w:r>
          </w:p>
        </w:tc>
      </w:tr>
      <w:tr w:rsidR="00121090" w:rsidRPr="0008735C" w14:paraId="1D9EC935" w14:textId="77777777" w:rsidTr="0028532D">
        <w:tc>
          <w:tcPr>
            <w:tcW w:w="1347" w:type="dxa"/>
            <w:shd w:val="clear" w:color="auto" w:fill="auto"/>
            <w:vAlign w:val="bottom"/>
          </w:tcPr>
          <w:p w14:paraId="14A5225A" w14:textId="77777777" w:rsidR="00121090" w:rsidRPr="008F735E" w:rsidRDefault="00121090" w:rsidP="00345DEF">
            <w:pPr>
              <w:keepNext/>
              <w:keepLines/>
              <w:tabs>
                <w:tab w:val="left" w:pos="106"/>
              </w:tabs>
              <w:spacing w:before="60" w:after="60"/>
              <w:rPr>
                <w:sz w:val="14"/>
                <w:szCs w:val="14"/>
              </w:rPr>
            </w:pPr>
            <w:r>
              <w:rPr>
                <w:sz w:val="14"/>
                <w:szCs w:val="14"/>
              </w:rPr>
              <w:t xml:space="preserve">  b = 100%</w:t>
            </w:r>
          </w:p>
        </w:tc>
        <w:tc>
          <w:tcPr>
            <w:tcW w:w="992" w:type="dxa"/>
            <w:shd w:val="clear" w:color="auto" w:fill="auto"/>
            <w:vAlign w:val="bottom"/>
          </w:tcPr>
          <w:p w14:paraId="1E239A82"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2.79%</w:t>
            </w:r>
          </w:p>
        </w:tc>
        <w:tc>
          <w:tcPr>
            <w:tcW w:w="737" w:type="dxa"/>
            <w:shd w:val="clear" w:color="auto" w:fill="auto"/>
            <w:vAlign w:val="bottom"/>
          </w:tcPr>
          <w:p w14:paraId="56EB2F76"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3.10%</w:t>
            </w:r>
          </w:p>
        </w:tc>
        <w:tc>
          <w:tcPr>
            <w:tcW w:w="681" w:type="dxa"/>
            <w:shd w:val="clear" w:color="auto" w:fill="auto"/>
            <w:vAlign w:val="bottom"/>
          </w:tcPr>
          <w:p w14:paraId="1788B197"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3.07%</w:t>
            </w:r>
          </w:p>
        </w:tc>
        <w:tc>
          <w:tcPr>
            <w:tcW w:w="651" w:type="dxa"/>
            <w:shd w:val="clear" w:color="auto" w:fill="auto"/>
            <w:vAlign w:val="bottom"/>
          </w:tcPr>
          <w:p w14:paraId="72119AA9"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2.91%</w:t>
            </w:r>
          </w:p>
        </w:tc>
        <w:tc>
          <w:tcPr>
            <w:tcW w:w="666" w:type="dxa"/>
            <w:shd w:val="clear" w:color="auto" w:fill="auto"/>
            <w:vAlign w:val="bottom"/>
          </w:tcPr>
          <w:p w14:paraId="28673710"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2.75%</w:t>
            </w:r>
          </w:p>
        </w:tc>
        <w:tc>
          <w:tcPr>
            <w:tcW w:w="667" w:type="dxa"/>
            <w:shd w:val="clear" w:color="auto" w:fill="auto"/>
            <w:vAlign w:val="bottom"/>
          </w:tcPr>
          <w:p w14:paraId="1AB8296C"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2.61%</w:t>
            </w:r>
          </w:p>
        </w:tc>
        <w:tc>
          <w:tcPr>
            <w:tcW w:w="1134" w:type="dxa"/>
            <w:shd w:val="clear" w:color="auto" w:fill="auto"/>
            <w:vAlign w:val="bottom"/>
          </w:tcPr>
          <w:p w14:paraId="2619C816"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2.34%</w:t>
            </w:r>
          </w:p>
        </w:tc>
        <w:tc>
          <w:tcPr>
            <w:tcW w:w="851" w:type="dxa"/>
            <w:shd w:val="clear" w:color="auto" w:fill="auto"/>
            <w:vAlign w:val="bottom"/>
          </w:tcPr>
          <w:p w14:paraId="461DC224"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3.10%</w:t>
            </w:r>
          </w:p>
        </w:tc>
        <w:tc>
          <w:tcPr>
            <w:tcW w:w="1134" w:type="dxa"/>
            <w:shd w:val="clear" w:color="auto" w:fill="auto"/>
            <w:vAlign w:val="bottom"/>
          </w:tcPr>
          <w:p w14:paraId="7EADCA39"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1.95%</w:t>
            </w:r>
          </w:p>
        </w:tc>
        <w:tc>
          <w:tcPr>
            <w:tcW w:w="921" w:type="dxa"/>
            <w:shd w:val="clear" w:color="auto" w:fill="auto"/>
            <w:vAlign w:val="bottom"/>
          </w:tcPr>
          <w:p w14:paraId="6C33E32B"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1.68%</w:t>
            </w:r>
          </w:p>
        </w:tc>
      </w:tr>
      <w:tr w:rsidR="00121090" w:rsidRPr="0008735C" w14:paraId="390C715E" w14:textId="77777777" w:rsidTr="0028532D">
        <w:tc>
          <w:tcPr>
            <w:tcW w:w="1347" w:type="dxa"/>
            <w:shd w:val="clear" w:color="auto" w:fill="auto"/>
            <w:vAlign w:val="bottom"/>
          </w:tcPr>
          <w:p w14:paraId="6F99AEF9" w14:textId="77777777" w:rsidR="00121090" w:rsidRPr="008F735E" w:rsidRDefault="00121090" w:rsidP="00345DEF">
            <w:pPr>
              <w:keepNext/>
              <w:keepLines/>
              <w:tabs>
                <w:tab w:val="left" w:pos="106"/>
              </w:tabs>
              <w:spacing w:before="60" w:after="60"/>
              <w:rPr>
                <w:sz w:val="14"/>
                <w:szCs w:val="14"/>
              </w:rPr>
            </w:pPr>
            <w:r>
              <w:rPr>
                <w:sz w:val="14"/>
                <w:szCs w:val="14"/>
              </w:rPr>
              <w:t xml:space="preserve">  b = 43%</w:t>
            </w:r>
          </w:p>
        </w:tc>
        <w:tc>
          <w:tcPr>
            <w:tcW w:w="992" w:type="dxa"/>
            <w:shd w:val="clear" w:color="auto" w:fill="auto"/>
            <w:vAlign w:val="bottom"/>
          </w:tcPr>
          <w:p w14:paraId="75DA738D"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3.81%</w:t>
            </w:r>
          </w:p>
        </w:tc>
        <w:tc>
          <w:tcPr>
            <w:tcW w:w="737" w:type="dxa"/>
            <w:shd w:val="clear" w:color="auto" w:fill="auto"/>
            <w:vAlign w:val="bottom"/>
          </w:tcPr>
          <w:p w14:paraId="588FD40B"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4.14%</w:t>
            </w:r>
          </w:p>
        </w:tc>
        <w:tc>
          <w:tcPr>
            <w:tcW w:w="681" w:type="dxa"/>
            <w:shd w:val="clear" w:color="auto" w:fill="auto"/>
            <w:vAlign w:val="bottom"/>
          </w:tcPr>
          <w:p w14:paraId="20C69286"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4.11%</w:t>
            </w:r>
          </w:p>
        </w:tc>
        <w:tc>
          <w:tcPr>
            <w:tcW w:w="651" w:type="dxa"/>
            <w:shd w:val="clear" w:color="auto" w:fill="auto"/>
            <w:vAlign w:val="bottom"/>
          </w:tcPr>
          <w:p w14:paraId="7CEFE110"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3.93%</w:t>
            </w:r>
          </w:p>
        </w:tc>
        <w:tc>
          <w:tcPr>
            <w:tcW w:w="666" w:type="dxa"/>
            <w:shd w:val="clear" w:color="auto" w:fill="auto"/>
            <w:vAlign w:val="bottom"/>
          </w:tcPr>
          <w:p w14:paraId="199A2078"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3.76%</w:t>
            </w:r>
          </w:p>
        </w:tc>
        <w:tc>
          <w:tcPr>
            <w:tcW w:w="667" w:type="dxa"/>
            <w:shd w:val="clear" w:color="auto" w:fill="auto"/>
            <w:vAlign w:val="bottom"/>
          </w:tcPr>
          <w:p w14:paraId="48DC6699"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3.63%</w:t>
            </w:r>
          </w:p>
        </w:tc>
        <w:tc>
          <w:tcPr>
            <w:tcW w:w="1134" w:type="dxa"/>
            <w:shd w:val="clear" w:color="auto" w:fill="auto"/>
            <w:vAlign w:val="bottom"/>
          </w:tcPr>
          <w:p w14:paraId="4A58CE9A"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3.38%</w:t>
            </w:r>
          </w:p>
        </w:tc>
        <w:tc>
          <w:tcPr>
            <w:tcW w:w="851" w:type="dxa"/>
            <w:shd w:val="clear" w:color="auto" w:fill="auto"/>
            <w:vAlign w:val="bottom"/>
          </w:tcPr>
          <w:p w14:paraId="4BFACDAD"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4.14%</w:t>
            </w:r>
          </w:p>
        </w:tc>
        <w:tc>
          <w:tcPr>
            <w:tcW w:w="1134" w:type="dxa"/>
            <w:shd w:val="clear" w:color="auto" w:fill="auto"/>
            <w:vAlign w:val="bottom"/>
          </w:tcPr>
          <w:p w14:paraId="6FB1369E"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2.99%</w:t>
            </w:r>
          </w:p>
        </w:tc>
        <w:tc>
          <w:tcPr>
            <w:tcW w:w="921" w:type="dxa"/>
            <w:shd w:val="clear" w:color="auto" w:fill="auto"/>
            <w:vAlign w:val="bottom"/>
          </w:tcPr>
          <w:p w14:paraId="7C894441"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2.43%</w:t>
            </w:r>
          </w:p>
        </w:tc>
      </w:tr>
      <w:tr w:rsidR="00121090" w:rsidRPr="0008735C" w14:paraId="23C2D75F" w14:textId="77777777" w:rsidTr="0028532D">
        <w:tc>
          <w:tcPr>
            <w:tcW w:w="1347" w:type="dxa"/>
            <w:shd w:val="clear" w:color="auto" w:fill="auto"/>
            <w:vAlign w:val="bottom"/>
          </w:tcPr>
          <w:p w14:paraId="2D65F173" w14:textId="77777777" w:rsidR="00121090" w:rsidRPr="008F735E" w:rsidRDefault="00121090" w:rsidP="00345DEF">
            <w:pPr>
              <w:keepNext/>
              <w:keepLines/>
              <w:tabs>
                <w:tab w:val="left" w:pos="106"/>
              </w:tabs>
              <w:spacing w:before="60" w:after="60"/>
              <w:rPr>
                <w:sz w:val="14"/>
                <w:szCs w:val="14"/>
              </w:rPr>
            </w:pPr>
            <w:r w:rsidRPr="008F735E">
              <w:rPr>
                <w:b/>
                <w:bCs/>
                <w:sz w:val="14"/>
                <w:szCs w:val="14"/>
              </w:rPr>
              <w:t>EMTR</w:t>
            </w:r>
            <w:r>
              <w:rPr>
                <w:b/>
                <w:bCs/>
                <w:sz w:val="14"/>
                <w:szCs w:val="14"/>
              </w:rPr>
              <w:t>s</w:t>
            </w:r>
          </w:p>
        </w:tc>
        <w:tc>
          <w:tcPr>
            <w:tcW w:w="992" w:type="dxa"/>
            <w:shd w:val="clear" w:color="auto" w:fill="auto"/>
            <w:vAlign w:val="bottom"/>
          </w:tcPr>
          <w:p w14:paraId="3AEC9B80"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737" w:type="dxa"/>
            <w:shd w:val="clear" w:color="auto" w:fill="auto"/>
            <w:vAlign w:val="bottom"/>
          </w:tcPr>
          <w:p w14:paraId="2216455C"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681" w:type="dxa"/>
            <w:shd w:val="clear" w:color="auto" w:fill="auto"/>
            <w:vAlign w:val="bottom"/>
          </w:tcPr>
          <w:p w14:paraId="4B6F9551"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651" w:type="dxa"/>
            <w:shd w:val="clear" w:color="auto" w:fill="auto"/>
            <w:vAlign w:val="bottom"/>
          </w:tcPr>
          <w:p w14:paraId="12C0156D"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666" w:type="dxa"/>
            <w:shd w:val="clear" w:color="auto" w:fill="auto"/>
            <w:vAlign w:val="bottom"/>
          </w:tcPr>
          <w:p w14:paraId="6E02B7A2"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667" w:type="dxa"/>
            <w:shd w:val="clear" w:color="auto" w:fill="auto"/>
            <w:vAlign w:val="bottom"/>
          </w:tcPr>
          <w:p w14:paraId="794BB52A"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1134" w:type="dxa"/>
            <w:shd w:val="clear" w:color="auto" w:fill="auto"/>
            <w:vAlign w:val="bottom"/>
          </w:tcPr>
          <w:p w14:paraId="6871FB13"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851" w:type="dxa"/>
            <w:shd w:val="clear" w:color="auto" w:fill="auto"/>
            <w:vAlign w:val="bottom"/>
          </w:tcPr>
          <w:p w14:paraId="77B9FA9D"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1134" w:type="dxa"/>
            <w:shd w:val="clear" w:color="auto" w:fill="auto"/>
            <w:vAlign w:val="bottom"/>
          </w:tcPr>
          <w:p w14:paraId="34D05CC3"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921" w:type="dxa"/>
            <w:shd w:val="clear" w:color="auto" w:fill="auto"/>
            <w:vAlign w:val="bottom"/>
          </w:tcPr>
          <w:p w14:paraId="388364E8"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r>
      <w:tr w:rsidR="00121090" w:rsidRPr="0008735C" w14:paraId="6353FBD7" w14:textId="77777777" w:rsidTr="0028532D">
        <w:tc>
          <w:tcPr>
            <w:tcW w:w="1347" w:type="dxa"/>
            <w:shd w:val="clear" w:color="auto" w:fill="auto"/>
            <w:vAlign w:val="bottom"/>
          </w:tcPr>
          <w:p w14:paraId="04CD2F1B" w14:textId="77777777" w:rsidR="00121090" w:rsidRPr="008F735E" w:rsidRDefault="00121090" w:rsidP="00345DEF">
            <w:pPr>
              <w:keepNext/>
              <w:keepLines/>
              <w:tabs>
                <w:tab w:val="left" w:pos="106"/>
              </w:tabs>
              <w:spacing w:before="60" w:after="60"/>
              <w:rPr>
                <w:sz w:val="14"/>
                <w:szCs w:val="14"/>
              </w:rPr>
            </w:pPr>
            <w:r>
              <w:rPr>
                <w:sz w:val="14"/>
                <w:szCs w:val="14"/>
              </w:rPr>
              <w:t xml:space="preserve">  </w:t>
            </w:r>
            <w:r>
              <w:rPr>
                <w:b/>
                <w:bCs/>
                <w:sz w:val="14"/>
                <w:szCs w:val="14"/>
              </w:rPr>
              <w:t>Inflation = 0%</w:t>
            </w:r>
          </w:p>
        </w:tc>
        <w:tc>
          <w:tcPr>
            <w:tcW w:w="992" w:type="dxa"/>
            <w:shd w:val="clear" w:color="auto" w:fill="auto"/>
            <w:vAlign w:val="bottom"/>
          </w:tcPr>
          <w:p w14:paraId="4E94DF3F"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737" w:type="dxa"/>
            <w:shd w:val="clear" w:color="auto" w:fill="auto"/>
            <w:vAlign w:val="bottom"/>
          </w:tcPr>
          <w:p w14:paraId="404555D1"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681" w:type="dxa"/>
            <w:shd w:val="clear" w:color="auto" w:fill="auto"/>
            <w:vAlign w:val="bottom"/>
          </w:tcPr>
          <w:p w14:paraId="3EFA1C46"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651" w:type="dxa"/>
            <w:shd w:val="clear" w:color="auto" w:fill="auto"/>
            <w:vAlign w:val="bottom"/>
          </w:tcPr>
          <w:p w14:paraId="1C1B921B"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666" w:type="dxa"/>
            <w:shd w:val="clear" w:color="auto" w:fill="auto"/>
            <w:vAlign w:val="bottom"/>
          </w:tcPr>
          <w:p w14:paraId="68C0E621"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667" w:type="dxa"/>
            <w:shd w:val="clear" w:color="auto" w:fill="auto"/>
            <w:vAlign w:val="bottom"/>
          </w:tcPr>
          <w:p w14:paraId="4B497567"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1134" w:type="dxa"/>
            <w:shd w:val="clear" w:color="auto" w:fill="auto"/>
            <w:vAlign w:val="bottom"/>
          </w:tcPr>
          <w:p w14:paraId="5C29BC18"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851" w:type="dxa"/>
            <w:shd w:val="clear" w:color="auto" w:fill="auto"/>
            <w:vAlign w:val="bottom"/>
          </w:tcPr>
          <w:p w14:paraId="4821D017"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1134" w:type="dxa"/>
            <w:shd w:val="clear" w:color="auto" w:fill="auto"/>
            <w:vAlign w:val="bottom"/>
          </w:tcPr>
          <w:p w14:paraId="5438E75C"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921" w:type="dxa"/>
            <w:shd w:val="clear" w:color="auto" w:fill="auto"/>
            <w:vAlign w:val="bottom"/>
          </w:tcPr>
          <w:p w14:paraId="26108891"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r>
      <w:tr w:rsidR="00121090" w:rsidRPr="0008735C" w14:paraId="0768B92F" w14:textId="77777777" w:rsidTr="0028532D">
        <w:tc>
          <w:tcPr>
            <w:tcW w:w="1347" w:type="dxa"/>
            <w:shd w:val="clear" w:color="auto" w:fill="auto"/>
            <w:vAlign w:val="bottom"/>
          </w:tcPr>
          <w:p w14:paraId="27F146CA" w14:textId="77777777" w:rsidR="00121090" w:rsidRPr="008F735E" w:rsidRDefault="00121090" w:rsidP="00345DEF">
            <w:pPr>
              <w:keepNext/>
              <w:keepLines/>
              <w:tabs>
                <w:tab w:val="left" w:pos="106"/>
              </w:tabs>
              <w:spacing w:before="60" w:after="60"/>
              <w:rPr>
                <w:b/>
                <w:bCs/>
                <w:sz w:val="14"/>
                <w:szCs w:val="14"/>
              </w:rPr>
            </w:pPr>
            <w:r>
              <w:rPr>
                <w:sz w:val="14"/>
                <w:szCs w:val="14"/>
              </w:rPr>
              <w:t xml:space="preserve">  b = 0%</w:t>
            </w:r>
          </w:p>
        </w:tc>
        <w:tc>
          <w:tcPr>
            <w:tcW w:w="992" w:type="dxa"/>
            <w:shd w:val="clear" w:color="auto" w:fill="auto"/>
            <w:vAlign w:val="bottom"/>
          </w:tcPr>
          <w:p w14:paraId="6E358B7F"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30.7%</w:t>
            </w:r>
          </w:p>
        </w:tc>
        <w:tc>
          <w:tcPr>
            <w:tcW w:w="737" w:type="dxa"/>
            <w:shd w:val="clear" w:color="auto" w:fill="auto"/>
            <w:vAlign w:val="bottom"/>
          </w:tcPr>
          <w:p w14:paraId="1735785B"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28.0%</w:t>
            </w:r>
          </w:p>
        </w:tc>
        <w:tc>
          <w:tcPr>
            <w:tcW w:w="681" w:type="dxa"/>
            <w:shd w:val="clear" w:color="auto" w:fill="auto"/>
            <w:vAlign w:val="bottom"/>
          </w:tcPr>
          <w:p w14:paraId="79570037"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28.0%</w:t>
            </w:r>
          </w:p>
        </w:tc>
        <w:tc>
          <w:tcPr>
            <w:tcW w:w="651" w:type="dxa"/>
            <w:shd w:val="clear" w:color="auto" w:fill="auto"/>
            <w:vAlign w:val="bottom"/>
          </w:tcPr>
          <w:p w14:paraId="19B030EC"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28.0%</w:t>
            </w:r>
          </w:p>
        </w:tc>
        <w:tc>
          <w:tcPr>
            <w:tcW w:w="666" w:type="dxa"/>
            <w:shd w:val="clear" w:color="auto" w:fill="auto"/>
            <w:vAlign w:val="bottom"/>
          </w:tcPr>
          <w:p w14:paraId="175199CA"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28.0%</w:t>
            </w:r>
          </w:p>
        </w:tc>
        <w:tc>
          <w:tcPr>
            <w:tcW w:w="667" w:type="dxa"/>
            <w:shd w:val="clear" w:color="auto" w:fill="auto"/>
            <w:vAlign w:val="bottom"/>
          </w:tcPr>
          <w:p w14:paraId="30859BDF"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28.0%</w:t>
            </w:r>
          </w:p>
        </w:tc>
        <w:tc>
          <w:tcPr>
            <w:tcW w:w="1134" w:type="dxa"/>
            <w:shd w:val="clear" w:color="auto" w:fill="auto"/>
            <w:vAlign w:val="bottom"/>
          </w:tcPr>
          <w:p w14:paraId="10B98A6A"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28.0%</w:t>
            </w:r>
          </w:p>
        </w:tc>
        <w:tc>
          <w:tcPr>
            <w:tcW w:w="851" w:type="dxa"/>
            <w:shd w:val="clear" w:color="auto" w:fill="auto"/>
            <w:vAlign w:val="bottom"/>
          </w:tcPr>
          <w:p w14:paraId="38FFB42A"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28.0%</w:t>
            </w:r>
          </w:p>
        </w:tc>
        <w:tc>
          <w:tcPr>
            <w:tcW w:w="1134" w:type="dxa"/>
            <w:shd w:val="clear" w:color="auto" w:fill="auto"/>
            <w:vAlign w:val="bottom"/>
          </w:tcPr>
          <w:p w14:paraId="44AF76D0"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20.6%</w:t>
            </w:r>
          </w:p>
        </w:tc>
        <w:tc>
          <w:tcPr>
            <w:tcW w:w="921" w:type="dxa"/>
            <w:shd w:val="clear" w:color="auto" w:fill="auto"/>
            <w:vAlign w:val="bottom"/>
          </w:tcPr>
          <w:p w14:paraId="1A6DF550"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0.0%</w:t>
            </w:r>
          </w:p>
        </w:tc>
      </w:tr>
      <w:tr w:rsidR="00121090" w:rsidRPr="0008735C" w14:paraId="543F11F5" w14:textId="77777777" w:rsidTr="0028532D">
        <w:tc>
          <w:tcPr>
            <w:tcW w:w="1347" w:type="dxa"/>
            <w:shd w:val="clear" w:color="auto" w:fill="auto"/>
            <w:vAlign w:val="bottom"/>
          </w:tcPr>
          <w:p w14:paraId="5794FF9D" w14:textId="77777777" w:rsidR="00121090" w:rsidRPr="008F735E" w:rsidRDefault="00121090" w:rsidP="00345DEF">
            <w:pPr>
              <w:keepNext/>
              <w:keepLines/>
              <w:tabs>
                <w:tab w:val="left" w:pos="106"/>
              </w:tabs>
              <w:spacing w:before="60" w:after="60"/>
              <w:rPr>
                <w:sz w:val="14"/>
                <w:szCs w:val="14"/>
              </w:rPr>
            </w:pPr>
            <w:r>
              <w:rPr>
                <w:sz w:val="14"/>
                <w:szCs w:val="14"/>
              </w:rPr>
              <w:t xml:space="preserve">  b = 100%</w:t>
            </w:r>
          </w:p>
        </w:tc>
        <w:tc>
          <w:tcPr>
            <w:tcW w:w="992" w:type="dxa"/>
            <w:shd w:val="clear" w:color="auto" w:fill="auto"/>
            <w:vAlign w:val="bottom"/>
          </w:tcPr>
          <w:p w14:paraId="0A1F0514"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6.3%</w:t>
            </w:r>
          </w:p>
        </w:tc>
        <w:tc>
          <w:tcPr>
            <w:tcW w:w="737" w:type="dxa"/>
            <w:shd w:val="clear" w:color="auto" w:fill="auto"/>
            <w:vAlign w:val="bottom"/>
          </w:tcPr>
          <w:p w14:paraId="631277FA"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2.0%</w:t>
            </w:r>
          </w:p>
        </w:tc>
        <w:tc>
          <w:tcPr>
            <w:tcW w:w="681" w:type="dxa"/>
            <w:shd w:val="clear" w:color="auto" w:fill="auto"/>
            <w:vAlign w:val="bottom"/>
          </w:tcPr>
          <w:p w14:paraId="56919600"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2.0%</w:t>
            </w:r>
          </w:p>
        </w:tc>
        <w:tc>
          <w:tcPr>
            <w:tcW w:w="651" w:type="dxa"/>
            <w:shd w:val="clear" w:color="auto" w:fill="auto"/>
            <w:vAlign w:val="bottom"/>
          </w:tcPr>
          <w:p w14:paraId="2A345239"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2.0%</w:t>
            </w:r>
          </w:p>
        </w:tc>
        <w:tc>
          <w:tcPr>
            <w:tcW w:w="666" w:type="dxa"/>
            <w:shd w:val="clear" w:color="auto" w:fill="auto"/>
            <w:vAlign w:val="bottom"/>
          </w:tcPr>
          <w:p w14:paraId="34430E7A"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2.0%</w:t>
            </w:r>
          </w:p>
        </w:tc>
        <w:tc>
          <w:tcPr>
            <w:tcW w:w="667" w:type="dxa"/>
            <w:shd w:val="clear" w:color="auto" w:fill="auto"/>
            <w:vAlign w:val="bottom"/>
          </w:tcPr>
          <w:p w14:paraId="0B8F39E3"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2.0%</w:t>
            </w:r>
          </w:p>
        </w:tc>
        <w:tc>
          <w:tcPr>
            <w:tcW w:w="1134" w:type="dxa"/>
            <w:shd w:val="clear" w:color="auto" w:fill="auto"/>
            <w:vAlign w:val="bottom"/>
          </w:tcPr>
          <w:p w14:paraId="10AC6B98"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2.0%</w:t>
            </w:r>
          </w:p>
        </w:tc>
        <w:tc>
          <w:tcPr>
            <w:tcW w:w="851" w:type="dxa"/>
            <w:shd w:val="clear" w:color="auto" w:fill="auto"/>
            <w:vAlign w:val="bottom"/>
          </w:tcPr>
          <w:p w14:paraId="41A86D8D"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2.0%</w:t>
            </w:r>
          </w:p>
        </w:tc>
        <w:tc>
          <w:tcPr>
            <w:tcW w:w="1134" w:type="dxa"/>
            <w:shd w:val="clear" w:color="auto" w:fill="auto"/>
            <w:vAlign w:val="bottom"/>
          </w:tcPr>
          <w:p w14:paraId="757F9110"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-12.3%</w:t>
            </w:r>
          </w:p>
        </w:tc>
        <w:tc>
          <w:tcPr>
            <w:tcW w:w="921" w:type="dxa"/>
            <w:shd w:val="clear" w:color="auto" w:fill="auto"/>
            <w:vAlign w:val="bottom"/>
          </w:tcPr>
          <w:p w14:paraId="39ED00A8"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-36.2%</w:t>
            </w:r>
          </w:p>
        </w:tc>
      </w:tr>
      <w:tr w:rsidR="00121090" w:rsidRPr="0008735C" w14:paraId="0FFD7F65" w14:textId="77777777" w:rsidTr="0028532D">
        <w:tc>
          <w:tcPr>
            <w:tcW w:w="1347" w:type="dxa"/>
            <w:shd w:val="clear" w:color="auto" w:fill="auto"/>
            <w:vAlign w:val="bottom"/>
          </w:tcPr>
          <w:p w14:paraId="12A0D78C" w14:textId="77777777" w:rsidR="00121090" w:rsidRPr="008F735E" w:rsidRDefault="00121090" w:rsidP="00345DEF">
            <w:pPr>
              <w:keepNext/>
              <w:keepLines/>
              <w:tabs>
                <w:tab w:val="left" w:pos="106"/>
              </w:tabs>
              <w:spacing w:before="60" w:after="60"/>
              <w:rPr>
                <w:sz w:val="14"/>
                <w:szCs w:val="14"/>
              </w:rPr>
            </w:pPr>
            <w:r>
              <w:rPr>
                <w:sz w:val="14"/>
                <w:szCs w:val="14"/>
              </w:rPr>
              <w:t xml:space="preserve">  b = 43%</w:t>
            </w:r>
          </w:p>
        </w:tc>
        <w:tc>
          <w:tcPr>
            <w:tcW w:w="992" w:type="dxa"/>
            <w:shd w:val="clear" w:color="auto" w:fill="auto"/>
            <w:vAlign w:val="bottom"/>
          </w:tcPr>
          <w:p w14:paraId="3F79CCC8"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22.0%</w:t>
            </w:r>
          </w:p>
        </w:tc>
        <w:tc>
          <w:tcPr>
            <w:tcW w:w="737" w:type="dxa"/>
            <w:shd w:val="clear" w:color="auto" w:fill="auto"/>
            <w:vAlign w:val="bottom"/>
          </w:tcPr>
          <w:p w14:paraId="3EB1F3F7"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18.7%</w:t>
            </w:r>
          </w:p>
        </w:tc>
        <w:tc>
          <w:tcPr>
            <w:tcW w:w="681" w:type="dxa"/>
            <w:shd w:val="clear" w:color="auto" w:fill="auto"/>
            <w:vAlign w:val="bottom"/>
          </w:tcPr>
          <w:p w14:paraId="4BE9265E"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18.7%</w:t>
            </w:r>
          </w:p>
        </w:tc>
        <w:tc>
          <w:tcPr>
            <w:tcW w:w="651" w:type="dxa"/>
            <w:shd w:val="clear" w:color="auto" w:fill="auto"/>
            <w:vAlign w:val="bottom"/>
          </w:tcPr>
          <w:p w14:paraId="4A71C39B"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18.7%</w:t>
            </w:r>
          </w:p>
        </w:tc>
        <w:tc>
          <w:tcPr>
            <w:tcW w:w="666" w:type="dxa"/>
            <w:shd w:val="clear" w:color="auto" w:fill="auto"/>
            <w:vAlign w:val="bottom"/>
          </w:tcPr>
          <w:p w14:paraId="0969FAE3"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18.7%</w:t>
            </w:r>
          </w:p>
        </w:tc>
        <w:tc>
          <w:tcPr>
            <w:tcW w:w="667" w:type="dxa"/>
            <w:shd w:val="clear" w:color="auto" w:fill="auto"/>
            <w:vAlign w:val="bottom"/>
          </w:tcPr>
          <w:p w14:paraId="41CA8751"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18.7%</w:t>
            </w:r>
          </w:p>
        </w:tc>
        <w:tc>
          <w:tcPr>
            <w:tcW w:w="1134" w:type="dxa"/>
            <w:shd w:val="clear" w:color="auto" w:fill="auto"/>
            <w:vAlign w:val="bottom"/>
          </w:tcPr>
          <w:p w14:paraId="11B618C1"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18.7%</w:t>
            </w:r>
          </w:p>
        </w:tc>
        <w:tc>
          <w:tcPr>
            <w:tcW w:w="851" w:type="dxa"/>
            <w:shd w:val="clear" w:color="auto" w:fill="auto"/>
            <w:vAlign w:val="bottom"/>
          </w:tcPr>
          <w:p w14:paraId="11E04DED"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18.7%</w:t>
            </w:r>
          </w:p>
        </w:tc>
        <w:tc>
          <w:tcPr>
            <w:tcW w:w="1134" w:type="dxa"/>
            <w:shd w:val="clear" w:color="auto" w:fill="auto"/>
            <w:vAlign w:val="bottom"/>
          </w:tcPr>
          <w:p w14:paraId="651A3E35"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9.1%</w:t>
            </w:r>
          </w:p>
        </w:tc>
        <w:tc>
          <w:tcPr>
            <w:tcW w:w="921" w:type="dxa"/>
            <w:shd w:val="clear" w:color="auto" w:fill="auto"/>
            <w:vAlign w:val="bottom"/>
          </w:tcPr>
          <w:p w14:paraId="3AD1718A"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-12.9%</w:t>
            </w:r>
          </w:p>
        </w:tc>
      </w:tr>
      <w:tr w:rsidR="00121090" w:rsidRPr="0008735C" w14:paraId="615FB727" w14:textId="77777777" w:rsidTr="0028532D">
        <w:tc>
          <w:tcPr>
            <w:tcW w:w="1347" w:type="dxa"/>
            <w:shd w:val="clear" w:color="auto" w:fill="auto"/>
            <w:vAlign w:val="bottom"/>
          </w:tcPr>
          <w:p w14:paraId="0B0D0B61" w14:textId="77777777" w:rsidR="00121090" w:rsidRPr="008F735E" w:rsidRDefault="00121090" w:rsidP="00345DEF">
            <w:pPr>
              <w:keepNext/>
              <w:keepLines/>
              <w:tabs>
                <w:tab w:val="left" w:pos="106"/>
              </w:tabs>
              <w:spacing w:before="60" w:after="60"/>
              <w:rPr>
                <w:sz w:val="14"/>
                <w:szCs w:val="14"/>
              </w:rPr>
            </w:pPr>
            <w:r>
              <w:rPr>
                <w:sz w:val="14"/>
                <w:szCs w:val="14"/>
              </w:rPr>
              <w:t xml:space="preserve">  </w:t>
            </w:r>
            <w:r>
              <w:rPr>
                <w:b/>
                <w:bCs/>
                <w:sz w:val="14"/>
                <w:szCs w:val="14"/>
              </w:rPr>
              <w:t>Inflation = 2%</w:t>
            </w:r>
          </w:p>
        </w:tc>
        <w:tc>
          <w:tcPr>
            <w:tcW w:w="992" w:type="dxa"/>
            <w:shd w:val="clear" w:color="auto" w:fill="auto"/>
            <w:vAlign w:val="bottom"/>
          </w:tcPr>
          <w:p w14:paraId="0E7A38DF"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737" w:type="dxa"/>
            <w:shd w:val="clear" w:color="auto" w:fill="auto"/>
            <w:vAlign w:val="bottom"/>
          </w:tcPr>
          <w:p w14:paraId="01E47212"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681" w:type="dxa"/>
            <w:shd w:val="clear" w:color="auto" w:fill="auto"/>
            <w:vAlign w:val="bottom"/>
          </w:tcPr>
          <w:p w14:paraId="33F8D2B7"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651" w:type="dxa"/>
            <w:shd w:val="clear" w:color="auto" w:fill="auto"/>
            <w:vAlign w:val="bottom"/>
          </w:tcPr>
          <w:p w14:paraId="6BB87678"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666" w:type="dxa"/>
            <w:shd w:val="clear" w:color="auto" w:fill="auto"/>
            <w:vAlign w:val="bottom"/>
          </w:tcPr>
          <w:p w14:paraId="1EA5CF15"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667" w:type="dxa"/>
            <w:shd w:val="clear" w:color="auto" w:fill="auto"/>
            <w:vAlign w:val="bottom"/>
          </w:tcPr>
          <w:p w14:paraId="5A062B46"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1134" w:type="dxa"/>
            <w:shd w:val="clear" w:color="auto" w:fill="auto"/>
            <w:vAlign w:val="bottom"/>
          </w:tcPr>
          <w:p w14:paraId="39B703AE"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851" w:type="dxa"/>
            <w:shd w:val="clear" w:color="auto" w:fill="auto"/>
            <w:vAlign w:val="bottom"/>
          </w:tcPr>
          <w:p w14:paraId="3D150F97"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1134" w:type="dxa"/>
            <w:shd w:val="clear" w:color="auto" w:fill="auto"/>
            <w:vAlign w:val="bottom"/>
          </w:tcPr>
          <w:p w14:paraId="6C03E47A"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c>
          <w:tcPr>
            <w:tcW w:w="921" w:type="dxa"/>
            <w:shd w:val="clear" w:color="auto" w:fill="auto"/>
            <w:vAlign w:val="bottom"/>
          </w:tcPr>
          <w:p w14:paraId="6C61073E"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 </w:t>
            </w:r>
          </w:p>
        </w:tc>
      </w:tr>
      <w:tr w:rsidR="00121090" w:rsidRPr="0008735C" w14:paraId="54D50C9F" w14:textId="77777777" w:rsidTr="0028532D">
        <w:tc>
          <w:tcPr>
            <w:tcW w:w="1347" w:type="dxa"/>
            <w:shd w:val="clear" w:color="auto" w:fill="auto"/>
            <w:vAlign w:val="bottom"/>
          </w:tcPr>
          <w:p w14:paraId="30024715" w14:textId="77777777" w:rsidR="00121090" w:rsidRPr="008F735E" w:rsidRDefault="00121090" w:rsidP="00345DEF">
            <w:pPr>
              <w:keepNext/>
              <w:keepLines/>
              <w:tabs>
                <w:tab w:val="left" w:pos="106"/>
              </w:tabs>
              <w:spacing w:before="60" w:after="60"/>
              <w:rPr>
                <w:sz w:val="14"/>
                <w:szCs w:val="14"/>
              </w:rPr>
            </w:pPr>
            <w:r>
              <w:rPr>
                <w:sz w:val="14"/>
                <w:szCs w:val="14"/>
              </w:rPr>
              <w:t xml:space="preserve">  b = 0%</w:t>
            </w:r>
          </w:p>
        </w:tc>
        <w:tc>
          <w:tcPr>
            <w:tcW w:w="992" w:type="dxa"/>
            <w:shd w:val="clear" w:color="auto" w:fill="auto"/>
            <w:vAlign w:val="bottom"/>
          </w:tcPr>
          <w:p w14:paraId="626DCA64"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34.6%</w:t>
            </w:r>
          </w:p>
        </w:tc>
        <w:tc>
          <w:tcPr>
            <w:tcW w:w="737" w:type="dxa"/>
            <w:shd w:val="clear" w:color="auto" w:fill="auto"/>
            <w:vAlign w:val="bottom"/>
          </w:tcPr>
          <w:p w14:paraId="28FA4F66"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39.1%</w:t>
            </w:r>
          </w:p>
        </w:tc>
        <w:tc>
          <w:tcPr>
            <w:tcW w:w="681" w:type="dxa"/>
            <w:shd w:val="clear" w:color="auto" w:fill="auto"/>
            <w:vAlign w:val="bottom"/>
          </w:tcPr>
          <w:p w14:paraId="25C4B334"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38.7%</w:t>
            </w:r>
          </w:p>
        </w:tc>
        <w:tc>
          <w:tcPr>
            <w:tcW w:w="651" w:type="dxa"/>
            <w:shd w:val="clear" w:color="auto" w:fill="auto"/>
            <w:vAlign w:val="bottom"/>
          </w:tcPr>
          <w:p w14:paraId="061B9FBF"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36.2%</w:t>
            </w:r>
          </w:p>
        </w:tc>
        <w:tc>
          <w:tcPr>
            <w:tcW w:w="666" w:type="dxa"/>
            <w:shd w:val="clear" w:color="auto" w:fill="auto"/>
            <w:vAlign w:val="bottom"/>
          </w:tcPr>
          <w:p w14:paraId="6CCC0B4C"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33.6%</w:t>
            </w:r>
          </w:p>
        </w:tc>
        <w:tc>
          <w:tcPr>
            <w:tcW w:w="667" w:type="dxa"/>
            <w:shd w:val="clear" w:color="auto" w:fill="auto"/>
            <w:vAlign w:val="bottom"/>
          </w:tcPr>
          <w:p w14:paraId="6ADA4331"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31.7%</w:t>
            </w:r>
          </w:p>
        </w:tc>
        <w:tc>
          <w:tcPr>
            <w:tcW w:w="1134" w:type="dxa"/>
            <w:shd w:val="clear" w:color="auto" w:fill="auto"/>
            <w:vAlign w:val="bottom"/>
          </w:tcPr>
          <w:p w14:paraId="52508DE2"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28.0%</w:t>
            </w:r>
          </w:p>
        </w:tc>
        <w:tc>
          <w:tcPr>
            <w:tcW w:w="851" w:type="dxa"/>
            <w:shd w:val="clear" w:color="auto" w:fill="auto"/>
            <w:vAlign w:val="bottom"/>
          </w:tcPr>
          <w:p w14:paraId="77600445"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39.1%</w:t>
            </w:r>
          </w:p>
        </w:tc>
        <w:tc>
          <w:tcPr>
            <w:tcW w:w="1134" w:type="dxa"/>
            <w:shd w:val="clear" w:color="auto" w:fill="auto"/>
            <w:vAlign w:val="bottom"/>
          </w:tcPr>
          <w:p w14:paraId="3990BDDB"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20.6%</w:t>
            </w:r>
          </w:p>
        </w:tc>
        <w:tc>
          <w:tcPr>
            <w:tcW w:w="921" w:type="dxa"/>
            <w:shd w:val="clear" w:color="auto" w:fill="auto"/>
            <w:vAlign w:val="bottom"/>
          </w:tcPr>
          <w:p w14:paraId="00D05EE4"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0.0%</w:t>
            </w:r>
          </w:p>
        </w:tc>
      </w:tr>
      <w:tr w:rsidR="00121090" w:rsidRPr="0008735C" w14:paraId="2D553576" w14:textId="77777777" w:rsidTr="0028532D">
        <w:tc>
          <w:tcPr>
            <w:tcW w:w="1347" w:type="dxa"/>
            <w:shd w:val="clear" w:color="auto" w:fill="auto"/>
            <w:vAlign w:val="bottom"/>
          </w:tcPr>
          <w:p w14:paraId="0C5207A8" w14:textId="77777777" w:rsidR="00121090" w:rsidRPr="008F735E" w:rsidRDefault="00121090" w:rsidP="00345DEF">
            <w:pPr>
              <w:keepNext/>
              <w:keepLines/>
              <w:tabs>
                <w:tab w:val="left" w:pos="106"/>
              </w:tabs>
              <w:spacing w:before="60" w:after="60"/>
              <w:rPr>
                <w:sz w:val="14"/>
                <w:szCs w:val="14"/>
              </w:rPr>
            </w:pPr>
            <w:r>
              <w:rPr>
                <w:sz w:val="14"/>
                <w:szCs w:val="14"/>
              </w:rPr>
              <w:t xml:space="preserve">  b = 100%</w:t>
            </w:r>
          </w:p>
        </w:tc>
        <w:tc>
          <w:tcPr>
            <w:tcW w:w="992" w:type="dxa"/>
            <w:shd w:val="clear" w:color="auto" w:fill="auto"/>
            <w:vAlign w:val="bottom"/>
          </w:tcPr>
          <w:p w14:paraId="41FC7972"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-7.6%</w:t>
            </w:r>
          </w:p>
        </w:tc>
        <w:tc>
          <w:tcPr>
            <w:tcW w:w="737" w:type="dxa"/>
            <w:shd w:val="clear" w:color="auto" w:fill="auto"/>
            <w:vAlign w:val="bottom"/>
          </w:tcPr>
          <w:p w14:paraId="0DCBD3D9"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3.2%</w:t>
            </w:r>
          </w:p>
        </w:tc>
        <w:tc>
          <w:tcPr>
            <w:tcW w:w="681" w:type="dxa"/>
            <w:shd w:val="clear" w:color="auto" w:fill="auto"/>
            <w:vAlign w:val="bottom"/>
          </w:tcPr>
          <w:p w14:paraId="5F8ADF9B"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2.4%</w:t>
            </w:r>
          </w:p>
        </w:tc>
        <w:tc>
          <w:tcPr>
            <w:tcW w:w="651" w:type="dxa"/>
            <w:shd w:val="clear" w:color="auto" w:fill="auto"/>
            <w:vAlign w:val="bottom"/>
          </w:tcPr>
          <w:p w14:paraId="6DB12ADA"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-3.0%</w:t>
            </w:r>
          </w:p>
        </w:tc>
        <w:tc>
          <w:tcPr>
            <w:tcW w:w="666" w:type="dxa"/>
            <w:shd w:val="clear" w:color="auto" w:fill="auto"/>
            <w:vAlign w:val="bottom"/>
          </w:tcPr>
          <w:p w14:paraId="40C5DC77"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-9.2%</w:t>
            </w:r>
          </w:p>
        </w:tc>
        <w:tc>
          <w:tcPr>
            <w:tcW w:w="667" w:type="dxa"/>
            <w:shd w:val="clear" w:color="auto" w:fill="auto"/>
            <w:vAlign w:val="bottom"/>
          </w:tcPr>
          <w:p w14:paraId="01A79109"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-14.8%</w:t>
            </w:r>
          </w:p>
        </w:tc>
        <w:tc>
          <w:tcPr>
            <w:tcW w:w="1134" w:type="dxa"/>
            <w:shd w:val="clear" w:color="auto" w:fill="auto"/>
            <w:vAlign w:val="bottom"/>
          </w:tcPr>
          <w:p w14:paraId="1473A48B"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-28.4%</w:t>
            </w:r>
          </w:p>
        </w:tc>
        <w:tc>
          <w:tcPr>
            <w:tcW w:w="851" w:type="dxa"/>
            <w:shd w:val="clear" w:color="auto" w:fill="auto"/>
            <w:vAlign w:val="bottom"/>
          </w:tcPr>
          <w:p w14:paraId="337C2AA9"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3.2%</w:t>
            </w:r>
          </w:p>
        </w:tc>
        <w:tc>
          <w:tcPr>
            <w:tcW w:w="1134" w:type="dxa"/>
            <w:shd w:val="clear" w:color="auto" w:fill="auto"/>
            <w:vAlign w:val="bottom"/>
          </w:tcPr>
          <w:p w14:paraId="3D7D6348"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-54.0%</w:t>
            </w:r>
          </w:p>
        </w:tc>
        <w:tc>
          <w:tcPr>
            <w:tcW w:w="921" w:type="dxa"/>
            <w:shd w:val="clear" w:color="auto" w:fill="auto"/>
            <w:vAlign w:val="bottom"/>
          </w:tcPr>
          <w:p w14:paraId="0E56A719"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-78.3%</w:t>
            </w:r>
          </w:p>
        </w:tc>
      </w:tr>
      <w:tr w:rsidR="00121090" w:rsidRPr="0008735C" w14:paraId="61AF9B18" w14:textId="77777777" w:rsidTr="0028532D">
        <w:tc>
          <w:tcPr>
            <w:tcW w:w="1347" w:type="dxa"/>
            <w:shd w:val="clear" w:color="auto" w:fill="auto"/>
            <w:vAlign w:val="bottom"/>
          </w:tcPr>
          <w:p w14:paraId="38F0BF5E" w14:textId="77777777" w:rsidR="00121090" w:rsidRPr="008F735E" w:rsidRDefault="00121090" w:rsidP="00345DEF">
            <w:pPr>
              <w:keepNext/>
              <w:keepLines/>
              <w:tabs>
                <w:tab w:val="left" w:pos="106"/>
              </w:tabs>
              <w:spacing w:before="60" w:after="60"/>
              <w:rPr>
                <w:sz w:val="14"/>
                <w:szCs w:val="14"/>
              </w:rPr>
            </w:pPr>
            <w:r>
              <w:rPr>
                <w:sz w:val="14"/>
                <w:szCs w:val="14"/>
              </w:rPr>
              <w:t xml:space="preserve">  b = 43%</w:t>
            </w:r>
          </w:p>
        </w:tc>
        <w:tc>
          <w:tcPr>
            <w:tcW w:w="992" w:type="dxa"/>
            <w:shd w:val="clear" w:color="auto" w:fill="auto"/>
            <w:vAlign w:val="bottom"/>
          </w:tcPr>
          <w:p w14:paraId="06EA4847"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21.3%</w:t>
            </w:r>
          </w:p>
        </w:tc>
        <w:tc>
          <w:tcPr>
            <w:tcW w:w="737" w:type="dxa"/>
            <w:shd w:val="clear" w:color="auto" w:fill="auto"/>
            <w:vAlign w:val="bottom"/>
          </w:tcPr>
          <w:p w14:paraId="64E37813"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27.6%</w:t>
            </w:r>
          </w:p>
        </w:tc>
        <w:tc>
          <w:tcPr>
            <w:tcW w:w="681" w:type="dxa"/>
            <w:shd w:val="clear" w:color="auto" w:fill="auto"/>
            <w:vAlign w:val="bottom"/>
          </w:tcPr>
          <w:p w14:paraId="05825828"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27.0%</w:t>
            </w:r>
          </w:p>
        </w:tc>
        <w:tc>
          <w:tcPr>
            <w:tcW w:w="651" w:type="dxa"/>
            <w:shd w:val="clear" w:color="auto" w:fill="auto"/>
            <w:vAlign w:val="bottom"/>
          </w:tcPr>
          <w:p w14:paraId="747CB58B"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23.7%</w:t>
            </w:r>
          </w:p>
        </w:tc>
        <w:tc>
          <w:tcPr>
            <w:tcW w:w="666" w:type="dxa"/>
            <w:shd w:val="clear" w:color="auto" w:fill="auto"/>
            <w:vAlign w:val="bottom"/>
          </w:tcPr>
          <w:p w14:paraId="6F4D8C7B"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20.1%</w:t>
            </w:r>
          </w:p>
        </w:tc>
        <w:tc>
          <w:tcPr>
            <w:tcW w:w="667" w:type="dxa"/>
            <w:shd w:val="clear" w:color="auto" w:fill="auto"/>
            <w:vAlign w:val="bottom"/>
          </w:tcPr>
          <w:p w14:paraId="0D13359C"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17.3%</w:t>
            </w:r>
          </w:p>
        </w:tc>
        <w:tc>
          <w:tcPr>
            <w:tcW w:w="1134" w:type="dxa"/>
            <w:shd w:val="clear" w:color="auto" w:fill="auto"/>
            <w:vAlign w:val="bottom"/>
          </w:tcPr>
          <w:p w14:paraId="34FC5CF1"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11.2%</w:t>
            </w:r>
          </w:p>
        </w:tc>
        <w:tc>
          <w:tcPr>
            <w:tcW w:w="851" w:type="dxa"/>
            <w:shd w:val="clear" w:color="auto" w:fill="auto"/>
            <w:vAlign w:val="bottom"/>
          </w:tcPr>
          <w:p w14:paraId="50865707"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27.6%</w:t>
            </w:r>
          </w:p>
        </w:tc>
        <w:tc>
          <w:tcPr>
            <w:tcW w:w="1134" w:type="dxa"/>
            <w:shd w:val="clear" w:color="auto" w:fill="auto"/>
            <w:vAlign w:val="bottom"/>
          </w:tcPr>
          <w:p w14:paraId="4CC57A57"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-0.3%</w:t>
            </w:r>
          </w:p>
        </w:tc>
        <w:tc>
          <w:tcPr>
            <w:tcW w:w="921" w:type="dxa"/>
            <w:shd w:val="clear" w:color="auto" w:fill="auto"/>
            <w:vAlign w:val="bottom"/>
          </w:tcPr>
          <w:p w14:paraId="4EF32A6E" w14:textId="77777777" w:rsidR="00121090" w:rsidRPr="0008735C" w:rsidRDefault="00121090" w:rsidP="00345DEF">
            <w:pPr>
              <w:keepNext/>
              <w:keepLines/>
              <w:tabs>
                <w:tab w:val="decimal" w:pos="256"/>
              </w:tabs>
              <w:spacing w:before="60" w:after="60"/>
              <w:jc w:val="center"/>
              <w:rPr>
                <w:sz w:val="14"/>
                <w:szCs w:val="14"/>
              </w:rPr>
            </w:pPr>
            <w:r w:rsidRPr="0008735C">
              <w:rPr>
                <w:rFonts w:cs="Calibri"/>
                <w:color w:val="000000"/>
                <w:sz w:val="14"/>
                <w:szCs w:val="14"/>
              </w:rPr>
              <w:t>-23.3%</w:t>
            </w:r>
          </w:p>
        </w:tc>
      </w:tr>
    </w:tbl>
    <w:p w14:paraId="7D30EFCA" w14:textId="14E5B235" w:rsidR="00F119EE" w:rsidRDefault="00F119EE" w:rsidP="000C1388">
      <w:pPr>
        <w:pStyle w:val="NumberedParagraph"/>
        <w:numPr>
          <w:ilvl w:val="1"/>
          <w:numId w:val="64"/>
        </w:numPr>
      </w:pPr>
      <w:r>
        <w:t>There are, however, two important things to note.</w:t>
      </w:r>
    </w:p>
    <w:p w14:paraId="596C0FD1" w14:textId="4E1AFECD" w:rsidR="00F119EE" w:rsidRDefault="00F119EE" w:rsidP="000C1388">
      <w:pPr>
        <w:pStyle w:val="NumberedParagraph"/>
        <w:numPr>
          <w:ilvl w:val="1"/>
          <w:numId w:val="64"/>
        </w:numPr>
      </w:pPr>
      <w:r>
        <w:t>The first point to note is that</w:t>
      </w:r>
      <w:r w:rsidR="00E14DA9">
        <w:t>,</w:t>
      </w:r>
      <w:r>
        <w:t xml:space="preserve"> even with no inflation, tax neutrality will not be achieved if tax depreciation rates and economic depreciation rates do not coincide. In particular, for fully equity</w:t>
      </w:r>
      <w:r w:rsidR="00E14DA9">
        <w:t>-</w:t>
      </w:r>
      <w:r>
        <w:t xml:space="preserve">financed investment, EMTRs will be greater than 28% if tax depreciation is slower than economic depreciation and less than 28% </w:t>
      </w:r>
      <w:r w:rsidR="009C2194">
        <w:t xml:space="preserve">if </w:t>
      </w:r>
      <w:r>
        <w:t>economic income is only partially taxed or if tax depreciation is quicker than economic depreciation. For example</w:t>
      </w:r>
      <w:r w:rsidR="009C2194">
        <w:t>,</w:t>
      </w:r>
      <w:r>
        <w:t xml:space="preserve"> the EMTR rises to 30.7% if economic depreciation is 2.69% DV for commercial and industrial buildings but tax depreciation is only 2.00%.</w:t>
      </w:r>
    </w:p>
    <w:p w14:paraId="21A7B372" w14:textId="2308B5D4" w:rsidR="00F119EE" w:rsidRDefault="00F119EE" w:rsidP="000C1388">
      <w:pPr>
        <w:pStyle w:val="NumberedParagraph"/>
        <w:numPr>
          <w:ilvl w:val="1"/>
          <w:numId w:val="64"/>
        </w:numPr>
      </w:pPr>
      <w:r>
        <w:t>If capital expenditure can be expensed, EMTRs will be 0% if investments are fully equity financed and negative if investments are partly debt financed. To consider the fully equity</w:t>
      </w:r>
      <w:r w:rsidR="00C86D77">
        <w:t>-</w:t>
      </w:r>
      <w:r>
        <w:t>financed case, suppose that there is no inflation. Suppose that marginal foreign shareholders demand a 3% return on their capital. If there were no tax, an investment that cost $1</w:t>
      </w:r>
      <w:r w:rsidR="00F14543">
        <w:t>0</w:t>
      </w:r>
      <w:r>
        <w:t>,000 at the end of year 0 and provided revenue of $30</w:t>
      </w:r>
      <w:r w:rsidR="00F14543">
        <w:t>0</w:t>
      </w:r>
      <w:r>
        <w:t xml:space="preserve"> at the end of each subsequent year would be a break</w:t>
      </w:r>
      <w:r w:rsidR="000A1709">
        <w:t>-</w:t>
      </w:r>
      <w:r>
        <w:t xml:space="preserve">even investment because it provides marginal shareholders with the return they require. Suppose, however, that there is now a 28% company tax </w:t>
      </w:r>
      <w:r>
        <w:lastRenderedPageBreak/>
        <w:t>rate and capital can be expensed. Tax will reduce the cost of the investment by 28%. It will also reduce revenues from the investment by 28%. But taxes will not affect the after-tax rate of return because costs and benefits fall by the same proportion. As the cost of capital will remain 3%</w:t>
      </w:r>
      <w:r w:rsidR="0094739F">
        <w:t>,</w:t>
      </w:r>
      <w:r>
        <w:t xml:space="preserve"> the EMTR will be 0%.</w:t>
      </w:r>
    </w:p>
    <w:p w14:paraId="399BF32F" w14:textId="64712105" w:rsidR="00F119EE" w:rsidRDefault="00F119EE" w:rsidP="000C1388">
      <w:pPr>
        <w:pStyle w:val="NumberedParagraph"/>
        <w:numPr>
          <w:ilvl w:val="1"/>
          <w:numId w:val="64"/>
        </w:numPr>
      </w:pPr>
      <w:r>
        <w:t xml:space="preserve">If the investment is partly debt financed, not only is the full cost of the asset immediately deductible, </w:t>
      </w:r>
      <w:r w:rsidR="00065B07">
        <w:t xml:space="preserve">but </w:t>
      </w:r>
      <w:r>
        <w:t xml:space="preserve">there will also be a stream of interest deductions. This causes the cost of capital to fall below 3.0% and the EMTR to become negative. It becomes marginal to invest at a lower pre-tax rate of return than the cost of funds to the economy and investment is effectively being subsidised. In </w:t>
      </w:r>
      <w:r w:rsidR="00491F79">
        <w:t>t</w:t>
      </w:r>
      <w:r>
        <w:t>able 4.1 above</w:t>
      </w:r>
      <w:r w:rsidR="0002209B">
        <w:t>,</w:t>
      </w:r>
      <w:r>
        <w:t xml:space="preserve"> we see that</w:t>
      </w:r>
      <w:r w:rsidR="0002209B">
        <w:t>,</w:t>
      </w:r>
      <w:r>
        <w:t xml:space="preserve"> with 0% inflation</w:t>
      </w:r>
      <w:r w:rsidR="0002209B">
        <w:t>,</w:t>
      </w:r>
      <w:r>
        <w:t xml:space="preserve"> the EMTR is 0.0% if investment is fully equity financed and -12.9% if 43% debt financed.</w:t>
      </w:r>
    </w:p>
    <w:p w14:paraId="2ECD1297" w14:textId="630CABA2" w:rsidR="00F119EE" w:rsidRDefault="00F119EE" w:rsidP="000C1388">
      <w:pPr>
        <w:pStyle w:val="NumberedParagraph"/>
        <w:numPr>
          <w:ilvl w:val="1"/>
          <w:numId w:val="64"/>
        </w:numPr>
      </w:pPr>
      <w:r>
        <w:t xml:space="preserve">Even in the absence of inflation, difficulties in measuring </w:t>
      </w:r>
      <w:r w:rsidR="00710351">
        <w:t xml:space="preserve">or applying </w:t>
      </w:r>
      <w:r>
        <w:t>economic depreciation or deliberate decisions to provide certain tax concessions will lead to a variety of EMTRs.</w:t>
      </w:r>
    </w:p>
    <w:p w14:paraId="0C4EED65" w14:textId="2AE57250" w:rsidR="00F119EE" w:rsidRDefault="00F119EE" w:rsidP="000C1388">
      <w:pPr>
        <w:pStyle w:val="NumberedParagraph"/>
        <w:numPr>
          <w:ilvl w:val="1"/>
          <w:numId w:val="64"/>
        </w:numPr>
      </w:pPr>
      <w:r>
        <w:t>The second point to note, however, is that even if depreciation deductions reflect</w:t>
      </w:r>
      <w:r w:rsidR="009B4D84">
        <w:t>ed</w:t>
      </w:r>
      <w:r>
        <w:t xml:space="preserve"> economic depreciation, small levels of inflation can upset the neutrality result. There are two key ways in which inflation can push up EMTRs and discourage investment. First, inflation can erode the real value of depreciation deductions.</w:t>
      </w:r>
    </w:p>
    <w:p w14:paraId="4AF5FA8E" w14:textId="270E5346" w:rsidR="00F119EE" w:rsidRDefault="00F119EE" w:rsidP="000C1388">
      <w:pPr>
        <w:pStyle w:val="NumberedParagraph"/>
        <w:numPr>
          <w:ilvl w:val="1"/>
          <w:numId w:val="64"/>
        </w:numPr>
      </w:pPr>
      <w:r>
        <w:t>Suppose that an asset is purchased at a cost of $1</w:t>
      </w:r>
      <w:r w:rsidR="00001A21">
        <w:t>0</w:t>
      </w:r>
      <w:r>
        <w:t>,000 at the end of year 0 and economic depreciation is 20%DV. In the absence of inflation, it would be worth $8</w:t>
      </w:r>
      <w:r w:rsidR="00001A21">
        <w:t>,0</w:t>
      </w:r>
      <w:r>
        <w:t>00 at the end of year 1, $6</w:t>
      </w:r>
      <w:r w:rsidR="00001A21">
        <w:t>,</w:t>
      </w:r>
      <w:r>
        <w:t>4</w:t>
      </w:r>
      <w:r w:rsidR="00001A21">
        <w:t>0</w:t>
      </w:r>
      <w:r>
        <w:t>0 at the end of year 2 and so forth. Also suppose that this is captured in depreciation schedules appropriately and the asset qualifies for 20% DV tax depreciation. This depreciation is a true cost of doing business and, in the absence of inflation, this true cost would be deductible. The firm would be able to claim depreciation of $2</w:t>
      </w:r>
      <w:r w:rsidR="002E1485">
        <w:t>,00</w:t>
      </w:r>
      <w:r>
        <w:t>0 over year 1, $1</w:t>
      </w:r>
      <w:r w:rsidR="002E1485">
        <w:t>,</w:t>
      </w:r>
      <w:r>
        <w:t>6</w:t>
      </w:r>
      <w:r w:rsidR="002E1485">
        <w:t>00</w:t>
      </w:r>
      <w:r>
        <w:t xml:space="preserve"> over year 2 and so forth.</w:t>
      </w:r>
    </w:p>
    <w:p w14:paraId="599A02A2" w14:textId="1A7EBFA2" w:rsidR="00F119EE" w:rsidRDefault="00F119EE" w:rsidP="000C1388">
      <w:pPr>
        <w:pStyle w:val="NumberedParagraph"/>
        <w:numPr>
          <w:ilvl w:val="1"/>
          <w:numId w:val="64"/>
        </w:numPr>
      </w:pPr>
      <w:r>
        <w:t>Suppose, however, there is 2% inflation per annum</w:t>
      </w:r>
      <w:r w:rsidR="00567DCC">
        <w:t>,</w:t>
      </w:r>
      <w:r>
        <w:t xml:space="preserve"> so the value of money is falling by 2% per annum. To maintain the real value of depreciation deductions</w:t>
      </w:r>
      <w:r w:rsidR="007949D6">
        <w:t>,</w:t>
      </w:r>
      <w:r>
        <w:t xml:space="preserve"> the firm would need to be able to deduct $2</w:t>
      </w:r>
      <w:r w:rsidR="002E1485">
        <w:t>,</w:t>
      </w:r>
      <w:r>
        <w:t xml:space="preserve">040 in year </w:t>
      </w:r>
      <w:r w:rsidR="007949D6">
        <w:t xml:space="preserve">1 </w:t>
      </w:r>
      <w:r>
        <w:t>(namely, $2</w:t>
      </w:r>
      <w:r w:rsidR="002E1485">
        <w:t>,</w:t>
      </w:r>
      <w:r>
        <w:t>0</w:t>
      </w:r>
      <w:r w:rsidR="002E1485">
        <w:t>00</w:t>
      </w:r>
      <w:r>
        <w:t>x1.02), $1</w:t>
      </w:r>
      <w:r w:rsidR="0047415A">
        <w:t>,</w:t>
      </w:r>
      <w:r>
        <w:t>665 in year 2 (namely $1</w:t>
      </w:r>
      <w:r w:rsidR="0047415A">
        <w:t>,</w:t>
      </w:r>
      <w:r>
        <w:t>6</w:t>
      </w:r>
      <w:r w:rsidR="0047415A">
        <w:t>00</w:t>
      </w:r>
      <w:r>
        <w:t>x1.02x1.02) and so forth. The fact that depreciation deductions are not adjusted to take account of inflation will tend to push up costs of capital for fully</w:t>
      </w:r>
      <w:r w:rsidR="00812377">
        <w:t xml:space="preserve"> </w:t>
      </w:r>
      <w:r>
        <w:t>equity</w:t>
      </w:r>
      <w:r w:rsidR="00812377">
        <w:t>-</w:t>
      </w:r>
      <w:r>
        <w:t>financed investment in depreciable assets. Note, however, that if someone invests in a zero-depreciation asset and this receives economic depreciation (</w:t>
      </w:r>
      <w:r w:rsidR="00812377">
        <w:t>that is</w:t>
      </w:r>
      <w:r>
        <w:t>, no depreciation), there will not be any similar penalty caused by inflation. As no depreciation is allowed, it does not matter whether the zero</w:t>
      </w:r>
      <w:r w:rsidR="00812377">
        <w:t>-</w:t>
      </w:r>
      <w:r>
        <w:t>depreciation deduction is adjusted for inflation. This creates a tax bias between investing in assets that depreciate and those that don’t.</w:t>
      </w:r>
    </w:p>
    <w:p w14:paraId="0463F405" w14:textId="6770FA4D" w:rsidR="00F119EE" w:rsidRDefault="00F119EE" w:rsidP="000C1388">
      <w:pPr>
        <w:pStyle w:val="NumberedParagraph"/>
        <w:numPr>
          <w:ilvl w:val="1"/>
          <w:numId w:val="64"/>
        </w:numPr>
      </w:pPr>
      <w:r>
        <w:t>Inflation can also erode the value of deductions for inventory. Suppose that an item of inventory is fully equity financed and purchased at the end of year 0 for $1</w:t>
      </w:r>
      <w:r w:rsidR="00983F58">
        <w:t>0</w:t>
      </w:r>
      <w:r>
        <w:t>,000. Suppose that it is sold one year later for $10</w:t>
      </w:r>
      <w:r w:rsidR="00F74FCE">
        <w:t>,</w:t>
      </w:r>
      <w:r>
        <w:t>41</w:t>
      </w:r>
      <w:r w:rsidR="00F74FCE">
        <w:t>6</w:t>
      </w:r>
      <w:r>
        <w:t>.67. If there were no inflation, this would be a break</w:t>
      </w:r>
      <w:r w:rsidR="000A1709">
        <w:t>-</w:t>
      </w:r>
      <w:r>
        <w:t>even investment. The deduction for the $1</w:t>
      </w:r>
      <w:r w:rsidR="00F74FCE">
        <w:t>0</w:t>
      </w:r>
      <w:r>
        <w:t xml:space="preserve">,000 cost of the inventory </w:t>
      </w:r>
      <w:r w:rsidR="009D60BB">
        <w:t xml:space="preserve">in year 0 </w:t>
      </w:r>
      <w:r>
        <w:t>would be fully offset by an increase in the value of stock</w:t>
      </w:r>
      <w:r w:rsidR="009D60BB">
        <w:t xml:space="preserve"> on hand</w:t>
      </w:r>
      <w:r>
        <w:t xml:space="preserve"> of $1</w:t>
      </w:r>
      <w:r w:rsidR="00F74FCE">
        <w:t>0</w:t>
      </w:r>
      <w:r>
        <w:t>,000 in that year. The $1</w:t>
      </w:r>
      <w:r w:rsidR="00F74FCE">
        <w:t>0,</w:t>
      </w:r>
      <w:r>
        <w:t>000 would end up being deducted when the inventory is sold in the next year. If there were no inflation, the firm would pay tax of $11</w:t>
      </w:r>
      <w:r w:rsidR="00526F45">
        <w:t>6</w:t>
      </w:r>
      <w:r>
        <w:t>.67 and end up with the $10</w:t>
      </w:r>
      <w:r w:rsidR="00526F45">
        <w:t>,</w:t>
      </w:r>
      <w:r>
        <w:t>30</w:t>
      </w:r>
      <w:r w:rsidR="00526F45">
        <w:t>0</w:t>
      </w:r>
      <w:r>
        <w:t xml:space="preserve"> that shareholders demand. Suppose that there is 2% inflation, however, and the asset is sold for a real value of $10</w:t>
      </w:r>
      <w:r w:rsidR="00526F45">
        <w:t>,</w:t>
      </w:r>
      <w:r>
        <w:t>41</w:t>
      </w:r>
      <w:r w:rsidR="00526F45">
        <w:t>6</w:t>
      </w:r>
      <w:r>
        <w:t>.67. The real value of the deduction the firm receives w</w:t>
      </w:r>
      <w:r w:rsidR="00D35605">
        <w:t>ould</w:t>
      </w:r>
      <w:r>
        <w:t xml:space="preserve"> only be $9</w:t>
      </w:r>
      <w:r w:rsidR="00D92194">
        <w:t>,</w:t>
      </w:r>
      <w:r>
        <w:t>803</w:t>
      </w:r>
      <w:r w:rsidR="00D92194">
        <w:t>.</w:t>
      </w:r>
      <w:r>
        <w:t>9</w:t>
      </w:r>
      <w:r w:rsidR="00D92194">
        <w:t>2</w:t>
      </w:r>
      <w:r>
        <w:t xml:space="preserve"> </w:t>
      </w:r>
      <w:r w:rsidR="007D2BCB">
        <w:t>so</w:t>
      </w:r>
      <w:r>
        <w:t xml:space="preserve"> the </w:t>
      </w:r>
      <w:r w:rsidR="007D2BCB">
        <w:t>firm w</w:t>
      </w:r>
      <w:r w:rsidR="00D35605">
        <w:t>ould</w:t>
      </w:r>
      <w:r w:rsidR="007D2BCB">
        <w:t xml:space="preserve"> pay tax of $171.37</w:t>
      </w:r>
      <w:r w:rsidR="00D35605">
        <w:t xml:space="preserve"> which is 28% of ($10,416.6</w:t>
      </w:r>
      <w:r w:rsidR="00BA5CC0">
        <w:t>7</w:t>
      </w:r>
      <w:r w:rsidR="00D35605">
        <w:t xml:space="preserve"> minus $9,803.92</w:t>
      </w:r>
      <w:r w:rsidR="00BA5CC0">
        <w:t xml:space="preserve">). The firm would end up with $10,245.10 after tax ($10,416.67 minus $171.37) which is less than what </w:t>
      </w:r>
      <w:r w:rsidR="00BA5CC0">
        <w:lastRenderedPageBreak/>
        <w:t xml:space="preserve">shareholders require. </w:t>
      </w:r>
      <w:r>
        <w:t xml:space="preserve"> </w:t>
      </w:r>
      <w:r w:rsidR="00B02C9D">
        <w:t>Thus,</w:t>
      </w:r>
      <w:r>
        <w:t xml:space="preserve"> deductions for inventories will also be eroded by inflation.</w:t>
      </w:r>
    </w:p>
    <w:p w14:paraId="09951E44" w14:textId="1D0FBCF2" w:rsidR="00F119EE" w:rsidRDefault="00F119EE" w:rsidP="000C1388">
      <w:pPr>
        <w:pStyle w:val="NumberedParagraph"/>
        <w:numPr>
          <w:ilvl w:val="1"/>
          <w:numId w:val="64"/>
        </w:numPr>
      </w:pPr>
      <w:r>
        <w:t>There is, of course, an important offset. If there is a real interest rate of 3% and inflation of 2%, firms will be able to deduct nominal interest expense of roughly 5%</w:t>
      </w:r>
      <w:r w:rsidR="00436E66">
        <w:t>,</w:t>
      </w:r>
      <w:r>
        <w:t xml:space="preserve"> even though only 3% is a real interest cost. This will lead to over</w:t>
      </w:r>
      <w:r w:rsidR="003431ED">
        <w:t>-</w:t>
      </w:r>
      <w:r>
        <w:t>deductions for interest.</w:t>
      </w:r>
    </w:p>
    <w:p w14:paraId="38B6BDE4" w14:textId="0628F5D7" w:rsidR="00F119EE" w:rsidRDefault="00F119EE" w:rsidP="000C1388">
      <w:pPr>
        <w:pStyle w:val="NumberedParagraph"/>
        <w:numPr>
          <w:ilvl w:val="1"/>
          <w:numId w:val="64"/>
        </w:numPr>
      </w:pPr>
      <w:r>
        <w:t xml:space="preserve">These effects are being picked up in </w:t>
      </w:r>
      <w:r w:rsidR="00B02401">
        <w:t>t</w:t>
      </w:r>
      <w:r>
        <w:t xml:space="preserve">able 4.1. First consider zero-depreciation assets. Consider a firm </w:t>
      </w:r>
      <w:r w:rsidR="00B02401">
        <w:t>that</w:t>
      </w:r>
      <w:r>
        <w:t xml:space="preserve"> is 43% debt financed. This firm benefits by being able to deduct the inflationary component of interest expense but faces no offsetting penalty. There is no erosion of depreciation deductions because zero-depreciation assets should not qualify for depreciation deductions. This reduces the EMTR from 18.7% to 11.</w:t>
      </w:r>
      <w:r w:rsidR="007501C8">
        <w:t>2</w:t>
      </w:r>
      <w:r>
        <w:t>%. Similarly</w:t>
      </w:r>
      <w:r w:rsidR="007367C7">
        <w:t>,</w:t>
      </w:r>
      <w:r>
        <w:t xml:space="preserve"> appreciating assets and assets where capital expenditure can be expensed also benefit from being able to deduct the inflationary component of interest expense without any tax penalty on the income side. EMTRs for these two assets fall from 9.</w:t>
      </w:r>
      <w:r w:rsidR="00231DCE">
        <w:t>1</w:t>
      </w:r>
      <w:r>
        <w:t xml:space="preserve">% to </w:t>
      </w:r>
      <w:r w:rsidR="00130246">
        <w:noBreakHyphen/>
      </w:r>
      <w:r>
        <w:t>0.3% and from -12.9% to -23.3% respectively.</w:t>
      </w:r>
    </w:p>
    <w:p w14:paraId="6AB22F0C" w14:textId="3E0F8380" w:rsidR="00F4765F" w:rsidRDefault="00987CEC" w:rsidP="00C72548">
      <w:pPr>
        <w:pStyle w:val="NumberedParagraph"/>
      </w:pPr>
      <w:r>
        <w:t>However, for most types of investment, EMTRs are likely to rise. In particular, for very short-lived investment in depreciable assets and for inventory, EMTRs can rise from 18.7% to 27.6% with 43% debt financing. Most often, inflation is likely to be pushing up EMTRs. This is likely to be discouraging investment in certain business (including those that have faster depreciating assets or inventories) and reducing the productivity of New Zealand’s capital stock.</w:t>
      </w:r>
      <w:r>
        <w:rPr>
          <w:rStyle w:val="FootnoteReference"/>
        </w:rPr>
        <w:footnoteReference w:id="37"/>
      </w:r>
      <w:r>
        <w:t xml:space="preserve"> Some assets that may be associated with technological diffusion such as computers and software have high economic rates of depreciation.</w:t>
      </w:r>
    </w:p>
    <w:p w14:paraId="490005E8" w14:textId="6D8BCEFC" w:rsidR="00D02A6F" w:rsidRDefault="00D02A6F" w:rsidP="00987CEC">
      <w:pPr>
        <w:pStyle w:val="NumberedParagraph"/>
      </w:pPr>
      <w:r>
        <w:t xml:space="preserve">The maximum inflation rate considered in Table 2.1 is 2.0% per annum. Current inflation rates are considerably higher. If higher inflation rate were to continue into the future, distortions </w:t>
      </w:r>
      <w:r w:rsidR="00514EBA">
        <w:t xml:space="preserve">caused by variability in EMTRs </w:t>
      </w:r>
      <w:r>
        <w:t>would be greater than those reported in Table 2.1.</w:t>
      </w:r>
    </w:p>
    <w:p w14:paraId="69D36AEC" w14:textId="1B733219" w:rsidR="00F119EE" w:rsidRDefault="00F119EE" w:rsidP="00987CEC">
      <w:pPr>
        <w:pStyle w:val="NumberedParagraph"/>
      </w:pPr>
      <w:r>
        <w:t xml:space="preserve">The impact of inflation depends on the real interest rate assumed. If the real interest rate rises, this will tend to reduce biases caused by inflation. This is discussed further in </w:t>
      </w:r>
      <w:r w:rsidR="00E97167">
        <w:t>a</w:t>
      </w:r>
      <w:r>
        <w:t xml:space="preserve">ppendix 2 of the </w:t>
      </w:r>
      <w:proofErr w:type="gramStart"/>
      <w:r>
        <w:rPr>
          <w:i/>
          <w:iCs/>
        </w:rPr>
        <w:t>Technical</w:t>
      </w:r>
      <w:proofErr w:type="gramEnd"/>
      <w:r>
        <w:rPr>
          <w:i/>
          <w:iCs/>
        </w:rPr>
        <w:t xml:space="preserve"> </w:t>
      </w:r>
      <w:r w:rsidR="00E97167">
        <w:rPr>
          <w:i/>
          <w:iCs/>
        </w:rPr>
        <w:t>a</w:t>
      </w:r>
      <w:r>
        <w:rPr>
          <w:i/>
          <w:iCs/>
        </w:rPr>
        <w:t>ppendices.</w:t>
      </w:r>
    </w:p>
    <w:p w14:paraId="6EB9BD3E" w14:textId="77777777" w:rsidR="00F119EE" w:rsidRPr="009C1F81" w:rsidRDefault="00F119EE" w:rsidP="00F119EE">
      <w:pPr>
        <w:pStyle w:val="Heading2"/>
        <w:rPr>
          <w:rFonts w:eastAsia="Calibri"/>
          <w:lang w:eastAsia="en-US"/>
        </w:rPr>
      </w:pPr>
      <w:bookmarkStart w:id="30" w:name="_Toc112857408"/>
      <w:r w:rsidRPr="009C1F81">
        <w:rPr>
          <w:rFonts w:eastAsia="Calibri"/>
          <w:lang w:eastAsia="en-US"/>
        </w:rPr>
        <w:t>Non-resident withholding tax (NRWT)</w:t>
      </w:r>
      <w:r>
        <w:rPr>
          <w:rFonts w:eastAsia="Calibri"/>
          <w:lang w:eastAsia="en-US"/>
        </w:rPr>
        <w:t xml:space="preserve"> on interest and foreign-controlled companies</w:t>
      </w:r>
      <w:bookmarkEnd w:id="30"/>
    </w:p>
    <w:p w14:paraId="669DE7BC" w14:textId="47942CC3" w:rsidR="00F119EE" w:rsidRDefault="00F119EE" w:rsidP="000C1388">
      <w:pPr>
        <w:pStyle w:val="NumberedParagraph"/>
        <w:numPr>
          <w:ilvl w:val="1"/>
          <w:numId w:val="64"/>
        </w:numPr>
      </w:pPr>
      <w:r>
        <w:t>As has been discussed previously</w:t>
      </w:r>
      <w:r w:rsidR="0029480D">
        <w:t>,</w:t>
      </w:r>
      <w:r>
        <w:t xml:space="preserve"> NRWT on interest is unlikely to be levied very often on borrowings by companies that are not foreign controlled. For the companies analysed so far in this chapter, AIL is likely to be the main tax that is applied on interest payments overseas. However, foreign-controlled companies are required to levy NRWT rather than AIL</w:t>
      </w:r>
      <w:r w:rsidR="001D7CB9">
        <w:t xml:space="preserve"> on interest payments to related parties</w:t>
      </w:r>
      <w:r>
        <w:t>.</w:t>
      </w:r>
    </w:p>
    <w:p w14:paraId="52D00D02" w14:textId="02BF1D0C" w:rsidR="00F119EE" w:rsidRDefault="00F119EE" w:rsidP="000C1388">
      <w:pPr>
        <w:pStyle w:val="NumberedParagraph"/>
        <w:numPr>
          <w:ilvl w:val="1"/>
          <w:numId w:val="64"/>
        </w:numPr>
      </w:pPr>
      <w:r>
        <w:t xml:space="preserve">NRWT on interest may be levied at rates of either 15% or 10%. NRWT on interest is normally levied at a rate of 10% </w:t>
      </w:r>
      <w:r w:rsidR="00D566F8">
        <w:t>because</w:t>
      </w:r>
      <w:r>
        <w:t xml:space="preserve"> of double tax agreements (DTAs). Foreign lenders will, at times, be able to claim tax credits for NRWT on interest</w:t>
      </w:r>
      <w:r w:rsidR="00664355">
        <w:t>,</w:t>
      </w:r>
      <w:r>
        <w:t xml:space="preserve"> which can reduce foreign taxes dollar for dollar with NRWT collected </w:t>
      </w:r>
      <w:r>
        <w:lastRenderedPageBreak/>
        <w:t>in New Zealand. In this case, NRWT would not be expected to be driving up costs of capital. Often, however, NRWT will not be creditable or at least not creditable in full. In these cases</w:t>
      </w:r>
      <w:r w:rsidR="00664355">
        <w:t>,</w:t>
      </w:r>
      <w:r>
        <w:t xml:space="preserve"> NRWT levied in New Zealand would be expected to be increasing costs of capital.</w:t>
      </w:r>
    </w:p>
    <w:p w14:paraId="128FED48" w14:textId="465DD925" w:rsidR="00F119EE" w:rsidRDefault="00F119EE" w:rsidP="000C1388">
      <w:pPr>
        <w:pStyle w:val="NumberedParagraph"/>
        <w:numPr>
          <w:ilvl w:val="1"/>
          <w:numId w:val="64"/>
        </w:numPr>
      </w:pPr>
      <w:r>
        <w:t xml:space="preserve">The levies and taxes imposed by way of AIL and NRWT can create some biases between costs of capital and EMTRs for different firms with marginal foreign shareholders. For domestic companies </w:t>
      </w:r>
      <w:r w:rsidR="00DB1145">
        <w:t>that</w:t>
      </w:r>
      <w:r>
        <w:t xml:space="preserve"> are not foreign controlled with marginal </w:t>
      </w:r>
      <w:r w:rsidR="003A4C15">
        <w:t>foreign portfolio shareholders</w:t>
      </w:r>
      <w:r w:rsidR="00D24C06">
        <w:t>,</w:t>
      </w:r>
      <w:r>
        <w:t xml:space="preserve"> we have the costs of capital and EMTRs discussed previously. For foreign</w:t>
      </w:r>
      <w:r w:rsidR="00D20F5C">
        <w:t>-</w:t>
      </w:r>
      <w:r>
        <w:t>controlled companies</w:t>
      </w:r>
      <w:r w:rsidR="00D20F5C">
        <w:t>,</w:t>
      </w:r>
      <w:r>
        <w:t xml:space="preserve"> NRWT on interest </w:t>
      </w:r>
      <w:r w:rsidR="00D20F5C">
        <w:t>must also</w:t>
      </w:r>
      <w:r>
        <w:t xml:space="preserve"> be accounted for and results will depend on whether NRWT is creditable.</w:t>
      </w:r>
    </w:p>
    <w:p w14:paraId="368E97AF" w14:textId="149685D4" w:rsidR="00F119EE" w:rsidRDefault="00F119EE" w:rsidP="000C1388">
      <w:pPr>
        <w:pStyle w:val="NumberedParagraph"/>
        <w:numPr>
          <w:ilvl w:val="1"/>
          <w:numId w:val="64"/>
        </w:numPr>
      </w:pPr>
      <w:r>
        <w:t>Other biases might also arise if these two types of company ha</w:t>
      </w:r>
      <w:r w:rsidR="00F44E88">
        <w:t>ve</w:t>
      </w:r>
      <w:r>
        <w:t xml:space="preserve"> very different debt levels. However, data presented in </w:t>
      </w:r>
      <w:r w:rsidR="00F44E88">
        <w:t>a</w:t>
      </w:r>
      <w:r>
        <w:t xml:space="preserve">ppendix 2 indicates that for both types of firm overall debt levels are similar on average (about 43%). </w:t>
      </w:r>
      <w:r w:rsidR="00F44E88">
        <w:t>Appendix 2</w:t>
      </w:r>
      <w:r>
        <w:t xml:space="preserve"> also discusses information from our International Questionnaire </w:t>
      </w:r>
      <w:r w:rsidR="0031425F">
        <w:t>that</w:t>
      </w:r>
      <w:r>
        <w:t xml:space="preserve"> suggests 37.3% of debt in foreign</w:t>
      </w:r>
      <w:r w:rsidR="0031425F">
        <w:t>-</w:t>
      </w:r>
      <w:r>
        <w:t>controlled firms is associated</w:t>
      </w:r>
      <w:r w:rsidR="0031425F">
        <w:t>-</w:t>
      </w:r>
      <w:r>
        <w:t>party debt</w:t>
      </w:r>
      <w:r w:rsidR="0031425F">
        <w:t>,</w:t>
      </w:r>
      <w:r>
        <w:t xml:space="preserve"> with the remaining 62.7% being from unrelated parties. On debt from unrelated parties</w:t>
      </w:r>
      <w:r w:rsidR="0031425F">
        <w:t>,</w:t>
      </w:r>
      <w:r>
        <w:t xml:space="preserve"> we expect nominal interest rates faced by foreign-controlled </w:t>
      </w:r>
      <w:r w:rsidR="006A6AD0">
        <w:t xml:space="preserve">companies </w:t>
      </w:r>
      <w:r>
        <w:t xml:space="preserve">to be pushed up by 2% in exactly the same way as </w:t>
      </w:r>
      <w:r w:rsidR="006A6AD0">
        <w:t xml:space="preserve">those </w:t>
      </w:r>
      <w:r>
        <w:t>for companies that are not foreign controlled.</w:t>
      </w:r>
    </w:p>
    <w:p w14:paraId="175DD4B7" w14:textId="5FE5EC13" w:rsidR="00F119EE" w:rsidRDefault="00F119EE" w:rsidP="000C1388">
      <w:pPr>
        <w:pStyle w:val="NumberedParagraph"/>
        <w:numPr>
          <w:ilvl w:val="1"/>
          <w:numId w:val="64"/>
        </w:numPr>
      </w:pPr>
      <w:r>
        <w:t>On associated-party debt</w:t>
      </w:r>
      <w:r w:rsidR="005A722F">
        <w:t>,</w:t>
      </w:r>
      <w:r>
        <w:t xml:space="preserve"> we expect interest rates to be unaffected if NRWT on interest is fully creditable. We expect nominal interest rates to be pushed up by roughly 10% if NRWT is not creditable.</w:t>
      </w:r>
      <w:r w:rsidRPr="009C1F81">
        <w:rPr>
          <w:vertAlign w:val="superscript"/>
        </w:rPr>
        <w:footnoteReference w:id="38"/>
      </w:r>
    </w:p>
    <w:p w14:paraId="05B6368B" w14:textId="4794F8A1" w:rsidR="00F119EE" w:rsidRPr="00170106" w:rsidRDefault="00F119EE" w:rsidP="000C1388">
      <w:pPr>
        <w:pStyle w:val="NumberedParagraph"/>
        <w:numPr>
          <w:ilvl w:val="1"/>
          <w:numId w:val="64"/>
        </w:numPr>
      </w:pPr>
      <w:r w:rsidRPr="00170106">
        <w:t>Estimated effects on costs of capital are examined in table 4.</w:t>
      </w:r>
      <w:r>
        <w:t>2</w:t>
      </w:r>
      <w:r w:rsidR="006C5BA2">
        <w:t>,</w:t>
      </w:r>
      <w:r w:rsidRPr="00170106">
        <w:t xml:space="preserve"> assuming a world real interest rate of 3% and 2% inflation</w:t>
      </w:r>
      <w:r>
        <w:t xml:space="preserve">. </w:t>
      </w:r>
      <w:r w:rsidRPr="00075D72">
        <w:rPr>
          <w:lang w:val="en-US"/>
        </w:rPr>
        <w:t>EMTRs can become somewhat difficult to interpret when we start to take account of creditable taxes such as NRWT.</w:t>
      </w:r>
      <w:r>
        <w:rPr>
          <w:rStyle w:val="FootnoteReference"/>
          <w:lang w:val="en-US"/>
        </w:rPr>
        <w:footnoteReference w:id="39"/>
      </w:r>
      <w:r w:rsidRPr="00075D72">
        <w:rPr>
          <w:lang w:val="en-US"/>
        </w:rPr>
        <w:t xml:space="preserve"> For this reason, we focus </w:t>
      </w:r>
      <w:r>
        <w:rPr>
          <w:lang w:val="en-US"/>
        </w:rPr>
        <w:t xml:space="preserve">solely </w:t>
      </w:r>
      <w:r w:rsidRPr="00075D72">
        <w:rPr>
          <w:lang w:val="en-US"/>
        </w:rPr>
        <w:t>on costs of capital</w:t>
      </w:r>
      <w:r w:rsidR="006F1403">
        <w:rPr>
          <w:lang w:val="en-US"/>
        </w:rPr>
        <w:t>,</w:t>
      </w:r>
      <w:r w:rsidRPr="00075D72">
        <w:rPr>
          <w:lang w:val="en-US"/>
        </w:rPr>
        <w:t xml:space="preserve"> rather than </w:t>
      </w:r>
      <w:r w:rsidR="006C1EB8">
        <w:rPr>
          <w:lang w:val="en-US"/>
        </w:rPr>
        <w:t xml:space="preserve">both costs of capital and </w:t>
      </w:r>
      <w:r w:rsidRPr="00075D72">
        <w:rPr>
          <w:lang w:val="en-US"/>
        </w:rPr>
        <w:t>EMTRs</w:t>
      </w:r>
      <w:r w:rsidR="006F1403">
        <w:rPr>
          <w:lang w:val="en-US"/>
        </w:rPr>
        <w:t>,</w:t>
      </w:r>
      <w:r>
        <w:rPr>
          <w:lang w:val="en-US"/>
        </w:rPr>
        <w:t xml:space="preserve"> when we deal with creditable taxes</w:t>
      </w:r>
      <w:r w:rsidRPr="00170106">
        <w:t>.</w:t>
      </w:r>
    </w:p>
    <w:p w14:paraId="3A571F9B" w14:textId="5D4F4D3B" w:rsidR="00F119EE" w:rsidRDefault="00F119EE" w:rsidP="00F119EE">
      <w:pPr>
        <w:pStyle w:val="Caption"/>
        <w:ind w:left="-709" w:right="-426"/>
        <w:rPr>
          <w:rFonts w:eastAsia="Calibri"/>
          <w:lang w:eastAsia="en-US"/>
        </w:rPr>
      </w:pPr>
      <w:r w:rsidRPr="00170106">
        <w:rPr>
          <w:rFonts w:eastAsia="Calibri"/>
          <w:lang w:eastAsia="en-US"/>
        </w:rPr>
        <w:lastRenderedPageBreak/>
        <w:t>Table 4.</w:t>
      </w:r>
      <w:r>
        <w:rPr>
          <w:rFonts w:eastAsia="Calibri"/>
          <w:lang w:eastAsia="en-US"/>
        </w:rPr>
        <w:t xml:space="preserve">2: </w:t>
      </w:r>
      <w:r w:rsidRPr="00170106">
        <w:rPr>
          <w:rFonts w:eastAsia="Calibri"/>
          <w:lang w:eastAsia="en-US"/>
        </w:rPr>
        <w:t xml:space="preserve">Costs of capital </w:t>
      </w:r>
      <w:r w:rsidR="00924376">
        <w:rPr>
          <w:rFonts w:eastAsia="Calibri"/>
          <w:lang w:eastAsia="en-US"/>
        </w:rPr>
        <w:t xml:space="preserve">for </w:t>
      </w:r>
      <w:r>
        <w:rPr>
          <w:rFonts w:eastAsia="Calibri"/>
          <w:lang w:eastAsia="en-US"/>
        </w:rPr>
        <w:t>domestic companies with marginal foreign portfolio shareholders and for foreign</w:t>
      </w:r>
      <w:r w:rsidR="006C1EB8">
        <w:rPr>
          <w:rFonts w:eastAsia="Calibri"/>
          <w:lang w:eastAsia="en-US"/>
        </w:rPr>
        <w:t>-</w:t>
      </w:r>
      <w:r>
        <w:rPr>
          <w:rFonts w:eastAsia="Calibri"/>
          <w:lang w:eastAsia="en-US"/>
        </w:rPr>
        <w:t xml:space="preserve">controlled companies, </w:t>
      </w:r>
      <w:r w:rsidRPr="00170106">
        <w:rPr>
          <w:rFonts w:eastAsia="Calibri"/>
          <w:lang w:eastAsia="en-US"/>
        </w:rPr>
        <w:t>r</w:t>
      </w:r>
      <w:r w:rsidR="008F3268">
        <w:rPr>
          <w:rFonts w:eastAsia="Calibri"/>
          <w:lang w:eastAsia="en-US"/>
        </w:rPr>
        <w:t>*</w:t>
      </w:r>
      <w:r w:rsidRPr="00170106">
        <w:rPr>
          <w:rFonts w:eastAsia="Calibri"/>
          <w:lang w:eastAsia="en-US"/>
        </w:rPr>
        <w:t xml:space="preserve"> = 3%, </w:t>
      </w:r>
      <w:r w:rsidR="00984311">
        <w:rPr>
          <w:rFonts w:eastAsia="Calibri"/>
          <w:lang w:eastAsia="en-US"/>
        </w:rPr>
        <w:br/>
      </w:r>
      <w:r w:rsidRPr="00170106">
        <w:rPr>
          <w:rFonts w:eastAsia="Calibri"/>
          <w:lang w:eastAsia="en-US"/>
        </w:rPr>
        <w:t xml:space="preserve">inflation = 2%, </w:t>
      </w:r>
      <w:r>
        <w:rPr>
          <w:rFonts w:eastAsia="Calibri"/>
          <w:lang w:eastAsia="en-US"/>
        </w:rPr>
        <w:t>debt</w:t>
      </w:r>
      <w:r w:rsidRPr="00170106">
        <w:rPr>
          <w:rFonts w:eastAsia="Calibri"/>
          <w:lang w:eastAsia="en-US"/>
        </w:rPr>
        <w:t xml:space="preserve"> = </w:t>
      </w:r>
      <w:r>
        <w:rPr>
          <w:rFonts w:eastAsia="Calibri"/>
          <w:lang w:eastAsia="en-US"/>
        </w:rPr>
        <w:t>43%</w:t>
      </w:r>
    </w:p>
    <w:tbl>
      <w:tblPr>
        <w:tblStyle w:val="TableGrid"/>
        <w:tblW w:w="9781" w:type="dxa"/>
        <w:tblInd w:w="-5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8" w:type="dxa"/>
          <w:right w:w="28" w:type="dxa"/>
        </w:tblCellMar>
        <w:tblLook w:val="04A0" w:firstRow="1" w:lastRow="0" w:firstColumn="1" w:lastColumn="0" w:noHBand="0" w:noVBand="1"/>
      </w:tblPr>
      <w:tblGrid>
        <w:gridCol w:w="1347"/>
        <w:gridCol w:w="992"/>
        <w:gridCol w:w="737"/>
        <w:gridCol w:w="681"/>
        <w:gridCol w:w="651"/>
        <w:gridCol w:w="666"/>
        <w:gridCol w:w="667"/>
        <w:gridCol w:w="1134"/>
        <w:gridCol w:w="851"/>
        <w:gridCol w:w="1134"/>
        <w:gridCol w:w="921"/>
      </w:tblGrid>
      <w:tr w:rsidR="005D47F0" w:rsidRPr="008F735E" w14:paraId="7E7961C4" w14:textId="77777777" w:rsidTr="00740A34">
        <w:trPr>
          <w:tblHeader/>
        </w:trPr>
        <w:tc>
          <w:tcPr>
            <w:tcW w:w="1347" w:type="dxa"/>
            <w:shd w:val="clear" w:color="auto" w:fill="232E36"/>
          </w:tcPr>
          <w:p w14:paraId="5D558896" w14:textId="77777777" w:rsidR="00230B89" w:rsidRPr="008F735E" w:rsidRDefault="00230B89" w:rsidP="00345DEF">
            <w:pPr>
              <w:keepNext/>
              <w:keepLines/>
              <w:spacing w:before="120" w:after="120"/>
              <w:rPr>
                <w:color w:val="FFFFFF" w:themeColor="background1"/>
                <w:sz w:val="14"/>
                <w:szCs w:val="14"/>
              </w:rPr>
            </w:pPr>
          </w:p>
        </w:tc>
        <w:tc>
          <w:tcPr>
            <w:tcW w:w="992" w:type="dxa"/>
            <w:shd w:val="clear" w:color="auto" w:fill="232E36"/>
          </w:tcPr>
          <w:p w14:paraId="3565CE64" w14:textId="77777777" w:rsidR="00230B89" w:rsidRPr="008F735E" w:rsidRDefault="00230B89"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Commercial and industrial buildings</w:t>
            </w:r>
          </w:p>
        </w:tc>
        <w:tc>
          <w:tcPr>
            <w:tcW w:w="3402" w:type="dxa"/>
            <w:gridSpan w:val="5"/>
            <w:shd w:val="clear" w:color="auto" w:fill="232E36"/>
          </w:tcPr>
          <w:p w14:paraId="1DAB9B63" w14:textId="77777777" w:rsidR="00230B89" w:rsidRPr="008F735E" w:rsidRDefault="00230B89"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 xml:space="preserve">Plant, </w:t>
            </w:r>
            <w:proofErr w:type="gramStart"/>
            <w:r w:rsidRPr="008F735E">
              <w:rPr>
                <w:b/>
                <w:bCs/>
                <w:color w:val="FFFFFF" w:themeColor="background1"/>
                <w:sz w:val="14"/>
                <w:szCs w:val="14"/>
              </w:rPr>
              <w:t>machinery</w:t>
            </w:r>
            <w:proofErr w:type="gramEnd"/>
            <w:r w:rsidRPr="008F735E">
              <w:rPr>
                <w:b/>
                <w:bCs/>
                <w:color w:val="FFFFFF" w:themeColor="background1"/>
                <w:sz w:val="14"/>
                <w:szCs w:val="14"/>
              </w:rPr>
              <w:t xml:space="preserve"> and equipment</w:t>
            </w:r>
          </w:p>
        </w:tc>
        <w:tc>
          <w:tcPr>
            <w:tcW w:w="1134" w:type="dxa"/>
            <w:shd w:val="clear" w:color="auto" w:fill="232E36"/>
          </w:tcPr>
          <w:p w14:paraId="5B74DC43" w14:textId="77777777" w:rsidR="00230B89" w:rsidRPr="008F735E" w:rsidRDefault="00230B89"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Zero</w:t>
            </w:r>
            <w:r>
              <w:rPr>
                <w:b/>
                <w:bCs/>
                <w:color w:val="FFFFFF" w:themeColor="background1"/>
                <w:sz w:val="14"/>
                <w:szCs w:val="14"/>
              </w:rPr>
              <w:t>-</w:t>
            </w:r>
            <w:r w:rsidRPr="008F735E">
              <w:rPr>
                <w:b/>
                <w:bCs/>
                <w:color w:val="FFFFFF" w:themeColor="background1"/>
                <w:sz w:val="14"/>
                <w:szCs w:val="14"/>
              </w:rPr>
              <w:t>depreciating assets</w:t>
            </w:r>
          </w:p>
        </w:tc>
        <w:tc>
          <w:tcPr>
            <w:tcW w:w="851" w:type="dxa"/>
            <w:shd w:val="clear" w:color="auto" w:fill="232E36"/>
          </w:tcPr>
          <w:p w14:paraId="2D32D221" w14:textId="77777777" w:rsidR="00230B89" w:rsidRPr="008F735E" w:rsidRDefault="00230B89"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Inventory</w:t>
            </w:r>
          </w:p>
        </w:tc>
        <w:tc>
          <w:tcPr>
            <w:tcW w:w="1134" w:type="dxa"/>
            <w:shd w:val="clear" w:color="auto" w:fill="232E36"/>
          </w:tcPr>
          <w:p w14:paraId="11B40306" w14:textId="77777777" w:rsidR="00230B89" w:rsidRPr="008F735E" w:rsidRDefault="00230B89"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Appreciating assets</w:t>
            </w:r>
          </w:p>
        </w:tc>
        <w:tc>
          <w:tcPr>
            <w:tcW w:w="921" w:type="dxa"/>
            <w:shd w:val="clear" w:color="auto" w:fill="232E36"/>
          </w:tcPr>
          <w:p w14:paraId="41E4B826" w14:textId="77777777" w:rsidR="00230B89" w:rsidRPr="008F735E" w:rsidRDefault="00230B89"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Expensing</w:t>
            </w:r>
          </w:p>
        </w:tc>
      </w:tr>
      <w:tr w:rsidR="00230B89" w:rsidRPr="008F735E" w14:paraId="133F855E" w14:textId="77777777" w:rsidTr="00740A34">
        <w:tc>
          <w:tcPr>
            <w:tcW w:w="1347" w:type="dxa"/>
            <w:shd w:val="clear" w:color="auto" w:fill="auto"/>
            <w:vAlign w:val="bottom"/>
          </w:tcPr>
          <w:p w14:paraId="11A8A5D9" w14:textId="77777777" w:rsidR="00230B89" w:rsidRPr="00CF778C" w:rsidRDefault="00230B89" w:rsidP="00345DEF">
            <w:pPr>
              <w:keepNext/>
              <w:keepLines/>
              <w:tabs>
                <w:tab w:val="left" w:pos="106"/>
              </w:tabs>
              <w:spacing w:before="60" w:after="60"/>
              <w:rPr>
                <w:rStyle w:val="Strong"/>
                <w:b w:val="0"/>
                <w:bCs w:val="0"/>
                <w:sz w:val="14"/>
                <w:szCs w:val="14"/>
              </w:rPr>
            </w:pPr>
            <w:r>
              <w:rPr>
                <w:rStyle w:val="Strong"/>
                <w:sz w:val="14"/>
                <w:szCs w:val="14"/>
              </w:rPr>
              <w:t>d</w:t>
            </w:r>
          </w:p>
        </w:tc>
        <w:tc>
          <w:tcPr>
            <w:tcW w:w="992" w:type="dxa"/>
            <w:vAlign w:val="center"/>
          </w:tcPr>
          <w:p w14:paraId="0DEF433D" w14:textId="77777777" w:rsidR="00230B89" w:rsidRPr="008F735E" w:rsidRDefault="00230B89" w:rsidP="00345DEF">
            <w:pPr>
              <w:keepNext/>
              <w:keepLines/>
              <w:tabs>
                <w:tab w:val="decimal" w:pos="256"/>
              </w:tabs>
              <w:spacing w:before="60" w:after="60"/>
              <w:jc w:val="center"/>
              <w:rPr>
                <w:sz w:val="14"/>
                <w:szCs w:val="14"/>
              </w:rPr>
            </w:pPr>
            <w:r w:rsidRPr="008F735E">
              <w:rPr>
                <w:sz w:val="14"/>
                <w:szCs w:val="14"/>
              </w:rPr>
              <w:t>2.69%</w:t>
            </w:r>
          </w:p>
        </w:tc>
        <w:tc>
          <w:tcPr>
            <w:tcW w:w="737" w:type="dxa"/>
            <w:vAlign w:val="center"/>
          </w:tcPr>
          <w:p w14:paraId="2EF320A0" w14:textId="77777777" w:rsidR="00230B89" w:rsidRPr="008F735E" w:rsidRDefault="00230B89" w:rsidP="00345DEF">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40376D12" w14:textId="77777777" w:rsidR="00230B89" w:rsidRPr="008F735E" w:rsidRDefault="00230B89" w:rsidP="00345DEF">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2960284D" w14:textId="77777777" w:rsidR="00230B89" w:rsidRPr="008F735E" w:rsidRDefault="00230B89" w:rsidP="00345DEF">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68F6E6DD" w14:textId="77777777" w:rsidR="00230B89" w:rsidRPr="008F735E" w:rsidRDefault="00230B89" w:rsidP="00345DEF">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6303A4C5" w14:textId="77777777" w:rsidR="00230B89" w:rsidRPr="008F735E" w:rsidRDefault="00230B89" w:rsidP="00345DEF">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1DD4F668" w14:textId="77777777" w:rsidR="00230B89" w:rsidRPr="008F735E" w:rsidRDefault="00230B89" w:rsidP="00345DEF">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0DFDA949" w14:textId="77777777" w:rsidR="00230B89" w:rsidRPr="008F735E" w:rsidRDefault="00230B89" w:rsidP="00345DEF">
            <w:pPr>
              <w:keepNext/>
              <w:keepLines/>
              <w:tabs>
                <w:tab w:val="decimal" w:pos="256"/>
              </w:tabs>
              <w:spacing w:before="60" w:after="60"/>
              <w:jc w:val="center"/>
              <w:rPr>
                <w:sz w:val="14"/>
                <w:szCs w:val="14"/>
              </w:rPr>
            </w:pPr>
          </w:p>
        </w:tc>
        <w:tc>
          <w:tcPr>
            <w:tcW w:w="1134" w:type="dxa"/>
            <w:vAlign w:val="center"/>
          </w:tcPr>
          <w:p w14:paraId="5753FD28" w14:textId="77777777" w:rsidR="00230B89" w:rsidRPr="008F735E" w:rsidRDefault="00230B89" w:rsidP="00345DEF">
            <w:pPr>
              <w:keepNext/>
              <w:keepLines/>
              <w:tabs>
                <w:tab w:val="decimal" w:pos="256"/>
              </w:tabs>
              <w:spacing w:before="60" w:after="60"/>
              <w:jc w:val="center"/>
              <w:rPr>
                <w:sz w:val="14"/>
                <w:szCs w:val="14"/>
              </w:rPr>
            </w:pPr>
            <w:r w:rsidRPr="008F735E">
              <w:rPr>
                <w:sz w:val="14"/>
                <w:szCs w:val="14"/>
              </w:rPr>
              <w:t>-1.00%</w:t>
            </w:r>
          </w:p>
        </w:tc>
        <w:tc>
          <w:tcPr>
            <w:tcW w:w="921" w:type="dxa"/>
            <w:vAlign w:val="center"/>
          </w:tcPr>
          <w:p w14:paraId="4C23C4BE" w14:textId="77777777" w:rsidR="00230B89" w:rsidRPr="008F735E" w:rsidRDefault="00230B89" w:rsidP="00345DEF">
            <w:pPr>
              <w:keepNext/>
              <w:keepLines/>
              <w:tabs>
                <w:tab w:val="decimal" w:pos="256"/>
              </w:tabs>
              <w:spacing w:before="60" w:after="60"/>
              <w:jc w:val="center"/>
              <w:rPr>
                <w:sz w:val="14"/>
                <w:szCs w:val="14"/>
              </w:rPr>
            </w:pPr>
          </w:p>
        </w:tc>
      </w:tr>
      <w:tr w:rsidR="00230B89" w:rsidRPr="008F735E" w14:paraId="77F0A771" w14:textId="77777777" w:rsidTr="00740A34">
        <w:tc>
          <w:tcPr>
            <w:tcW w:w="1347" w:type="dxa"/>
            <w:shd w:val="clear" w:color="auto" w:fill="auto"/>
            <w:vAlign w:val="bottom"/>
          </w:tcPr>
          <w:p w14:paraId="06EC208C" w14:textId="77777777" w:rsidR="00230B89" w:rsidRPr="00CF778C" w:rsidRDefault="00230B89" w:rsidP="00345DEF">
            <w:pPr>
              <w:keepNext/>
              <w:keepLines/>
              <w:tabs>
                <w:tab w:val="left" w:pos="106"/>
              </w:tabs>
              <w:spacing w:before="60" w:after="60"/>
              <w:rPr>
                <w:rStyle w:val="Strong"/>
                <w:b w:val="0"/>
                <w:bCs w:val="0"/>
                <w:sz w:val="14"/>
                <w:szCs w:val="14"/>
              </w:rPr>
            </w:pPr>
            <w:r>
              <w:rPr>
                <w:rStyle w:val="Strong"/>
                <w:sz w:val="14"/>
                <w:szCs w:val="14"/>
              </w:rPr>
              <w:t>d*</w:t>
            </w:r>
          </w:p>
        </w:tc>
        <w:tc>
          <w:tcPr>
            <w:tcW w:w="992" w:type="dxa"/>
            <w:vAlign w:val="center"/>
          </w:tcPr>
          <w:p w14:paraId="2BA95395" w14:textId="77777777" w:rsidR="00230B89" w:rsidRPr="008F735E" w:rsidRDefault="00230B89" w:rsidP="00345DEF">
            <w:pPr>
              <w:keepNext/>
              <w:keepLines/>
              <w:tabs>
                <w:tab w:val="decimal" w:pos="256"/>
              </w:tabs>
              <w:spacing w:before="60" w:after="60"/>
              <w:jc w:val="center"/>
              <w:rPr>
                <w:sz w:val="14"/>
                <w:szCs w:val="14"/>
              </w:rPr>
            </w:pPr>
            <w:r w:rsidRPr="008F735E">
              <w:rPr>
                <w:sz w:val="14"/>
                <w:szCs w:val="14"/>
              </w:rPr>
              <w:t>2.00%</w:t>
            </w:r>
          </w:p>
        </w:tc>
        <w:tc>
          <w:tcPr>
            <w:tcW w:w="737" w:type="dxa"/>
            <w:vAlign w:val="center"/>
          </w:tcPr>
          <w:p w14:paraId="19F841DD" w14:textId="77777777" w:rsidR="00230B89" w:rsidRPr="008F735E" w:rsidRDefault="00230B89" w:rsidP="00345DEF">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640380BE" w14:textId="77777777" w:rsidR="00230B89" w:rsidRPr="008F735E" w:rsidRDefault="00230B89" w:rsidP="00345DEF">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756EE178" w14:textId="77777777" w:rsidR="00230B89" w:rsidRPr="008F735E" w:rsidRDefault="00230B89" w:rsidP="00345DEF">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39CCC0BD" w14:textId="77777777" w:rsidR="00230B89" w:rsidRPr="008F735E" w:rsidRDefault="00230B89" w:rsidP="00345DEF">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7F0AEE25" w14:textId="77777777" w:rsidR="00230B89" w:rsidRPr="008F735E" w:rsidRDefault="00230B89" w:rsidP="00345DEF">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615EF953" w14:textId="77777777" w:rsidR="00230B89" w:rsidRPr="008F735E" w:rsidRDefault="00230B89" w:rsidP="00345DEF">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138FD6F9" w14:textId="77777777" w:rsidR="00230B89" w:rsidRPr="008F735E" w:rsidRDefault="00230B89" w:rsidP="00345DEF">
            <w:pPr>
              <w:keepNext/>
              <w:keepLines/>
              <w:tabs>
                <w:tab w:val="decimal" w:pos="256"/>
              </w:tabs>
              <w:spacing w:before="60" w:after="60"/>
              <w:jc w:val="center"/>
              <w:rPr>
                <w:sz w:val="14"/>
                <w:szCs w:val="14"/>
              </w:rPr>
            </w:pPr>
          </w:p>
        </w:tc>
        <w:tc>
          <w:tcPr>
            <w:tcW w:w="1134" w:type="dxa"/>
            <w:vAlign w:val="center"/>
          </w:tcPr>
          <w:p w14:paraId="1036BE90" w14:textId="77777777" w:rsidR="00230B89" w:rsidRPr="008F735E" w:rsidRDefault="00230B89" w:rsidP="00345DEF">
            <w:pPr>
              <w:keepNext/>
              <w:keepLines/>
              <w:tabs>
                <w:tab w:val="decimal" w:pos="256"/>
              </w:tabs>
              <w:spacing w:before="60" w:after="60"/>
              <w:jc w:val="center"/>
              <w:rPr>
                <w:sz w:val="14"/>
                <w:szCs w:val="14"/>
              </w:rPr>
            </w:pPr>
            <w:r w:rsidRPr="008F735E">
              <w:rPr>
                <w:sz w:val="14"/>
                <w:szCs w:val="14"/>
              </w:rPr>
              <w:t>0.00%</w:t>
            </w:r>
          </w:p>
        </w:tc>
        <w:tc>
          <w:tcPr>
            <w:tcW w:w="921" w:type="dxa"/>
            <w:vAlign w:val="center"/>
          </w:tcPr>
          <w:p w14:paraId="1F396551" w14:textId="77777777" w:rsidR="00230B89" w:rsidRPr="008F735E" w:rsidRDefault="00230B89" w:rsidP="00345DEF">
            <w:pPr>
              <w:keepNext/>
              <w:keepLines/>
              <w:tabs>
                <w:tab w:val="decimal" w:pos="256"/>
              </w:tabs>
              <w:spacing w:before="60" w:after="60"/>
              <w:jc w:val="center"/>
              <w:rPr>
                <w:sz w:val="14"/>
                <w:szCs w:val="14"/>
              </w:rPr>
            </w:pPr>
          </w:p>
        </w:tc>
      </w:tr>
      <w:tr w:rsidR="00230B89" w:rsidRPr="008F735E" w14:paraId="0569D75F" w14:textId="77777777" w:rsidTr="00740A34">
        <w:tc>
          <w:tcPr>
            <w:tcW w:w="1347" w:type="dxa"/>
            <w:shd w:val="clear" w:color="auto" w:fill="auto"/>
            <w:vAlign w:val="bottom"/>
          </w:tcPr>
          <w:p w14:paraId="6654A424" w14:textId="77777777" w:rsidR="00230B89" w:rsidRPr="008F735E" w:rsidRDefault="00230B89" w:rsidP="00345DEF">
            <w:pPr>
              <w:keepNext/>
              <w:keepLines/>
              <w:tabs>
                <w:tab w:val="left" w:pos="106"/>
              </w:tabs>
              <w:spacing w:before="60" w:after="60"/>
              <w:rPr>
                <w:b/>
                <w:bCs/>
                <w:sz w:val="14"/>
                <w:szCs w:val="14"/>
              </w:rPr>
            </w:pPr>
            <w:r>
              <w:rPr>
                <w:b/>
                <w:bCs/>
                <w:sz w:val="14"/>
                <w:szCs w:val="14"/>
              </w:rPr>
              <w:t>Costs of capital</w:t>
            </w:r>
          </w:p>
        </w:tc>
        <w:tc>
          <w:tcPr>
            <w:tcW w:w="992" w:type="dxa"/>
            <w:vAlign w:val="center"/>
          </w:tcPr>
          <w:p w14:paraId="5829F04A" w14:textId="77777777" w:rsidR="00230B89" w:rsidRPr="008F735E" w:rsidRDefault="00230B89" w:rsidP="00345DEF">
            <w:pPr>
              <w:keepNext/>
              <w:keepLines/>
              <w:tabs>
                <w:tab w:val="decimal" w:pos="256"/>
              </w:tabs>
              <w:spacing w:before="60" w:after="60"/>
              <w:jc w:val="center"/>
              <w:rPr>
                <w:sz w:val="14"/>
                <w:szCs w:val="14"/>
              </w:rPr>
            </w:pPr>
          </w:p>
        </w:tc>
        <w:tc>
          <w:tcPr>
            <w:tcW w:w="737" w:type="dxa"/>
            <w:vAlign w:val="center"/>
          </w:tcPr>
          <w:p w14:paraId="5BF42059" w14:textId="77777777" w:rsidR="00230B89" w:rsidRPr="008F735E" w:rsidRDefault="00230B89" w:rsidP="00345DEF">
            <w:pPr>
              <w:keepNext/>
              <w:keepLines/>
              <w:tabs>
                <w:tab w:val="decimal" w:pos="256"/>
              </w:tabs>
              <w:spacing w:before="60" w:after="60"/>
              <w:jc w:val="center"/>
              <w:rPr>
                <w:sz w:val="14"/>
                <w:szCs w:val="14"/>
              </w:rPr>
            </w:pPr>
          </w:p>
        </w:tc>
        <w:tc>
          <w:tcPr>
            <w:tcW w:w="681" w:type="dxa"/>
            <w:vAlign w:val="center"/>
          </w:tcPr>
          <w:p w14:paraId="3F89CB87" w14:textId="77777777" w:rsidR="00230B89" w:rsidRPr="008F735E" w:rsidRDefault="00230B89" w:rsidP="00345DEF">
            <w:pPr>
              <w:keepNext/>
              <w:keepLines/>
              <w:tabs>
                <w:tab w:val="decimal" w:pos="256"/>
              </w:tabs>
              <w:spacing w:before="60" w:after="60"/>
              <w:jc w:val="center"/>
              <w:rPr>
                <w:sz w:val="14"/>
                <w:szCs w:val="14"/>
              </w:rPr>
            </w:pPr>
          </w:p>
        </w:tc>
        <w:tc>
          <w:tcPr>
            <w:tcW w:w="651" w:type="dxa"/>
            <w:vAlign w:val="center"/>
          </w:tcPr>
          <w:p w14:paraId="2451C1AD" w14:textId="77777777" w:rsidR="00230B89" w:rsidRPr="008F735E" w:rsidRDefault="00230B89" w:rsidP="00345DEF">
            <w:pPr>
              <w:keepNext/>
              <w:keepLines/>
              <w:tabs>
                <w:tab w:val="decimal" w:pos="256"/>
              </w:tabs>
              <w:spacing w:before="60" w:after="60"/>
              <w:jc w:val="center"/>
              <w:rPr>
                <w:sz w:val="14"/>
                <w:szCs w:val="14"/>
              </w:rPr>
            </w:pPr>
          </w:p>
        </w:tc>
        <w:tc>
          <w:tcPr>
            <w:tcW w:w="666" w:type="dxa"/>
            <w:vAlign w:val="center"/>
          </w:tcPr>
          <w:p w14:paraId="6F7FD632" w14:textId="77777777" w:rsidR="00230B89" w:rsidRPr="008F735E" w:rsidRDefault="00230B89" w:rsidP="00345DEF">
            <w:pPr>
              <w:keepNext/>
              <w:keepLines/>
              <w:tabs>
                <w:tab w:val="decimal" w:pos="256"/>
              </w:tabs>
              <w:spacing w:before="60" w:after="60"/>
              <w:jc w:val="center"/>
              <w:rPr>
                <w:sz w:val="14"/>
                <w:szCs w:val="14"/>
              </w:rPr>
            </w:pPr>
          </w:p>
        </w:tc>
        <w:tc>
          <w:tcPr>
            <w:tcW w:w="667" w:type="dxa"/>
            <w:vAlign w:val="center"/>
          </w:tcPr>
          <w:p w14:paraId="16493FE4" w14:textId="77777777" w:rsidR="00230B89" w:rsidRPr="008F735E" w:rsidRDefault="00230B89" w:rsidP="00345DEF">
            <w:pPr>
              <w:keepNext/>
              <w:keepLines/>
              <w:tabs>
                <w:tab w:val="decimal" w:pos="256"/>
              </w:tabs>
              <w:spacing w:before="60" w:after="60"/>
              <w:jc w:val="center"/>
              <w:rPr>
                <w:sz w:val="14"/>
                <w:szCs w:val="14"/>
              </w:rPr>
            </w:pPr>
          </w:p>
        </w:tc>
        <w:tc>
          <w:tcPr>
            <w:tcW w:w="1134" w:type="dxa"/>
            <w:vAlign w:val="center"/>
          </w:tcPr>
          <w:p w14:paraId="1324CDE5" w14:textId="77777777" w:rsidR="00230B89" w:rsidRPr="008F735E" w:rsidRDefault="00230B89" w:rsidP="00345DEF">
            <w:pPr>
              <w:keepNext/>
              <w:keepLines/>
              <w:tabs>
                <w:tab w:val="decimal" w:pos="256"/>
              </w:tabs>
              <w:spacing w:before="60" w:after="60"/>
              <w:jc w:val="center"/>
              <w:rPr>
                <w:sz w:val="14"/>
                <w:szCs w:val="14"/>
              </w:rPr>
            </w:pPr>
          </w:p>
        </w:tc>
        <w:tc>
          <w:tcPr>
            <w:tcW w:w="851" w:type="dxa"/>
            <w:vAlign w:val="center"/>
          </w:tcPr>
          <w:p w14:paraId="05FB8949" w14:textId="77777777" w:rsidR="00230B89" w:rsidRPr="008F735E" w:rsidRDefault="00230B89" w:rsidP="00345DEF">
            <w:pPr>
              <w:keepNext/>
              <w:keepLines/>
              <w:tabs>
                <w:tab w:val="decimal" w:pos="256"/>
              </w:tabs>
              <w:spacing w:before="60" w:after="60"/>
              <w:jc w:val="center"/>
              <w:rPr>
                <w:sz w:val="14"/>
                <w:szCs w:val="14"/>
              </w:rPr>
            </w:pPr>
          </w:p>
        </w:tc>
        <w:tc>
          <w:tcPr>
            <w:tcW w:w="1134" w:type="dxa"/>
            <w:vAlign w:val="center"/>
          </w:tcPr>
          <w:p w14:paraId="1DCE66C0" w14:textId="77777777" w:rsidR="00230B89" w:rsidRPr="008F735E" w:rsidRDefault="00230B89" w:rsidP="00345DEF">
            <w:pPr>
              <w:keepNext/>
              <w:keepLines/>
              <w:tabs>
                <w:tab w:val="decimal" w:pos="256"/>
              </w:tabs>
              <w:spacing w:before="60" w:after="60"/>
              <w:jc w:val="center"/>
              <w:rPr>
                <w:sz w:val="14"/>
                <w:szCs w:val="14"/>
              </w:rPr>
            </w:pPr>
          </w:p>
        </w:tc>
        <w:tc>
          <w:tcPr>
            <w:tcW w:w="921" w:type="dxa"/>
            <w:vAlign w:val="center"/>
          </w:tcPr>
          <w:p w14:paraId="12489431" w14:textId="77777777" w:rsidR="00230B89" w:rsidRPr="008F735E" w:rsidRDefault="00230B89" w:rsidP="00345DEF">
            <w:pPr>
              <w:keepNext/>
              <w:keepLines/>
              <w:tabs>
                <w:tab w:val="decimal" w:pos="256"/>
              </w:tabs>
              <w:spacing w:before="60" w:after="60"/>
              <w:jc w:val="center"/>
              <w:rPr>
                <w:sz w:val="14"/>
                <w:szCs w:val="14"/>
              </w:rPr>
            </w:pPr>
          </w:p>
        </w:tc>
      </w:tr>
      <w:tr w:rsidR="00230B89" w:rsidRPr="00591C70" w14:paraId="6A0AC176" w14:textId="77777777" w:rsidTr="00740A34">
        <w:tc>
          <w:tcPr>
            <w:tcW w:w="1347" w:type="dxa"/>
            <w:shd w:val="clear" w:color="auto" w:fill="auto"/>
            <w:vAlign w:val="bottom"/>
          </w:tcPr>
          <w:p w14:paraId="48781A7F" w14:textId="77777777" w:rsidR="00230B89" w:rsidRPr="008F735E" w:rsidRDefault="00230B89" w:rsidP="00345DEF">
            <w:pPr>
              <w:keepNext/>
              <w:keepLines/>
              <w:tabs>
                <w:tab w:val="left" w:pos="106"/>
              </w:tabs>
              <w:spacing w:before="60" w:after="60"/>
              <w:rPr>
                <w:sz w:val="14"/>
                <w:szCs w:val="14"/>
              </w:rPr>
            </w:pPr>
            <w:r>
              <w:rPr>
                <w:sz w:val="14"/>
                <w:szCs w:val="14"/>
              </w:rPr>
              <w:t>No AIL or NRWT</w:t>
            </w:r>
          </w:p>
        </w:tc>
        <w:tc>
          <w:tcPr>
            <w:tcW w:w="992" w:type="dxa"/>
            <w:shd w:val="clear" w:color="auto" w:fill="auto"/>
            <w:vAlign w:val="bottom"/>
          </w:tcPr>
          <w:p w14:paraId="429D62D0"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3.77%</w:t>
            </w:r>
          </w:p>
        </w:tc>
        <w:tc>
          <w:tcPr>
            <w:tcW w:w="737" w:type="dxa"/>
            <w:shd w:val="clear" w:color="auto" w:fill="auto"/>
            <w:vAlign w:val="bottom"/>
          </w:tcPr>
          <w:p w14:paraId="2AE495E3"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4.10%</w:t>
            </w:r>
          </w:p>
        </w:tc>
        <w:tc>
          <w:tcPr>
            <w:tcW w:w="681" w:type="dxa"/>
            <w:shd w:val="clear" w:color="auto" w:fill="auto"/>
            <w:vAlign w:val="bottom"/>
          </w:tcPr>
          <w:p w14:paraId="1E56F484"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4.07%</w:t>
            </w:r>
          </w:p>
        </w:tc>
        <w:tc>
          <w:tcPr>
            <w:tcW w:w="651" w:type="dxa"/>
            <w:shd w:val="clear" w:color="auto" w:fill="auto"/>
            <w:vAlign w:val="bottom"/>
          </w:tcPr>
          <w:p w14:paraId="08EF37A2"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3.89%</w:t>
            </w:r>
          </w:p>
        </w:tc>
        <w:tc>
          <w:tcPr>
            <w:tcW w:w="666" w:type="dxa"/>
            <w:shd w:val="clear" w:color="auto" w:fill="auto"/>
            <w:vAlign w:val="bottom"/>
          </w:tcPr>
          <w:p w14:paraId="5C3606DC"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3.71%</w:t>
            </w:r>
          </w:p>
        </w:tc>
        <w:tc>
          <w:tcPr>
            <w:tcW w:w="667" w:type="dxa"/>
            <w:shd w:val="clear" w:color="auto" w:fill="auto"/>
            <w:vAlign w:val="bottom"/>
          </w:tcPr>
          <w:p w14:paraId="1FB20AED"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3.58%</w:t>
            </w:r>
          </w:p>
        </w:tc>
        <w:tc>
          <w:tcPr>
            <w:tcW w:w="1134" w:type="dxa"/>
            <w:shd w:val="clear" w:color="auto" w:fill="auto"/>
            <w:vAlign w:val="bottom"/>
          </w:tcPr>
          <w:p w14:paraId="0C59FA3F"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3.34%</w:t>
            </w:r>
          </w:p>
        </w:tc>
        <w:tc>
          <w:tcPr>
            <w:tcW w:w="851" w:type="dxa"/>
            <w:shd w:val="clear" w:color="auto" w:fill="auto"/>
            <w:vAlign w:val="bottom"/>
          </w:tcPr>
          <w:p w14:paraId="72E1F5AF"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4.10%</w:t>
            </w:r>
          </w:p>
        </w:tc>
        <w:tc>
          <w:tcPr>
            <w:tcW w:w="1134" w:type="dxa"/>
            <w:shd w:val="clear" w:color="auto" w:fill="auto"/>
            <w:vAlign w:val="bottom"/>
          </w:tcPr>
          <w:p w14:paraId="619B409F"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2.95%</w:t>
            </w:r>
          </w:p>
        </w:tc>
        <w:tc>
          <w:tcPr>
            <w:tcW w:w="921" w:type="dxa"/>
            <w:shd w:val="clear" w:color="auto" w:fill="auto"/>
            <w:vAlign w:val="bottom"/>
          </w:tcPr>
          <w:p w14:paraId="1C0AEBF4"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2.40%</w:t>
            </w:r>
          </w:p>
        </w:tc>
      </w:tr>
      <w:tr w:rsidR="00230B89" w:rsidRPr="00591C70" w14:paraId="6B4A7C82" w14:textId="77777777" w:rsidTr="00740A34">
        <w:tc>
          <w:tcPr>
            <w:tcW w:w="1347" w:type="dxa"/>
            <w:shd w:val="clear" w:color="auto" w:fill="auto"/>
            <w:vAlign w:val="bottom"/>
          </w:tcPr>
          <w:p w14:paraId="39ACB332" w14:textId="77777777" w:rsidR="00230B89" w:rsidRPr="008F735E" w:rsidRDefault="00230B89" w:rsidP="00345DEF">
            <w:pPr>
              <w:keepNext/>
              <w:keepLines/>
              <w:tabs>
                <w:tab w:val="left" w:pos="106"/>
              </w:tabs>
              <w:spacing w:before="60" w:after="60"/>
              <w:rPr>
                <w:sz w:val="14"/>
                <w:szCs w:val="14"/>
              </w:rPr>
            </w:pPr>
            <w:r>
              <w:rPr>
                <w:sz w:val="14"/>
                <w:szCs w:val="14"/>
              </w:rPr>
              <w:t>Domestic companies with marginal foreign shareholders</w:t>
            </w:r>
            <w:r w:rsidRPr="008F735E">
              <w:rPr>
                <w:sz w:val="14"/>
                <w:szCs w:val="14"/>
              </w:rPr>
              <w:tab/>
            </w:r>
            <w:r>
              <w:rPr>
                <w:sz w:val="14"/>
                <w:szCs w:val="14"/>
              </w:rPr>
              <w:t>AIL = 2%</w:t>
            </w:r>
          </w:p>
        </w:tc>
        <w:tc>
          <w:tcPr>
            <w:tcW w:w="992" w:type="dxa"/>
            <w:shd w:val="clear" w:color="auto" w:fill="auto"/>
            <w:vAlign w:val="bottom"/>
          </w:tcPr>
          <w:p w14:paraId="31634B26"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3.81%</w:t>
            </w:r>
          </w:p>
        </w:tc>
        <w:tc>
          <w:tcPr>
            <w:tcW w:w="737" w:type="dxa"/>
            <w:shd w:val="clear" w:color="auto" w:fill="auto"/>
            <w:vAlign w:val="bottom"/>
          </w:tcPr>
          <w:p w14:paraId="4946BD4E"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4.14%</w:t>
            </w:r>
          </w:p>
        </w:tc>
        <w:tc>
          <w:tcPr>
            <w:tcW w:w="681" w:type="dxa"/>
            <w:shd w:val="clear" w:color="auto" w:fill="auto"/>
            <w:vAlign w:val="bottom"/>
          </w:tcPr>
          <w:p w14:paraId="39D944A2"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4.11%</w:t>
            </w:r>
          </w:p>
        </w:tc>
        <w:tc>
          <w:tcPr>
            <w:tcW w:w="651" w:type="dxa"/>
            <w:shd w:val="clear" w:color="auto" w:fill="auto"/>
            <w:vAlign w:val="bottom"/>
          </w:tcPr>
          <w:p w14:paraId="5F2AD8E3"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3.93%</w:t>
            </w:r>
          </w:p>
        </w:tc>
        <w:tc>
          <w:tcPr>
            <w:tcW w:w="666" w:type="dxa"/>
            <w:shd w:val="clear" w:color="auto" w:fill="auto"/>
            <w:vAlign w:val="bottom"/>
          </w:tcPr>
          <w:p w14:paraId="09CF54BC"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3.76%</w:t>
            </w:r>
          </w:p>
        </w:tc>
        <w:tc>
          <w:tcPr>
            <w:tcW w:w="667" w:type="dxa"/>
            <w:shd w:val="clear" w:color="auto" w:fill="auto"/>
            <w:vAlign w:val="bottom"/>
          </w:tcPr>
          <w:p w14:paraId="71F262B9"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3.63%</w:t>
            </w:r>
          </w:p>
        </w:tc>
        <w:tc>
          <w:tcPr>
            <w:tcW w:w="1134" w:type="dxa"/>
            <w:shd w:val="clear" w:color="auto" w:fill="auto"/>
            <w:vAlign w:val="bottom"/>
          </w:tcPr>
          <w:p w14:paraId="7AC23669"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3.38%</w:t>
            </w:r>
          </w:p>
        </w:tc>
        <w:tc>
          <w:tcPr>
            <w:tcW w:w="851" w:type="dxa"/>
            <w:shd w:val="clear" w:color="auto" w:fill="auto"/>
            <w:vAlign w:val="bottom"/>
          </w:tcPr>
          <w:p w14:paraId="07AE46DF"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4.14%</w:t>
            </w:r>
          </w:p>
        </w:tc>
        <w:tc>
          <w:tcPr>
            <w:tcW w:w="1134" w:type="dxa"/>
            <w:shd w:val="clear" w:color="auto" w:fill="auto"/>
            <w:vAlign w:val="bottom"/>
          </w:tcPr>
          <w:p w14:paraId="43E17BB4"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2.99%</w:t>
            </w:r>
          </w:p>
        </w:tc>
        <w:tc>
          <w:tcPr>
            <w:tcW w:w="921" w:type="dxa"/>
            <w:shd w:val="clear" w:color="auto" w:fill="auto"/>
            <w:vAlign w:val="bottom"/>
          </w:tcPr>
          <w:p w14:paraId="3C53860D"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2.43%</w:t>
            </w:r>
          </w:p>
        </w:tc>
      </w:tr>
      <w:tr w:rsidR="00230B89" w:rsidRPr="00591C70" w14:paraId="5680A716" w14:textId="77777777" w:rsidTr="00740A34">
        <w:tc>
          <w:tcPr>
            <w:tcW w:w="1347" w:type="dxa"/>
            <w:shd w:val="clear" w:color="auto" w:fill="auto"/>
            <w:vAlign w:val="bottom"/>
          </w:tcPr>
          <w:p w14:paraId="239774A0" w14:textId="77777777" w:rsidR="00230B89" w:rsidRDefault="00230B89" w:rsidP="00345DEF">
            <w:pPr>
              <w:keepNext/>
              <w:keepLines/>
              <w:tabs>
                <w:tab w:val="left" w:pos="106"/>
              </w:tabs>
              <w:spacing w:before="60" w:after="60"/>
              <w:rPr>
                <w:sz w:val="14"/>
                <w:szCs w:val="14"/>
              </w:rPr>
            </w:pPr>
            <w:r>
              <w:rPr>
                <w:sz w:val="14"/>
                <w:szCs w:val="14"/>
              </w:rPr>
              <w:t>Foreign-controlled companies:</w:t>
            </w:r>
          </w:p>
          <w:p w14:paraId="0461D919" w14:textId="77777777" w:rsidR="00230B89" w:rsidRDefault="00230B89" w:rsidP="00345DEF">
            <w:pPr>
              <w:keepNext/>
              <w:keepLines/>
              <w:tabs>
                <w:tab w:val="left" w:pos="106"/>
              </w:tabs>
              <w:spacing w:before="60" w:after="60"/>
              <w:rPr>
                <w:sz w:val="14"/>
                <w:szCs w:val="14"/>
              </w:rPr>
            </w:pPr>
            <w:r>
              <w:rPr>
                <w:sz w:val="14"/>
                <w:szCs w:val="14"/>
              </w:rPr>
              <w:t xml:space="preserve">  AIL = 2% and</w:t>
            </w:r>
          </w:p>
          <w:p w14:paraId="38D245AF" w14:textId="77777777" w:rsidR="00230B89" w:rsidRPr="00E36296" w:rsidRDefault="00230B89" w:rsidP="00345DEF">
            <w:pPr>
              <w:keepNext/>
              <w:keepLines/>
              <w:tabs>
                <w:tab w:val="left" w:pos="106"/>
              </w:tabs>
              <w:spacing w:before="60" w:after="60"/>
              <w:rPr>
                <w:sz w:val="14"/>
                <w:szCs w:val="14"/>
              </w:rPr>
            </w:pPr>
            <w:r>
              <w:rPr>
                <w:sz w:val="14"/>
                <w:szCs w:val="14"/>
              </w:rPr>
              <w:t xml:space="preserve">  NRWT = 10%</w:t>
            </w:r>
          </w:p>
        </w:tc>
        <w:tc>
          <w:tcPr>
            <w:tcW w:w="992" w:type="dxa"/>
            <w:shd w:val="clear" w:color="auto" w:fill="auto"/>
            <w:vAlign w:val="bottom"/>
          </w:tcPr>
          <w:p w14:paraId="75C82DDA"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 </w:t>
            </w:r>
          </w:p>
        </w:tc>
        <w:tc>
          <w:tcPr>
            <w:tcW w:w="737" w:type="dxa"/>
            <w:shd w:val="clear" w:color="auto" w:fill="auto"/>
            <w:vAlign w:val="bottom"/>
          </w:tcPr>
          <w:p w14:paraId="1B93F7E3"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 </w:t>
            </w:r>
          </w:p>
        </w:tc>
        <w:tc>
          <w:tcPr>
            <w:tcW w:w="681" w:type="dxa"/>
            <w:shd w:val="clear" w:color="auto" w:fill="auto"/>
            <w:vAlign w:val="bottom"/>
          </w:tcPr>
          <w:p w14:paraId="16998454"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 </w:t>
            </w:r>
          </w:p>
        </w:tc>
        <w:tc>
          <w:tcPr>
            <w:tcW w:w="651" w:type="dxa"/>
            <w:shd w:val="clear" w:color="auto" w:fill="auto"/>
            <w:vAlign w:val="bottom"/>
          </w:tcPr>
          <w:p w14:paraId="1A763B39"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 </w:t>
            </w:r>
          </w:p>
        </w:tc>
        <w:tc>
          <w:tcPr>
            <w:tcW w:w="666" w:type="dxa"/>
            <w:shd w:val="clear" w:color="auto" w:fill="auto"/>
            <w:vAlign w:val="bottom"/>
          </w:tcPr>
          <w:p w14:paraId="44CAAFBB"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 </w:t>
            </w:r>
          </w:p>
        </w:tc>
        <w:tc>
          <w:tcPr>
            <w:tcW w:w="667" w:type="dxa"/>
            <w:shd w:val="clear" w:color="auto" w:fill="auto"/>
            <w:vAlign w:val="bottom"/>
          </w:tcPr>
          <w:p w14:paraId="2EC4715A"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 </w:t>
            </w:r>
          </w:p>
        </w:tc>
        <w:tc>
          <w:tcPr>
            <w:tcW w:w="1134" w:type="dxa"/>
            <w:shd w:val="clear" w:color="auto" w:fill="auto"/>
            <w:vAlign w:val="bottom"/>
          </w:tcPr>
          <w:p w14:paraId="413D4A0F"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 </w:t>
            </w:r>
          </w:p>
        </w:tc>
        <w:tc>
          <w:tcPr>
            <w:tcW w:w="851" w:type="dxa"/>
            <w:shd w:val="clear" w:color="auto" w:fill="auto"/>
            <w:vAlign w:val="bottom"/>
          </w:tcPr>
          <w:p w14:paraId="674EFC69"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 </w:t>
            </w:r>
          </w:p>
        </w:tc>
        <w:tc>
          <w:tcPr>
            <w:tcW w:w="1134" w:type="dxa"/>
            <w:shd w:val="clear" w:color="auto" w:fill="auto"/>
            <w:vAlign w:val="bottom"/>
          </w:tcPr>
          <w:p w14:paraId="5C36359D"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 </w:t>
            </w:r>
          </w:p>
        </w:tc>
        <w:tc>
          <w:tcPr>
            <w:tcW w:w="921" w:type="dxa"/>
            <w:shd w:val="clear" w:color="auto" w:fill="auto"/>
            <w:vAlign w:val="bottom"/>
          </w:tcPr>
          <w:p w14:paraId="26B3B056"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 </w:t>
            </w:r>
          </w:p>
        </w:tc>
      </w:tr>
      <w:tr w:rsidR="00230B89" w:rsidRPr="00591C70" w14:paraId="12EE19DA" w14:textId="77777777" w:rsidTr="00740A34">
        <w:tc>
          <w:tcPr>
            <w:tcW w:w="1347" w:type="dxa"/>
            <w:shd w:val="clear" w:color="auto" w:fill="auto"/>
            <w:vAlign w:val="bottom"/>
          </w:tcPr>
          <w:p w14:paraId="2096DAA6" w14:textId="77777777" w:rsidR="00230B89" w:rsidRPr="008F735E" w:rsidRDefault="00230B89" w:rsidP="00345DEF">
            <w:pPr>
              <w:keepNext/>
              <w:keepLines/>
              <w:tabs>
                <w:tab w:val="left" w:pos="106"/>
              </w:tabs>
              <w:spacing w:before="60" w:after="60"/>
              <w:rPr>
                <w:b/>
                <w:bCs/>
                <w:sz w:val="14"/>
                <w:szCs w:val="14"/>
              </w:rPr>
            </w:pPr>
            <w:r>
              <w:rPr>
                <w:sz w:val="14"/>
                <w:szCs w:val="14"/>
              </w:rPr>
              <w:t xml:space="preserve">  NRWT creditable</w:t>
            </w:r>
          </w:p>
        </w:tc>
        <w:tc>
          <w:tcPr>
            <w:tcW w:w="992" w:type="dxa"/>
            <w:shd w:val="clear" w:color="auto" w:fill="auto"/>
            <w:vAlign w:val="bottom"/>
          </w:tcPr>
          <w:p w14:paraId="564EDC1C"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3.80%</w:t>
            </w:r>
          </w:p>
        </w:tc>
        <w:tc>
          <w:tcPr>
            <w:tcW w:w="737" w:type="dxa"/>
            <w:shd w:val="clear" w:color="auto" w:fill="auto"/>
            <w:vAlign w:val="bottom"/>
          </w:tcPr>
          <w:p w14:paraId="2A5EF4CA"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4.13%</w:t>
            </w:r>
          </w:p>
        </w:tc>
        <w:tc>
          <w:tcPr>
            <w:tcW w:w="681" w:type="dxa"/>
            <w:shd w:val="clear" w:color="auto" w:fill="auto"/>
            <w:vAlign w:val="bottom"/>
          </w:tcPr>
          <w:p w14:paraId="17E1C253"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4.10%</w:t>
            </w:r>
          </w:p>
        </w:tc>
        <w:tc>
          <w:tcPr>
            <w:tcW w:w="651" w:type="dxa"/>
            <w:shd w:val="clear" w:color="auto" w:fill="auto"/>
            <w:vAlign w:val="bottom"/>
          </w:tcPr>
          <w:p w14:paraId="4AE8B4EE"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3.91%</w:t>
            </w:r>
          </w:p>
        </w:tc>
        <w:tc>
          <w:tcPr>
            <w:tcW w:w="666" w:type="dxa"/>
            <w:shd w:val="clear" w:color="auto" w:fill="auto"/>
            <w:vAlign w:val="bottom"/>
          </w:tcPr>
          <w:p w14:paraId="5C71F2F0"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3.74%</w:t>
            </w:r>
          </w:p>
        </w:tc>
        <w:tc>
          <w:tcPr>
            <w:tcW w:w="667" w:type="dxa"/>
            <w:shd w:val="clear" w:color="auto" w:fill="auto"/>
            <w:vAlign w:val="bottom"/>
          </w:tcPr>
          <w:p w14:paraId="1A81D148"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3.61%</w:t>
            </w:r>
          </w:p>
        </w:tc>
        <w:tc>
          <w:tcPr>
            <w:tcW w:w="1134" w:type="dxa"/>
            <w:shd w:val="clear" w:color="auto" w:fill="auto"/>
            <w:vAlign w:val="bottom"/>
          </w:tcPr>
          <w:p w14:paraId="014686CF"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3.36%</w:t>
            </w:r>
          </w:p>
        </w:tc>
        <w:tc>
          <w:tcPr>
            <w:tcW w:w="851" w:type="dxa"/>
            <w:shd w:val="clear" w:color="auto" w:fill="auto"/>
            <w:vAlign w:val="bottom"/>
          </w:tcPr>
          <w:p w14:paraId="09AE69E7"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4.13%</w:t>
            </w:r>
          </w:p>
        </w:tc>
        <w:tc>
          <w:tcPr>
            <w:tcW w:w="1134" w:type="dxa"/>
            <w:shd w:val="clear" w:color="auto" w:fill="auto"/>
            <w:vAlign w:val="bottom"/>
          </w:tcPr>
          <w:p w14:paraId="032166F7"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2.97%</w:t>
            </w:r>
          </w:p>
        </w:tc>
        <w:tc>
          <w:tcPr>
            <w:tcW w:w="921" w:type="dxa"/>
            <w:shd w:val="clear" w:color="auto" w:fill="auto"/>
            <w:vAlign w:val="bottom"/>
          </w:tcPr>
          <w:p w14:paraId="3377B882"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2.42%</w:t>
            </w:r>
          </w:p>
        </w:tc>
      </w:tr>
      <w:tr w:rsidR="00230B89" w:rsidRPr="00591C70" w14:paraId="39863B82" w14:textId="77777777" w:rsidTr="00740A34">
        <w:tc>
          <w:tcPr>
            <w:tcW w:w="1347" w:type="dxa"/>
            <w:shd w:val="clear" w:color="auto" w:fill="auto"/>
            <w:vAlign w:val="bottom"/>
          </w:tcPr>
          <w:p w14:paraId="53627F06" w14:textId="77777777" w:rsidR="00230B89" w:rsidRDefault="00230B89" w:rsidP="00345DEF">
            <w:pPr>
              <w:keepNext/>
              <w:keepLines/>
              <w:tabs>
                <w:tab w:val="left" w:pos="106"/>
              </w:tabs>
              <w:spacing w:before="60" w:after="60"/>
              <w:rPr>
                <w:sz w:val="14"/>
                <w:szCs w:val="14"/>
              </w:rPr>
            </w:pPr>
            <w:r>
              <w:rPr>
                <w:sz w:val="14"/>
                <w:szCs w:val="14"/>
              </w:rPr>
              <w:t xml:space="preserve">  NRWT not</w:t>
            </w:r>
          </w:p>
          <w:p w14:paraId="04AFDB91" w14:textId="77777777" w:rsidR="00230B89" w:rsidRPr="008F735E" w:rsidRDefault="00230B89" w:rsidP="00345DEF">
            <w:pPr>
              <w:keepNext/>
              <w:keepLines/>
              <w:tabs>
                <w:tab w:val="left" w:pos="106"/>
              </w:tabs>
              <w:spacing w:before="60" w:after="60"/>
              <w:rPr>
                <w:sz w:val="14"/>
                <w:szCs w:val="14"/>
              </w:rPr>
            </w:pPr>
            <w:r>
              <w:rPr>
                <w:sz w:val="14"/>
                <w:szCs w:val="14"/>
              </w:rPr>
              <w:t xml:space="preserve">  creditable</w:t>
            </w:r>
          </w:p>
        </w:tc>
        <w:tc>
          <w:tcPr>
            <w:tcW w:w="992" w:type="dxa"/>
            <w:shd w:val="clear" w:color="auto" w:fill="auto"/>
            <w:vAlign w:val="bottom"/>
          </w:tcPr>
          <w:p w14:paraId="69870551"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3.88%</w:t>
            </w:r>
          </w:p>
        </w:tc>
        <w:tc>
          <w:tcPr>
            <w:tcW w:w="737" w:type="dxa"/>
            <w:shd w:val="clear" w:color="auto" w:fill="auto"/>
            <w:vAlign w:val="bottom"/>
          </w:tcPr>
          <w:p w14:paraId="7BE3E4BD"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4.21%</w:t>
            </w:r>
          </w:p>
        </w:tc>
        <w:tc>
          <w:tcPr>
            <w:tcW w:w="681" w:type="dxa"/>
            <w:shd w:val="clear" w:color="auto" w:fill="auto"/>
            <w:vAlign w:val="bottom"/>
          </w:tcPr>
          <w:p w14:paraId="70CB3193"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4.18%</w:t>
            </w:r>
          </w:p>
        </w:tc>
        <w:tc>
          <w:tcPr>
            <w:tcW w:w="651" w:type="dxa"/>
            <w:shd w:val="clear" w:color="auto" w:fill="auto"/>
            <w:vAlign w:val="bottom"/>
          </w:tcPr>
          <w:p w14:paraId="3E39CB9D"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4.00%</w:t>
            </w:r>
          </w:p>
        </w:tc>
        <w:tc>
          <w:tcPr>
            <w:tcW w:w="666" w:type="dxa"/>
            <w:shd w:val="clear" w:color="auto" w:fill="auto"/>
            <w:vAlign w:val="bottom"/>
          </w:tcPr>
          <w:p w14:paraId="4A451F93"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3.83%</w:t>
            </w:r>
          </w:p>
        </w:tc>
        <w:tc>
          <w:tcPr>
            <w:tcW w:w="667" w:type="dxa"/>
            <w:shd w:val="clear" w:color="auto" w:fill="auto"/>
            <w:vAlign w:val="bottom"/>
          </w:tcPr>
          <w:p w14:paraId="58D92690"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3.70%</w:t>
            </w:r>
          </w:p>
        </w:tc>
        <w:tc>
          <w:tcPr>
            <w:tcW w:w="1134" w:type="dxa"/>
            <w:shd w:val="clear" w:color="auto" w:fill="auto"/>
            <w:vAlign w:val="bottom"/>
          </w:tcPr>
          <w:p w14:paraId="1DA94C30"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3.45%</w:t>
            </w:r>
          </w:p>
        </w:tc>
        <w:tc>
          <w:tcPr>
            <w:tcW w:w="851" w:type="dxa"/>
            <w:shd w:val="clear" w:color="auto" w:fill="auto"/>
            <w:vAlign w:val="bottom"/>
          </w:tcPr>
          <w:p w14:paraId="02DC9A2B"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4.21%</w:t>
            </w:r>
          </w:p>
        </w:tc>
        <w:tc>
          <w:tcPr>
            <w:tcW w:w="1134" w:type="dxa"/>
            <w:shd w:val="clear" w:color="auto" w:fill="auto"/>
            <w:vAlign w:val="bottom"/>
          </w:tcPr>
          <w:p w14:paraId="64131718"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3.06%</w:t>
            </w:r>
          </w:p>
        </w:tc>
        <w:tc>
          <w:tcPr>
            <w:tcW w:w="921" w:type="dxa"/>
            <w:shd w:val="clear" w:color="auto" w:fill="auto"/>
            <w:vAlign w:val="bottom"/>
          </w:tcPr>
          <w:p w14:paraId="4B69EBC1" w14:textId="77777777" w:rsidR="00230B89" w:rsidRPr="00591C70" w:rsidRDefault="00230B89" w:rsidP="00345DEF">
            <w:pPr>
              <w:keepNext/>
              <w:keepLines/>
              <w:tabs>
                <w:tab w:val="decimal" w:pos="256"/>
              </w:tabs>
              <w:spacing w:before="60" w:after="60"/>
              <w:jc w:val="center"/>
              <w:rPr>
                <w:sz w:val="14"/>
                <w:szCs w:val="14"/>
              </w:rPr>
            </w:pPr>
            <w:r w:rsidRPr="00591C70">
              <w:rPr>
                <w:rFonts w:cs="Calibri"/>
                <w:color w:val="000000"/>
                <w:sz w:val="14"/>
                <w:szCs w:val="14"/>
              </w:rPr>
              <w:t>2.49%</w:t>
            </w:r>
          </w:p>
        </w:tc>
      </w:tr>
    </w:tbl>
    <w:p w14:paraId="0FB009AD" w14:textId="68CB8920" w:rsidR="00F119EE" w:rsidRPr="00A303F4" w:rsidRDefault="00F119EE" w:rsidP="000C1388">
      <w:pPr>
        <w:pStyle w:val="NumberedParagraph"/>
        <w:numPr>
          <w:ilvl w:val="1"/>
          <w:numId w:val="64"/>
        </w:numPr>
      </w:pPr>
      <w:r w:rsidRPr="00A303F4">
        <w:t>We draw attention to the following points illustrated by table 4.</w:t>
      </w:r>
      <w:r>
        <w:t>3</w:t>
      </w:r>
      <w:r w:rsidRPr="00A303F4">
        <w:t>:</w:t>
      </w:r>
    </w:p>
    <w:p w14:paraId="6F6FE03A" w14:textId="4B2D387C" w:rsidR="00F119EE" w:rsidRDefault="00F119EE" w:rsidP="000C1388">
      <w:pPr>
        <w:pStyle w:val="NumberedParagraph-BulletL1"/>
        <w:numPr>
          <w:ilvl w:val="2"/>
          <w:numId w:val="64"/>
        </w:numPr>
      </w:pPr>
      <w:r>
        <w:t>The figures in the fourth row of th</w:t>
      </w:r>
      <w:r w:rsidR="00C6742E">
        <w:t>e</w:t>
      </w:r>
      <w:r>
        <w:t xml:space="preserve"> table for domestic companies with marginal FPI and AIL at a rate of 2% are consistent with cost of capital figures from </w:t>
      </w:r>
      <w:r w:rsidR="004503D8">
        <w:t>t</w:t>
      </w:r>
      <w:r>
        <w:t>able 4.1 for the case when inflation is 2% and debt is 43%. There are substantial biases between different types of investment for reasons that have been discussed above.</w:t>
      </w:r>
    </w:p>
    <w:p w14:paraId="31F9FB9F" w14:textId="3302E3CD" w:rsidR="00F119EE" w:rsidRPr="00A303F4" w:rsidRDefault="00F119EE" w:rsidP="000C1388">
      <w:pPr>
        <w:pStyle w:val="NumberedParagraph-BulletL1"/>
        <w:numPr>
          <w:ilvl w:val="2"/>
          <w:numId w:val="64"/>
        </w:numPr>
      </w:pPr>
      <w:r w:rsidRPr="00A303F4">
        <w:t xml:space="preserve">By comparing the third and fourth rows, we see that AIL </w:t>
      </w:r>
      <w:r>
        <w:t xml:space="preserve">has </w:t>
      </w:r>
      <w:r w:rsidRPr="00A303F4">
        <w:t>pushe</w:t>
      </w:r>
      <w:r>
        <w:t>d</w:t>
      </w:r>
      <w:r w:rsidRPr="00A303F4">
        <w:t xml:space="preserve"> up costs of capital </w:t>
      </w:r>
      <w:r>
        <w:t xml:space="preserve">for domestic companies with marginal FPI but only by very small amounts. The 2% AIL has a </w:t>
      </w:r>
      <w:r w:rsidR="000F4D48">
        <w:t>very small</w:t>
      </w:r>
      <w:r>
        <w:t xml:space="preserve"> effect on costs of capital.</w:t>
      </w:r>
    </w:p>
    <w:p w14:paraId="5E36C1A0" w14:textId="77777777" w:rsidR="00F119EE" w:rsidRPr="00A303F4" w:rsidRDefault="00F119EE" w:rsidP="000C1388">
      <w:pPr>
        <w:pStyle w:val="NumberedParagraph-BulletL1"/>
        <w:numPr>
          <w:ilvl w:val="2"/>
          <w:numId w:val="64"/>
        </w:numPr>
      </w:pPr>
      <w:r w:rsidRPr="00A303F4">
        <w:t xml:space="preserve">By comparing the fourth and fifth rows, we see that the combination of AIL and NRWT has an even smaller effect on pushing up costs of capital for foreign-controlled companies that can claim credits for NRWT. </w:t>
      </w:r>
      <w:r>
        <w:t>This is unsurprising because, u</w:t>
      </w:r>
      <w:r w:rsidRPr="00A303F4">
        <w:t>nlike AIL, NRWT is not increasing the cost of capital for these companies.</w:t>
      </w:r>
      <w:r>
        <w:t xml:space="preserve"> The inter-asset biases remain.</w:t>
      </w:r>
    </w:p>
    <w:p w14:paraId="75AF002C" w14:textId="0E389A1B" w:rsidR="00F119EE" w:rsidRPr="00A303F4" w:rsidRDefault="00F119EE" w:rsidP="000C1388">
      <w:pPr>
        <w:pStyle w:val="NumberedParagraph-BulletL1"/>
        <w:numPr>
          <w:ilvl w:val="2"/>
          <w:numId w:val="64"/>
        </w:numPr>
      </w:pPr>
      <w:r w:rsidRPr="00A303F4">
        <w:t>By comparing the fourth and sixth rows, we see that the combination of AIL and NRWT has a bigger effect on costs of capital for foreign-controlled companies that cannot make use of credits for NRWT.</w:t>
      </w:r>
    </w:p>
    <w:p w14:paraId="55A68B26" w14:textId="77777777" w:rsidR="00F119EE" w:rsidRPr="0055182B" w:rsidRDefault="00F119EE" w:rsidP="00F119EE">
      <w:pPr>
        <w:pStyle w:val="NumberedParagraph-BulletL1"/>
        <w:numPr>
          <w:ilvl w:val="2"/>
          <w:numId w:val="58"/>
        </w:numPr>
      </w:pPr>
      <w:r w:rsidRPr="00A303F4">
        <w:t xml:space="preserve">Differences in costs of capital going down the rows seem small relative to differences in costs of capital going across the rows. This suggests that tax biases between these different types of company are likely to be small relative to tax biases between different types of </w:t>
      </w:r>
      <w:proofErr w:type="gramStart"/>
      <w:r w:rsidRPr="00A303F4">
        <w:t>asset</w:t>
      </w:r>
      <w:proofErr w:type="gramEnd"/>
      <w:r w:rsidRPr="00A303F4">
        <w:t>.</w:t>
      </w:r>
    </w:p>
    <w:p w14:paraId="713511AF" w14:textId="77777777" w:rsidR="00F119EE" w:rsidRPr="0055182B" w:rsidRDefault="00F119EE" w:rsidP="00F119EE">
      <w:pPr>
        <w:pStyle w:val="Heading2"/>
        <w:rPr>
          <w:rFonts w:eastAsia="Calibri"/>
          <w:lang w:eastAsia="en-US"/>
        </w:rPr>
      </w:pPr>
      <w:bookmarkStart w:id="31" w:name="_Toc112857409"/>
      <w:r w:rsidRPr="0055182B">
        <w:rPr>
          <w:rFonts w:eastAsia="Calibri"/>
          <w:lang w:eastAsia="en-US"/>
        </w:rPr>
        <w:t>SMEs where there may be little or no shareholding by non-residents</w:t>
      </w:r>
      <w:bookmarkEnd w:id="31"/>
    </w:p>
    <w:p w14:paraId="1BF46176" w14:textId="760573BE" w:rsidR="00F119EE" w:rsidRDefault="00F119EE" w:rsidP="00F119EE">
      <w:pPr>
        <w:pStyle w:val="NumberedParagraph"/>
        <w:numPr>
          <w:ilvl w:val="1"/>
          <w:numId w:val="58"/>
        </w:numPr>
      </w:pPr>
      <w:r>
        <w:t xml:space="preserve">Appendix 2 of the </w:t>
      </w:r>
      <w:proofErr w:type="gramStart"/>
      <w:r>
        <w:rPr>
          <w:i/>
          <w:iCs/>
        </w:rPr>
        <w:t>T</w:t>
      </w:r>
      <w:r w:rsidRPr="00075D72">
        <w:rPr>
          <w:i/>
          <w:iCs/>
        </w:rPr>
        <w:t>echnical</w:t>
      </w:r>
      <w:proofErr w:type="gramEnd"/>
      <w:r w:rsidRPr="00075D72">
        <w:rPr>
          <w:i/>
          <w:iCs/>
        </w:rPr>
        <w:t xml:space="preserve"> appendices</w:t>
      </w:r>
      <w:r>
        <w:t xml:space="preserve"> also considers the possibility of an SME where non-residents are not marginal shareholders. Instead, the firm is owned by residents who can borrow or lend at a given real interest rate. In appendix</w:t>
      </w:r>
      <w:r w:rsidR="008E431C">
        <w:t> </w:t>
      </w:r>
      <w:r>
        <w:t>2</w:t>
      </w:r>
      <w:r w:rsidR="00541C73">
        <w:t>,</w:t>
      </w:r>
      <w:r>
        <w:t xml:space="preserve"> we consider two sub-variants. In the first, it is assumed that taxable profits are </w:t>
      </w:r>
      <w:r>
        <w:lastRenderedPageBreak/>
        <w:t>fully distributed to domestic residents. In the second, it is assumed that profits are retained in the company.</w:t>
      </w:r>
    </w:p>
    <w:p w14:paraId="094B9B27" w14:textId="00B46234" w:rsidR="00F119EE" w:rsidRDefault="00F119EE" w:rsidP="00F119EE">
      <w:pPr>
        <w:pStyle w:val="NumberedParagraph"/>
        <w:numPr>
          <w:ilvl w:val="1"/>
          <w:numId w:val="58"/>
        </w:numPr>
      </w:pPr>
      <w:r>
        <w:t xml:space="preserve">Here we report only the results for the full distribution case. It is assumed that domestic residents are taxed at a marginal tax rate, </w:t>
      </w:r>
      <w:r>
        <w:rPr>
          <w:i/>
          <w:iCs/>
        </w:rPr>
        <w:t>m</w:t>
      </w:r>
      <w:r>
        <w:t xml:space="preserve">, of 33%, </w:t>
      </w:r>
      <w:r w:rsidR="004C1953">
        <w:t xml:space="preserve">and </w:t>
      </w:r>
      <w:r>
        <w:t xml:space="preserve">the world real interest rate is 3%. </w:t>
      </w:r>
      <w:r w:rsidR="004C1953">
        <w:t>The</w:t>
      </w:r>
      <w:r>
        <w:t xml:space="preserve"> question </w:t>
      </w:r>
      <w:r w:rsidR="004C1953">
        <w:t>arises</w:t>
      </w:r>
      <w:r>
        <w:t xml:space="preserve"> which marginal rate to use </w:t>
      </w:r>
      <w:proofErr w:type="spellStart"/>
      <w:r>
        <w:t xml:space="preserve">for </w:t>
      </w:r>
      <w:r w:rsidRPr="009B631C">
        <w:rPr>
          <w:i/>
          <w:iCs/>
        </w:rPr>
        <w:t>m</w:t>
      </w:r>
      <w:proofErr w:type="spellEnd"/>
      <w:r w:rsidR="00F52C60">
        <w:t xml:space="preserve">. </w:t>
      </w:r>
      <w:r>
        <w:t>We use a rate of 33% because many higher</w:t>
      </w:r>
      <w:r w:rsidR="004C1953">
        <w:t>-</w:t>
      </w:r>
      <w:r>
        <w:t xml:space="preserve">rate shareholders may </w:t>
      </w:r>
      <w:r w:rsidR="00925DDA">
        <w:t xml:space="preserve">be </w:t>
      </w:r>
      <w:r>
        <w:t xml:space="preserve">able to use trusts and other entities to limit the amounts of income taxed at the new top personal marginal tax rate of 39%. </w:t>
      </w:r>
      <w:r w:rsidRPr="009B631C">
        <w:t>AIL</w:t>
      </w:r>
      <w:r>
        <w:t xml:space="preserve"> pushes up the domestic real interest rate to 3.</w:t>
      </w:r>
      <w:r w:rsidR="001D2100">
        <w:t xml:space="preserve">06% or </w:t>
      </w:r>
      <w:r>
        <w:t>3.10%</w:t>
      </w:r>
      <w:r w:rsidR="001D2100">
        <w:t xml:space="preserve"> if the inflation rate is 0% or 2% per annum respectively</w:t>
      </w:r>
      <w:r>
        <w:t>.</w:t>
      </w:r>
    </w:p>
    <w:p w14:paraId="348BCBE2" w14:textId="77777777" w:rsidR="00F119EE" w:rsidRDefault="00F119EE" w:rsidP="00F119EE">
      <w:pPr>
        <w:pStyle w:val="NumberedParagraph"/>
        <w:numPr>
          <w:ilvl w:val="1"/>
          <w:numId w:val="58"/>
        </w:numPr>
      </w:pPr>
      <w:r w:rsidRPr="0055182B">
        <w:t>Table 4.</w:t>
      </w:r>
      <w:r>
        <w:t>3</w:t>
      </w:r>
      <w:r w:rsidRPr="0055182B">
        <w:t xml:space="preserve"> provides estimates </w:t>
      </w:r>
      <w:r>
        <w:t>of costs of capital and EMTRs</w:t>
      </w:r>
      <w:r w:rsidRPr="0055182B">
        <w:t>.</w:t>
      </w:r>
    </w:p>
    <w:p w14:paraId="72197716" w14:textId="5D1E54E2" w:rsidR="00F119EE" w:rsidRDefault="00F119EE" w:rsidP="00F119EE">
      <w:pPr>
        <w:pStyle w:val="Caption"/>
        <w:keepLines/>
        <w:ind w:left="-426" w:right="-426"/>
        <w:rPr>
          <w:rFonts w:eastAsia="Calibri"/>
          <w:lang w:eastAsia="en-US"/>
        </w:rPr>
      </w:pPr>
      <w:r w:rsidRPr="0055182B">
        <w:rPr>
          <w:rFonts w:eastAsia="Calibri"/>
          <w:lang w:eastAsia="en-US"/>
        </w:rPr>
        <w:t>Table 4.</w:t>
      </w:r>
      <w:r>
        <w:rPr>
          <w:rFonts w:eastAsia="Calibri"/>
          <w:lang w:eastAsia="en-US"/>
        </w:rPr>
        <w:t xml:space="preserve">3: </w:t>
      </w:r>
      <w:r w:rsidRPr="0055182B">
        <w:rPr>
          <w:rFonts w:eastAsia="Calibri"/>
          <w:lang w:eastAsia="en-US"/>
        </w:rPr>
        <w:t>Costs of capital and EMTRs for domestic SMEs - full distribution</w:t>
      </w:r>
      <w:r>
        <w:rPr>
          <w:rFonts w:eastAsia="Calibri"/>
          <w:lang w:eastAsia="en-US"/>
        </w:rPr>
        <w:t xml:space="preserve"> </w:t>
      </w:r>
      <w:r>
        <w:rPr>
          <w:rFonts w:eastAsia="Calibri"/>
          <w:lang w:eastAsia="en-US"/>
        </w:rPr>
        <w:br/>
      </w:r>
      <w:r w:rsidRPr="0055182B">
        <w:rPr>
          <w:rFonts w:eastAsia="Calibri"/>
          <w:lang w:eastAsia="en-US"/>
        </w:rPr>
        <w:t xml:space="preserve">m = 33%, </w:t>
      </w:r>
      <w:r>
        <w:rPr>
          <w:rFonts w:eastAsia="Calibri"/>
          <w:lang w:eastAsia="en-US"/>
        </w:rPr>
        <w:t>r = 3%, AIL = 2%</w:t>
      </w:r>
    </w:p>
    <w:tbl>
      <w:tblPr>
        <w:tblStyle w:val="TableGrid"/>
        <w:tblW w:w="9781" w:type="dxa"/>
        <w:tblInd w:w="-5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8" w:type="dxa"/>
          <w:right w:w="28" w:type="dxa"/>
        </w:tblCellMar>
        <w:tblLook w:val="04A0" w:firstRow="1" w:lastRow="0" w:firstColumn="1" w:lastColumn="0" w:noHBand="0" w:noVBand="1"/>
      </w:tblPr>
      <w:tblGrid>
        <w:gridCol w:w="1347"/>
        <w:gridCol w:w="992"/>
        <w:gridCol w:w="737"/>
        <w:gridCol w:w="681"/>
        <w:gridCol w:w="651"/>
        <w:gridCol w:w="666"/>
        <w:gridCol w:w="667"/>
        <w:gridCol w:w="1134"/>
        <w:gridCol w:w="851"/>
        <w:gridCol w:w="1134"/>
        <w:gridCol w:w="921"/>
      </w:tblGrid>
      <w:tr w:rsidR="005D47F0" w:rsidRPr="008F735E" w14:paraId="7680EB17" w14:textId="77777777" w:rsidTr="00740A34">
        <w:trPr>
          <w:tblHeader/>
        </w:trPr>
        <w:tc>
          <w:tcPr>
            <w:tcW w:w="1347" w:type="dxa"/>
            <w:shd w:val="clear" w:color="auto" w:fill="232E36"/>
          </w:tcPr>
          <w:p w14:paraId="6C571543" w14:textId="77777777" w:rsidR="00F569A4" w:rsidRPr="008F735E" w:rsidRDefault="00F569A4" w:rsidP="00345DEF">
            <w:pPr>
              <w:keepNext/>
              <w:keepLines/>
              <w:spacing w:before="120" w:after="120"/>
              <w:rPr>
                <w:color w:val="FFFFFF" w:themeColor="background1"/>
                <w:sz w:val="14"/>
                <w:szCs w:val="14"/>
              </w:rPr>
            </w:pPr>
          </w:p>
        </w:tc>
        <w:tc>
          <w:tcPr>
            <w:tcW w:w="992" w:type="dxa"/>
            <w:shd w:val="clear" w:color="auto" w:fill="232E36"/>
          </w:tcPr>
          <w:p w14:paraId="63D78FDB" w14:textId="77777777" w:rsidR="00F569A4" w:rsidRPr="008F735E" w:rsidRDefault="00F569A4"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Commercial and industrial buildings</w:t>
            </w:r>
          </w:p>
        </w:tc>
        <w:tc>
          <w:tcPr>
            <w:tcW w:w="3402" w:type="dxa"/>
            <w:gridSpan w:val="5"/>
            <w:shd w:val="clear" w:color="auto" w:fill="232E36"/>
          </w:tcPr>
          <w:p w14:paraId="5FB6A4FD" w14:textId="77777777" w:rsidR="00F569A4" w:rsidRPr="008F735E" w:rsidRDefault="00F569A4"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 xml:space="preserve">Plant, </w:t>
            </w:r>
            <w:proofErr w:type="gramStart"/>
            <w:r w:rsidRPr="008F735E">
              <w:rPr>
                <w:b/>
                <w:bCs/>
                <w:color w:val="FFFFFF" w:themeColor="background1"/>
                <w:sz w:val="14"/>
                <w:szCs w:val="14"/>
              </w:rPr>
              <w:t>machinery</w:t>
            </w:r>
            <w:proofErr w:type="gramEnd"/>
            <w:r w:rsidRPr="008F735E">
              <w:rPr>
                <w:b/>
                <w:bCs/>
                <w:color w:val="FFFFFF" w:themeColor="background1"/>
                <w:sz w:val="14"/>
                <w:szCs w:val="14"/>
              </w:rPr>
              <w:t xml:space="preserve"> and equipment</w:t>
            </w:r>
          </w:p>
        </w:tc>
        <w:tc>
          <w:tcPr>
            <w:tcW w:w="1134" w:type="dxa"/>
            <w:shd w:val="clear" w:color="auto" w:fill="232E36"/>
          </w:tcPr>
          <w:p w14:paraId="7CE47558" w14:textId="77777777" w:rsidR="00F569A4" w:rsidRPr="008F735E" w:rsidRDefault="00F569A4"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Zero</w:t>
            </w:r>
            <w:r>
              <w:rPr>
                <w:b/>
                <w:bCs/>
                <w:color w:val="FFFFFF" w:themeColor="background1"/>
                <w:sz w:val="14"/>
                <w:szCs w:val="14"/>
              </w:rPr>
              <w:t>-</w:t>
            </w:r>
            <w:r w:rsidRPr="008F735E">
              <w:rPr>
                <w:b/>
                <w:bCs/>
                <w:color w:val="FFFFFF" w:themeColor="background1"/>
                <w:sz w:val="14"/>
                <w:szCs w:val="14"/>
              </w:rPr>
              <w:t>depreciating assets</w:t>
            </w:r>
          </w:p>
        </w:tc>
        <w:tc>
          <w:tcPr>
            <w:tcW w:w="851" w:type="dxa"/>
            <w:shd w:val="clear" w:color="auto" w:fill="232E36"/>
          </w:tcPr>
          <w:p w14:paraId="63769F56" w14:textId="77777777" w:rsidR="00F569A4" w:rsidRPr="008F735E" w:rsidRDefault="00F569A4"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Inventory</w:t>
            </w:r>
          </w:p>
        </w:tc>
        <w:tc>
          <w:tcPr>
            <w:tcW w:w="1134" w:type="dxa"/>
            <w:shd w:val="clear" w:color="auto" w:fill="232E36"/>
          </w:tcPr>
          <w:p w14:paraId="58CB9582" w14:textId="77777777" w:rsidR="00F569A4" w:rsidRPr="008F735E" w:rsidRDefault="00F569A4"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Appreciating assets</w:t>
            </w:r>
          </w:p>
        </w:tc>
        <w:tc>
          <w:tcPr>
            <w:tcW w:w="921" w:type="dxa"/>
            <w:shd w:val="clear" w:color="auto" w:fill="232E36"/>
          </w:tcPr>
          <w:p w14:paraId="15339251" w14:textId="77777777" w:rsidR="00F569A4" w:rsidRPr="008F735E" w:rsidRDefault="00F569A4"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Expensing</w:t>
            </w:r>
          </w:p>
        </w:tc>
      </w:tr>
      <w:tr w:rsidR="00F569A4" w:rsidRPr="008F735E" w14:paraId="267A1FD2" w14:textId="77777777" w:rsidTr="00740A34">
        <w:tc>
          <w:tcPr>
            <w:tcW w:w="1347" w:type="dxa"/>
            <w:shd w:val="clear" w:color="auto" w:fill="auto"/>
            <w:vAlign w:val="bottom"/>
          </w:tcPr>
          <w:p w14:paraId="4AC7BE00" w14:textId="77777777" w:rsidR="00F569A4" w:rsidRPr="00CF778C" w:rsidRDefault="00F569A4" w:rsidP="00345DEF">
            <w:pPr>
              <w:keepNext/>
              <w:keepLines/>
              <w:tabs>
                <w:tab w:val="left" w:pos="106"/>
              </w:tabs>
              <w:spacing w:before="60" w:after="60"/>
              <w:rPr>
                <w:rStyle w:val="Strong"/>
                <w:b w:val="0"/>
                <w:bCs w:val="0"/>
                <w:sz w:val="14"/>
                <w:szCs w:val="14"/>
              </w:rPr>
            </w:pPr>
            <w:r>
              <w:rPr>
                <w:rStyle w:val="Strong"/>
                <w:sz w:val="14"/>
                <w:szCs w:val="14"/>
              </w:rPr>
              <w:t>d</w:t>
            </w:r>
          </w:p>
        </w:tc>
        <w:tc>
          <w:tcPr>
            <w:tcW w:w="992" w:type="dxa"/>
            <w:vAlign w:val="center"/>
          </w:tcPr>
          <w:p w14:paraId="6BD0EE86" w14:textId="77777777" w:rsidR="00F569A4" w:rsidRPr="008F735E" w:rsidRDefault="00F569A4" w:rsidP="00345DEF">
            <w:pPr>
              <w:keepNext/>
              <w:keepLines/>
              <w:tabs>
                <w:tab w:val="decimal" w:pos="256"/>
              </w:tabs>
              <w:spacing w:before="60" w:after="60"/>
              <w:jc w:val="center"/>
              <w:rPr>
                <w:sz w:val="14"/>
                <w:szCs w:val="14"/>
              </w:rPr>
            </w:pPr>
            <w:r w:rsidRPr="008F735E">
              <w:rPr>
                <w:sz w:val="14"/>
                <w:szCs w:val="14"/>
              </w:rPr>
              <w:t>2.69%</w:t>
            </w:r>
          </w:p>
        </w:tc>
        <w:tc>
          <w:tcPr>
            <w:tcW w:w="737" w:type="dxa"/>
            <w:vAlign w:val="center"/>
          </w:tcPr>
          <w:p w14:paraId="495B736E" w14:textId="77777777" w:rsidR="00F569A4" w:rsidRPr="008F735E" w:rsidRDefault="00F569A4" w:rsidP="00345DEF">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54681A67" w14:textId="77777777" w:rsidR="00F569A4" w:rsidRPr="008F735E" w:rsidRDefault="00F569A4" w:rsidP="00345DEF">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38C9BA49" w14:textId="77777777" w:rsidR="00F569A4" w:rsidRPr="008F735E" w:rsidRDefault="00F569A4" w:rsidP="00345DEF">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2DFC4655" w14:textId="77777777" w:rsidR="00F569A4" w:rsidRPr="008F735E" w:rsidRDefault="00F569A4" w:rsidP="00345DEF">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4222ED1E" w14:textId="77777777" w:rsidR="00F569A4" w:rsidRPr="008F735E" w:rsidRDefault="00F569A4" w:rsidP="00345DEF">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50EF6141" w14:textId="77777777" w:rsidR="00F569A4" w:rsidRPr="008F735E" w:rsidRDefault="00F569A4" w:rsidP="00345DEF">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0A72CDCA" w14:textId="77777777" w:rsidR="00F569A4" w:rsidRPr="008F735E" w:rsidRDefault="00F569A4" w:rsidP="00345DEF">
            <w:pPr>
              <w:keepNext/>
              <w:keepLines/>
              <w:tabs>
                <w:tab w:val="decimal" w:pos="256"/>
              </w:tabs>
              <w:spacing w:before="60" w:after="60"/>
              <w:jc w:val="center"/>
              <w:rPr>
                <w:sz w:val="14"/>
                <w:szCs w:val="14"/>
              </w:rPr>
            </w:pPr>
          </w:p>
        </w:tc>
        <w:tc>
          <w:tcPr>
            <w:tcW w:w="1134" w:type="dxa"/>
            <w:vAlign w:val="center"/>
          </w:tcPr>
          <w:p w14:paraId="714D6352" w14:textId="77777777" w:rsidR="00F569A4" w:rsidRPr="008F735E" w:rsidRDefault="00F569A4" w:rsidP="00345DEF">
            <w:pPr>
              <w:keepNext/>
              <w:keepLines/>
              <w:tabs>
                <w:tab w:val="decimal" w:pos="256"/>
              </w:tabs>
              <w:spacing w:before="60" w:after="60"/>
              <w:jc w:val="center"/>
              <w:rPr>
                <w:sz w:val="14"/>
                <w:szCs w:val="14"/>
              </w:rPr>
            </w:pPr>
            <w:r w:rsidRPr="008F735E">
              <w:rPr>
                <w:sz w:val="14"/>
                <w:szCs w:val="14"/>
              </w:rPr>
              <w:t>-1.00%</w:t>
            </w:r>
          </w:p>
        </w:tc>
        <w:tc>
          <w:tcPr>
            <w:tcW w:w="921" w:type="dxa"/>
            <w:vAlign w:val="center"/>
          </w:tcPr>
          <w:p w14:paraId="40E82FAF" w14:textId="77777777" w:rsidR="00F569A4" w:rsidRPr="008F735E" w:rsidRDefault="00F569A4" w:rsidP="00345DEF">
            <w:pPr>
              <w:keepNext/>
              <w:keepLines/>
              <w:tabs>
                <w:tab w:val="decimal" w:pos="256"/>
              </w:tabs>
              <w:spacing w:before="60" w:after="60"/>
              <w:jc w:val="center"/>
              <w:rPr>
                <w:sz w:val="14"/>
                <w:szCs w:val="14"/>
              </w:rPr>
            </w:pPr>
          </w:p>
        </w:tc>
      </w:tr>
      <w:tr w:rsidR="00F569A4" w:rsidRPr="008F735E" w14:paraId="7458E75F" w14:textId="77777777" w:rsidTr="00740A34">
        <w:tc>
          <w:tcPr>
            <w:tcW w:w="1347" w:type="dxa"/>
            <w:shd w:val="clear" w:color="auto" w:fill="auto"/>
            <w:vAlign w:val="bottom"/>
          </w:tcPr>
          <w:p w14:paraId="36238D90" w14:textId="77777777" w:rsidR="00F569A4" w:rsidRPr="00CF778C" w:rsidRDefault="00F569A4" w:rsidP="00345DEF">
            <w:pPr>
              <w:keepNext/>
              <w:keepLines/>
              <w:tabs>
                <w:tab w:val="left" w:pos="106"/>
              </w:tabs>
              <w:spacing w:before="60" w:after="60"/>
              <w:rPr>
                <w:rStyle w:val="Strong"/>
                <w:b w:val="0"/>
                <w:bCs w:val="0"/>
                <w:sz w:val="14"/>
                <w:szCs w:val="14"/>
              </w:rPr>
            </w:pPr>
            <w:r>
              <w:rPr>
                <w:rStyle w:val="Strong"/>
                <w:sz w:val="14"/>
                <w:szCs w:val="14"/>
              </w:rPr>
              <w:t>d*</w:t>
            </w:r>
          </w:p>
        </w:tc>
        <w:tc>
          <w:tcPr>
            <w:tcW w:w="992" w:type="dxa"/>
            <w:vAlign w:val="center"/>
          </w:tcPr>
          <w:p w14:paraId="0CFA91BA" w14:textId="77777777" w:rsidR="00F569A4" w:rsidRPr="008F735E" w:rsidRDefault="00F569A4" w:rsidP="00345DEF">
            <w:pPr>
              <w:keepNext/>
              <w:keepLines/>
              <w:tabs>
                <w:tab w:val="decimal" w:pos="256"/>
              </w:tabs>
              <w:spacing w:before="60" w:after="60"/>
              <w:jc w:val="center"/>
              <w:rPr>
                <w:sz w:val="14"/>
                <w:szCs w:val="14"/>
              </w:rPr>
            </w:pPr>
            <w:r w:rsidRPr="008F735E">
              <w:rPr>
                <w:sz w:val="14"/>
                <w:szCs w:val="14"/>
              </w:rPr>
              <w:t>2.00%</w:t>
            </w:r>
          </w:p>
        </w:tc>
        <w:tc>
          <w:tcPr>
            <w:tcW w:w="737" w:type="dxa"/>
            <w:vAlign w:val="center"/>
          </w:tcPr>
          <w:p w14:paraId="03B539D5" w14:textId="77777777" w:rsidR="00F569A4" w:rsidRPr="008F735E" w:rsidRDefault="00F569A4" w:rsidP="00345DEF">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5A7848C4" w14:textId="77777777" w:rsidR="00F569A4" w:rsidRPr="008F735E" w:rsidRDefault="00F569A4" w:rsidP="00345DEF">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538C5D5F" w14:textId="77777777" w:rsidR="00F569A4" w:rsidRPr="008F735E" w:rsidRDefault="00F569A4" w:rsidP="00345DEF">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4AE6DB01" w14:textId="77777777" w:rsidR="00F569A4" w:rsidRPr="008F735E" w:rsidRDefault="00F569A4" w:rsidP="00345DEF">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156C98DF" w14:textId="77777777" w:rsidR="00F569A4" w:rsidRPr="008F735E" w:rsidRDefault="00F569A4" w:rsidP="00345DEF">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02315EE2" w14:textId="77777777" w:rsidR="00F569A4" w:rsidRPr="008F735E" w:rsidRDefault="00F569A4" w:rsidP="00345DEF">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3B11BC99" w14:textId="77777777" w:rsidR="00F569A4" w:rsidRPr="008F735E" w:rsidRDefault="00F569A4" w:rsidP="00345DEF">
            <w:pPr>
              <w:keepNext/>
              <w:keepLines/>
              <w:tabs>
                <w:tab w:val="decimal" w:pos="256"/>
              </w:tabs>
              <w:spacing w:before="60" w:after="60"/>
              <w:jc w:val="center"/>
              <w:rPr>
                <w:sz w:val="14"/>
                <w:szCs w:val="14"/>
              </w:rPr>
            </w:pPr>
          </w:p>
        </w:tc>
        <w:tc>
          <w:tcPr>
            <w:tcW w:w="1134" w:type="dxa"/>
            <w:vAlign w:val="center"/>
          </w:tcPr>
          <w:p w14:paraId="327D11C7" w14:textId="77777777" w:rsidR="00F569A4" w:rsidRPr="008F735E" w:rsidRDefault="00F569A4" w:rsidP="00345DEF">
            <w:pPr>
              <w:keepNext/>
              <w:keepLines/>
              <w:tabs>
                <w:tab w:val="decimal" w:pos="256"/>
              </w:tabs>
              <w:spacing w:before="60" w:after="60"/>
              <w:jc w:val="center"/>
              <w:rPr>
                <w:sz w:val="14"/>
                <w:szCs w:val="14"/>
              </w:rPr>
            </w:pPr>
            <w:r w:rsidRPr="008F735E">
              <w:rPr>
                <w:sz w:val="14"/>
                <w:szCs w:val="14"/>
              </w:rPr>
              <w:t>0.00%</w:t>
            </w:r>
          </w:p>
        </w:tc>
        <w:tc>
          <w:tcPr>
            <w:tcW w:w="921" w:type="dxa"/>
            <w:vAlign w:val="center"/>
          </w:tcPr>
          <w:p w14:paraId="031FC1C2" w14:textId="77777777" w:rsidR="00F569A4" w:rsidRPr="008F735E" w:rsidRDefault="00F569A4" w:rsidP="00345DEF">
            <w:pPr>
              <w:keepNext/>
              <w:keepLines/>
              <w:tabs>
                <w:tab w:val="decimal" w:pos="256"/>
              </w:tabs>
              <w:spacing w:before="60" w:after="60"/>
              <w:jc w:val="center"/>
              <w:rPr>
                <w:sz w:val="14"/>
                <w:szCs w:val="14"/>
              </w:rPr>
            </w:pPr>
          </w:p>
        </w:tc>
      </w:tr>
      <w:tr w:rsidR="00F569A4" w:rsidRPr="008F735E" w14:paraId="6F9D8D5E" w14:textId="77777777" w:rsidTr="00740A34">
        <w:tc>
          <w:tcPr>
            <w:tcW w:w="1347" w:type="dxa"/>
            <w:shd w:val="clear" w:color="auto" w:fill="auto"/>
            <w:vAlign w:val="bottom"/>
          </w:tcPr>
          <w:p w14:paraId="11B114B0" w14:textId="77777777" w:rsidR="00F569A4" w:rsidRPr="008F735E" w:rsidRDefault="00F569A4" w:rsidP="00345DEF">
            <w:pPr>
              <w:keepNext/>
              <w:keepLines/>
              <w:tabs>
                <w:tab w:val="left" w:pos="106"/>
              </w:tabs>
              <w:spacing w:before="60" w:after="60"/>
              <w:rPr>
                <w:b/>
                <w:bCs/>
                <w:sz w:val="14"/>
                <w:szCs w:val="14"/>
              </w:rPr>
            </w:pPr>
            <w:r>
              <w:rPr>
                <w:b/>
                <w:bCs/>
                <w:sz w:val="14"/>
                <w:szCs w:val="14"/>
              </w:rPr>
              <w:t>Costs of capital</w:t>
            </w:r>
          </w:p>
        </w:tc>
        <w:tc>
          <w:tcPr>
            <w:tcW w:w="992" w:type="dxa"/>
            <w:vAlign w:val="center"/>
          </w:tcPr>
          <w:p w14:paraId="51736101" w14:textId="77777777" w:rsidR="00F569A4" w:rsidRPr="008F735E" w:rsidRDefault="00F569A4" w:rsidP="00345DEF">
            <w:pPr>
              <w:keepNext/>
              <w:keepLines/>
              <w:tabs>
                <w:tab w:val="decimal" w:pos="256"/>
              </w:tabs>
              <w:spacing w:before="60" w:after="60"/>
              <w:jc w:val="center"/>
              <w:rPr>
                <w:sz w:val="14"/>
                <w:szCs w:val="14"/>
              </w:rPr>
            </w:pPr>
          </w:p>
        </w:tc>
        <w:tc>
          <w:tcPr>
            <w:tcW w:w="737" w:type="dxa"/>
            <w:vAlign w:val="center"/>
          </w:tcPr>
          <w:p w14:paraId="525D3EA0" w14:textId="77777777" w:rsidR="00F569A4" w:rsidRPr="008F735E" w:rsidRDefault="00F569A4" w:rsidP="00345DEF">
            <w:pPr>
              <w:keepNext/>
              <w:keepLines/>
              <w:tabs>
                <w:tab w:val="decimal" w:pos="256"/>
              </w:tabs>
              <w:spacing w:before="60" w:after="60"/>
              <w:jc w:val="center"/>
              <w:rPr>
                <w:sz w:val="14"/>
                <w:szCs w:val="14"/>
              </w:rPr>
            </w:pPr>
          </w:p>
        </w:tc>
        <w:tc>
          <w:tcPr>
            <w:tcW w:w="681" w:type="dxa"/>
            <w:vAlign w:val="center"/>
          </w:tcPr>
          <w:p w14:paraId="5E38631B" w14:textId="77777777" w:rsidR="00F569A4" w:rsidRPr="008F735E" w:rsidRDefault="00F569A4" w:rsidP="00345DEF">
            <w:pPr>
              <w:keepNext/>
              <w:keepLines/>
              <w:tabs>
                <w:tab w:val="decimal" w:pos="256"/>
              </w:tabs>
              <w:spacing w:before="60" w:after="60"/>
              <w:jc w:val="center"/>
              <w:rPr>
                <w:sz w:val="14"/>
                <w:szCs w:val="14"/>
              </w:rPr>
            </w:pPr>
          </w:p>
        </w:tc>
        <w:tc>
          <w:tcPr>
            <w:tcW w:w="651" w:type="dxa"/>
            <w:vAlign w:val="center"/>
          </w:tcPr>
          <w:p w14:paraId="343EDAA0" w14:textId="77777777" w:rsidR="00F569A4" w:rsidRPr="008F735E" w:rsidRDefault="00F569A4" w:rsidP="00345DEF">
            <w:pPr>
              <w:keepNext/>
              <w:keepLines/>
              <w:tabs>
                <w:tab w:val="decimal" w:pos="256"/>
              </w:tabs>
              <w:spacing w:before="60" w:after="60"/>
              <w:jc w:val="center"/>
              <w:rPr>
                <w:sz w:val="14"/>
                <w:szCs w:val="14"/>
              </w:rPr>
            </w:pPr>
          </w:p>
        </w:tc>
        <w:tc>
          <w:tcPr>
            <w:tcW w:w="666" w:type="dxa"/>
            <w:vAlign w:val="center"/>
          </w:tcPr>
          <w:p w14:paraId="6A560177" w14:textId="77777777" w:rsidR="00F569A4" w:rsidRPr="008F735E" w:rsidRDefault="00F569A4" w:rsidP="00345DEF">
            <w:pPr>
              <w:keepNext/>
              <w:keepLines/>
              <w:tabs>
                <w:tab w:val="decimal" w:pos="256"/>
              </w:tabs>
              <w:spacing w:before="60" w:after="60"/>
              <w:jc w:val="center"/>
              <w:rPr>
                <w:sz w:val="14"/>
                <w:szCs w:val="14"/>
              </w:rPr>
            </w:pPr>
          </w:p>
        </w:tc>
        <w:tc>
          <w:tcPr>
            <w:tcW w:w="667" w:type="dxa"/>
            <w:vAlign w:val="center"/>
          </w:tcPr>
          <w:p w14:paraId="00832E2B" w14:textId="77777777" w:rsidR="00F569A4" w:rsidRPr="008F735E" w:rsidRDefault="00F569A4" w:rsidP="00345DEF">
            <w:pPr>
              <w:keepNext/>
              <w:keepLines/>
              <w:tabs>
                <w:tab w:val="decimal" w:pos="256"/>
              </w:tabs>
              <w:spacing w:before="60" w:after="60"/>
              <w:jc w:val="center"/>
              <w:rPr>
                <w:sz w:val="14"/>
                <w:szCs w:val="14"/>
              </w:rPr>
            </w:pPr>
          </w:p>
        </w:tc>
        <w:tc>
          <w:tcPr>
            <w:tcW w:w="1134" w:type="dxa"/>
            <w:vAlign w:val="center"/>
          </w:tcPr>
          <w:p w14:paraId="438EC55E" w14:textId="77777777" w:rsidR="00F569A4" w:rsidRPr="008F735E" w:rsidRDefault="00F569A4" w:rsidP="00345DEF">
            <w:pPr>
              <w:keepNext/>
              <w:keepLines/>
              <w:tabs>
                <w:tab w:val="decimal" w:pos="256"/>
              </w:tabs>
              <w:spacing w:before="60" w:after="60"/>
              <w:jc w:val="center"/>
              <w:rPr>
                <w:sz w:val="14"/>
                <w:szCs w:val="14"/>
              </w:rPr>
            </w:pPr>
          </w:p>
        </w:tc>
        <w:tc>
          <w:tcPr>
            <w:tcW w:w="851" w:type="dxa"/>
            <w:vAlign w:val="center"/>
          </w:tcPr>
          <w:p w14:paraId="57368542" w14:textId="77777777" w:rsidR="00F569A4" w:rsidRPr="008F735E" w:rsidRDefault="00F569A4" w:rsidP="00345DEF">
            <w:pPr>
              <w:keepNext/>
              <w:keepLines/>
              <w:tabs>
                <w:tab w:val="decimal" w:pos="256"/>
              </w:tabs>
              <w:spacing w:before="60" w:after="60"/>
              <w:jc w:val="center"/>
              <w:rPr>
                <w:sz w:val="14"/>
                <w:szCs w:val="14"/>
              </w:rPr>
            </w:pPr>
          </w:p>
        </w:tc>
        <w:tc>
          <w:tcPr>
            <w:tcW w:w="1134" w:type="dxa"/>
            <w:vAlign w:val="center"/>
          </w:tcPr>
          <w:p w14:paraId="61A31FAC" w14:textId="77777777" w:rsidR="00F569A4" w:rsidRPr="008F735E" w:rsidRDefault="00F569A4" w:rsidP="00345DEF">
            <w:pPr>
              <w:keepNext/>
              <w:keepLines/>
              <w:tabs>
                <w:tab w:val="decimal" w:pos="256"/>
              </w:tabs>
              <w:spacing w:before="60" w:after="60"/>
              <w:jc w:val="center"/>
              <w:rPr>
                <w:sz w:val="14"/>
                <w:szCs w:val="14"/>
              </w:rPr>
            </w:pPr>
          </w:p>
        </w:tc>
        <w:tc>
          <w:tcPr>
            <w:tcW w:w="921" w:type="dxa"/>
            <w:vAlign w:val="center"/>
          </w:tcPr>
          <w:p w14:paraId="4A02FC80" w14:textId="77777777" w:rsidR="00F569A4" w:rsidRPr="008F735E" w:rsidRDefault="00F569A4" w:rsidP="00345DEF">
            <w:pPr>
              <w:keepNext/>
              <w:keepLines/>
              <w:tabs>
                <w:tab w:val="decimal" w:pos="256"/>
              </w:tabs>
              <w:spacing w:before="60" w:after="60"/>
              <w:jc w:val="center"/>
              <w:rPr>
                <w:sz w:val="14"/>
                <w:szCs w:val="14"/>
              </w:rPr>
            </w:pPr>
          </w:p>
        </w:tc>
      </w:tr>
      <w:tr w:rsidR="00F569A4" w:rsidRPr="002212A3" w14:paraId="6478223C" w14:textId="77777777" w:rsidTr="00740A34">
        <w:tc>
          <w:tcPr>
            <w:tcW w:w="1347" w:type="dxa"/>
            <w:shd w:val="clear" w:color="auto" w:fill="auto"/>
            <w:vAlign w:val="bottom"/>
          </w:tcPr>
          <w:p w14:paraId="0A454B4F" w14:textId="77777777" w:rsidR="00F569A4" w:rsidRPr="008F735E" w:rsidRDefault="00F569A4" w:rsidP="00345DEF">
            <w:pPr>
              <w:keepNext/>
              <w:keepLines/>
              <w:tabs>
                <w:tab w:val="left" w:pos="106"/>
              </w:tabs>
              <w:spacing w:before="60" w:after="60"/>
              <w:rPr>
                <w:sz w:val="14"/>
                <w:szCs w:val="14"/>
              </w:rPr>
            </w:pPr>
            <w:r w:rsidRPr="008F735E">
              <w:rPr>
                <w:sz w:val="14"/>
                <w:szCs w:val="14"/>
              </w:rPr>
              <w:tab/>
            </w:r>
            <w:r>
              <w:rPr>
                <w:sz w:val="14"/>
                <w:szCs w:val="14"/>
              </w:rPr>
              <w:t>Inflation = 0%</w:t>
            </w:r>
          </w:p>
        </w:tc>
        <w:tc>
          <w:tcPr>
            <w:tcW w:w="992" w:type="dxa"/>
            <w:shd w:val="clear" w:color="auto" w:fill="auto"/>
            <w:vAlign w:val="bottom"/>
          </w:tcPr>
          <w:p w14:paraId="1F66C86E"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3.23%</w:t>
            </w:r>
          </w:p>
        </w:tc>
        <w:tc>
          <w:tcPr>
            <w:tcW w:w="737" w:type="dxa"/>
            <w:shd w:val="clear" w:color="auto" w:fill="auto"/>
            <w:vAlign w:val="bottom"/>
          </w:tcPr>
          <w:p w14:paraId="4523D650"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3.06%</w:t>
            </w:r>
          </w:p>
        </w:tc>
        <w:tc>
          <w:tcPr>
            <w:tcW w:w="681" w:type="dxa"/>
            <w:shd w:val="clear" w:color="auto" w:fill="auto"/>
            <w:vAlign w:val="bottom"/>
          </w:tcPr>
          <w:p w14:paraId="0AE1974E"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3.06%</w:t>
            </w:r>
          </w:p>
        </w:tc>
        <w:tc>
          <w:tcPr>
            <w:tcW w:w="651" w:type="dxa"/>
            <w:shd w:val="clear" w:color="auto" w:fill="auto"/>
            <w:vAlign w:val="bottom"/>
          </w:tcPr>
          <w:p w14:paraId="0B762F74"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3.06%</w:t>
            </w:r>
          </w:p>
        </w:tc>
        <w:tc>
          <w:tcPr>
            <w:tcW w:w="666" w:type="dxa"/>
            <w:shd w:val="clear" w:color="auto" w:fill="auto"/>
            <w:vAlign w:val="bottom"/>
          </w:tcPr>
          <w:p w14:paraId="50073DBF"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3.06%</w:t>
            </w:r>
          </w:p>
        </w:tc>
        <w:tc>
          <w:tcPr>
            <w:tcW w:w="667" w:type="dxa"/>
            <w:shd w:val="clear" w:color="auto" w:fill="auto"/>
            <w:vAlign w:val="bottom"/>
          </w:tcPr>
          <w:p w14:paraId="40D8A29A"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3.06%</w:t>
            </w:r>
          </w:p>
        </w:tc>
        <w:tc>
          <w:tcPr>
            <w:tcW w:w="1134" w:type="dxa"/>
            <w:shd w:val="clear" w:color="auto" w:fill="auto"/>
            <w:vAlign w:val="bottom"/>
          </w:tcPr>
          <w:p w14:paraId="51E2BC18"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3.06%</w:t>
            </w:r>
          </w:p>
        </w:tc>
        <w:tc>
          <w:tcPr>
            <w:tcW w:w="851" w:type="dxa"/>
            <w:shd w:val="clear" w:color="auto" w:fill="auto"/>
            <w:vAlign w:val="bottom"/>
          </w:tcPr>
          <w:p w14:paraId="0256CFDF"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3.06%</w:t>
            </w:r>
          </w:p>
        </w:tc>
        <w:tc>
          <w:tcPr>
            <w:tcW w:w="1134" w:type="dxa"/>
            <w:shd w:val="clear" w:color="auto" w:fill="auto"/>
            <w:vAlign w:val="bottom"/>
          </w:tcPr>
          <w:p w14:paraId="577147BF"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2.57%</w:t>
            </w:r>
          </w:p>
        </w:tc>
        <w:tc>
          <w:tcPr>
            <w:tcW w:w="921" w:type="dxa"/>
            <w:shd w:val="clear" w:color="auto" w:fill="auto"/>
            <w:vAlign w:val="bottom"/>
          </w:tcPr>
          <w:p w14:paraId="2FDA4AE6"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2.05%</w:t>
            </w:r>
          </w:p>
        </w:tc>
      </w:tr>
      <w:tr w:rsidR="00F569A4" w:rsidRPr="002212A3" w14:paraId="7BDC8A00" w14:textId="77777777" w:rsidTr="00740A34">
        <w:tc>
          <w:tcPr>
            <w:tcW w:w="1347" w:type="dxa"/>
            <w:shd w:val="clear" w:color="auto" w:fill="auto"/>
            <w:vAlign w:val="bottom"/>
          </w:tcPr>
          <w:p w14:paraId="6FC638FA" w14:textId="77777777" w:rsidR="00F569A4" w:rsidRPr="008F735E" w:rsidRDefault="00F569A4" w:rsidP="00345DEF">
            <w:pPr>
              <w:keepNext/>
              <w:keepLines/>
              <w:tabs>
                <w:tab w:val="left" w:pos="106"/>
              </w:tabs>
              <w:spacing w:before="60" w:after="60"/>
              <w:rPr>
                <w:sz w:val="14"/>
                <w:szCs w:val="14"/>
              </w:rPr>
            </w:pPr>
            <w:r w:rsidRPr="008F735E">
              <w:rPr>
                <w:sz w:val="14"/>
                <w:szCs w:val="14"/>
              </w:rPr>
              <w:tab/>
            </w:r>
            <w:r>
              <w:rPr>
                <w:sz w:val="14"/>
                <w:szCs w:val="14"/>
              </w:rPr>
              <w:t>Inflation = 2%</w:t>
            </w:r>
          </w:p>
        </w:tc>
        <w:tc>
          <w:tcPr>
            <w:tcW w:w="992" w:type="dxa"/>
            <w:shd w:val="clear" w:color="auto" w:fill="auto"/>
            <w:vAlign w:val="bottom"/>
          </w:tcPr>
          <w:p w14:paraId="2284BF37"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2.71%</w:t>
            </w:r>
          </w:p>
        </w:tc>
        <w:tc>
          <w:tcPr>
            <w:tcW w:w="737" w:type="dxa"/>
            <w:shd w:val="clear" w:color="auto" w:fill="auto"/>
            <w:vAlign w:val="bottom"/>
          </w:tcPr>
          <w:p w14:paraId="59A86623"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3.10%</w:t>
            </w:r>
          </w:p>
        </w:tc>
        <w:tc>
          <w:tcPr>
            <w:tcW w:w="681" w:type="dxa"/>
            <w:shd w:val="clear" w:color="auto" w:fill="auto"/>
            <w:vAlign w:val="bottom"/>
          </w:tcPr>
          <w:p w14:paraId="2C633FA8"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3.07%</w:t>
            </w:r>
          </w:p>
        </w:tc>
        <w:tc>
          <w:tcPr>
            <w:tcW w:w="651" w:type="dxa"/>
            <w:shd w:val="clear" w:color="auto" w:fill="auto"/>
            <w:vAlign w:val="bottom"/>
          </w:tcPr>
          <w:p w14:paraId="768DDBEE"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2.88%</w:t>
            </w:r>
          </w:p>
        </w:tc>
        <w:tc>
          <w:tcPr>
            <w:tcW w:w="666" w:type="dxa"/>
            <w:shd w:val="clear" w:color="auto" w:fill="auto"/>
            <w:vAlign w:val="bottom"/>
          </w:tcPr>
          <w:p w14:paraId="3B3B39BD"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2.67%</w:t>
            </w:r>
          </w:p>
        </w:tc>
        <w:tc>
          <w:tcPr>
            <w:tcW w:w="667" w:type="dxa"/>
            <w:shd w:val="clear" w:color="auto" w:fill="auto"/>
            <w:vAlign w:val="bottom"/>
          </w:tcPr>
          <w:p w14:paraId="6A22E04C"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2.50%</w:t>
            </w:r>
          </w:p>
        </w:tc>
        <w:tc>
          <w:tcPr>
            <w:tcW w:w="1134" w:type="dxa"/>
            <w:shd w:val="clear" w:color="auto" w:fill="auto"/>
            <w:vAlign w:val="bottom"/>
          </w:tcPr>
          <w:p w14:paraId="5703BF3D"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2.13%</w:t>
            </w:r>
          </w:p>
        </w:tc>
        <w:tc>
          <w:tcPr>
            <w:tcW w:w="851" w:type="dxa"/>
            <w:shd w:val="clear" w:color="auto" w:fill="auto"/>
            <w:vAlign w:val="bottom"/>
          </w:tcPr>
          <w:p w14:paraId="45CC7C20"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3.10%</w:t>
            </w:r>
          </w:p>
        </w:tc>
        <w:tc>
          <w:tcPr>
            <w:tcW w:w="1134" w:type="dxa"/>
            <w:shd w:val="clear" w:color="auto" w:fill="auto"/>
            <w:vAlign w:val="bottom"/>
          </w:tcPr>
          <w:p w14:paraId="50C29FDB"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1.64%</w:t>
            </w:r>
          </w:p>
        </w:tc>
        <w:tc>
          <w:tcPr>
            <w:tcW w:w="921" w:type="dxa"/>
            <w:shd w:val="clear" w:color="auto" w:fill="auto"/>
            <w:vAlign w:val="bottom"/>
          </w:tcPr>
          <w:p w14:paraId="557B724B"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1.43%</w:t>
            </w:r>
          </w:p>
        </w:tc>
      </w:tr>
      <w:tr w:rsidR="00F569A4" w:rsidRPr="002212A3" w14:paraId="7D693999" w14:textId="77777777" w:rsidTr="00740A34">
        <w:tc>
          <w:tcPr>
            <w:tcW w:w="1347" w:type="dxa"/>
            <w:shd w:val="clear" w:color="auto" w:fill="auto"/>
            <w:vAlign w:val="bottom"/>
          </w:tcPr>
          <w:p w14:paraId="56A70B46" w14:textId="77777777" w:rsidR="00F569A4" w:rsidRPr="00881B58" w:rsidRDefault="00F569A4" w:rsidP="00345DEF">
            <w:pPr>
              <w:keepNext/>
              <w:keepLines/>
              <w:tabs>
                <w:tab w:val="left" w:pos="106"/>
              </w:tabs>
              <w:spacing w:before="60" w:after="60"/>
              <w:rPr>
                <w:b/>
                <w:bCs/>
                <w:sz w:val="14"/>
                <w:szCs w:val="14"/>
              </w:rPr>
            </w:pPr>
            <w:r>
              <w:rPr>
                <w:b/>
                <w:bCs/>
                <w:sz w:val="14"/>
                <w:szCs w:val="14"/>
              </w:rPr>
              <w:t>EMTRs</w:t>
            </w:r>
          </w:p>
        </w:tc>
        <w:tc>
          <w:tcPr>
            <w:tcW w:w="992" w:type="dxa"/>
            <w:shd w:val="clear" w:color="auto" w:fill="auto"/>
            <w:vAlign w:val="bottom"/>
          </w:tcPr>
          <w:p w14:paraId="61685E36"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 </w:t>
            </w:r>
          </w:p>
        </w:tc>
        <w:tc>
          <w:tcPr>
            <w:tcW w:w="737" w:type="dxa"/>
            <w:shd w:val="clear" w:color="auto" w:fill="auto"/>
            <w:vAlign w:val="bottom"/>
          </w:tcPr>
          <w:p w14:paraId="7BF31907"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 </w:t>
            </w:r>
          </w:p>
        </w:tc>
        <w:tc>
          <w:tcPr>
            <w:tcW w:w="681" w:type="dxa"/>
            <w:shd w:val="clear" w:color="auto" w:fill="auto"/>
            <w:vAlign w:val="bottom"/>
          </w:tcPr>
          <w:p w14:paraId="38141276"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 </w:t>
            </w:r>
          </w:p>
        </w:tc>
        <w:tc>
          <w:tcPr>
            <w:tcW w:w="651" w:type="dxa"/>
            <w:shd w:val="clear" w:color="auto" w:fill="auto"/>
            <w:vAlign w:val="bottom"/>
          </w:tcPr>
          <w:p w14:paraId="75150883"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 </w:t>
            </w:r>
          </w:p>
        </w:tc>
        <w:tc>
          <w:tcPr>
            <w:tcW w:w="666" w:type="dxa"/>
            <w:shd w:val="clear" w:color="auto" w:fill="auto"/>
            <w:vAlign w:val="bottom"/>
          </w:tcPr>
          <w:p w14:paraId="42F48D04"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 </w:t>
            </w:r>
          </w:p>
        </w:tc>
        <w:tc>
          <w:tcPr>
            <w:tcW w:w="667" w:type="dxa"/>
            <w:shd w:val="clear" w:color="auto" w:fill="auto"/>
            <w:vAlign w:val="bottom"/>
          </w:tcPr>
          <w:p w14:paraId="3AD29D02"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 </w:t>
            </w:r>
          </w:p>
        </w:tc>
        <w:tc>
          <w:tcPr>
            <w:tcW w:w="1134" w:type="dxa"/>
            <w:shd w:val="clear" w:color="auto" w:fill="auto"/>
            <w:vAlign w:val="bottom"/>
          </w:tcPr>
          <w:p w14:paraId="3CDE254D"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 </w:t>
            </w:r>
          </w:p>
        </w:tc>
        <w:tc>
          <w:tcPr>
            <w:tcW w:w="851" w:type="dxa"/>
            <w:shd w:val="clear" w:color="auto" w:fill="auto"/>
            <w:vAlign w:val="bottom"/>
          </w:tcPr>
          <w:p w14:paraId="3149D111" w14:textId="77777777" w:rsidR="00F569A4" w:rsidRPr="002212A3" w:rsidRDefault="00F569A4" w:rsidP="00345DEF">
            <w:pPr>
              <w:keepNext/>
              <w:keepLines/>
              <w:tabs>
                <w:tab w:val="decimal" w:pos="256"/>
              </w:tabs>
              <w:spacing w:before="60" w:after="60"/>
              <w:jc w:val="center"/>
              <w:rPr>
                <w:sz w:val="14"/>
                <w:szCs w:val="14"/>
              </w:rPr>
            </w:pPr>
            <w:r w:rsidRPr="002212A3">
              <w:rPr>
                <w:rFonts w:ascii="Calibri" w:hAnsi="Calibri" w:cs="Calibri"/>
                <w:color w:val="000000"/>
                <w:sz w:val="14"/>
                <w:szCs w:val="14"/>
              </w:rPr>
              <w:t> </w:t>
            </w:r>
          </w:p>
        </w:tc>
        <w:tc>
          <w:tcPr>
            <w:tcW w:w="1134" w:type="dxa"/>
            <w:shd w:val="clear" w:color="auto" w:fill="auto"/>
            <w:vAlign w:val="bottom"/>
          </w:tcPr>
          <w:p w14:paraId="77E647B3"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 </w:t>
            </w:r>
          </w:p>
        </w:tc>
        <w:tc>
          <w:tcPr>
            <w:tcW w:w="921" w:type="dxa"/>
            <w:shd w:val="clear" w:color="auto" w:fill="auto"/>
            <w:vAlign w:val="bottom"/>
          </w:tcPr>
          <w:p w14:paraId="585985A7" w14:textId="77777777" w:rsidR="00F569A4" w:rsidRPr="002212A3" w:rsidRDefault="00F569A4" w:rsidP="00345DEF">
            <w:pPr>
              <w:keepNext/>
              <w:keepLines/>
              <w:tabs>
                <w:tab w:val="decimal" w:pos="256"/>
              </w:tabs>
              <w:spacing w:before="60" w:after="60"/>
              <w:jc w:val="center"/>
              <w:rPr>
                <w:sz w:val="14"/>
                <w:szCs w:val="14"/>
              </w:rPr>
            </w:pPr>
            <w:r w:rsidRPr="002212A3">
              <w:rPr>
                <w:rFonts w:ascii="Calibri" w:hAnsi="Calibri" w:cs="Calibri"/>
                <w:color w:val="000000"/>
                <w:sz w:val="14"/>
                <w:szCs w:val="14"/>
              </w:rPr>
              <w:t> </w:t>
            </w:r>
          </w:p>
        </w:tc>
      </w:tr>
      <w:tr w:rsidR="00F569A4" w:rsidRPr="002212A3" w14:paraId="6A485426" w14:textId="77777777" w:rsidTr="00740A34">
        <w:tc>
          <w:tcPr>
            <w:tcW w:w="1347" w:type="dxa"/>
            <w:shd w:val="clear" w:color="auto" w:fill="auto"/>
            <w:vAlign w:val="bottom"/>
          </w:tcPr>
          <w:p w14:paraId="48D38BEE" w14:textId="77777777" w:rsidR="00F569A4" w:rsidRPr="008F735E" w:rsidRDefault="00F569A4" w:rsidP="00345DEF">
            <w:pPr>
              <w:keepNext/>
              <w:keepLines/>
              <w:tabs>
                <w:tab w:val="left" w:pos="106"/>
              </w:tabs>
              <w:spacing w:before="60" w:after="60"/>
              <w:rPr>
                <w:b/>
                <w:bCs/>
                <w:sz w:val="14"/>
                <w:szCs w:val="14"/>
              </w:rPr>
            </w:pPr>
            <w:r w:rsidRPr="008F735E">
              <w:rPr>
                <w:sz w:val="14"/>
                <w:szCs w:val="14"/>
              </w:rPr>
              <w:tab/>
            </w:r>
            <w:r>
              <w:rPr>
                <w:sz w:val="14"/>
                <w:szCs w:val="14"/>
              </w:rPr>
              <w:t>Inflation = 0%</w:t>
            </w:r>
          </w:p>
        </w:tc>
        <w:tc>
          <w:tcPr>
            <w:tcW w:w="992" w:type="dxa"/>
            <w:shd w:val="clear" w:color="auto" w:fill="auto"/>
            <w:vAlign w:val="bottom"/>
          </w:tcPr>
          <w:p w14:paraId="76AC1248"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7.2%</w:t>
            </w:r>
          </w:p>
        </w:tc>
        <w:tc>
          <w:tcPr>
            <w:tcW w:w="737" w:type="dxa"/>
            <w:shd w:val="clear" w:color="auto" w:fill="auto"/>
            <w:vAlign w:val="bottom"/>
          </w:tcPr>
          <w:p w14:paraId="424658C8"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2.0%</w:t>
            </w:r>
          </w:p>
        </w:tc>
        <w:tc>
          <w:tcPr>
            <w:tcW w:w="681" w:type="dxa"/>
            <w:shd w:val="clear" w:color="auto" w:fill="auto"/>
            <w:vAlign w:val="bottom"/>
          </w:tcPr>
          <w:p w14:paraId="1FC8B79E"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2.0%</w:t>
            </w:r>
          </w:p>
        </w:tc>
        <w:tc>
          <w:tcPr>
            <w:tcW w:w="651" w:type="dxa"/>
            <w:shd w:val="clear" w:color="auto" w:fill="auto"/>
            <w:vAlign w:val="bottom"/>
          </w:tcPr>
          <w:p w14:paraId="7238DC65"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2.0%</w:t>
            </w:r>
          </w:p>
        </w:tc>
        <w:tc>
          <w:tcPr>
            <w:tcW w:w="666" w:type="dxa"/>
            <w:shd w:val="clear" w:color="auto" w:fill="auto"/>
            <w:vAlign w:val="bottom"/>
          </w:tcPr>
          <w:p w14:paraId="0A6C1125"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2.0%</w:t>
            </w:r>
          </w:p>
        </w:tc>
        <w:tc>
          <w:tcPr>
            <w:tcW w:w="667" w:type="dxa"/>
            <w:shd w:val="clear" w:color="auto" w:fill="auto"/>
            <w:vAlign w:val="bottom"/>
          </w:tcPr>
          <w:p w14:paraId="6EDA750E"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2.0%</w:t>
            </w:r>
          </w:p>
        </w:tc>
        <w:tc>
          <w:tcPr>
            <w:tcW w:w="1134" w:type="dxa"/>
            <w:shd w:val="clear" w:color="auto" w:fill="auto"/>
            <w:vAlign w:val="bottom"/>
          </w:tcPr>
          <w:p w14:paraId="4DC99844"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2.0%</w:t>
            </w:r>
          </w:p>
        </w:tc>
        <w:tc>
          <w:tcPr>
            <w:tcW w:w="851" w:type="dxa"/>
            <w:shd w:val="clear" w:color="auto" w:fill="auto"/>
            <w:vAlign w:val="bottom"/>
          </w:tcPr>
          <w:p w14:paraId="49E33E0C"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2.0%</w:t>
            </w:r>
          </w:p>
        </w:tc>
        <w:tc>
          <w:tcPr>
            <w:tcW w:w="1134" w:type="dxa"/>
            <w:shd w:val="clear" w:color="auto" w:fill="auto"/>
            <w:vAlign w:val="bottom"/>
          </w:tcPr>
          <w:p w14:paraId="2DD027EE"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-16.8%</w:t>
            </w:r>
          </w:p>
        </w:tc>
        <w:tc>
          <w:tcPr>
            <w:tcW w:w="921" w:type="dxa"/>
            <w:shd w:val="clear" w:color="auto" w:fill="auto"/>
            <w:vAlign w:val="bottom"/>
          </w:tcPr>
          <w:p w14:paraId="25989993"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-46.3%</w:t>
            </w:r>
          </w:p>
        </w:tc>
      </w:tr>
      <w:tr w:rsidR="00F569A4" w:rsidRPr="002212A3" w14:paraId="2FB83D26" w14:textId="77777777" w:rsidTr="00740A34">
        <w:tc>
          <w:tcPr>
            <w:tcW w:w="1347" w:type="dxa"/>
            <w:shd w:val="clear" w:color="auto" w:fill="auto"/>
            <w:vAlign w:val="bottom"/>
          </w:tcPr>
          <w:p w14:paraId="73D11509" w14:textId="77777777" w:rsidR="00F569A4" w:rsidRPr="008F735E" w:rsidRDefault="00F569A4" w:rsidP="00345DEF">
            <w:pPr>
              <w:keepNext/>
              <w:keepLines/>
              <w:tabs>
                <w:tab w:val="left" w:pos="106"/>
              </w:tabs>
              <w:spacing w:before="60" w:after="60"/>
              <w:rPr>
                <w:sz w:val="14"/>
                <w:szCs w:val="14"/>
              </w:rPr>
            </w:pPr>
            <w:r w:rsidRPr="008F735E">
              <w:rPr>
                <w:sz w:val="14"/>
                <w:szCs w:val="14"/>
              </w:rPr>
              <w:tab/>
            </w:r>
            <w:r>
              <w:rPr>
                <w:sz w:val="14"/>
                <w:szCs w:val="14"/>
              </w:rPr>
              <w:t>Inflation = 2%</w:t>
            </w:r>
          </w:p>
        </w:tc>
        <w:tc>
          <w:tcPr>
            <w:tcW w:w="992" w:type="dxa"/>
            <w:shd w:val="clear" w:color="auto" w:fill="auto"/>
            <w:vAlign w:val="bottom"/>
          </w:tcPr>
          <w:p w14:paraId="3720F54D"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-10.5%</w:t>
            </w:r>
          </w:p>
        </w:tc>
        <w:tc>
          <w:tcPr>
            <w:tcW w:w="737" w:type="dxa"/>
            <w:shd w:val="clear" w:color="auto" w:fill="auto"/>
            <w:vAlign w:val="bottom"/>
          </w:tcPr>
          <w:p w14:paraId="066F6EB5"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3.2%</w:t>
            </w:r>
          </w:p>
        </w:tc>
        <w:tc>
          <w:tcPr>
            <w:tcW w:w="681" w:type="dxa"/>
            <w:shd w:val="clear" w:color="auto" w:fill="auto"/>
            <w:vAlign w:val="bottom"/>
          </w:tcPr>
          <w:p w14:paraId="7BF6C029"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2.2%</w:t>
            </w:r>
          </w:p>
        </w:tc>
        <w:tc>
          <w:tcPr>
            <w:tcW w:w="651" w:type="dxa"/>
            <w:shd w:val="clear" w:color="auto" w:fill="auto"/>
            <w:vAlign w:val="bottom"/>
          </w:tcPr>
          <w:p w14:paraId="4436DDC1"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-4.3%</w:t>
            </w:r>
          </w:p>
        </w:tc>
        <w:tc>
          <w:tcPr>
            <w:tcW w:w="666" w:type="dxa"/>
            <w:shd w:val="clear" w:color="auto" w:fill="auto"/>
            <w:vAlign w:val="bottom"/>
          </w:tcPr>
          <w:p w14:paraId="07E60E82"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-12.4%</w:t>
            </w:r>
          </w:p>
        </w:tc>
        <w:tc>
          <w:tcPr>
            <w:tcW w:w="667" w:type="dxa"/>
            <w:shd w:val="clear" w:color="auto" w:fill="auto"/>
            <w:vAlign w:val="bottom"/>
          </w:tcPr>
          <w:p w14:paraId="1FC73917"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-20.0%</w:t>
            </w:r>
          </w:p>
        </w:tc>
        <w:tc>
          <w:tcPr>
            <w:tcW w:w="1134" w:type="dxa"/>
            <w:shd w:val="clear" w:color="auto" w:fill="auto"/>
            <w:vAlign w:val="bottom"/>
          </w:tcPr>
          <w:p w14:paraId="38E5F31C"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-40.6%</w:t>
            </w:r>
          </w:p>
        </w:tc>
        <w:tc>
          <w:tcPr>
            <w:tcW w:w="851" w:type="dxa"/>
            <w:shd w:val="clear" w:color="auto" w:fill="auto"/>
            <w:vAlign w:val="bottom"/>
          </w:tcPr>
          <w:p w14:paraId="68AC4526"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3.2%</w:t>
            </w:r>
          </w:p>
        </w:tc>
        <w:tc>
          <w:tcPr>
            <w:tcW w:w="1134" w:type="dxa"/>
            <w:shd w:val="clear" w:color="auto" w:fill="auto"/>
            <w:vAlign w:val="bottom"/>
          </w:tcPr>
          <w:p w14:paraId="33E5A3B0"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-82.8%</w:t>
            </w:r>
          </w:p>
        </w:tc>
        <w:tc>
          <w:tcPr>
            <w:tcW w:w="921" w:type="dxa"/>
            <w:shd w:val="clear" w:color="auto" w:fill="auto"/>
            <w:vAlign w:val="bottom"/>
          </w:tcPr>
          <w:p w14:paraId="0BC56B76" w14:textId="77777777" w:rsidR="00F569A4" w:rsidRPr="002212A3" w:rsidRDefault="00F569A4" w:rsidP="00345DEF">
            <w:pPr>
              <w:keepNext/>
              <w:keepLines/>
              <w:tabs>
                <w:tab w:val="decimal" w:pos="256"/>
              </w:tabs>
              <w:spacing w:before="60" w:after="60"/>
              <w:jc w:val="center"/>
              <w:rPr>
                <w:sz w:val="14"/>
                <w:szCs w:val="14"/>
              </w:rPr>
            </w:pPr>
            <w:r w:rsidRPr="002212A3">
              <w:rPr>
                <w:rFonts w:cs="Calibri"/>
                <w:color w:val="000000"/>
                <w:sz w:val="14"/>
                <w:szCs w:val="14"/>
              </w:rPr>
              <w:t>-109.9%</w:t>
            </w:r>
          </w:p>
        </w:tc>
      </w:tr>
    </w:tbl>
    <w:p w14:paraId="07FEB0E2" w14:textId="77777777" w:rsidR="00F119EE" w:rsidRPr="0067053F" w:rsidRDefault="00F119EE" w:rsidP="00F119EE">
      <w:pPr>
        <w:pStyle w:val="NumberedParagraph"/>
        <w:numPr>
          <w:ilvl w:val="1"/>
          <w:numId w:val="58"/>
        </w:numPr>
      </w:pPr>
      <w:r w:rsidRPr="0067053F">
        <w:t>We draw attention to the following points:</w:t>
      </w:r>
    </w:p>
    <w:p w14:paraId="50D476B6" w14:textId="4AB90270" w:rsidR="00F119EE" w:rsidRDefault="00F119EE" w:rsidP="00F119EE">
      <w:pPr>
        <w:pStyle w:val="NumberedParagraph-BulletL1"/>
        <w:numPr>
          <w:ilvl w:val="2"/>
          <w:numId w:val="58"/>
        </w:numPr>
      </w:pPr>
      <w:r>
        <w:t xml:space="preserve">If inflation were zero, the EMTR for PME where economic depreciation is deductible, for zero-depreciation assets and for inventory would all be 2% and equal to the rate of AIL. This is </w:t>
      </w:r>
      <w:r w:rsidR="00771C27">
        <w:t>regardless</w:t>
      </w:r>
      <w:r>
        <w:t xml:space="preserve"> of the debt level in the company. By comparing this with </w:t>
      </w:r>
      <w:r w:rsidR="00584D32">
        <w:t>t</w:t>
      </w:r>
      <w:r>
        <w:t>able 4.1</w:t>
      </w:r>
      <w:r w:rsidR="00584D32">
        <w:t>,</w:t>
      </w:r>
      <w:r>
        <w:t xml:space="preserve"> we see that this is similar to results for domestic companies with marginal </w:t>
      </w:r>
      <w:r w:rsidR="00774110">
        <w:t>foreign portfolio shareholders</w:t>
      </w:r>
      <w:r>
        <w:t xml:space="preserve"> </w:t>
      </w:r>
      <w:r w:rsidR="006948AC">
        <w:t xml:space="preserve">which </w:t>
      </w:r>
      <w:r>
        <w:t xml:space="preserve">are 100% debt financed. It is very different from the results in </w:t>
      </w:r>
      <w:r w:rsidR="00584D32">
        <w:t>t</w:t>
      </w:r>
      <w:r>
        <w:t>able 4.1 for full equity finance where</w:t>
      </w:r>
      <w:r w:rsidR="00584D32">
        <w:t>,</w:t>
      </w:r>
      <w:r>
        <w:t xml:space="preserve"> if inflation were zero, EMTRs would all be equal to the company tax rate.</w:t>
      </w:r>
    </w:p>
    <w:p w14:paraId="01DB0F32" w14:textId="03BA5B9C" w:rsidR="00F119EE" w:rsidRDefault="00F119EE" w:rsidP="00F119EE">
      <w:pPr>
        <w:pStyle w:val="NumberedParagraph-BulletL1"/>
        <w:numPr>
          <w:ilvl w:val="2"/>
          <w:numId w:val="58"/>
        </w:numPr>
      </w:pPr>
      <w:r>
        <w:t>A key reason for the difference in the results is that company tax is likely to have quite a different impact for firms where non-residents are marginal investors than for firms where there is no foreign shareholding and where domestic residents are marginal investors. In the modelling</w:t>
      </w:r>
      <w:r w:rsidR="003C363B">
        <w:t>,</w:t>
      </w:r>
      <w:r>
        <w:t xml:space="preserve"> it is assume</w:t>
      </w:r>
      <w:r w:rsidR="003C363B">
        <w:t>d</w:t>
      </w:r>
      <w:r>
        <w:t xml:space="preserve"> that the opportunity cost of investing </w:t>
      </w:r>
      <w:r w:rsidR="00316609">
        <w:t xml:space="preserve">equity capital </w:t>
      </w:r>
      <w:r>
        <w:t>in an SME is the after-tax interest rate that could otherwise be earned. Thus, whether investment in the SME is debt or equity</w:t>
      </w:r>
      <w:r w:rsidR="003C363B">
        <w:t xml:space="preserve"> </w:t>
      </w:r>
      <w:r>
        <w:t>financed, the opportunity cost of investment is the after-tax interest rate.</w:t>
      </w:r>
      <w:r w:rsidR="004C4B03">
        <w:t xml:space="preserve"> Unlike companies with marginal foreign portfolio shareholders, there is no tax bias favouring debt finance relative to equity finance.</w:t>
      </w:r>
    </w:p>
    <w:p w14:paraId="4BE293EE" w14:textId="1F59301D" w:rsidR="00F119EE" w:rsidRDefault="00F119EE" w:rsidP="00F119EE">
      <w:pPr>
        <w:pStyle w:val="NumberedParagraph-BulletL1"/>
        <w:numPr>
          <w:ilvl w:val="2"/>
          <w:numId w:val="58"/>
        </w:numPr>
      </w:pPr>
      <w:r>
        <w:t xml:space="preserve">These results should be treated as provisional because there </w:t>
      </w:r>
      <w:r w:rsidR="003D3428">
        <w:t>are</w:t>
      </w:r>
      <w:r>
        <w:t xml:space="preserve"> a variety of different possible assumption</w:t>
      </w:r>
      <w:r w:rsidR="003D3428">
        <w:t>s</w:t>
      </w:r>
      <w:r>
        <w:t xml:space="preserve"> that can be made about the opportunity cost of capital for an SME and how heavily this is likely to be taxed.</w:t>
      </w:r>
    </w:p>
    <w:p w14:paraId="4E51F617" w14:textId="5FDA31AD" w:rsidR="00F119EE" w:rsidRDefault="00F119EE" w:rsidP="00F119EE">
      <w:pPr>
        <w:pStyle w:val="NumberedParagraph-BulletL1"/>
        <w:numPr>
          <w:ilvl w:val="2"/>
          <w:numId w:val="58"/>
        </w:numPr>
      </w:pPr>
      <w:r>
        <w:lastRenderedPageBreak/>
        <w:t xml:space="preserve">In </w:t>
      </w:r>
      <w:r w:rsidR="003D3428">
        <w:t>t</w:t>
      </w:r>
      <w:r>
        <w:t>able 4.1</w:t>
      </w:r>
      <w:r w:rsidR="003D3428">
        <w:t>,</w:t>
      </w:r>
      <w:r>
        <w:t xml:space="preserve"> we saw that small amounts of inflation could tend to increase costs of capital and EMTRs for equity</w:t>
      </w:r>
      <w:r w:rsidR="003D3428">
        <w:t>-</w:t>
      </w:r>
      <w:r>
        <w:t>financed investment in many assets quite markedly. By contrast</w:t>
      </w:r>
      <w:r w:rsidR="00FB01C3">
        <w:t>,</w:t>
      </w:r>
      <w:r>
        <w:t xml:space="preserve"> we see that for domestic SMEs without marginal foreign shareholders, inflation often makes negative EMTRs more negative.</w:t>
      </w:r>
    </w:p>
    <w:p w14:paraId="395ABF06" w14:textId="3EEAD0FD" w:rsidR="00F119EE" w:rsidRDefault="00F119EE" w:rsidP="00F119EE">
      <w:pPr>
        <w:pStyle w:val="NumberedParagraph-BulletL1"/>
        <w:numPr>
          <w:ilvl w:val="2"/>
          <w:numId w:val="58"/>
        </w:numPr>
      </w:pPr>
      <w:r>
        <w:t>With 2% inflation</w:t>
      </w:r>
      <w:r w:rsidR="00FB01C3">
        <w:t>,</w:t>
      </w:r>
      <w:r>
        <w:t xml:space="preserve"> t</w:t>
      </w:r>
      <w:r w:rsidRPr="0067053F">
        <w:t>here will be small positive EMTRs for very short-lived PME and inventories, but significantly negative EMTRs for long-lived PME, zero-depreciating assets, appreciating assets and assets where capital expenditure can be expensed.</w:t>
      </w:r>
    </w:p>
    <w:p w14:paraId="313E10F4" w14:textId="1670BCAE" w:rsidR="00A05262" w:rsidRDefault="00A05262" w:rsidP="00F119EE">
      <w:pPr>
        <w:pStyle w:val="NumberedParagraph-BulletL1"/>
        <w:numPr>
          <w:ilvl w:val="2"/>
          <w:numId w:val="58"/>
        </w:numPr>
      </w:pPr>
      <w:r>
        <w:t>It should be noted that the fact that EMTRs are negative is because the (risk adjusted) cost of capital ends up being less than the real interest rate. It does not mean that those who invest their own capital in a business will pay negative amounts of tax. All that it is saying is they end up paying less tax than they would if they were earning interest.</w:t>
      </w:r>
      <w:r w:rsidR="005C7789">
        <w:t xml:space="preserve"> Another valid question is whether the</w:t>
      </w:r>
      <w:r w:rsidR="00FB298D">
        <w:t xml:space="preserve"> tax impost on other forms of saving </w:t>
      </w:r>
      <w:r w:rsidR="00B31545">
        <w:t xml:space="preserve">such as interest-bearing securities </w:t>
      </w:r>
      <w:r w:rsidR="00FB298D">
        <w:t>is appropriate.</w:t>
      </w:r>
      <w:r w:rsidR="00250309">
        <w:rPr>
          <w:rStyle w:val="FootnoteReference"/>
        </w:rPr>
        <w:footnoteReference w:id="40"/>
      </w:r>
    </w:p>
    <w:p w14:paraId="695F2DE2" w14:textId="2EBA0427" w:rsidR="00F119EE" w:rsidRPr="0067053F" w:rsidRDefault="00F119EE" w:rsidP="00F119EE">
      <w:pPr>
        <w:pStyle w:val="NumberedParagraph-BulletL1"/>
        <w:numPr>
          <w:ilvl w:val="2"/>
          <w:numId w:val="58"/>
        </w:numPr>
      </w:pPr>
      <w:r>
        <w:t>Changes in EMTRs across the different asset types are qualitatively similar to those provided by the OECD model</w:t>
      </w:r>
      <w:r w:rsidR="00E22BD8">
        <w:t xml:space="preserve"> for companies where non-residents are marginal shareholders</w:t>
      </w:r>
      <w:r>
        <w:t>. EMTRs are highest for inventory and PME with fast economic depreciation rates and lowest for assets where capital expenditure can be expensed.</w:t>
      </w:r>
    </w:p>
    <w:p w14:paraId="037015BD" w14:textId="12F49640" w:rsidR="00F119EE" w:rsidRPr="003272BC" w:rsidRDefault="00F119EE" w:rsidP="00F119EE">
      <w:pPr>
        <w:pStyle w:val="NumberedParagraph-BulletL1"/>
        <w:numPr>
          <w:ilvl w:val="2"/>
          <w:numId w:val="58"/>
        </w:numPr>
      </w:pPr>
      <w:r w:rsidRPr="0067053F">
        <w:t xml:space="preserve">Unlike the OECD model, there are no large positive EMTRs. </w:t>
      </w:r>
      <w:r w:rsidR="00D7145C">
        <w:t>This is because the after-tax real interest rate is the opportunity cost of both debt and equity finance.</w:t>
      </w:r>
    </w:p>
    <w:p w14:paraId="7DFEB6F1" w14:textId="77777777" w:rsidR="00F119EE" w:rsidRDefault="00F119EE" w:rsidP="00F119EE"/>
    <w:p w14:paraId="6298A099" w14:textId="34A64BC3" w:rsidR="001B3AE0" w:rsidRPr="004B1C56" w:rsidRDefault="001B3AE0" w:rsidP="000465CE">
      <w:pPr>
        <w:pStyle w:val="Heading1"/>
        <w:ind w:left="0"/>
        <w:rPr>
          <w:rFonts w:eastAsia="Calibri"/>
          <w:lang w:eastAsia="en-US"/>
        </w:rPr>
      </w:pPr>
      <w:r w:rsidRPr="004B1C56">
        <w:rPr>
          <w:rFonts w:eastAsia="Calibri"/>
          <w:lang w:eastAsia="en-US"/>
        </w:rPr>
        <w:lastRenderedPageBreak/>
        <w:br/>
      </w:r>
      <w:r w:rsidRPr="004B1C56">
        <w:rPr>
          <w:rFonts w:eastAsia="Calibri"/>
          <w:lang w:eastAsia="en-US"/>
        </w:rPr>
        <w:br/>
      </w:r>
      <w:bookmarkStart w:id="32" w:name="_Toc112857410"/>
      <w:r w:rsidRPr="004B1C56">
        <w:rPr>
          <w:rFonts w:eastAsia="Calibri"/>
          <w:lang w:eastAsia="en-US"/>
        </w:rPr>
        <w:t>Tax changes to reduce New Zealand’s costs of capital and EMTRs and make them more neutral</w:t>
      </w:r>
      <w:bookmarkEnd w:id="32"/>
    </w:p>
    <w:tbl>
      <w:tblPr>
        <w:tblStyle w:val="SummaryBox"/>
        <w:tblW w:w="0" w:type="auto"/>
        <w:tblLayout w:type="fixed"/>
        <w:tblLook w:val="04A0" w:firstRow="1" w:lastRow="0" w:firstColumn="1" w:lastColumn="0" w:noHBand="0" w:noVBand="1"/>
      </w:tblPr>
      <w:tblGrid>
        <w:gridCol w:w="8778"/>
      </w:tblGrid>
      <w:tr w:rsidR="001B3AE0" w:rsidRPr="00F72A91" w14:paraId="180E376C" w14:textId="77777777" w:rsidTr="007D07BC">
        <w:tc>
          <w:tcPr>
            <w:tcW w:w="8778" w:type="dxa"/>
          </w:tcPr>
          <w:p w14:paraId="3FDDDD6C" w14:textId="15E3CCD6" w:rsidR="001B3AE0" w:rsidRPr="00F72A91" w:rsidRDefault="001B3AE0" w:rsidP="00597B6B">
            <w:pPr>
              <w:pStyle w:val="ListBullet"/>
              <w:rPr>
                <w:b/>
                <w:bCs/>
              </w:rPr>
            </w:pPr>
            <w:r w:rsidRPr="00F72A91">
              <w:t>There are important trade-offs between competing objectives to consider when examining if</w:t>
            </w:r>
            <w:r w:rsidR="001D64AB">
              <w:t>,</w:t>
            </w:r>
            <w:r w:rsidRPr="00F72A91">
              <w:t xml:space="preserve"> or how</w:t>
            </w:r>
            <w:r w:rsidR="001D64AB">
              <w:t>,</w:t>
            </w:r>
            <w:r w:rsidRPr="00F72A91">
              <w:t xml:space="preserve"> to reduce taxes on inbound investment.</w:t>
            </w:r>
          </w:p>
          <w:p w14:paraId="3D84506D" w14:textId="3C6A8DB5" w:rsidR="001B3AE0" w:rsidRPr="00F72A91" w:rsidRDefault="001B3AE0" w:rsidP="00597B6B">
            <w:pPr>
              <w:pStyle w:val="ListBullet"/>
            </w:pPr>
            <w:r w:rsidRPr="00F72A91">
              <w:t>This chapter introduces some possible reform options that will be considered in more detail in later chapters and considers if</w:t>
            </w:r>
            <w:r w:rsidR="001D64AB">
              <w:t>,</w:t>
            </w:r>
            <w:r w:rsidRPr="00F72A91">
              <w:t xml:space="preserve"> and how</w:t>
            </w:r>
            <w:r w:rsidR="001D64AB">
              <w:t>,</w:t>
            </w:r>
            <w:r w:rsidRPr="00F72A91">
              <w:t xml:space="preserve"> they are likely to impact upon these competing objectives.</w:t>
            </w:r>
          </w:p>
        </w:tc>
      </w:tr>
    </w:tbl>
    <w:p w14:paraId="7470EB32" w14:textId="77777777" w:rsidR="001B3AE0" w:rsidRPr="00F72A91" w:rsidRDefault="001B3AE0" w:rsidP="001B3AE0">
      <w:pPr>
        <w:pStyle w:val="Heading2"/>
        <w:rPr>
          <w:rFonts w:eastAsia="Calibri"/>
          <w:lang w:eastAsia="en-US"/>
        </w:rPr>
      </w:pPr>
      <w:bookmarkStart w:id="33" w:name="_Toc112857411"/>
      <w:r w:rsidRPr="00F72A91">
        <w:rPr>
          <w:rFonts w:eastAsia="Calibri"/>
          <w:lang w:eastAsia="en-US"/>
        </w:rPr>
        <w:t>Costs and benefits of reducing costs of capital and EMTRs</w:t>
      </w:r>
      <w:bookmarkEnd w:id="33"/>
    </w:p>
    <w:p w14:paraId="2AFBC983" w14:textId="77777777" w:rsidR="001B3AE0" w:rsidRPr="00F72A91" w:rsidRDefault="001B3AE0" w:rsidP="00075D72">
      <w:pPr>
        <w:pStyle w:val="NumberedParagraph"/>
      </w:pPr>
      <w:r w:rsidRPr="00F72A91">
        <w:t>In chapter 2, we discussed a framework for evaluating taxes on inbound investment in a small open economy. There are trade-offs to consider when deciding on tax settings for inbound investment.</w:t>
      </w:r>
    </w:p>
    <w:p w14:paraId="186E733F" w14:textId="53798E17" w:rsidR="001B3AE0" w:rsidRPr="00F72A91" w:rsidRDefault="001B3AE0" w:rsidP="00075D72">
      <w:pPr>
        <w:pStyle w:val="NumberedParagraph"/>
      </w:pPr>
      <w:r w:rsidRPr="00F72A91">
        <w:t>On the one hand, tax can discourage marginal inbound investment, and this can lower a country’s capital stock and reduce economic performance. The economic incidence of the tax is likely to be borne by domestic residents in a way that is more costly to them than if the same amount of revenue were raised by taxing the incomes of domestic residents directly.</w:t>
      </w:r>
    </w:p>
    <w:p w14:paraId="6047E464" w14:textId="2F7B3030" w:rsidR="001B3AE0" w:rsidRDefault="001B3AE0" w:rsidP="00075D72">
      <w:pPr>
        <w:pStyle w:val="NumberedParagraph"/>
      </w:pPr>
      <w:r w:rsidRPr="00F72A91">
        <w:t>On the other hand, we have discussed several reasons for levying source-based taxes. Source-based taxes tax location-specific rents (returns that are better than marginal) on investments that non-residents will want to make in New Zealand regardless of whether they are taxed.</w:t>
      </w:r>
      <w:r w:rsidR="00AE23F9">
        <w:t xml:space="preserve"> Given that New Zealand </w:t>
      </w:r>
      <w:r w:rsidR="007B7796">
        <w:t xml:space="preserve">provides the infrastructure that firms require to generate these rents in New Zealand, there is a </w:t>
      </w:r>
      <w:r w:rsidR="007E1814">
        <w:t xml:space="preserve">reasonable fairness case for New Zealand having a right to </w:t>
      </w:r>
      <w:r w:rsidR="00BE7413">
        <w:t>levy tax on these rents.</w:t>
      </w:r>
      <w:r w:rsidR="0032359E">
        <w:t xml:space="preserve"> </w:t>
      </w:r>
      <w:r w:rsidR="002012F4">
        <w:t>In principle</w:t>
      </w:r>
      <w:r w:rsidR="00FF6BBB">
        <w:t>,</w:t>
      </w:r>
      <w:r w:rsidR="002012F4">
        <w:t xml:space="preserve"> there is an economic case for reducing </w:t>
      </w:r>
      <w:r w:rsidR="00EC717B">
        <w:t>EMTRs</w:t>
      </w:r>
      <w:r w:rsidR="002012F4">
        <w:t xml:space="preserve"> on marginal </w:t>
      </w:r>
      <w:r w:rsidR="004C20FA">
        <w:t xml:space="preserve">investment as much as possible while maintaining substantial taxes on </w:t>
      </w:r>
      <w:r w:rsidR="00797F66">
        <w:t>location-specific rents.</w:t>
      </w:r>
    </w:p>
    <w:p w14:paraId="06EB0D92" w14:textId="19D167D4" w:rsidR="00797F66" w:rsidRPr="00F72A91" w:rsidRDefault="003A1B7D" w:rsidP="00075D72">
      <w:pPr>
        <w:pStyle w:val="NumberedParagraph"/>
      </w:pPr>
      <w:r>
        <w:t xml:space="preserve">An important consideration will be whether any </w:t>
      </w:r>
      <w:r w:rsidR="00F4657A">
        <w:t xml:space="preserve">company tax reductions in New Zealand are likely to </w:t>
      </w:r>
      <w:r w:rsidR="00D86DDA">
        <w:t>lead to offsetting increases in tax payments over</w:t>
      </w:r>
      <w:r w:rsidR="006B05C6">
        <w:t xml:space="preserve">seas. </w:t>
      </w:r>
      <w:r w:rsidR="00681003">
        <w:t>Both external review</w:t>
      </w:r>
      <w:r w:rsidR="000A0DD5">
        <w:t>er</w:t>
      </w:r>
      <w:r w:rsidR="00681003">
        <w:t xml:space="preserve">s </w:t>
      </w:r>
      <w:r w:rsidR="00361372">
        <w:t>questioned whether the</w:t>
      </w:r>
      <w:r w:rsidR="00104770">
        <w:t xml:space="preserve"> draft LTIB </w:t>
      </w:r>
      <w:r w:rsidR="00B8218F">
        <w:t xml:space="preserve">put </w:t>
      </w:r>
      <w:r w:rsidR="00802E90">
        <w:t>sufficient</w:t>
      </w:r>
      <w:r w:rsidR="00B8218F">
        <w:t xml:space="preserve"> empha</w:t>
      </w:r>
      <w:r w:rsidR="00F52F31">
        <w:t>sis on the OECD’s Pillar 2 tax changes and their importance for domestic settings. These reforms are</w:t>
      </w:r>
      <w:r w:rsidR="00A33E00">
        <w:t xml:space="preserve"> likely to result in a global minimum tax of 15%. This may mean that some</w:t>
      </w:r>
      <w:r w:rsidR="0046642F">
        <w:t xml:space="preserve"> tax changes that </w:t>
      </w:r>
      <w:r w:rsidR="004652C4">
        <w:t>could</w:t>
      </w:r>
      <w:r w:rsidR="0046642F">
        <w:t xml:space="preserve"> be put in place </w:t>
      </w:r>
      <w:r w:rsidR="006A12A8">
        <w:t>to</w:t>
      </w:r>
      <w:r w:rsidR="0046642F">
        <w:t xml:space="preserve"> lower the cost of capital in New Zealand might lead to large multinational enterprises paying higher taxes in other countries. </w:t>
      </w:r>
      <w:r w:rsidR="00A04DDE">
        <w:t>This is a</w:t>
      </w:r>
      <w:r w:rsidR="00802E90">
        <w:t xml:space="preserve"> factor to consider when thinking through the pros and cons of different possible tax changes.</w:t>
      </w:r>
    </w:p>
    <w:p w14:paraId="4111CC7C" w14:textId="77039BDA" w:rsidR="001B3AE0" w:rsidRPr="00F72A91" w:rsidRDefault="001B3AE0" w:rsidP="00075D72">
      <w:pPr>
        <w:pStyle w:val="NumberedParagraph"/>
      </w:pPr>
      <w:r w:rsidRPr="00F72A91">
        <w:t xml:space="preserve">Options that reduce taxes on sunk investments (investments made in the past) would provide a windfall benefit to those that invested in the past in the expectation of the current company tax rate continuing. </w:t>
      </w:r>
      <w:r w:rsidR="006138BB">
        <w:t>Providing</w:t>
      </w:r>
      <w:r w:rsidR="00A013CD">
        <w:t xml:space="preserve"> windfalls can</w:t>
      </w:r>
      <w:r w:rsidRPr="00F72A91">
        <w:t xml:space="preserve"> be costly to New Zealand</w:t>
      </w:r>
      <w:r w:rsidR="004C2709">
        <w:t>. Most taxes will create efficiency costs and providing windfalls which are financed with distorting taxes will normally be costly to New Zealand as a whole. This is</w:t>
      </w:r>
      <w:r w:rsidRPr="00F72A91">
        <w:t xml:space="preserve"> especially </w:t>
      </w:r>
      <w:r w:rsidR="004C2709">
        <w:t>so if a substantial fraction of</w:t>
      </w:r>
      <w:r w:rsidRPr="00F72A91">
        <w:t xml:space="preserve"> the </w:t>
      </w:r>
      <w:r w:rsidR="004C2709">
        <w:t>windfall flows to</w:t>
      </w:r>
      <w:r w:rsidRPr="00F72A91">
        <w:t xml:space="preserve"> non-residents. Replacement taxes are likely to fall on New Zealanders.</w:t>
      </w:r>
    </w:p>
    <w:p w14:paraId="62DE8A0F" w14:textId="52EAFE17" w:rsidR="001B3AE0" w:rsidRPr="00F72A91" w:rsidRDefault="001B3AE0" w:rsidP="00075D72">
      <w:pPr>
        <w:pStyle w:val="NumberedParagraph"/>
      </w:pPr>
      <w:r w:rsidRPr="00F72A91">
        <w:t xml:space="preserve">Other issues may also be critical. One is the importance that is placed on the company tax base as a source of raising revenue. In its Long-Term Insights </w:t>
      </w:r>
      <w:r w:rsidRPr="00F72A91">
        <w:lastRenderedPageBreak/>
        <w:t>Briefing and Long-Term Fiscal Position He Tirohanga Mokopuna 2021</w:t>
      </w:r>
      <w:r w:rsidR="005F453F">
        <w:t>,</w:t>
      </w:r>
      <w:r w:rsidR="00493E38">
        <w:rPr>
          <w:rStyle w:val="FootnoteReference"/>
        </w:rPr>
        <w:footnoteReference w:id="41"/>
      </w:r>
      <w:r w:rsidRPr="00F72A91">
        <w:t xml:space="preserve"> the Treasury has identified long-term fiscal pressures from an ageing population and rising healthcare demand. Moreover, responding to COVID-19 has been fiscally costly. A cut in company tax revenue would create pressure for increases in other taxes or cuts in government spending. Increases in taxes are always controversial.</w:t>
      </w:r>
      <w:r w:rsidR="006F690E">
        <w:t xml:space="preserve"> </w:t>
      </w:r>
      <w:r w:rsidR="00437433">
        <w:t xml:space="preserve">Governments may consider there is little </w:t>
      </w:r>
      <w:r w:rsidR="00091230">
        <w:t xml:space="preserve">scope </w:t>
      </w:r>
      <w:r w:rsidR="00B270CF">
        <w:t xml:space="preserve">to make changes </w:t>
      </w:r>
      <w:r w:rsidR="00D46C15">
        <w:t>that</w:t>
      </w:r>
      <w:r w:rsidR="00B270CF">
        <w:t xml:space="preserve"> </w:t>
      </w:r>
      <w:r w:rsidR="0090262C">
        <w:t xml:space="preserve">lead to a substantial </w:t>
      </w:r>
      <w:r w:rsidR="00B270CF">
        <w:t>reduc</w:t>
      </w:r>
      <w:r w:rsidR="0090262C">
        <w:t>tion in</w:t>
      </w:r>
      <w:r w:rsidR="00B270CF">
        <w:t xml:space="preserve"> company tax collections</w:t>
      </w:r>
      <w:r w:rsidR="00A675D2">
        <w:t>.</w:t>
      </w:r>
    </w:p>
    <w:p w14:paraId="0E635990" w14:textId="457F2984" w:rsidR="001B3AE0" w:rsidRPr="00F72A91" w:rsidRDefault="001B3AE0" w:rsidP="00075D72">
      <w:pPr>
        <w:pStyle w:val="NumberedParagraph"/>
      </w:pPr>
      <w:r w:rsidRPr="00F72A91">
        <w:t xml:space="preserve">Another issue is the distributional effects of any tax changes. There are many ways of lowering costs of capital that can have different distributional effects. However, some, including lowering the company tax rate, may make it harder for the </w:t>
      </w:r>
      <w:r w:rsidR="005F700A">
        <w:t>g</w:t>
      </w:r>
      <w:r w:rsidRPr="00F72A91">
        <w:t>overnment to levy as progressive an income tax on individuals. High income earners may be able to shelter their income in companies and have it taxed at the company rate</w:t>
      </w:r>
      <w:r w:rsidR="00FB3AA2">
        <w:t>,</w:t>
      </w:r>
      <w:r w:rsidRPr="00F72A91">
        <w:t xml:space="preserve"> rather than at higher personal tax rates</w:t>
      </w:r>
      <w:r w:rsidR="00FB3AA2">
        <w:t>,</w:t>
      </w:r>
      <w:r w:rsidRPr="00F72A91">
        <w:t xml:space="preserve"> and a lower company tax rate would increase the benefits of doing so. These concerns might be able to be addressed in other ways, for example, by increasing taxes at the shareholder level. The overall implications of any package of measures on the progressivity of the tax system may be an overriding concern.</w:t>
      </w:r>
    </w:p>
    <w:p w14:paraId="146FA34F" w14:textId="50D1FA9A" w:rsidR="001B3AE0" w:rsidRPr="00F72A91" w:rsidRDefault="001B3AE0" w:rsidP="00075D72">
      <w:pPr>
        <w:pStyle w:val="NumberedParagraph"/>
      </w:pPr>
      <w:r w:rsidRPr="00F72A91">
        <w:t xml:space="preserve">At the same time, chapter 3 provided evidence that New Zealand does appear to </w:t>
      </w:r>
      <w:r w:rsidR="00DE18D5">
        <w:t>have high</w:t>
      </w:r>
      <w:r w:rsidR="00C67529">
        <w:t>er c</w:t>
      </w:r>
      <w:r w:rsidRPr="00F72A91">
        <w:t>osts of capital and EMTRs than most other OECD countries. It is reasonable to question whether New Zealand’s tax settings are appropriate or whether we are unnecessarily detracting from New Zealand’s economic performance and lowering productivity more than is desirable by taxing inbound investment relatively heavily.</w:t>
      </w:r>
    </w:p>
    <w:p w14:paraId="19D8D7CE" w14:textId="77777777" w:rsidR="001B3AE0" w:rsidRPr="00F72A91" w:rsidRDefault="001B3AE0" w:rsidP="001B3AE0">
      <w:pPr>
        <w:pStyle w:val="Heading2"/>
        <w:rPr>
          <w:rFonts w:eastAsia="Calibri"/>
          <w:lang w:eastAsia="en-US"/>
        </w:rPr>
      </w:pPr>
      <w:bookmarkStart w:id="34" w:name="_Toc112857412"/>
      <w:r w:rsidRPr="00F72A91">
        <w:rPr>
          <w:rFonts w:eastAsia="Calibri"/>
          <w:lang w:eastAsia="en-US"/>
        </w:rPr>
        <w:t>Choosing between different methods of reducing taxes on inbound investment</w:t>
      </w:r>
      <w:bookmarkEnd w:id="34"/>
    </w:p>
    <w:p w14:paraId="2EDBC5F7" w14:textId="715370A4" w:rsidR="001B3AE0" w:rsidRPr="00F72A91" w:rsidRDefault="001B3AE0" w:rsidP="00075D72">
      <w:pPr>
        <w:pStyle w:val="NumberedParagraph"/>
      </w:pPr>
      <w:r w:rsidRPr="00F72A91">
        <w:t xml:space="preserve">If a government wishes to reduce </w:t>
      </w:r>
      <w:r w:rsidR="00E27972">
        <w:t>EMTRs</w:t>
      </w:r>
      <w:r w:rsidRPr="00F72A91">
        <w:t xml:space="preserve"> on inbound investment</w:t>
      </w:r>
      <w:r w:rsidR="00EC717B">
        <w:t xml:space="preserve"> on average</w:t>
      </w:r>
      <w:r w:rsidRPr="00F72A91">
        <w:t>, several potential aims and objectives will need to be traded off when considering the best way of doing so.</w:t>
      </w:r>
    </w:p>
    <w:p w14:paraId="118252D1" w14:textId="7E76449E" w:rsidR="001C39A7" w:rsidRDefault="001B3AE0" w:rsidP="00075D72">
      <w:pPr>
        <w:pStyle w:val="NumberedParagraph"/>
      </w:pPr>
      <w:r w:rsidRPr="00F72A91">
        <w:t xml:space="preserve">In chapter 4, we saw that not only was the current tax system likely to be leading to substantial costs of capital and EMTRs for many assets, </w:t>
      </w:r>
      <w:r w:rsidR="00E61F2B">
        <w:t xml:space="preserve">but </w:t>
      </w:r>
      <w:r w:rsidRPr="00F72A91">
        <w:t>there were also ma</w:t>
      </w:r>
      <w:r w:rsidR="00316691">
        <w:t>jor</w:t>
      </w:r>
      <w:r w:rsidRPr="00F72A91">
        <w:t xml:space="preserve"> biases between</w:t>
      </w:r>
      <w:r w:rsidR="00462588">
        <w:t xml:space="preserve"> different types of</w:t>
      </w:r>
      <w:r w:rsidRPr="00F72A91">
        <w:t xml:space="preserve"> investments</w:t>
      </w:r>
      <w:r w:rsidR="00462588">
        <w:t xml:space="preserve"> and between investments </w:t>
      </w:r>
      <w:r w:rsidR="00784993">
        <w:t>that</w:t>
      </w:r>
      <w:r w:rsidR="00462588">
        <w:t xml:space="preserve"> are financed in different ways</w:t>
      </w:r>
      <w:r w:rsidRPr="00F72A91">
        <w:t>. Our current method of trying to allow for economic depreciation would be neutral if there were no inflation and we were successful in matching our tax depreciation rates to economic depreciation rates. In practice, we will never be able to measure economic depreciation very accurately. Moreover, there are biases created by even minor levels of inflation. Another issue is the way in which costs of capital and EMTRs can vary markedly for multinational firms with different debt levels.</w:t>
      </w:r>
    </w:p>
    <w:p w14:paraId="40465D30" w14:textId="5CA5FA5D" w:rsidR="001B3AE0" w:rsidRPr="00F72A91" w:rsidRDefault="001C39A7" w:rsidP="00075D72">
      <w:pPr>
        <w:pStyle w:val="NumberedParagraph"/>
      </w:pPr>
      <w:r>
        <w:t xml:space="preserve">An important question is whether </w:t>
      </w:r>
      <w:r w:rsidR="00DA1A81">
        <w:t>measures to reduce EMTRs on average should be focussed on reducing higher EMTRs most</w:t>
      </w:r>
      <w:r w:rsidR="00AB7EC3">
        <w:t>,</w:t>
      </w:r>
      <w:r w:rsidR="00DA1A81">
        <w:t xml:space="preserve"> with smaller reductions in investments with lower EMTRs and possibly tax increases for investments with negative EMTRs. </w:t>
      </w:r>
      <w:r w:rsidR="001B3AE0" w:rsidRPr="00F72A91">
        <w:t xml:space="preserve">Is addressing current </w:t>
      </w:r>
      <w:r w:rsidR="00EF342B">
        <w:t xml:space="preserve">tax </w:t>
      </w:r>
      <w:r w:rsidR="001B3AE0" w:rsidRPr="00F72A91">
        <w:t>biases an important objective?</w:t>
      </w:r>
    </w:p>
    <w:p w14:paraId="6671C6B6" w14:textId="77777777" w:rsidR="001B3AE0" w:rsidRPr="00F72A91" w:rsidRDefault="001B3AE0" w:rsidP="00075D72">
      <w:pPr>
        <w:pStyle w:val="NumberedParagraph"/>
      </w:pPr>
      <w:r w:rsidRPr="00F72A91">
        <w:t>There are several other issues to consider. First is whether to maintain current levels of tax on location-specific rents. If so, how do we best reduce taxes on marginal investments without reducing taxes on these economic rents at the same time?</w:t>
      </w:r>
    </w:p>
    <w:p w14:paraId="35E130E0" w14:textId="3AAF75F1" w:rsidR="001B3AE0" w:rsidRPr="00F72A91" w:rsidRDefault="001B3AE0" w:rsidP="00075D72">
      <w:pPr>
        <w:pStyle w:val="NumberedParagraph"/>
      </w:pPr>
      <w:r w:rsidRPr="00F72A91">
        <w:lastRenderedPageBreak/>
        <w:t>A second issue is whether to minimise windfall gains to firms with sunk investments.</w:t>
      </w:r>
    </w:p>
    <w:p w14:paraId="39CE2449" w14:textId="0817ABBD" w:rsidR="001B3AE0" w:rsidRPr="00F72A91" w:rsidRDefault="001B3AE0" w:rsidP="00075D72">
      <w:pPr>
        <w:pStyle w:val="NumberedParagraph"/>
      </w:pPr>
      <w:r w:rsidRPr="00F72A91">
        <w:t xml:space="preserve">A </w:t>
      </w:r>
      <w:r w:rsidR="006A00EC">
        <w:t>third</w:t>
      </w:r>
      <w:r w:rsidRPr="00F72A91">
        <w:t xml:space="preserve"> issue is whether there is any case for target</w:t>
      </w:r>
      <w:r w:rsidR="003F393E">
        <w:t>ed</w:t>
      </w:r>
      <w:r w:rsidRPr="00F72A91">
        <w:t xml:space="preserve"> tax reductions for particular industries or activities rather than reducing taxes on inbound investment in a more general way.</w:t>
      </w:r>
    </w:p>
    <w:p w14:paraId="3452E7E0" w14:textId="77777777" w:rsidR="001B3AE0" w:rsidRPr="00F72A91" w:rsidRDefault="001B3AE0" w:rsidP="00075D72">
      <w:pPr>
        <w:pStyle w:val="NumberedParagraph"/>
      </w:pPr>
      <w:r w:rsidRPr="00F72A91">
        <w:t>Finally, there are the questions of how personal income should best be taxed, how any changes in company tax provisions should be integrated with personal taxation, and whether having good integration should be an objective. How governments wish to tax the income of individuals may place constraints on how they wish to tax companies. This can have implications for costs of capital and EMTRs. Conversely, concerns about costs of capital and EMTRs could lead to a consideration of how personal income itself should best be taxed.</w:t>
      </w:r>
    </w:p>
    <w:p w14:paraId="6B9650AB" w14:textId="77777777" w:rsidR="001B3AE0" w:rsidRPr="00F72A91" w:rsidRDefault="001B3AE0" w:rsidP="001B3AE0">
      <w:pPr>
        <w:pStyle w:val="Heading2"/>
        <w:rPr>
          <w:rFonts w:eastAsia="Calibri"/>
          <w:lang w:eastAsia="en-US"/>
        </w:rPr>
      </w:pPr>
      <w:bookmarkStart w:id="35" w:name="_Toc112857413"/>
      <w:r w:rsidRPr="00F72A91">
        <w:rPr>
          <w:rFonts w:eastAsia="Calibri"/>
          <w:lang w:eastAsia="en-US"/>
        </w:rPr>
        <w:t>Possible options</w:t>
      </w:r>
      <w:bookmarkEnd w:id="35"/>
    </w:p>
    <w:p w14:paraId="00A1973A" w14:textId="60611AE2" w:rsidR="001B3AE0" w:rsidRPr="00F72A91" w:rsidRDefault="001B3AE0" w:rsidP="00075D72">
      <w:pPr>
        <w:pStyle w:val="NumberedParagraph"/>
      </w:pPr>
      <w:r w:rsidRPr="00F72A91">
        <w:t>There are many ways of reducing costs of capital and EMTRs</w:t>
      </w:r>
      <w:r w:rsidR="00AD5EA8">
        <w:t xml:space="preserve"> with different impacts on tax neutrality</w:t>
      </w:r>
      <w:r w:rsidRPr="00F72A91">
        <w:t>. In subsequent chapters</w:t>
      </w:r>
      <w:r w:rsidR="00363510">
        <w:t>,</w:t>
      </w:r>
      <w:r w:rsidRPr="00F72A91">
        <w:t xml:space="preserve"> we consider a small number of possible options and their pros and cons. The options </w:t>
      </w:r>
      <w:r w:rsidR="004D49A1">
        <w:t xml:space="preserve">chosen </w:t>
      </w:r>
      <w:r w:rsidRPr="00F72A91">
        <w:t xml:space="preserve">are key </w:t>
      </w:r>
      <w:r w:rsidR="004D49A1">
        <w:t>options to consider</w:t>
      </w:r>
      <w:r w:rsidRPr="00F72A91">
        <w:t>, but the list is not meant to be exhaustive.</w:t>
      </w:r>
    </w:p>
    <w:p w14:paraId="52333D26" w14:textId="77777777" w:rsidR="001B3AE0" w:rsidRPr="00F72A91" w:rsidRDefault="001B3AE0" w:rsidP="00075D72">
      <w:pPr>
        <w:pStyle w:val="NumberedParagraph"/>
      </w:pPr>
      <w:r w:rsidRPr="00F72A91">
        <w:t>For example, we discuss the possibility of a company tax rate reduction by itself (without any changes to the full imputation company tax system or any other measures to boost taxes at the shareholder level to maintain the progressivity of the personal income tax system). This would increase the incentive for those with a high income or wealth to shelter their income in companies and have the income taxed at a low company tax rate rather than higher rates of personal tax.</w:t>
      </w:r>
    </w:p>
    <w:p w14:paraId="12BDB3AD" w14:textId="35F55055" w:rsidR="001B3AE0" w:rsidRPr="00F72A91" w:rsidRDefault="001B3AE0" w:rsidP="00075D72">
      <w:pPr>
        <w:pStyle w:val="NumberedParagraph"/>
      </w:pPr>
      <w:r w:rsidRPr="00F72A91">
        <w:t>In practice, many other options could be considered. For example, the McLeod Review suggested reducing the company tax rate only for foreign-owned firms to lower the tax rate on inbound investment without giving rise to greater tax sheltering problems. Another alternative might be to shift back from an imputation system to the classical company tax system</w:t>
      </w:r>
      <w:r w:rsidR="00F059A7">
        <w:t>,</w:t>
      </w:r>
      <w:r w:rsidRPr="00F72A91">
        <w:t xml:space="preserve"> where there is double taxation of dividends and no credits for company tax. This option was discussed in a 2009 paper to the Victoria University of Wellington Tax Working Group</w:t>
      </w:r>
      <w:r w:rsidR="00305FCE">
        <w:t>.</w:t>
      </w:r>
      <w:r w:rsidRPr="00F72A91">
        <w:rPr>
          <w:vertAlign w:val="superscript"/>
        </w:rPr>
        <w:footnoteReference w:id="42"/>
      </w:r>
      <w:r w:rsidRPr="00F72A91">
        <w:t xml:space="preserve"> </w:t>
      </w:r>
      <w:r w:rsidR="005B0E58">
        <w:t xml:space="preserve">A lower company tax rate </w:t>
      </w:r>
      <w:r w:rsidRPr="00F72A91">
        <w:t xml:space="preserve">might be accompanied by a tax on capital gains on shares. A further option we consider is a dual income tax, but </w:t>
      </w:r>
      <w:r w:rsidR="00F20099">
        <w:t xml:space="preserve">there are many other options </w:t>
      </w:r>
      <w:r w:rsidR="002E2683">
        <w:t>that</w:t>
      </w:r>
      <w:r w:rsidR="00F20099">
        <w:t xml:space="preserve"> could also be examined and may well be in the future.</w:t>
      </w:r>
    </w:p>
    <w:p w14:paraId="12A29CC3" w14:textId="44029AF2" w:rsidR="001B3AE0" w:rsidRPr="00F72A91" w:rsidRDefault="001B3AE0" w:rsidP="00075D72">
      <w:pPr>
        <w:pStyle w:val="NumberedParagraph"/>
      </w:pPr>
      <w:r w:rsidRPr="00F72A91">
        <w:t>At this stage we have not attempted to cost the different options. This is because m</w:t>
      </w:r>
      <w:r w:rsidR="00787E41">
        <w:t>any</w:t>
      </w:r>
      <w:r w:rsidRPr="00F72A91">
        <w:t xml:space="preserve"> of the resulting revenue changes would require assumptions </w:t>
      </w:r>
      <w:r w:rsidR="00A87E95">
        <w:t xml:space="preserve">about </w:t>
      </w:r>
      <w:r w:rsidRPr="00F72A91">
        <w:t>how the rest of the tax system (in particular</w:t>
      </w:r>
      <w:r w:rsidR="00A87E95">
        <w:t>,</w:t>
      </w:r>
      <w:r w:rsidRPr="00F72A91">
        <w:t xml:space="preserve"> the personal tax system) was being changed at the same time. As set out in many of the policy chapters</w:t>
      </w:r>
      <w:r w:rsidR="00820554">
        <w:t xml:space="preserve"> in this LTIB (that is</w:t>
      </w:r>
      <w:r w:rsidR="00EB76BF">
        <w:t>,</w:t>
      </w:r>
      <w:r w:rsidR="00820554">
        <w:t xml:space="preserve"> chapters 6 to 12)</w:t>
      </w:r>
      <w:r w:rsidRPr="00F72A91">
        <w:t>, unless changes to the personal tax system were being made, then any reform might make little sense.</w:t>
      </w:r>
    </w:p>
    <w:p w14:paraId="03649F10" w14:textId="77777777" w:rsidR="001B3AE0" w:rsidRPr="00F72A91" w:rsidRDefault="001B3AE0" w:rsidP="00075D72">
      <w:pPr>
        <w:pStyle w:val="NumberedParagraph"/>
      </w:pPr>
      <w:r w:rsidRPr="00F72A91">
        <w:t>The options we have identified include:</w:t>
      </w:r>
    </w:p>
    <w:p w14:paraId="4636E175" w14:textId="0B7880D8" w:rsidR="001B3AE0" w:rsidRPr="00F72A91" w:rsidRDefault="001B3AE0" w:rsidP="00075D72">
      <w:pPr>
        <w:pStyle w:val="NumberedParagraph-BulletL1"/>
      </w:pPr>
      <w:r w:rsidRPr="00075D72">
        <w:rPr>
          <w:b/>
          <w:bCs/>
        </w:rPr>
        <w:t>Lowering the company tax rate</w:t>
      </w:r>
      <w:r w:rsidRPr="00075D72">
        <w:rPr>
          <w:b/>
          <w:bCs/>
          <w:i/>
          <w:iCs/>
        </w:rPr>
        <w:t>:</w:t>
      </w:r>
      <w:r w:rsidRPr="0096767B">
        <w:t xml:space="preserve"> </w:t>
      </w:r>
      <w:r w:rsidRPr="00F72A91">
        <w:t>This is discussed in chapter 6. This option would reduce taxes on marginal investments, which would reduce current biases between investment in different assets and investment financed in different ways. It would reduce distortions caused by inflation</w:t>
      </w:r>
      <w:r w:rsidR="00445DF6">
        <w:t>,</w:t>
      </w:r>
      <w:r w:rsidRPr="00F72A91">
        <w:t xml:space="preserve"> as well as tax subsidies for tax-preferred investments with negative EMTRs, at the same time as reducing some of the relatively high EMTRs. </w:t>
      </w:r>
      <w:r w:rsidR="00E408EC">
        <w:lastRenderedPageBreak/>
        <w:t>It would re</w:t>
      </w:r>
      <w:r w:rsidR="00C715C7">
        <w:t>duce transfer pricing pressures.</w:t>
      </w:r>
      <w:r w:rsidR="009C0CA6">
        <w:t xml:space="preserve"> </w:t>
      </w:r>
      <w:r w:rsidRPr="00F72A91">
        <w:t>It would also reduce taxes on location-specific rents and provide a windfall benefit for owners of sunk investments. As noted above, it is likely to reduce the progressivity of the tax system.</w:t>
      </w:r>
    </w:p>
    <w:p w14:paraId="42742BA2" w14:textId="59026E4A" w:rsidR="001B3AE0" w:rsidRPr="00F72A91" w:rsidRDefault="001B3AE0" w:rsidP="00075D72">
      <w:pPr>
        <w:pStyle w:val="NumberedParagraph-BulletL1"/>
      </w:pPr>
      <w:r w:rsidRPr="00075D72">
        <w:rPr>
          <w:b/>
          <w:bCs/>
        </w:rPr>
        <w:t>Accelerated depreciation:</w:t>
      </w:r>
      <w:r w:rsidRPr="00075D72">
        <w:rPr>
          <w:i/>
          <w:iCs/>
        </w:rPr>
        <w:t xml:space="preserve"> </w:t>
      </w:r>
      <w:r w:rsidRPr="00F72A91">
        <w:t>This is discussed in chapter 7. This option could lower tax on investments with some of the highest EMTRs. If restricted to new investment only, it would be doing so without providing a windfall to owners of sunk investments. This would constrain the costs but create some other distortions</w:t>
      </w:r>
      <w:r w:rsidR="00702353">
        <w:t xml:space="preserve">. </w:t>
      </w:r>
      <w:r w:rsidRPr="00F72A91">
        <w:t>At times</w:t>
      </w:r>
      <w:r w:rsidR="00F85F40">
        <w:t>,</w:t>
      </w:r>
      <w:r w:rsidRPr="00F72A91">
        <w:t xml:space="preserve"> this could lead to investment subsidies and promote inefficient investment.</w:t>
      </w:r>
    </w:p>
    <w:p w14:paraId="7DBAAF6D" w14:textId="07B70C1F" w:rsidR="001B3AE0" w:rsidRPr="00F72A91" w:rsidRDefault="001B3AE0" w:rsidP="00075D72">
      <w:pPr>
        <w:pStyle w:val="NumberedParagraph-BulletL1"/>
      </w:pPr>
      <w:r w:rsidRPr="00075D72">
        <w:rPr>
          <w:b/>
          <w:bCs/>
        </w:rPr>
        <w:t>Indexation of the tax base:</w:t>
      </w:r>
      <w:r w:rsidRPr="0096767B">
        <w:t xml:space="preserve"> </w:t>
      </w:r>
      <w:r w:rsidRPr="00F72A91">
        <w:t>This is discussed in chapter 8. Some of the highest EMTRs are likely to be for short-lived depreciating assets and inventories, and these EMTRs will typically increase with inflation. One way of reducing these EMTRs would be to index the tax system comprehensively. This would be likely to reduce the highest EMTRs and make the tax system more neutral. No longer taxing the inflationary component of interest income is also likely to reduce savings distortions. The key argument against comprehensive indexation is the administration and compliance costs it is likely to impose. An alternative might be to index depreciation</w:t>
      </w:r>
      <w:r w:rsidR="00E635C9">
        <w:t>,</w:t>
      </w:r>
      <w:r w:rsidRPr="00F72A91">
        <w:t xml:space="preserve"> or both depreciation and inventories</w:t>
      </w:r>
      <w:r w:rsidR="00E635C9">
        <w:t>,</w:t>
      </w:r>
      <w:r w:rsidRPr="00F72A91">
        <w:t xml:space="preserve"> but not interest. As with accelerated depreciation measures, this could at times lead to investment subsidies and promote inefficient investment. It might, however, be a more neutral way of dealing with distortions caused by inflation than allowing accelerated depreciation.</w:t>
      </w:r>
    </w:p>
    <w:p w14:paraId="7DE8F708" w14:textId="641A9533" w:rsidR="001B3AE0" w:rsidRPr="00F72A91" w:rsidRDefault="001B3AE0" w:rsidP="00075D72">
      <w:pPr>
        <w:pStyle w:val="NumberedParagraph-BulletL1"/>
      </w:pPr>
      <w:r w:rsidRPr="00075D72">
        <w:rPr>
          <w:b/>
          <w:bCs/>
        </w:rPr>
        <w:t>A higher (less stringent) thin capitalisation threshold:</w:t>
      </w:r>
      <w:r w:rsidRPr="0096767B">
        <w:t xml:space="preserve"> </w:t>
      </w:r>
      <w:r w:rsidRPr="00F72A91">
        <w:t>This is discussed in chapter 9. This option would reduce costs of capital and EMTRs, but it would only do so for foreign-controlled firms. It is also likely only to be effective for firms that are trying to maximise their interest deductions and are close to the current thin capitalisation threshold. Data suggest</w:t>
      </w:r>
      <w:r w:rsidR="000818E6">
        <w:t>s</w:t>
      </w:r>
      <w:r w:rsidRPr="00F72A91">
        <w:t xml:space="preserve"> that many foreign-controlled firms are not in that position.</w:t>
      </w:r>
    </w:p>
    <w:p w14:paraId="6D59F9A5" w14:textId="4F400738" w:rsidR="001B3AE0" w:rsidRPr="00F72A91" w:rsidRDefault="00A15AAB" w:rsidP="00075D72">
      <w:pPr>
        <w:pStyle w:val="NumberedParagraph-BulletL1"/>
      </w:pPr>
      <w:r w:rsidRPr="00075D72">
        <w:rPr>
          <w:b/>
          <w:bCs/>
        </w:rPr>
        <w:t xml:space="preserve">Allowance for </w:t>
      </w:r>
      <w:r w:rsidR="00F41A5C" w:rsidRPr="00075D72">
        <w:rPr>
          <w:b/>
          <w:bCs/>
        </w:rPr>
        <w:t>corporate equity (</w:t>
      </w:r>
      <w:r w:rsidR="001B3AE0" w:rsidRPr="00075D72">
        <w:rPr>
          <w:b/>
          <w:bCs/>
        </w:rPr>
        <w:t>ACE</w:t>
      </w:r>
      <w:r w:rsidR="00F41A5C" w:rsidRPr="00075D72">
        <w:rPr>
          <w:b/>
          <w:bCs/>
        </w:rPr>
        <w:t>)</w:t>
      </w:r>
      <w:r w:rsidR="001B3AE0" w:rsidRPr="00075D72">
        <w:rPr>
          <w:b/>
          <w:bCs/>
        </w:rPr>
        <w:t xml:space="preserve"> system:</w:t>
      </w:r>
      <w:r w:rsidR="001B3AE0" w:rsidRPr="0096767B">
        <w:t xml:space="preserve"> </w:t>
      </w:r>
      <w:r w:rsidR="001B3AE0" w:rsidRPr="00F72A91">
        <w:t>This would involve allowing firms a notional interest deduction for corporate equity and is discussed in chapter 10. In principle, it could reduce taxes on marginal inbound investment without forgoing tax on economic rents. It could also reduce or remove debt/equity biases. Some ACE systems have been designed to apply only to new investments to minimise windfalls. A key question is whether it is possible to minimise windfalls in a country like New Zealand without a capital gains tax. There is also the question of how such a tax would integrate with the personal tax system. This is difficult without a capital gains tax at least on sales of shares.</w:t>
      </w:r>
    </w:p>
    <w:p w14:paraId="2FCB2601" w14:textId="71B92307" w:rsidR="001B3AE0" w:rsidRPr="00F72A91" w:rsidRDefault="001B3AE0" w:rsidP="00075D72">
      <w:pPr>
        <w:pStyle w:val="NumberedParagraph-BulletL1"/>
      </w:pPr>
      <w:r w:rsidRPr="00075D72">
        <w:rPr>
          <w:b/>
          <w:bCs/>
        </w:rPr>
        <w:t>Specific incentives for certain types of business investment:</w:t>
      </w:r>
      <w:r w:rsidRPr="0096767B">
        <w:t xml:space="preserve"> </w:t>
      </w:r>
      <w:r w:rsidRPr="00F72A91">
        <w:t>This is discussed in chapter 11. Rather than providing measures that reduce costs of capital and EMTRs generally, this option would involve tax cuts targeted at specific investments.</w:t>
      </w:r>
    </w:p>
    <w:p w14:paraId="363A4B23" w14:textId="24F7A9AC" w:rsidR="001B3AE0" w:rsidRDefault="001B3AE0" w:rsidP="00586800">
      <w:pPr>
        <w:pStyle w:val="NumberedParagraph-BulletL1"/>
      </w:pPr>
      <w:r w:rsidRPr="003272BC">
        <w:rPr>
          <w:b/>
          <w:bCs/>
        </w:rPr>
        <w:t>Dual income tax system:</w:t>
      </w:r>
      <w:r w:rsidRPr="0096767B">
        <w:t xml:space="preserve"> </w:t>
      </w:r>
      <w:r w:rsidRPr="00F72A91">
        <w:t xml:space="preserve">This is discussed in chapter 12. This option would allow a lower company tax rate on inbound investment income in a way that would integrate well with personal income taxation. Dual income tax systems have been adopted in several Nordic countries, so their performance can be assessed. Despite involving a lower tax rate on capital income than on labour income, the system has been adopted by several countries with quite progressive fiscal systems. However, a move in this direction would go well beyond addressing cost of capital concerns. </w:t>
      </w:r>
      <w:r w:rsidRPr="00F72A91">
        <w:lastRenderedPageBreak/>
        <w:t>Decisions would need to be made that it was fair and reasonable to tax capital income at lower rates than labour incomes. At the same time</w:t>
      </w:r>
      <w:r w:rsidR="00872F93">
        <w:t>,</w:t>
      </w:r>
      <w:r w:rsidRPr="00F72A91">
        <w:t xml:space="preserve"> a dual income tax system may possibly be used to support progressive tax rates on forms of income that can be taxed without too much distortion or evasion.</w:t>
      </w:r>
    </w:p>
    <w:p w14:paraId="1522730C" w14:textId="4F388EE5" w:rsidR="009B4ED5" w:rsidRDefault="00EE78E7" w:rsidP="00E35730">
      <w:pPr>
        <w:pStyle w:val="NumberedParagraph"/>
      </w:pPr>
      <w:r>
        <w:t>These options are explored further in subsequent chapters.</w:t>
      </w:r>
      <w:r w:rsidR="00313EB8">
        <w:t xml:space="preserve"> Before doing so,</w:t>
      </w:r>
      <w:r w:rsidR="009B4ED5">
        <w:t xml:space="preserve"> it may be helpful to mention t</w:t>
      </w:r>
      <w:r w:rsidR="005C2125">
        <w:t>hree</w:t>
      </w:r>
      <w:r w:rsidR="009B4ED5">
        <w:t xml:space="preserve"> issues that were raised in submission</w:t>
      </w:r>
      <w:r w:rsidR="0050066C">
        <w:t>s on the draft LTIB and one issue that was raised by an external review</w:t>
      </w:r>
      <w:r w:rsidR="007F6F6B">
        <w:t>er</w:t>
      </w:r>
      <w:r w:rsidR="0050066C">
        <w:t>.</w:t>
      </w:r>
    </w:p>
    <w:p w14:paraId="5EA61377" w14:textId="300F2321" w:rsidR="00836046" w:rsidRDefault="003C74EA" w:rsidP="00E35730">
      <w:pPr>
        <w:pStyle w:val="NumberedParagraph"/>
      </w:pPr>
      <w:r>
        <w:t>A</w:t>
      </w:r>
      <w:r w:rsidR="00E1098E">
        <w:t xml:space="preserve">n issue that </w:t>
      </w:r>
      <w:r w:rsidR="00657562">
        <w:t>was raised</w:t>
      </w:r>
      <w:r w:rsidR="00E1098E">
        <w:t xml:space="preserve"> in </w:t>
      </w:r>
      <w:r w:rsidR="00722DE5">
        <w:t>most</w:t>
      </w:r>
      <w:r w:rsidR="002762D1">
        <w:t xml:space="preserve"> submissions is that uncertainties</w:t>
      </w:r>
      <w:r w:rsidR="00CA7235">
        <w:t xml:space="preserve">, </w:t>
      </w:r>
      <w:proofErr w:type="gramStart"/>
      <w:r w:rsidR="00CA7235">
        <w:t>complexity</w:t>
      </w:r>
      <w:proofErr w:type="gramEnd"/>
      <w:r w:rsidR="002762D1">
        <w:t xml:space="preserve"> and </w:t>
      </w:r>
      <w:r w:rsidR="00CA7235">
        <w:t xml:space="preserve">the </w:t>
      </w:r>
      <w:r w:rsidR="002762D1">
        <w:t>chopping and changing of tax rules can</w:t>
      </w:r>
      <w:r w:rsidR="00232FBF">
        <w:t xml:space="preserve"> discourage investment in ways that are not being analysed formally. </w:t>
      </w:r>
      <w:r w:rsidR="0021406C">
        <w:t xml:space="preserve">Submissions </w:t>
      </w:r>
      <w:r w:rsidR="00F9668D">
        <w:t xml:space="preserve">called for greater clarity in the direction of future tax changes. This is perhaps one of the greatest underlying </w:t>
      </w:r>
      <w:r w:rsidR="00FE710B">
        <w:t>issues</w:t>
      </w:r>
      <w:r w:rsidR="002529F4">
        <w:t xml:space="preserve"> as we think through how tax policy might</w:t>
      </w:r>
      <w:r w:rsidR="00FE710B">
        <w:t xml:space="preserve"> respond to longer-term challenges. </w:t>
      </w:r>
      <w:r w:rsidR="009E6DA5">
        <w:t>Different future governments will have different views on how progressive the tax system should be</w:t>
      </w:r>
      <w:r w:rsidR="00C067CD">
        <w:t>,</w:t>
      </w:r>
      <w:r w:rsidR="009E6DA5">
        <w:t xml:space="preserve"> on how much revenue should be raised</w:t>
      </w:r>
      <w:r w:rsidR="00454658">
        <w:t xml:space="preserve"> and how </w:t>
      </w:r>
      <w:r w:rsidR="0030700E">
        <w:t xml:space="preserve">best to trade off fairness and efficiency concerns. </w:t>
      </w:r>
      <w:r w:rsidR="001F3849">
        <w:t xml:space="preserve">It </w:t>
      </w:r>
      <w:r w:rsidR="009477DB">
        <w:t>may</w:t>
      </w:r>
      <w:r w:rsidR="00D72291">
        <w:t xml:space="preserve"> be difficult </w:t>
      </w:r>
      <w:r w:rsidR="00EF17F1">
        <w:t xml:space="preserve">to get much certainty about future directions unless </w:t>
      </w:r>
      <w:r w:rsidR="00A82870">
        <w:t>New Zealand has</w:t>
      </w:r>
      <w:r w:rsidR="00E02B07">
        <w:t xml:space="preserve"> a </w:t>
      </w:r>
      <w:r w:rsidR="00A72F35">
        <w:t xml:space="preserve">flexible enough </w:t>
      </w:r>
      <w:r w:rsidR="00E02B07">
        <w:t>tax system to a</w:t>
      </w:r>
      <w:r w:rsidR="001C7024">
        <w:t>ccommodate</w:t>
      </w:r>
      <w:r w:rsidR="00CD3509">
        <w:t xml:space="preserve"> governments with different </w:t>
      </w:r>
      <w:r w:rsidR="007E09C7">
        <w:t>policy objectives</w:t>
      </w:r>
      <w:r w:rsidR="00CD3509">
        <w:t xml:space="preserve"> without wholesale restructuring</w:t>
      </w:r>
      <w:r w:rsidR="007C1493">
        <w:t>s</w:t>
      </w:r>
      <w:r w:rsidR="00CD3509">
        <w:t xml:space="preserve"> of the tax system when</w:t>
      </w:r>
      <w:r w:rsidR="00565CF7">
        <w:t>ever</w:t>
      </w:r>
      <w:r w:rsidR="007C1493">
        <w:t xml:space="preserve"> </w:t>
      </w:r>
      <w:r w:rsidR="00A53B64">
        <w:t xml:space="preserve">governments </w:t>
      </w:r>
      <w:r w:rsidR="007C1493">
        <w:t>change.</w:t>
      </w:r>
      <w:r>
        <w:t xml:space="preserve"> </w:t>
      </w:r>
      <w:r w:rsidR="00895C46">
        <w:t xml:space="preserve">A key issue will be the </w:t>
      </w:r>
      <w:r w:rsidR="000A0D19">
        <w:t xml:space="preserve">government’s </w:t>
      </w:r>
      <w:r w:rsidR="00895C46">
        <w:t xml:space="preserve">flexibility to </w:t>
      </w:r>
      <w:r w:rsidR="00D978E8">
        <w:t xml:space="preserve">change the personal income tax scale in ways </w:t>
      </w:r>
      <w:r w:rsidR="00502275">
        <w:t>it</w:t>
      </w:r>
      <w:r w:rsidR="00895ECC">
        <w:t xml:space="preserve"> consider</w:t>
      </w:r>
      <w:r w:rsidR="00502275">
        <w:t>s</w:t>
      </w:r>
      <w:r w:rsidR="00895ECC">
        <w:t xml:space="preserve"> best serve New Zealand as a whole.</w:t>
      </w:r>
    </w:p>
    <w:p w14:paraId="7D79F053" w14:textId="32991021" w:rsidR="003C74EA" w:rsidRDefault="004C670B" w:rsidP="00E35730">
      <w:pPr>
        <w:pStyle w:val="NumberedParagraph"/>
      </w:pPr>
      <w:r>
        <w:t xml:space="preserve">This is discussed in subsequent chapters. </w:t>
      </w:r>
      <w:r w:rsidR="00833851">
        <w:t xml:space="preserve">The </w:t>
      </w:r>
      <w:r w:rsidR="00F66D6C">
        <w:t>current</w:t>
      </w:r>
      <w:r w:rsidR="00737AAE">
        <w:t xml:space="preserve"> New Zealand</w:t>
      </w:r>
      <w:r w:rsidR="00F66D6C">
        <w:t xml:space="preserve"> tax system was designed</w:t>
      </w:r>
      <w:r w:rsidR="003D4513">
        <w:t xml:space="preserve"> in the late 1980s</w:t>
      </w:r>
      <w:r w:rsidR="00F66D6C">
        <w:t xml:space="preserve"> </w:t>
      </w:r>
      <w:r w:rsidR="009274E3">
        <w:t xml:space="preserve">around a system </w:t>
      </w:r>
      <w:r w:rsidR="00EB1CBA">
        <w:t>where the company</w:t>
      </w:r>
      <w:r w:rsidR="005C2EBC">
        <w:t xml:space="preserve"> tax rate, the trustee tax rate and the top personal</w:t>
      </w:r>
      <w:r w:rsidR="00094DBB">
        <w:t xml:space="preserve"> marginal tax rate were </w:t>
      </w:r>
      <w:r w:rsidR="00097E05">
        <w:t xml:space="preserve">all </w:t>
      </w:r>
      <w:r w:rsidR="00094DBB">
        <w:t xml:space="preserve">aligned. This </w:t>
      </w:r>
      <w:r w:rsidR="00015976">
        <w:t>prevented</w:t>
      </w:r>
      <w:r w:rsidR="004261E6">
        <w:t xml:space="preserve"> companies or trusts being used to shelter income from higher rates of personal income</w:t>
      </w:r>
      <w:r w:rsidR="00800CE1">
        <w:t>. This was complemented with a full imputation system which ensured that once companies distributed profits to domestic shareholder</w:t>
      </w:r>
      <w:r w:rsidR="00764243">
        <w:t xml:space="preserve">s, the profits ended up being taxed at the marginal tax rates of shareholders. </w:t>
      </w:r>
      <w:r w:rsidR="008B5142">
        <w:t xml:space="preserve">The underlying goal was to create a tax system where personal tax rates could not easily be sidestepped. </w:t>
      </w:r>
      <w:r w:rsidR="003259AE">
        <w:t xml:space="preserve">Since then the company tax rate has decreased </w:t>
      </w:r>
      <w:r w:rsidR="00B01417">
        <w:t xml:space="preserve">and </w:t>
      </w:r>
      <w:r w:rsidR="003259AE">
        <w:t>the top personal marginal tax rate</w:t>
      </w:r>
      <w:r w:rsidR="004261E6">
        <w:t xml:space="preserve"> </w:t>
      </w:r>
      <w:r w:rsidR="00B01417">
        <w:t>has increased</w:t>
      </w:r>
      <w:r w:rsidR="00C31181">
        <w:t xml:space="preserve">. </w:t>
      </w:r>
      <w:r w:rsidR="000D17D2">
        <w:t>This make</w:t>
      </w:r>
      <w:r w:rsidR="006603F9">
        <w:t xml:space="preserve">s it easier for </w:t>
      </w:r>
      <w:r w:rsidR="006149AF">
        <w:t>companies and trusts to be used to shelter incom</w:t>
      </w:r>
      <w:r w:rsidR="00541B21">
        <w:t>e from higher rates of personal income tax</w:t>
      </w:r>
      <w:r w:rsidR="00F17ECC">
        <w:t xml:space="preserve">. </w:t>
      </w:r>
      <w:r w:rsidR="007E75BC">
        <w:t xml:space="preserve">At the same time New Zealand’s company tax rate </w:t>
      </w:r>
      <w:r w:rsidR="008A2E5B">
        <w:t xml:space="preserve">is </w:t>
      </w:r>
      <w:r w:rsidR="00C372BE">
        <w:t xml:space="preserve">higher than </w:t>
      </w:r>
      <w:r w:rsidR="00826EE4">
        <w:t>a</w:t>
      </w:r>
      <w:r w:rsidR="00C372BE">
        <w:t xml:space="preserve">verage for OECD countries and the top personal marginal tax rate is lower than average. </w:t>
      </w:r>
      <w:r w:rsidR="00582837">
        <w:t xml:space="preserve">As a result New Zealand has a relatively small gap between the company tax rate and the top personal marginal tax rate. </w:t>
      </w:r>
      <w:r w:rsidR="00BA603C">
        <w:t>A question is whether New Zealand’s tax system is sufficiently flexible to</w:t>
      </w:r>
      <w:r w:rsidR="005B6FE2">
        <w:t xml:space="preserve"> </w:t>
      </w:r>
      <w:r w:rsidR="00E86DA9">
        <w:t>accommodate governments with different views on ho</w:t>
      </w:r>
      <w:r w:rsidR="000C0D2C">
        <w:t>w progressive the tax system should be or how much revenue should be raised.</w:t>
      </w:r>
    </w:p>
    <w:p w14:paraId="6869DAE3" w14:textId="5A4A9D66" w:rsidR="00FB3336" w:rsidRDefault="00C67D8A" w:rsidP="00E35730">
      <w:pPr>
        <w:pStyle w:val="NumberedParagraph"/>
      </w:pPr>
      <w:r>
        <w:t>In their submission on the draft LTIB</w:t>
      </w:r>
      <w:r w:rsidR="001919A0">
        <w:t>,</w:t>
      </w:r>
      <w:r>
        <w:t xml:space="preserve"> </w:t>
      </w:r>
      <w:r w:rsidR="00595B5E">
        <w:t xml:space="preserve">CA ANZ argued that </w:t>
      </w:r>
      <w:r w:rsidR="00084A1D">
        <w:t>most</w:t>
      </w:r>
      <w:r w:rsidR="00595B5E">
        <w:t xml:space="preserve"> of the measures we list </w:t>
      </w:r>
      <w:r w:rsidR="006C11B1">
        <w:t xml:space="preserve">are likely to be </w:t>
      </w:r>
      <w:r w:rsidR="008E3647">
        <w:t>in</w:t>
      </w:r>
      <w:r w:rsidR="006C11B1">
        <w:t>effective in reducing costs of capital and promoting investment</w:t>
      </w:r>
      <w:r w:rsidR="005B2E01">
        <w:t>. This is</w:t>
      </w:r>
      <w:r w:rsidR="006C11B1">
        <w:t xml:space="preserve"> because </w:t>
      </w:r>
      <w:r w:rsidR="008C4F7E">
        <w:t>foreign</w:t>
      </w:r>
      <w:r w:rsidR="001919A0">
        <w:t>-</w:t>
      </w:r>
      <w:r w:rsidR="008C4F7E">
        <w:t>controlled companies operatin</w:t>
      </w:r>
      <w:r w:rsidR="00BA79B9">
        <w:t>g in New Zealand have transfer pricing agreements with Inland Revenue</w:t>
      </w:r>
      <w:r w:rsidR="000C3CCD">
        <w:t xml:space="preserve"> </w:t>
      </w:r>
      <w:r w:rsidR="001919A0">
        <w:t>that</w:t>
      </w:r>
      <w:r w:rsidR="008B342B">
        <w:t xml:space="preserve"> may be based on profit methods</w:t>
      </w:r>
      <w:r w:rsidR="00AE7948">
        <w:t>.</w:t>
      </w:r>
      <w:r w:rsidR="00A51926">
        <w:t xml:space="preserve"> They may require taxable profits returned for New Zealand to be some </w:t>
      </w:r>
      <w:r w:rsidR="00C031D1">
        <w:t xml:space="preserve">fixed percentage of sales. </w:t>
      </w:r>
      <w:r w:rsidR="00A24E93">
        <w:t xml:space="preserve">If </w:t>
      </w:r>
      <w:r w:rsidR="00293E77">
        <w:t xml:space="preserve">this is the case, </w:t>
      </w:r>
      <w:r w:rsidR="0094718B">
        <w:t>CA ANZ</w:t>
      </w:r>
      <w:r w:rsidR="00293E77">
        <w:t xml:space="preserve"> argue that many of the option</w:t>
      </w:r>
      <w:r w:rsidR="006E7E01">
        <w:t>s</w:t>
      </w:r>
      <w:r w:rsidR="00293E77">
        <w:t xml:space="preserve"> would not</w:t>
      </w:r>
      <w:r w:rsidR="00610A51">
        <w:t xml:space="preserve"> impact on the taxes paid by these firms.</w:t>
      </w:r>
    </w:p>
    <w:p w14:paraId="23CBC3ED" w14:textId="1F973682" w:rsidR="007010DC" w:rsidRDefault="006C11B1" w:rsidP="00E35730">
      <w:pPr>
        <w:pStyle w:val="NumberedParagraph"/>
      </w:pPr>
      <w:r>
        <w:t xml:space="preserve">We </w:t>
      </w:r>
      <w:r w:rsidR="00610A51">
        <w:t>have discussed th</w:t>
      </w:r>
      <w:r w:rsidR="00C75F49">
        <w:t xml:space="preserve">is issue with Inland Revenue experts working on these transfer pricing agreements and </w:t>
      </w:r>
      <w:r>
        <w:t xml:space="preserve">do not agree with </w:t>
      </w:r>
      <w:r w:rsidR="00A010D0">
        <w:t xml:space="preserve">CA ANZ on </w:t>
      </w:r>
      <w:r>
        <w:t>this.</w:t>
      </w:r>
      <w:r w:rsidR="00160B46">
        <w:t xml:space="preserve"> </w:t>
      </w:r>
      <w:r w:rsidR="00C16DBA">
        <w:t>A</w:t>
      </w:r>
      <w:r w:rsidR="00D61F05">
        <w:t xml:space="preserve">ny profit method is based on benchmarking comparable company behaviour/results and is not </w:t>
      </w:r>
      <w:r w:rsidR="00A63872">
        <w:t>an</w:t>
      </w:r>
      <w:r w:rsidR="00D61F05">
        <w:t xml:space="preserve"> arbitrary formula. </w:t>
      </w:r>
      <w:r w:rsidR="008E4DE5">
        <w:t>I</w:t>
      </w:r>
      <w:r w:rsidR="001F30E0">
        <w:t>nland Revenue</w:t>
      </w:r>
      <w:r w:rsidR="008E4DE5">
        <w:t xml:space="preserve"> will benchmark the N</w:t>
      </w:r>
      <w:r w:rsidR="001F30E0">
        <w:t xml:space="preserve">ew </w:t>
      </w:r>
      <w:r w:rsidR="008E4DE5">
        <w:t>Z</w:t>
      </w:r>
      <w:r w:rsidR="001F30E0">
        <w:t>ealand</w:t>
      </w:r>
      <w:r w:rsidR="008E4DE5">
        <w:t xml:space="preserve"> operating margin of </w:t>
      </w:r>
      <w:r w:rsidR="00B46AE4">
        <w:t>a</w:t>
      </w:r>
      <w:r w:rsidR="008E4DE5">
        <w:t xml:space="preserve"> subsidiary against those of other independent </w:t>
      </w:r>
      <w:r w:rsidR="00B46AE4">
        <w:t xml:space="preserve">comparable </w:t>
      </w:r>
      <w:r w:rsidR="008E4DE5">
        <w:t>companies</w:t>
      </w:r>
      <w:r w:rsidR="004F2BB4">
        <w:t xml:space="preserve">. </w:t>
      </w:r>
      <w:r w:rsidR="00DA33F9">
        <w:t>G</w:t>
      </w:r>
      <w:r w:rsidR="007A63A5">
        <w:t>enerally speaking, the comparable companies will be in the same industry and subject to the same or similar trading conditions as the subsidiary</w:t>
      </w:r>
      <w:r w:rsidR="00DA33F9">
        <w:t xml:space="preserve">. </w:t>
      </w:r>
      <w:r w:rsidR="00DA33F9">
        <w:lastRenderedPageBreak/>
        <w:t>T</w:t>
      </w:r>
      <w:r w:rsidR="007A63A5">
        <w:t xml:space="preserve">heir behaviour will be influenced by any special depreciation rates, </w:t>
      </w:r>
      <w:r w:rsidR="00A87582">
        <w:t xml:space="preserve">tax incentives and so forth. </w:t>
      </w:r>
      <w:r w:rsidR="003C5614">
        <w:t>By lowering taxes paid by comparable firm</w:t>
      </w:r>
      <w:r w:rsidR="00B75908">
        <w:t xml:space="preserve">s, measures </w:t>
      </w:r>
      <w:r w:rsidR="00A804E8">
        <w:t>that</w:t>
      </w:r>
      <w:r w:rsidR="00B75908">
        <w:t xml:space="preserve"> reduce company tax are likely to be factored into lower tax payments under transfer pricing agreements</w:t>
      </w:r>
      <w:r w:rsidR="003D2E89">
        <w:t xml:space="preserve"> based on profit methods</w:t>
      </w:r>
      <w:r w:rsidR="00B75908">
        <w:t>. Also</w:t>
      </w:r>
      <w:r w:rsidR="00F54FE3">
        <w:t xml:space="preserve"> the CA ANZ analysis only applies to foreign</w:t>
      </w:r>
      <w:r w:rsidR="00FD437B">
        <w:t>-</w:t>
      </w:r>
      <w:r w:rsidR="00F54FE3">
        <w:t>controlled firms</w:t>
      </w:r>
      <w:r w:rsidR="006F2DF1">
        <w:t>.</w:t>
      </w:r>
      <w:r w:rsidR="00D01651">
        <w:t xml:space="preserve"> T</w:t>
      </w:r>
      <w:r w:rsidR="00F54FE3">
        <w:t xml:space="preserve">he cost of capital and EMTR issues we are considering apply </w:t>
      </w:r>
      <w:r w:rsidR="00FA0F18">
        <w:t>to other companies as well.</w:t>
      </w:r>
    </w:p>
    <w:p w14:paraId="74FBDAD7" w14:textId="5F0419F7" w:rsidR="00FA0F18" w:rsidRDefault="003B4321" w:rsidP="00E35730">
      <w:pPr>
        <w:pStyle w:val="NumberedParagraph"/>
      </w:pPr>
      <w:r>
        <w:t>A separate issue was raised by the Corporate Taxpayers Group</w:t>
      </w:r>
      <w:r w:rsidR="00023582">
        <w:t xml:space="preserve"> (CTG)</w:t>
      </w:r>
      <w:r>
        <w:t>.</w:t>
      </w:r>
      <w:r w:rsidR="00765CF9">
        <w:t xml:space="preserve"> It commented</w:t>
      </w:r>
      <w:r w:rsidR="00065463">
        <w:t xml:space="preserve"> on the </w:t>
      </w:r>
      <w:r w:rsidR="00873D85">
        <w:t>negative EMTRs that can arise with expensing if investment is partially debt financed</w:t>
      </w:r>
      <w:r w:rsidR="00640A7A">
        <w:t>, identified in chapter 4 above</w:t>
      </w:r>
      <w:r w:rsidR="00873D85">
        <w:t>.</w:t>
      </w:r>
      <w:r w:rsidR="00B26DC0">
        <w:t xml:space="preserve"> The CTG notes that the </w:t>
      </w:r>
      <w:r w:rsidR="00460405">
        <w:t>subsidies identified would not arise if companies were in a tax loss position.</w:t>
      </w:r>
      <w:r w:rsidR="000D3FD0">
        <w:t xml:space="preserve"> </w:t>
      </w:r>
      <w:r w:rsidR="00CD37AB">
        <w:t xml:space="preserve">The CTG asserts that most </w:t>
      </w:r>
      <w:r w:rsidR="00BF5036">
        <w:t>firms benefitting from expensing will be in a tax loss position</w:t>
      </w:r>
      <w:r w:rsidR="003B7A7C">
        <w:t>,</w:t>
      </w:r>
      <w:r w:rsidR="00BF5036">
        <w:t xml:space="preserve"> but we doubt whether there is any good data on this. </w:t>
      </w:r>
      <w:r w:rsidR="00E02E65">
        <w:t>However,</w:t>
      </w:r>
      <w:r w:rsidR="0048563C">
        <w:t xml:space="preserve"> it is correct to point out that the </w:t>
      </w:r>
      <w:r w:rsidR="000D3FD0">
        <w:t xml:space="preserve">analysis is considering only firms that are in a profitable taxpaying position. As </w:t>
      </w:r>
      <w:r w:rsidR="00467F66">
        <w:t>mentioned earlier, a</w:t>
      </w:r>
      <w:r w:rsidR="0089288E" w:rsidRPr="00487981">
        <w:t>bout 34% of companies had a loss they carried forward from the 2019/20 to the 2020/21 year</w:t>
      </w:r>
      <w:r w:rsidR="005F7548">
        <w:t>,</w:t>
      </w:r>
      <w:r w:rsidR="009B4BE8">
        <w:t xml:space="preserve"> and these firms are not being picked up in our </w:t>
      </w:r>
      <w:r w:rsidR="002B6FAE">
        <w:t xml:space="preserve">estimates of EMTRs. </w:t>
      </w:r>
      <w:r w:rsidR="00380A81">
        <w:t xml:space="preserve">This is a broader </w:t>
      </w:r>
      <w:r w:rsidR="0049073A">
        <w:t>concern</w:t>
      </w:r>
      <w:r w:rsidR="00380A81">
        <w:t xml:space="preserve"> than the expensing issue</w:t>
      </w:r>
      <w:r w:rsidR="001215B5">
        <w:t xml:space="preserve"> and would impact on the effectiveness of all the policy </w:t>
      </w:r>
      <w:r w:rsidR="004C75D5">
        <w:t>options we discuss.</w:t>
      </w:r>
      <w:r w:rsidR="00380A81">
        <w:t xml:space="preserve"> </w:t>
      </w:r>
      <w:r w:rsidR="00973BEF">
        <w:t>It</w:t>
      </w:r>
      <w:r w:rsidR="00B74F82">
        <w:t xml:space="preserve"> is a complex issue to work through and is left for further work. </w:t>
      </w:r>
      <w:r w:rsidR="00C4616C">
        <w:t>There is, however, an associated issue. Some of the possible options</w:t>
      </w:r>
      <w:r w:rsidR="0050358C">
        <w:t>,</w:t>
      </w:r>
      <w:r w:rsidR="00C4616C">
        <w:t xml:space="preserve"> such as accelerated depreciation provisions</w:t>
      </w:r>
      <w:r w:rsidR="0050358C">
        <w:t>,</w:t>
      </w:r>
      <w:r w:rsidR="00C4616C">
        <w:t xml:space="preserve"> may make it much more common for companies to end up in a tax</w:t>
      </w:r>
      <w:r w:rsidR="00CC61E6">
        <w:t xml:space="preserve"> </w:t>
      </w:r>
      <w:r w:rsidR="00C4616C">
        <w:t>loss position.</w:t>
      </w:r>
      <w:r w:rsidR="00965ADE">
        <w:t xml:space="preserve"> </w:t>
      </w:r>
      <w:r w:rsidR="0093525E">
        <w:t xml:space="preserve">When considering the desirability of these </w:t>
      </w:r>
      <w:r w:rsidR="000406E5">
        <w:t xml:space="preserve">options </w:t>
      </w:r>
      <w:r w:rsidR="002A0168">
        <w:t xml:space="preserve">in the future, </w:t>
      </w:r>
      <w:r w:rsidR="000406E5">
        <w:t xml:space="preserve">it </w:t>
      </w:r>
      <w:r w:rsidR="002D700C">
        <w:t>is likely to be important to</w:t>
      </w:r>
      <w:r w:rsidR="000406E5">
        <w:t xml:space="preserve"> extend the analysis to consider firms in a tax</w:t>
      </w:r>
      <w:r w:rsidR="00CC61E6">
        <w:t xml:space="preserve"> </w:t>
      </w:r>
      <w:r w:rsidR="000406E5">
        <w:t>loss position as well</w:t>
      </w:r>
      <w:r w:rsidR="00462183">
        <w:t>. This is</w:t>
      </w:r>
      <w:r w:rsidR="007D4C26">
        <w:t xml:space="preserve"> especially </w:t>
      </w:r>
      <w:r w:rsidR="00462183">
        <w:t xml:space="preserve">so </w:t>
      </w:r>
      <w:r w:rsidR="007D4C26">
        <w:t xml:space="preserve">if the tax changes being contemplated are likely to </w:t>
      </w:r>
      <w:r w:rsidR="00146710">
        <w:t>make it more likely for firms to end up in a tax loss position.</w:t>
      </w:r>
    </w:p>
    <w:p w14:paraId="4CFFCC4C" w14:textId="61D301E1" w:rsidR="00E35730" w:rsidRDefault="003158C3" w:rsidP="00E35730">
      <w:pPr>
        <w:pStyle w:val="NumberedParagraph"/>
      </w:pPr>
      <w:r>
        <w:t xml:space="preserve">One reviewer suggested that some of the options should be considered as alternatives rather than as options that might be adopted at the same time. </w:t>
      </w:r>
      <w:r w:rsidR="009F2AC0">
        <w:t>For</w:t>
      </w:r>
      <w:r w:rsidR="00AD5E73">
        <w:t xml:space="preserve"> example</w:t>
      </w:r>
      <w:r w:rsidR="009F2AC0">
        <w:t>,</w:t>
      </w:r>
      <w:r w:rsidR="00AD5E73">
        <w:t xml:space="preserve"> </w:t>
      </w:r>
      <w:r w:rsidR="009F2AC0">
        <w:t>consider</w:t>
      </w:r>
      <w:r w:rsidR="00AD5E73">
        <w:t xml:space="preserve"> accelerated depreciation or </w:t>
      </w:r>
      <w:r w:rsidR="005920F5">
        <w:t>a less stringent thin</w:t>
      </w:r>
      <w:r w:rsidR="00216B9C">
        <w:t xml:space="preserve"> </w:t>
      </w:r>
      <w:r w:rsidR="005920F5">
        <w:t>capitalisation threshold. If, say, we were to allow expensing</w:t>
      </w:r>
      <w:r w:rsidR="00F7404E">
        <w:t xml:space="preserve"> for investments, EMTRs would be negative </w:t>
      </w:r>
      <w:r w:rsidR="0072516C">
        <w:t xml:space="preserve">whenever there is any debt. The more generous </w:t>
      </w:r>
      <w:r w:rsidR="003B55CF">
        <w:t>the</w:t>
      </w:r>
      <w:r w:rsidR="0072516C">
        <w:t xml:space="preserve"> depreciation deductions or other capital write off provisions</w:t>
      </w:r>
      <w:r w:rsidR="003B55CF">
        <w:t xml:space="preserve"> are</w:t>
      </w:r>
      <w:r w:rsidR="0072516C">
        <w:t>, the greater the case for tigh</w:t>
      </w:r>
      <w:r w:rsidR="00255E7C">
        <w:t>t</w:t>
      </w:r>
      <w:r w:rsidR="0072516C">
        <w:t>ening</w:t>
      </w:r>
      <w:r w:rsidR="003B55CF">
        <w:t>,</w:t>
      </w:r>
      <w:r w:rsidR="0072516C">
        <w:t xml:space="preserve"> rather than loosening</w:t>
      </w:r>
      <w:r w:rsidR="003B55CF">
        <w:t>,</w:t>
      </w:r>
      <w:r w:rsidR="0072516C">
        <w:t xml:space="preserve"> thin</w:t>
      </w:r>
      <w:r w:rsidR="00216B9C">
        <w:t xml:space="preserve"> </w:t>
      </w:r>
      <w:r w:rsidR="0072516C">
        <w:t xml:space="preserve">capitalisation provisions. </w:t>
      </w:r>
      <w:r w:rsidR="00E84443">
        <w:t>Thus, at times</w:t>
      </w:r>
      <w:r w:rsidR="001C62FB">
        <w:t>,</w:t>
      </w:r>
      <w:r w:rsidR="00E84443">
        <w:t xml:space="preserve"> there </w:t>
      </w:r>
      <w:r w:rsidR="00101E16">
        <w:t>may</w:t>
      </w:r>
      <w:r w:rsidR="00E84443">
        <w:t xml:space="preserve"> be an either/or choice between the options </w:t>
      </w:r>
      <w:r w:rsidR="00101E16">
        <w:t>listed.</w:t>
      </w:r>
      <w:r w:rsidR="00990E52">
        <w:t xml:space="preserve"> </w:t>
      </w:r>
      <w:r w:rsidR="009748E1">
        <w:t xml:space="preserve">Also a </w:t>
      </w:r>
      <w:r w:rsidR="00426669">
        <w:t xml:space="preserve">set of tax changes </w:t>
      </w:r>
      <w:r w:rsidR="00426155">
        <w:t>that</w:t>
      </w:r>
      <w:r w:rsidR="00426669">
        <w:t xml:space="preserve"> reduces costs </w:t>
      </w:r>
      <w:r w:rsidR="00426155">
        <w:t>of</w:t>
      </w:r>
      <w:r w:rsidR="00426669">
        <w:t xml:space="preserve"> capital and EMTRs on average may include</w:t>
      </w:r>
      <w:r w:rsidR="002971B5">
        <w:t xml:space="preserve"> some measures </w:t>
      </w:r>
      <w:r w:rsidR="00426155">
        <w:t>that</w:t>
      </w:r>
      <w:r w:rsidR="002971B5">
        <w:t xml:space="preserve"> are increasing and others </w:t>
      </w:r>
      <w:r w:rsidR="00966090">
        <w:t>that</w:t>
      </w:r>
      <w:r w:rsidR="002971B5">
        <w:t xml:space="preserve"> are decreasing these costs of capital and EMTRs.</w:t>
      </w:r>
    </w:p>
    <w:p w14:paraId="2EF4A493" w14:textId="77777777" w:rsidR="00E35730" w:rsidRPr="003272BC" w:rsidRDefault="00E35730" w:rsidP="00375841">
      <w:pPr>
        <w:pStyle w:val="NumberedParagraph"/>
        <w:numPr>
          <w:ilvl w:val="0"/>
          <w:numId w:val="0"/>
        </w:numPr>
        <w:ind w:left="851"/>
      </w:pPr>
    </w:p>
    <w:p w14:paraId="75614079" w14:textId="48A99648" w:rsidR="001B3AE0" w:rsidRPr="004B1C56" w:rsidRDefault="001B3AE0" w:rsidP="00375841">
      <w:pPr>
        <w:pStyle w:val="Heading1"/>
        <w:ind w:left="0"/>
        <w:rPr>
          <w:rFonts w:eastAsia="Calibri"/>
          <w:lang w:eastAsia="en-US"/>
        </w:rPr>
      </w:pPr>
      <w:r w:rsidRPr="004B1C56">
        <w:rPr>
          <w:rFonts w:eastAsia="Calibri"/>
          <w:lang w:eastAsia="en-US"/>
        </w:rPr>
        <w:lastRenderedPageBreak/>
        <w:br/>
      </w:r>
      <w:r w:rsidRPr="004B1C56">
        <w:rPr>
          <w:rFonts w:eastAsia="Calibri"/>
          <w:lang w:eastAsia="en-US"/>
        </w:rPr>
        <w:br/>
      </w:r>
      <w:bookmarkStart w:id="36" w:name="_Toc112857414"/>
      <w:r w:rsidRPr="004B1C56">
        <w:rPr>
          <w:rFonts w:eastAsia="Calibri"/>
          <w:lang w:eastAsia="en-US"/>
        </w:rPr>
        <w:t>Reducing the company tax rate</w:t>
      </w:r>
      <w:bookmarkEnd w:id="36"/>
    </w:p>
    <w:tbl>
      <w:tblPr>
        <w:tblStyle w:val="SummaryBox"/>
        <w:tblW w:w="0" w:type="auto"/>
        <w:tblLayout w:type="fixed"/>
        <w:tblLook w:val="04A0" w:firstRow="1" w:lastRow="0" w:firstColumn="1" w:lastColumn="0" w:noHBand="0" w:noVBand="1"/>
      </w:tblPr>
      <w:tblGrid>
        <w:gridCol w:w="8778"/>
      </w:tblGrid>
      <w:tr w:rsidR="001B3AE0" w:rsidRPr="00F72A91" w14:paraId="2AE5B6C6" w14:textId="77777777" w:rsidTr="007D07BC">
        <w:tc>
          <w:tcPr>
            <w:tcW w:w="8778" w:type="dxa"/>
          </w:tcPr>
          <w:p w14:paraId="2EF35C17" w14:textId="508A060F" w:rsidR="001B3AE0" w:rsidRPr="00F72A91" w:rsidRDefault="001B3AE0" w:rsidP="00597B6B">
            <w:pPr>
              <w:pStyle w:val="ListBullet"/>
            </w:pPr>
            <w:r w:rsidRPr="00F72A91">
              <w:t xml:space="preserve">Reducing the company tax rate would reduce the relatively high costs of capital and EMTRs </w:t>
            </w:r>
            <w:r w:rsidR="00B214C7">
              <w:t xml:space="preserve">that </w:t>
            </w:r>
            <w:r w:rsidR="00773880">
              <w:t xml:space="preserve">apply to </w:t>
            </w:r>
            <w:r w:rsidRPr="00F72A91">
              <w:t>many forms of investment into New Zealand.</w:t>
            </w:r>
          </w:p>
          <w:p w14:paraId="4920BB31" w14:textId="181C1B39" w:rsidR="001B3AE0" w:rsidRPr="00F72A91" w:rsidRDefault="001B3AE0" w:rsidP="00597B6B">
            <w:pPr>
              <w:pStyle w:val="ListBullet"/>
            </w:pPr>
            <w:r w:rsidRPr="00F72A91">
              <w:t>T</w:t>
            </w:r>
            <w:r w:rsidR="00773880">
              <w:t xml:space="preserve">his is likely to </w:t>
            </w:r>
            <w:r w:rsidRPr="00F72A91">
              <w:t xml:space="preserve">encourage </w:t>
            </w:r>
            <w:r w:rsidR="00286A82">
              <w:t xml:space="preserve">efficient marginal </w:t>
            </w:r>
            <w:r w:rsidRPr="00F72A91">
              <w:t>investment that would otherwise not take place</w:t>
            </w:r>
            <w:r w:rsidR="00CF7C3E">
              <w:t>,</w:t>
            </w:r>
            <w:r w:rsidR="00ED1FC1">
              <w:t xml:space="preserve"> and</w:t>
            </w:r>
            <w:r w:rsidRPr="00F72A91">
              <w:t xml:space="preserve"> this is likely to promote economic efficiency and productivity.</w:t>
            </w:r>
          </w:p>
          <w:p w14:paraId="6015439E" w14:textId="0C5003D1" w:rsidR="005F313E" w:rsidRDefault="001B3AE0" w:rsidP="00597B6B">
            <w:pPr>
              <w:pStyle w:val="ListBullet"/>
            </w:pPr>
            <w:r w:rsidRPr="00F72A91">
              <w:t>This would also reduce distortions between different types of assets and different methods of finance</w:t>
            </w:r>
            <w:r w:rsidR="00A600E8">
              <w:t>.</w:t>
            </w:r>
            <w:r w:rsidRPr="00F72A91">
              <w:t xml:space="preserve"> </w:t>
            </w:r>
            <w:r w:rsidR="00FD4391">
              <w:t>Th</w:t>
            </w:r>
            <w:r w:rsidR="00733B5A">
              <w:t>e</w:t>
            </w:r>
            <w:r w:rsidR="00FD4391">
              <w:t>s</w:t>
            </w:r>
            <w:r w:rsidR="00565483">
              <w:t>e</w:t>
            </w:r>
            <w:r w:rsidR="00FD4391">
              <w:t xml:space="preserve"> distortions </w:t>
            </w:r>
            <w:r w:rsidRPr="00F72A91">
              <w:t xml:space="preserve">arise </w:t>
            </w:r>
            <w:r w:rsidR="000D61EA">
              <w:t xml:space="preserve">in part </w:t>
            </w:r>
            <w:r w:rsidRPr="00F72A91">
              <w:t>because of difficulties in measuring economic income</w:t>
            </w:r>
            <w:r w:rsidR="005F313E">
              <w:t>.</w:t>
            </w:r>
          </w:p>
          <w:p w14:paraId="07BA22AB" w14:textId="2950826F" w:rsidR="001B3AE0" w:rsidRPr="00F72A91" w:rsidRDefault="005D155A" w:rsidP="00597B6B">
            <w:pPr>
              <w:pStyle w:val="ListBullet"/>
            </w:pPr>
            <w:r>
              <w:t>This would</w:t>
            </w:r>
            <w:r w:rsidR="00ED1FC1">
              <w:t xml:space="preserve"> reduce tax subsidies to investments with negative EMTRs</w:t>
            </w:r>
            <w:r w:rsidR="001B3AE0" w:rsidRPr="00F72A91">
              <w:t>.</w:t>
            </w:r>
          </w:p>
          <w:p w14:paraId="0AD0A1C3" w14:textId="49F64DF3" w:rsidR="001B3AE0" w:rsidRPr="00F72A91" w:rsidRDefault="001B3AE0" w:rsidP="00597B6B">
            <w:pPr>
              <w:pStyle w:val="ListBullet"/>
            </w:pPr>
            <w:r w:rsidRPr="00F72A91">
              <w:t>It would also reduce transfer</w:t>
            </w:r>
            <w:r w:rsidR="002C1945">
              <w:t xml:space="preserve"> </w:t>
            </w:r>
            <w:r w:rsidRPr="00F72A91">
              <w:t>pricing pressures.</w:t>
            </w:r>
          </w:p>
          <w:p w14:paraId="00DA6CB1" w14:textId="1207EEE0" w:rsidR="001B3AE0" w:rsidRPr="00F72A91" w:rsidRDefault="001B3AE0" w:rsidP="00597B6B">
            <w:pPr>
              <w:pStyle w:val="ListBullet"/>
            </w:pPr>
            <w:r w:rsidRPr="00F72A91">
              <w:t xml:space="preserve">At the same time, there are trade-offs </w:t>
            </w:r>
            <w:r w:rsidR="00C2173B">
              <w:t xml:space="preserve">to consider. This would provide a windfall to </w:t>
            </w:r>
            <w:r w:rsidR="007107CE">
              <w:t>firms with</w:t>
            </w:r>
            <w:r w:rsidRPr="00F72A91">
              <w:t xml:space="preserve"> existing investments</w:t>
            </w:r>
            <w:r w:rsidR="007107CE">
              <w:t xml:space="preserve"> and to firms earning</w:t>
            </w:r>
            <w:r w:rsidRPr="00F72A91">
              <w:t xml:space="preserve"> location-specific economic rents </w:t>
            </w:r>
            <w:r w:rsidR="0002641D">
              <w:t xml:space="preserve">that would invest </w:t>
            </w:r>
            <w:r w:rsidR="00771C27">
              <w:t>regardless</w:t>
            </w:r>
            <w:r w:rsidR="0002641D">
              <w:t xml:space="preserve"> of a</w:t>
            </w:r>
            <w:r w:rsidR="00AB43D9">
              <w:t>ny</w:t>
            </w:r>
            <w:r w:rsidR="0002641D">
              <w:t xml:space="preserve"> cut in </w:t>
            </w:r>
            <w:r w:rsidR="00EA70DF">
              <w:t>the company tax rate</w:t>
            </w:r>
            <w:r w:rsidRPr="00F72A91">
              <w:t>.</w:t>
            </w:r>
          </w:p>
          <w:p w14:paraId="56887447" w14:textId="7F0F194A" w:rsidR="001B3AE0" w:rsidRPr="00F72A91" w:rsidRDefault="001B3AE0" w:rsidP="00597B6B">
            <w:pPr>
              <w:pStyle w:val="ListBullet"/>
            </w:pPr>
            <w:r w:rsidRPr="00F72A91">
              <w:t xml:space="preserve">Unless accompanied by higher taxes at the shareholder level, a reduction in the company tax rate is likely to make the personal income tax system less progressive </w:t>
            </w:r>
            <w:r w:rsidR="007A017B">
              <w:t>and</w:t>
            </w:r>
            <w:r w:rsidRPr="00F72A91">
              <w:t xml:space="preserve"> increas</w:t>
            </w:r>
            <w:r w:rsidR="007A017B">
              <w:t>e</w:t>
            </w:r>
            <w:r w:rsidRPr="00F72A91">
              <w:t xml:space="preserve"> the benefits of sheltering personal income in companies.</w:t>
            </w:r>
          </w:p>
          <w:p w14:paraId="4BE1A78D" w14:textId="77777777" w:rsidR="001B3AE0" w:rsidRPr="00F72A91" w:rsidRDefault="001B3AE0" w:rsidP="00597B6B">
            <w:pPr>
              <w:pStyle w:val="ListBullet"/>
            </w:pPr>
            <w:r w:rsidRPr="00F72A91">
              <w:t>This is likely to reduce the integrity of the personal income tax system.</w:t>
            </w:r>
          </w:p>
        </w:tc>
      </w:tr>
    </w:tbl>
    <w:p w14:paraId="49A188A5" w14:textId="77777777" w:rsidR="001B3AE0" w:rsidRPr="00F72A91" w:rsidRDefault="001B3AE0" w:rsidP="001B3AE0">
      <w:pPr>
        <w:pStyle w:val="Heading2"/>
        <w:rPr>
          <w:rFonts w:eastAsia="Calibri" w:cs="Segoe UI"/>
          <w:sz w:val="16"/>
          <w:szCs w:val="16"/>
          <w:lang w:eastAsia="en-US"/>
        </w:rPr>
      </w:pPr>
      <w:bookmarkStart w:id="37" w:name="_Toc112857415"/>
      <w:r w:rsidRPr="00F72A91">
        <w:rPr>
          <w:rFonts w:eastAsia="Calibri"/>
          <w:lang w:eastAsia="en-US"/>
        </w:rPr>
        <w:t>Introduction</w:t>
      </w:r>
      <w:bookmarkEnd w:id="37"/>
    </w:p>
    <w:p w14:paraId="5503FD0E" w14:textId="0837839B" w:rsidR="001B3AE0" w:rsidRPr="00F72A91" w:rsidRDefault="001B3AE0" w:rsidP="00075D72">
      <w:pPr>
        <w:pStyle w:val="NumberedParagraph"/>
      </w:pPr>
      <w:r w:rsidRPr="00F72A91">
        <w:t xml:space="preserve">Company tax is the major tax on inbound investment in New Zealand and changes to the company </w:t>
      </w:r>
      <w:r w:rsidR="001E6ABE">
        <w:t xml:space="preserve">tax </w:t>
      </w:r>
      <w:r w:rsidRPr="00F72A91">
        <w:t>rate can have a significant effect on costs of capital and EMTRs.</w:t>
      </w:r>
    </w:p>
    <w:p w14:paraId="150FD722" w14:textId="34D1D87A" w:rsidR="001B3AE0" w:rsidRPr="00F72A91" w:rsidRDefault="001B3AE0" w:rsidP="00075D72">
      <w:pPr>
        <w:pStyle w:val="NumberedParagraph"/>
      </w:pPr>
      <w:r w:rsidRPr="00F72A91">
        <w:t>One of the many ways the cost of capital can be lowered in New Zealand is by reducing the company tax rate from the current 28%. This would reduce marginal taxation on inbound investment and potentially attract foreign investment. It might attract some additional firms to set up operations in New Zealand. However, this policy option comes with trade-offs</w:t>
      </w:r>
      <w:r w:rsidR="009C75E4">
        <w:t>,</w:t>
      </w:r>
      <w:r w:rsidRPr="00F72A91">
        <w:t xml:space="preserve"> such as loss of taxation from location-specific economic rents and more scope for personal income to be sheltered in companies. This could reduce the progressivity and integrity of the personal income tax.</w:t>
      </w:r>
    </w:p>
    <w:p w14:paraId="1BBCED0D" w14:textId="77777777" w:rsidR="001B3AE0" w:rsidRPr="00F72A91" w:rsidRDefault="001B3AE0" w:rsidP="001B3AE0">
      <w:pPr>
        <w:pStyle w:val="Heading2"/>
        <w:rPr>
          <w:rFonts w:eastAsia="Calibri" w:cs="Segoe UI"/>
          <w:sz w:val="16"/>
          <w:szCs w:val="16"/>
          <w:lang w:eastAsia="en-US"/>
        </w:rPr>
      </w:pPr>
      <w:bookmarkStart w:id="38" w:name="_Toc112857416"/>
      <w:r w:rsidRPr="00F72A91">
        <w:rPr>
          <w:rFonts w:eastAsia="Calibri"/>
          <w:lang w:eastAsia="en-US"/>
        </w:rPr>
        <w:t>The dual role of company tax</w:t>
      </w:r>
      <w:bookmarkEnd w:id="38"/>
    </w:p>
    <w:p w14:paraId="39DEB9F4" w14:textId="716A8B9F" w:rsidR="001B3AE0" w:rsidRPr="00F72A91" w:rsidRDefault="001B3AE0" w:rsidP="00075D72">
      <w:pPr>
        <w:pStyle w:val="NumberedParagraph"/>
      </w:pPr>
      <w:r w:rsidRPr="00F72A91">
        <w:t>Company tax has two roles. One supports the coherence of personal tax settings and makes sure that higher income earners do</w:t>
      </w:r>
      <w:r w:rsidR="00DF0CBA">
        <w:t xml:space="preserve"> </w:t>
      </w:r>
      <w:r w:rsidRPr="00F72A91">
        <w:t>n</w:t>
      </w:r>
      <w:r w:rsidR="00DF0CBA">
        <w:t>o</w:t>
      </w:r>
      <w:r w:rsidRPr="00F72A91">
        <w:t>t pay very low rates of tax on the income they earn. The second role is to tax income earned by non-resident investors investing into New Zealand, both as foreign direct investment (FDI) by foreign-controlled entities and foreign portfolio investment (FPI) into domestic companies.</w:t>
      </w:r>
    </w:p>
    <w:p w14:paraId="3090A241" w14:textId="15CD566B" w:rsidR="001B3AE0" w:rsidRPr="00F72A91" w:rsidRDefault="001B3AE0" w:rsidP="00075D72">
      <w:pPr>
        <w:pStyle w:val="NumberedParagraph"/>
      </w:pPr>
      <w:r w:rsidRPr="00F72A91">
        <w:lastRenderedPageBreak/>
        <w:t xml:space="preserve">Supporting the coherence of personal income </w:t>
      </w:r>
      <w:r w:rsidR="00E667AE">
        <w:t xml:space="preserve">tax </w:t>
      </w:r>
      <w:r w:rsidRPr="00F72A91">
        <w:t>settings creates a motivation to make the company rate as close to the top personal rate as possible. If the company rate is significantly lower than the top personal rate, there is an incentive for those with high income and wealth to use companies to shelter income from higher rates of personal tax.</w:t>
      </w:r>
    </w:p>
    <w:p w14:paraId="37AD5E92" w14:textId="1F7B41A8" w:rsidR="001B3AE0" w:rsidRPr="00F72A91" w:rsidRDefault="001B3AE0" w:rsidP="00075D72">
      <w:pPr>
        <w:pStyle w:val="NumberedParagraph"/>
      </w:pPr>
      <w:r w:rsidRPr="00F72A91">
        <w:t>However, company tax is also a tax on non-resident investment into New Zealand and high taxes may reduce investment, capital stock and economic performance. Concerns about taxes on marginal inbound investment and the cost of capital may create an opposing motivation to cut the company rate.</w:t>
      </w:r>
    </w:p>
    <w:p w14:paraId="1111E168" w14:textId="11BB38BE" w:rsidR="001B3AE0" w:rsidRPr="00F72A91" w:rsidRDefault="001B3AE0" w:rsidP="00075D72">
      <w:pPr>
        <w:pStyle w:val="NumberedParagraph"/>
      </w:pPr>
      <w:r w:rsidRPr="00F72A91">
        <w:t xml:space="preserve">This dual role was acknowledged in the 2001 McLeod Tax Review, </w:t>
      </w:r>
      <w:r w:rsidR="0061145F">
        <w:t>and this</w:t>
      </w:r>
      <w:r w:rsidRPr="00F72A91">
        <w:t xml:space="preserve"> led to a consideration of cutting the company rate</w:t>
      </w:r>
      <w:r w:rsidR="001266C5">
        <w:t>,</w:t>
      </w:r>
      <w:r w:rsidRPr="00F72A91">
        <w:t xml:space="preserve"> but only to the extent </w:t>
      </w:r>
      <w:r w:rsidR="00292562">
        <w:t>that</w:t>
      </w:r>
      <w:r w:rsidRPr="00F72A91">
        <w:t xml:space="preserve"> i</w:t>
      </w:r>
      <w:r w:rsidR="00292562">
        <w:t>t</w:t>
      </w:r>
      <w:r w:rsidRPr="00F72A91">
        <w:t xml:space="preserve"> applied to non-resident shareholding. This </w:t>
      </w:r>
      <w:r w:rsidR="000554B3">
        <w:t xml:space="preserve">would </w:t>
      </w:r>
      <w:r w:rsidRPr="00F72A91">
        <w:t>mean that companies owned by domestic residents would continue to be taxed closer to the top personal rate.</w:t>
      </w:r>
    </w:p>
    <w:p w14:paraId="76010880" w14:textId="50E06EC3" w:rsidR="001B3AE0" w:rsidRPr="00F72A91" w:rsidRDefault="001B3AE0" w:rsidP="00075D72">
      <w:pPr>
        <w:pStyle w:val="NumberedParagraph"/>
      </w:pPr>
      <w:r w:rsidRPr="00F72A91">
        <w:t>The Review further suggested restric</w:t>
      </w:r>
      <w:r>
        <w:t>t</w:t>
      </w:r>
      <w:r w:rsidRPr="00F72A91">
        <w:t>ing this cut to new activities</w:t>
      </w:r>
      <w:r w:rsidR="00904813">
        <w:t>,</w:t>
      </w:r>
      <w:r w:rsidRPr="00F72A91">
        <w:t xml:space="preserve"> or significant expansions of existing activities</w:t>
      </w:r>
      <w:r w:rsidR="00904813">
        <w:t>,</w:t>
      </w:r>
      <w:r w:rsidRPr="00F72A91">
        <w:t xml:space="preserve"> by non-residents. This would more narrowly target new investment by non-residents, which would avoid providing a significant windfall to those who ha</w:t>
      </w:r>
      <w:r w:rsidR="00E07B80">
        <w:t>d</w:t>
      </w:r>
      <w:r w:rsidRPr="00F72A91">
        <w:t xml:space="preserve"> invested in the past. It would mean that the tax cut </w:t>
      </w:r>
      <w:r w:rsidR="0031779D">
        <w:t>was</w:t>
      </w:r>
      <w:r w:rsidRPr="00F72A91">
        <w:t xml:space="preserve"> focused where investment responses </w:t>
      </w:r>
      <w:r w:rsidR="000340AF">
        <w:t>we</w:t>
      </w:r>
      <w:r w:rsidRPr="00F72A91">
        <w:t>re likely to be sensitive to tax.</w:t>
      </w:r>
    </w:p>
    <w:p w14:paraId="20B01FC5" w14:textId="048ED62C" w:rsidR="001B3AE0" w:rsidRPr="00F72A91" w:rsidRDefault="001B3AE0" w:rsidP="00075D72">
      <w:pPr>
        <w:pStyle w:val="NumberedParagraph"/>
      </w:pPr>
      <w:r w:rsidRPr="00F72A91">
        <w:t xml:space="preserve">The McLeod Review suggestion was a logical and more targeted response to cost of capital concerns </w:t>
      </w:r>
      <w:r w:rsidR="000340AF">
        <w:t>that</w:t>
      </w:r>
      <w:r w:rsidRPr="00F72A91">
        <w:t xml:space="preserve"> </w:t>
      </w:r>
      <w:proofErr w:type="gramStart"/>
      <w:r w:rsidRPr="00F72A91">
        <w:t>takes into account</w:t>
      </w:r>
      <w:proofErr w:type="gramEnd"/>
      <w:r w:rsidRPr="00F72A91">
        <w:t xml:space="preserve"> the dual nature of company tax. In practice, we suspect it may be difficult to limit a company tax cut to new investment only. It could seem unfair to firms replacing their capital stock if existing firms face a different tax rate from new firms.</w:t>
      </w:r>
      <w:r w:rsidRPr="00F72A91">
        <w:rPr>
          <w:rFonts w:cs="Calibri"/>
          <w:vertAlign w:val="superscript"/>
        </w:rPr>
        <w:footnoteReference w:id="43"/>
      </w:r>
      <w:r w:rsidRPr="00F72A91">
        <w:t xml:space="preserve"> Having a lower tax on foreign-owned firms is not common internationally</w:t>
      </w:r>
      <w:r w:rsidR="006648E0">
        <w:t>,</w:t>
      </w:r>
      <w:r w:rsidRPr="00F72A91">
        <w:t xml:space="preserve"> and its economic justification is likely to be difficult to explain to domestic businesses who think they also should benefit from a company </w:t>
      </w:r>
      <w:r w:rsidR="0086260C">
        <w:t xml:space="preserve">tax </w:t>
      </w:r>
      <w:r w:rsidRPr="00F72A91">
        <w:t>rate cut.</w:t>
      </w:r>
    </w:p>
    <w:p w14:paraId="1FBF996B" w14:textId="27E9B6D3" w:rsidR="001B3AE0" w:rsidRPr="00F72A91" w:rsidRDefault="001B3AE0" w:rsidP="00075D72">
      <w:pPr>
        <w:pStyle w:val="NumberedParagraph"/>
      </w:pPr>
      <w:r w:rsidRPr="00F72A91">
        <w:t xml:space="preserve">In this chapter, we focus on the implications of a general cut to the company </w:t>
      </w:r>
      <w:r w:rsidR="009B43B9">
        <w:t xml:space="preserve">tax </w:t>
      </w:r>
      <w:r w:rsidRPr="00F72A91">
        <w:t>rate for both New Zealand residents and non-residents. There are other more targeted options</w:t>
      </w:r>
      <w:r w:rsidR="007A27E8">
        <w:t>,</w:t>
      </w:r>
      <w:r w:rsidRPr="00F72A91">
        <w:t xml:space="preserve"> such as the McLeod Review suggestion</w:t>
      </w:r>
      <w:r w:rsidR="007A27E8">
        <w:t>,</w:t>
      </w:r>
      <w:r w:rsidRPr="00F72A91">
        <w:t xml:space="preserve"> that could also be considered</w:t>
      </w:r>
      <w:r w:rsidR="000524FB">
        <w:t xml:space="preserve"> in the future</w:t>
      </w:r>
      <w:r w:rsidR="00EC5AD4">
        <w:t xml:space="preserve">. These </w:t>
      </w:r>
      <w:r w:rsidRPr="00F72A91">
        <w:t>could reduce some of the downsides of the company tax rate cut that we consider.</w:t>
      </w:r>
    </w:p>
    <w:p w14:paraId="146D50FA" w14:textId="77777777" w:rsidR="001B3AE0" w:rsidRPr="00F72A91" w:rsidRDefault="001B3AE0" w:rsidP="001B3AE0">
      <w:pPr>
        <w:pStyle w:val="Heading2"/>
        <w:rPr>
          <w:rFonts w:eastAsia="Calibri"/>
          <w:lang w:eastAsia="en-US"/>
        </w:rPr>
      </w:pPr>
      <w:bookmarkStart w:id="39" w:name="_Toc112857417"/>
      <w:r w:rsidRPr="00F72A91">
        <w:rPr>
          <w:rFonts w:eastAsia="Calibri"/>
          <w:lang w:eastAsia="en-US"/>
        </w:rPr>
        <w:t>Impact on costs of capital and EMTRs</w:t>
      </w:r>
      <w:bookmarkEnd w:id="39"/>
    </w:p>
    <w:p w14:paraId="40C835A7" w14:textId="77777777" w:rsidR="001B3AE0" w:rsidRPr="00F72A91" w:rsidRDefault="001B3AE0" w:rsidP="00075D72">
      <w:pPr>
        <w:pStyle w:val="NumberedParagraph"/>
      </w:pPr>
      <w:r w:rsidRPr="00F72A91">
        <w:t>In chapter 4 we discussed how inflation and the mismeasurement of income could affect costs of capital and EMTRs.</w:t>
      </w:r>
    </w:p>
    <w:p w14:paraId="5BBF0F4C" w14:textId="74AF0F83" w:rsidR="001B3AE0" w:rsidRPr="00F72A91" w:rsidRDefault="001B3AE0" w:rsidP="00075D72">
      <w:pPr>
        <w:pStyle w:val="NumberedParagraph"/>
      </w:pPr>
      <w:r w:rsidRPr="00F72A91">
        <w:t xml:space="preserve">Costs of capital and EMTRs are estimated in table </w:t>
      </w:r>
      <w:r>
        <w:t>6.1</w:t>
      </w:r>
      <w:r w:rsidRPr="00F72A91">
        <w:t xml:space="preserve"> for a domestic company with marginal </w:t>
      </w:r>
      <w:r w:rsidR="00082198">
        <w:t>foreign portfolio</w:t>
      </w:r>
      <w:r w:rsidRPr="00F72A91">
        <w:t xml:space="preserve"> shareholders</w:t>
      </w:r>
      <w:r w:rsidR="00760852">
        <w:t>,</w:t>
      </w:r>
      <w:r w:rsidRPr="00F72A91">
        <w:t xml:space="preserve"> assuming a world real interest rate of 3% and 2% per annum inflation in New Zealand. </w:t>
      </w:r>
      <w:r w:rsidR="00275144">
        <w:t>As in the OECD analysis, w</w:t>
      </w:r>
      <w:r w:rsidRPr="00F72A91">
        <w:t xml:space="preserve">e </w:t>
      </w:r>
      <w:r w:rsidR="00275144">
        <w:t xml:space="preserve">also </w:t>
      </w:r>
      <w:r w:rsidRPr="00F72A91">
        <w:t>assume that foreign shareholders demand a real return of 3% on their funds net of any domestic taxes. Because of the approved issuer levy (AIL)</w:t>
      </w:r>
      <w:r w:rsidR="008C0955">
        <w:t>,</w:t>
      </w:r>
      <w:r w:rsidRPr="00F72A91">
        <w:t xml:space="preserve"> the domestic real interest rate is bid up to 3.10%. We assume that firms are 43% debt financed and the depreciation deductions are set to mirror how assets would depreciate in the absence of inflation for plant, </w:t>
      </w:r>
      <w:proofErr w:type="gramStart"/>
      <w:r w:rsidRPr="00F72A91">
        <w:t>machinery</w:t>
      </w:r>
      <w:proofErr w:type="gramEnd"/>
      <w:r w:rsidRPr="00F72A91">
        <w:t xml:space="preserve"> and equipment (PME).</w:t>
      </w:r>
    </w:p>
    <w:p w14:paraId="4BBAC953" w14:textId="10C9C2B7" w:rsidR="001B3AE0" w:rsidRPr="00F72A91" w:rsidRDefault="001B3AE0" w:rsidP="00075D72">
      <w:pPr>
        <w:pStyle w:val="NumberedParagraph"/>
      </w:pPr>
      <w:r w:rsidRPr="00F72A91">
        <w:lastRenderedPageBreak/>
        <w:t>We examine three possible company tax rates: 28</w:t>
      </w:r>
      <w:r w:rsidR="00D91B47">
        <w:t>%</w:t>
      </w:r>
      <w:r w:rsidRPr="00F72A91">
        <w:t>, 24</w:t>
      </w:r>
      <w:r w:rsidR="00D91B47">
        <w:t>%</w:t>
      </w:r>
      <w:r w:rsidRPr="00F72A91">
        <w:t xml:space="preserve"> and 20</w:t>
      </w:r>
      <w:r w:rsidR="00D91B47">
        <w:t>%</w:t>
      </w:r>
      <w:r w:rsidRPr="00F72A91">
        <w:t>.</w:t>
      </w:r>
    </w:p>
    <w:p w14:paraId="5094318F" w14:textId="20AAFD2A" w:rsidR="009D6B5E" w:rsidRPr="00F12638" w:rsidRDefault="001B3AE0" w:rsidP="00AD115C">
      <w:pPr>
        <w:pStyle w:val="Caption"/>
        <w:keepLines/>
        <w:ind w:left="-426" w:right="-426"/>
        <w:rPr>
          <w:rFonts w:eastAsia="Calibri"/>
          <w:bCs/>
        </w:rPr>
      </w:pPr>
      <w:r w:rsidRPr="00A24665">
        <w:rPr>
          <w:rFonts w:eastAsia="Calibri"/>
        </w:rPr>
        <w:t>Tabl</w:t>
      </w:r>
      <w:r w:rsidRPr="0006740C">
        <w:rPr>
          <w:rFonts w:eastAsia="Calibri"/>
        </w:rPr>
        <w:t xml:space="preserve">e </w:t>
      </w:r>
      <w:r w:rsidRPr="0059107C">
        <w:rPr>
          <w:rFonts w:eastAsia="Calibri"/>
        </w:rPr>
        <w:t>6.1</w:t>
      </w:r>
      <w:r w:rsidRPr="00A24665">
        <w:rPr>
          <w:rFonts w:eastAsia="Calibri"/>
        </w:rPr>
        <w:t>: Costs</w:t>
      </w:r>
      <w:r>
        <w:rPr>
          <w:rFonts w:eastAsia="Calibri"/>
        </w:rPr>
        <w:t xml:space="preserve"> of capital and EMTRs, </w:t>
      </w:r>
      <w:r w:rsidR="003C097E">
        <w:rPr>
          <w:rFonts w:eastAsia="Calibri"/>
        </w:rPr>
        <w:t xml:space="preserve">domestic </w:t>
      </w:r>
      <w:r>
        <w:rPr>
          <w:rFonts w:eastAsia="Calibri"/>
        </w:rPr>
        <w:t>companies</w:t>
      </w:r>
      <w:r w:rsidR="003C097E">
        <w:rPr>
          <w:rFonts w:eastAsia="Calibri"/>
        </w:rPr>
        <w:t xml:space="preserve"> with marginal foreign portfolio shareholders</w:t>
      </w:r>
      <w:r>
        <w:rPr>
          <w:rFonts w:eastAsia="Calibri"/>
        </w:rPr>
        <w:t>, debt</w:t>
      </w:r>
      <w:r w:rsidRPr="007D3388">
        <w:rPr>
          <w:rFonts w:eastAsia="Calibri"/>
        </w:rPr>
        <w:t xml:space="preserve"> = 43%, r</w:t>
      </w:r>
      <w:r w:rsidR="00A056C1">
        <w:rPr>
          <w:rFonts w:eastAsia="Calibri"/>
        </w:rPr>
        <w:t>*</w:t>
      </w:r>
      <w:r w:rsidRPr="007D3388">
        <w:rPr>
          <w:rFonts w:eastAsia="Calibri"/>
        </w:rPr>
        <w:t xml:space="preserve"> = 3%,inflation = 2%, AIL</w:t>
      </w:r>
      <w:r w:rsidR="00573A4C">
        <w:rPr>
          <w:rFonts w:eastAsia="Calibri"/>
        </w:rPr>
        <w:t xml:space="preserve"> = 2%</w:t>
      </w:r>
      <w:r w:rsidR="00AD115C">
        <w:rPr>
          <w:rFonts w:eastAsia="Calibri"/>
        </w:rPr>
        <w:br/>
      </w:r>
      <w:r w:rsidR="009D6B5E">
        <w:rPr>
          <w:rFonts w:eastAsia="Calibri"/>
          <w:bCs/>
        </w:rPr>
        <w:t>Company tax rate options</w:t>
      </w:r>
    </w:p>
    <w:tbl>
      <w:tblPr>
        <w:tblStyle w:val="TableGrid"/>
        <w:tblW w:w="9781" w:type="dxa"/>
        <w:tblInd w:w="-5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8" w:type="dxa"/>
          <w:right w:w="28" w:type="dxa"/>
        </w:tblCellMar>
        <w:tblLook w:val="04A0" w:firstRow="1" w:lastRow="0" w:firstColumn="1" w:lastColumn="0" w:noHBand="0" w:noVBand="1"/>
      </w:tblPr>
      <w:tblGrid>
        <w:gridCol w:w="1347"/>
        <w:gridCol w:w="992"/>
        <w:gridCol w:w="737"/>
        <w:gridCol w:w="681"/>
        <w:gridCol w:w="651"/>
        <w:gridCol w:w="666"/>
        <w:gridCol w:w="667"/>
        <w:gridCol w:w="1134"/>
        <w:gridCol w:w="851"/>
        <w:gridCol w:w="1134"/>
        <w:gridCol w:w="921"/>
      </w:tblGrid>
      <w:tr w:rsidR="005D47F0" w:rsidRPr="008F735E" w14:paraId="76E8FFC5" w14:textId="77777777" w:rsidTr="00740A34">
        <w:trPr>
          <w:tblHeader/>
        </w:trPr>
        <w:tc>
          <w:tcPr>
            <w:tcW w:w="1347" w:type="dxa"/>
            <w:shd w:val="clear" w:color="auto" w:fill="232E36"/>
          </w:tcPr>
          <w:p w14:paraId="4C019C48" w14:textId="77777777" w:rsidR="001047AD" w:rsidRPr="008F735E" w:rsidRDefault="001047AD" w:rsidP="00345DEF">
            <w:pPr>
              <w:keepNext/>
              <w:keepLines/>
              <w:spacing w:before="120" w:after="120"/>
              <w:rPr>
                <w:color w:val="FFFFFF" w:themeColor="background1"/>
                <w:sz w:val="14"/>
                <w:szCs w:val="14"/>
              </w:rPr>
            </w:pPr>
          </w:p>
        </w:tc>
        <w:tc>
          <w:tcPr>
            <w:tcW w:w="992" w:type="dxa"/>
            <w:shd w:val="clear" w:color="auto" w:fill="232E36"/>
          </w:tcPr>
          <w:p w14:paraId="74D555EA" w14:textId="77777777" w:rsidR="001047AD" w:rsidRPr="008F735E" w:rsidRDefault="001047AD"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Commercial and industrial buildings</w:t>
            </w:r>
          </w:p>
        </w:tc>
        <w:tc>
          <w:tcPr>
            <w:tcW w:w="3402" w:type="dxa"/>
            <w:gridSpan w:val="5"/>
            <w:shd w:val="clear" w:color="auto" w:fill="232E36"/>
          </w:tcPr>
          <w:p w14:paraId="374DDC8F" w14:textId="77777777" w:rsidR="001047AD" w:rsidRPr="008F735E" w:rsidRDefault="001047AD"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 xml:space="preserve">Plant, </w:t>
            </w:r>
            <w:proofErr w:type="gramStart"/>
            <w:r w:rsidRPr="008F735E">
              <w:rPr>
                <w:b/>
                <w:bCs/>
                <w:color w:val="FFFFFF" w:themeColor="background1"/>
                <w:sz w:val="14"/>
                <w:szCs w:val="14"/>
              </w:rPr>
              <w:t>machinery</w:t>
            </w:r>
            <w:proofErr w:type="gramEnd"/>
            <w:r w:rsidRPr="008F735E">
              <w:rPr>
                <w:b/>
                <w:bCs/>
                <w:color w:val="FFFFFF" w:themeColor="background1"/>
                <w:sz w:val="14"/>
                <w:szCs w:val="14"/>
              </w:rPr>
              <w:t xml:space="preserve"> and equipment</w:t>
            </w:r>
          </w:p>
        </w:tc>
        <w:tc>
          <w:tcPr>
            <w:tcW w:w="1134" w:type="dxa"/>
            <w:shd w:val="clear" w:color="auto" w:fill="232E36"/>
          </w:tcPr>
          <w:p w14:paraId="411318D0" w14:textId="77777777" w:rsidR="001047AD" w:rsidRPr="008F735E" w:rsidRDefault="001047AD"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Zero</w:t>
            </w:r>
            <w:r>
              <w:rPr>
                <w:b/>
                <w:bCs/>
                <w:color w:val="FFFFFF" w:themeColor="background1"/>
                <w:sz w:val="14"/>
                <w:szCs w:val="14"/>
              </w:rPr>
              <w:t>-</w:t>
            </w:r>
            <w:r w:rsidRPr="008F735E">
              <w:rPr>
                <w:b/>
                <w:bCs/>
                <w:color w:val="FFFFFF" w:themeColor="background1"/>
                <w:sz w:val="14"/>
                <w:szCs w:val="14"/>
              </w:rPr>
              <w:t>depreciating assets</w:t>
            </w:r>
          </w:p>
        </w:tc>
        <w:tc>
          <w:tcPr>
            <w:tcW w:w="851" w:type="dxa"/>
            <w:shd w:val="clear" w:color="auto" w:fill="232E36"/>
          </w:tcPr>
          <w:p w14:paraId="14ABCC9D" w14:textId="77777777" w:rsidR="001047AD" w:rsidRPr="008F735E" w:rsidRDefault="001047AD"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Inventory</w:t>
            </w:r>
          </w:p>
        </w:tc>
        <w:tc>
          <w:tcPr>
            <w:tcW w:w="1134" w:type="dxa"/>
            <w:shd w:val="clear" w:color="auto" w:fill="232E36"/>
          </w:tcPr>
          <w:p w14:paraId="1DD56FD7" w14:textId="77777777" w:rsidR="001047AD" w:rsidRPr="008F735E" w:rsidRDefault="001047AD"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Appreciating assets</w:t>
            </w:r>
          </w:p>
        </w:tc>
        <w:tc>
          <w:tcPr>
            <w:tcW w:w="921" w:type="dxa"/>
            <w:shd w:val="clear" w:color="auto" w:fill="232E36"/>
          </w:tcPr>
          <w:p w14:paraId="2030458D" w14:textId="77777777" w:rsidR="001047AD" w:rsidRPr="008F735E" w:rsidRDefault="001047AD"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Expensing</w:t>
            </w:r>
          </w:p>
        </w:tc>
      </w:tr>
      <w:tr w:rsidR="001047AD" w:rsidRPr="008F735E" w14:paraId="240B3619" w14:textId="77777777" w:rsidTr="00740A34">
        <w:tc>
          <w:tcPr>
            <w:tcW w:w="1347" w:type="dxa"/>
            <w:shd w:val="clear" w:color="auto" w:fill="auto"/>
            <w:vAlign w:val="bottom"/>
          </w:tcPr>
          <w:p w14:paraId="63A928B1" w14:textId="77777777" w:rsidR="001047AD" w:rsidRPr="00CF778C" w:rsidRDefault="001047AD" w:rsidP="00345DEF">
            <w:pPr>
              <w:keepNext/>
              <w:keepLines/>
              <w:tabs>
                <w:tab w:val="left" w:pos="106"/>
              </w:tabs>
              <w:spacing w:before="60" w:after="60"/>
              <w:rPr>
                <w:rStyle w:val="Strong"/>
                <w:b w:val="0"/>
                <w:bCs w:val="0"/>
                <w:sz w:val="14"/>
                <w:szCs w:val="14"/>
              </w:rPr>
            </w:pPr>
            <w:r>
              <w:rPr>
                <w:rStyle w:val="Strong"/>
                <w:sz w:val="14"/>
                <w:szCs w:val="14"/>
              </w:rPr>
              <w:t>d</w:t>
            </w:r>
          </w:p>
        </w:tc>
        <w:tc>
          <w:tcPr>
            <w:tcW w:w="992" w:type="dxa"/>
            <w:vAlign w:val="center"/>
          </w:tcPr>
          <w:p w14:paraId="6B8AFF84" w14:textId="77777777" w:rsidR="001047AD" w:rsidRPr="008F735E" w:rsidRDefault="001047AD" w:rsidP="00345DEF">
            <w:pPr>
              <w:keepNext/>
              <w:keepLines/>
              <w:tabs>
                <w:tab w:val="decimal" w:pos="256"/>
              </w:tabs>
              <w:spacing w:before="60" w:after="60"/>
              <w:jc w:val="center"/>
              <w:rPr>
                <w:sz w:val="14"/>
                <w:szCs w:val="14"/>
              </w:rPr>
            </w:pPr>
            <w:r w:rsidRPr="008F735E">
              <w:rPr>
                <w:sz w:val="14"/>
                <w:szCs w:val="14"/>
              </w:rPr>
              <w:t>2.69%</w:t>
            </w:r>
          </w:p>
        </w:tc>
        <w:tc>
          <w:tcPr>
            <w:tcW w:w="737" w:type="dxa"/>
            <w:vAlign w:val="center"/>
          </w:tcPr>
          <w:p w14:paraId="4E795666" w14:textId="77777777" w:rsidR="001047AD" w:rsidRPr="008F735E" w:rsidRDefault="001047AD" w:rsidP="00345DEF">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1FF4732E" w14:textId="77777777" w:rsidR="001047AD" w:rsidRPr="008F735E" w:rsidRDefault="001047AD" w:rsidP="00345DEF">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7FF3634E" w14:textId="77777777" w:rsidR="001047AD" w:rsidRPr="008F735E" w:rsidRDefault="001047AD" w:rsidP="00345DEF">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37359EFF" w14:textId="77777777" w:rsidR="001047AD" w:rsidRPr="008F735E" w:rsidRDefault="001047AD" w:rsidP="00345DEF">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1F2179A0" w14:textId="77777777" w:rsidR="001047AD" w:rsidRPr="008F735E" w:rsidRDefault="001047AD" w:rsidP="00345DEF">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6243B28F" w14:textId="77777777" w:rsidR="001047AD" w:rsidRPr="008F735E" w:rsidRDefault="001047AD" w:rsidP="00345DEF">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5A260412" w14:textId="77777777" w:rsidR="001047AD" w:rsidRPr="008F735E" w:rsidRDefault="001047AD" w:rsidP="00345DEF">
            <w:pPr>
              <w:keepNext/>
              <w:keepLines/>
              <w:tabs>
                <w:tab w:val="decimal" w:pos="256"/>
              </w:tabs>
              <w:spacing w:before="60" w:after="60"/>
              <w:jc w:val="center"/>
              <w:rPr>
                <w:sz w:val="14"/>
                <w:szCs w:val="14"/>
              </w:rPr>
            </w:pPr>
          </w:p>
        </w:tc>
        <w:tc>
          <w:tcPr>
            <w:tcW w:w="1134" w:type="dxa"/>
            <w:vAlign w:val="center"/>
          </w:tcPr>
          <w:p w14:paraId="7F77047F" w14:textId="77777777" w:rsidR="001047AD" w:rsidRPr="008F735E" w:rsidRDefault="001047AD" w:rsidP="00345DEF">
            <w:pPr>
              <w:keepNext/>
              <w:keepLines/>
              <w:tabs>
                <w:tab w:val="decimal" w:pos="256"/>
              </w:tabs>
              <w:spacing w:before="60" w:after="60"/>
              <w:jc w:val="center"/>
              <w:rPr>
                <w:sz w:val="14"/>
                <w:szCs w:val="14"/>
              </w:rPr>
            </w:pPr>
            <w:r w:rsidRPr="008F735E">
              <w:rPr>
                <w:sz w:val="14"/>
                <w:szCs w:val="14"/>
              </w:rPr>
              <w:t>-1.00%</w:t>
            </w:r>
          </w:p>
        </w:tc>
        <w:tc>
          <w:tcPr>
            <w:tcW w:w="921" w:type="dxa"/>
            <w:vAlign w:val="center"/>
          </w:tcPr>
          <w:p w14:paraId="13F473CD" w14:textId="77777777" w:rsidR="001047AD" w:rsidRPr="008F735E" w:rsidRDefault="001047AD" w:rsidP="00345DEF">
            <w:pPr>
              <w:keepNext/>
              <w:keepLines/>
              <w:tabs>
                <w:tab w:val="decimal" w:pos="256"/>
              </w:tabs>
              <w:spacing w:before="60" w:after="60"/>
              <w:jc w:val="center"/>
              <w:rPr>
                <w:sz w:val="14"/>
                <w:szCs w:val="14"/>
              </w:rPr>
            </w:pPr>
          </w:p>
        </w:tc>
      </w:tr>
      <w:tr w:rsidR="001047AD" w:rsidRPr="008F735E" w14:paraId="30661DCD" w14:textId="77777777" w:rsidTr="00740A34">
        <w:tc>
          <w:tcPr>
            <w:tcW w:w="1347" w:type="dxa"/>
            <w:shd w:val="clear" w:color="auto" w:fill="auto"/>
            <w:vAlign w:val="bottom"/>
          </w:tcPr>
          <w:p w14:paraId="5D272084" w14:textId="77777777" w:rsidR="001047AD" w:rsidRPr="00CF778C" w:rsidRDefault="001047AD" w:rsidP="00345DEF">
            <w:pPr>
              <w:keepNext/>
              <w:keepLines/>
              <w:tabs>
                <w:tab w:val="left" w:pos="106"/>
              </w:tabs>
              <w:spacing w:before="60" w:after="60"/>
              <w:rPr>
                <w:rStyle w:val="Strong"/>
                <w:b w:val="0"/>
                <w:bCs w:val="0"/>
                <w:sz w:val="14"/>
                <w:szCs w:val="14"/>
              </w:rPr>
            </w:pPr>
            <w:r>
              <w:rPr>
                <w:rStyle w:val="Strong"/>
                <w:sz w:val="14"/>
                <w:szCs w:val="14"/>
              </w:rPr>
              <w:t>d*</w:t>
            </w:r>
          </w:p>
        </w:tc>
        <w:tc>
          <w:tcPr>
            <w:tcW w:w="992" w:type="dxa"/>
            <w:vAlign w:val="center"/>
          </w:tcPr>
          <w:p w14:paraId="41175413" w14:textId="77777777" w:rsidR="001047AD" w:rsidRPr="008F735E" w:rsidRDefault="001047AD" w:rsidP="00345DEF">
            <w:pPr>
              <w:keepNext/>
              <w:keepLines/>
              <w:tabs>
                <w:tab w:val="decimal" w:pos="256"/>
              </w:tabs>
              <w:spacing w:before="60" w:after="60"/>
              <w:jc w:val="center"/>
              <w:rPr>
                <w:sz w:val="14"/>
                <w:szCs w:val="14"/>
              </w:rPr>
            </w:pPr>
            <w:r w:rsidRPr="008F735E">
              <w:rPr>
                <w:sz w:val="14"/>
                <w:szCs w:val="14"/>
              </w:rPr>
              <w:t>2.00%</w:t>
            </w:r>
          </w:p>
        </w:tc>
        <w:tc>
          <w:tcPr>
            <w:tcW w:w="737" w:type="dxa"/>
            <w:vAlign w:val="center"/>
          </w:tcPr>
          <w:p w14:paraId="37013ADD" w14:textId="77777777" w:rsidR="001047AD" w:rsidRPr="008F735E" w:rsidRDefault="001047AD" w:rsidP="00345DEF">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453C0195" w14:textId="77777777" w:rsidR="001047AD" w:rsidRPr="008F735E" w:rsidRDefault="001047AD" w:rsidP="00345DEF">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2A158E0B" w14:textId="77777777" w:rsidR="001047AD" w:rsidRPr="008F735E" w:rsidRDefault="001047AD" w:rsidP="00345DEF">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17F6F877" w14:textId="77777777" w:rsidR="001047AD" w:rsidRPr="008F735E" w:rsidRDefault="001047AD" w:rsidP="00345DEF">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78A6B71B" w14:textId="77777777" w:rsidR="001047AD" w:rsidRPr="008F735E" w:rsidRDefault="001047AD" w:rsidP="00345DEF">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2ECB8AC2" w14:textId="77777777" w:rsidR="001047AD" w:rsidRPr="008F735E" w:rsidRDefault="001047AD" w:rsidP="00345DEF">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5197095F" w14:textId="77777777" w:rsidR="001047AD" w:rsidRPr="008F735E" w:rsidRDefault="001047AD" w:rsidP="00345DEF">
            <w:pPr>
              <w:keepNext/>
              <w:keepLines/>
              <w:tabs>
                <w:tab w:val="decimal" w:pos="256"/>
              </w:tabs>
              <w:spacing w:before="60" w:after="60"/>
              <w:jc w:val="center"/>
              <w:rPr>
                <w:sz w:val="14"/>
                <w:szCs w:val="14"/>
              </w:rPr>
            </w:pPr>
          </w:p>
        </w:tc>
        <w:tc>
          <w:tcPr>
            <w:tcW w:w="1134" w:type="dxa"/>
            <w:vAlign w:val="center"/>
          </w:tcPr>
          <w:p w14:paraId="2A4F53A3" w14:textId="77777777" w:rsidR="001047AD" w:rsidRPr="008F735E" w:rsidRDefault="001047AD" w:rsidP="00345DEF">
            <w:pPr>
              <w:keepNext/>
              <w:keepLines/>
              <w:tabs>
                <w:tab w:val="decimal" w:pos="256"/>
              </w:tabs>
              <w:spacing w:before="60" w:after="60"/>
              <w:jc w:val="center"/>
              <w:rPr>
                <w:sz w:val="14"/>
                <w:szCs w:val="14"/>
              </w:rPr>
            </w:pPr>
            <w:r w:rsidRPr="008F735E">
              <w:rPr>
                <w:sz w:val="14"/>
                <w:szCs w:val="14"/>
              </w:rPr>
              <w:t>0.00%</w:t>
            </w:r>
          </w:p>
        </w:tc>
        <w:tc>
          <w:tcPr>
            <w:tcW w:w="921" w:type="dxa"/>
            <w:vAlign w:val="center"/>
          </w:tcPr>
          <w:p w14:paraId="40484AB0" w14:textId="77777777" w:rsidR="001047AD" w:rsidRPr="008F735E" w:rsidRDefault="001047AD" w:rsidP="00345DEF">
            <w:pPr>
              <w:keepNext/>
              <w:keepLines/>
              <w:tabs>
                <w:tab w:val="decimal" w:pos="256"/>
              </w:tabs>
              <w:spacing w:before="60" w:after="60"/>
              <w:jc w:val="center"/>
              <w:rPr>
                <w:sz w:val="14"/>
                <w:szCs w:val="14"/>
              </w:rPr>
            </w:pPr>
          </w:p>
        </w:tc>
      </w:tr>
      <w:tr w:rsidR="001047AD" w:rsidRPr="008F735E" w14:paraId="1E516BE5" w14:textId="77777777" w:rsidTr="00740A34">
        <w:tc>
          <w:tcPr>
            <w:tcW w:w="1347" w:type="dxa"/>
            <w:shd w:val="clear" w:color="auto" w:fill="auto"/>
            <w:vAlign w:val="bottom"/>
          </w:tcPr>
          <w:p w14:paraId="58920F79" w14:textId="77777777" w:rsidR="001047AD" w:rsidRPr="008F735E" w:rsidRDefault="001047AD" w:rsidP="00345DEF">
            <w:pPr>
              <w:keepNext/>
              <w:keepLines/>
              <w:tabs>
                <w:tab w:val="left" w:pos="106"/>
              </w:tabs>
              <w:spacing w:before="60" w:after="60"/>
              <w:rPr>
                <w:b/>
                <w:bCs/>
                <w:sz w:val="14"/>
                <w:szCs w:val="14"/>
              </w:rPr>
            </w:pPr>
            <w:r w:rsidRPr="008F735E">
              <w:rPr>
                <w:b/>
                <w:bCs/>
                <w:sz w:val="14"/>
                <w:szCs w:val="14"/>
              </w:rPr>
              <w:t>Costs of capital</w:t>
            </w:r>
          </w:p>
        </w:tc>
        <w:tc>
          <w:tcPr>
            <w:tcW w:w="992" w:type="dxa"/>
            <w:vAlign w:val="center"/>
          </w:tcPr>
          <w:p w14:paraId="7668722A" w14:textId="77777777" w:rsidR="001047AD" w:rsidRPr="008F735E" w:rsidRDefault="001047AD" w:rsidP="00345DEF">
            <w:pPr>
              <w:keepNext/>
              <w:keepLines/>
              <w:tabs>
                <w:tab w:val="decimal" w:pos="256"/>
              </w:tabs>
              <w:spacing w:before="60" w:after="60"/>
              <w:jc w:val="center"/>
              <w:rPr>
                <w:sz w:val="14"/>
                <w:szCs w:val="14"/>
              </w:rPr>
            </w:pPr>
          </w:p>
        </w:tc>
        <w:tc>
          <w:tcPr>
            <w:tcW w:w="737" w:type="dxa"/>
            <w:vAlign w:val="center"/>
          </w:tcPr>
          <w:p w14:paraId="1FF0B3F7" w14:textId="77777777" w:rsidR="001047AD" w:rsidRPr="008F735E" w:rsidRDefault="001047AD" w:rsidP="00345DEF">
            <w:pPr>
              <w:keepNext/>
              <w:keepLines/>
              <w:tabs>
                <w:tab w:val="decimal" w:pos="256"/>
              </w:tabs>
              <w:spacing w:before="60" w:after="60"/>
              <w:jc w:val="center"/>
              <w:rPr>
                <w:sz w:val="14"/>
                <w:szCs w:val="14"/>
              </w:rPr>
            </w:pPr>
          </w:p>
        </w:tc>
        <w:tc>
          <w:tcPr>
            <w:tcW w:w="681" w:type="dxa"/>
            <w:vAlign w:val="center"/>
          </w:tcPr>
          <w:p w14:paraId="7034C433" w14:textId="77777777" w:rsidR="001047AD" w:rsidRPr="008F735E" w:rsidRDefault="001047AD" w:rsidP="00345DEF">
            <w:pPr>
              <w:keepNext/>
              <w:keepLines/>
              <w:tabs>
                <w:tab w:val="decimal" w:pos="256"/>
              </w:tabs>
              <w:spacing w:before="60" w:after="60"/>
              <w:jc w:val="center"/>
              <w:rPr>
                <w:sz w:val="14"/>
                <w:szCs w:val="14"/>
              </w:rPr>
            </w:pPr>
          </w:p>
        </w:tc>
        <w:tc>
          <w:tcPr>
            <w:tcW w:w="651" w:type="dxa"/>
            <w:vAlign w:val="center"/>
          </w:tcPr>
          <w:p w14:paraId="3357BE95" w14:textId="77777777" w:rsidR="001047AD" w:rsidRPr="008F735E" w:rsidRDefault="001047AD" w:rsidP="00345DEF">
            <w:pPr>
              <w:keepNext/>
              <w:keepLines/>
              <w:tabs>
                <w:tab w:val="decimal" w:pos="256"/>
              </w:tabs>
              <w:spacing w:before="60" w:after="60"/>
              <w:jc w:val="center"/>
              <w:rPr>
                <w:sz w:val="14"/>
                <w:szCs w:val="14"/>
              </w:rPr>
            </w:pPr>
          </w:p>
        </w:tc>
        <w:tc>
          <w:tcPr>
            <w:tcW w:w="666" w:type="dxa"/>
            <w:vAlign w:val="center"/>
          </w:tcPr>
          <w:p w14:paraId="48371CE4" w14:textId="77777777" w:rsidR="001047AD" w:rsidRPr="008F735E" w:rsidRDefault="001047AD" w:rsidP="00345DEF">
            <w:pPr>
              <w:keepNext/>
              <w:keepLines/>
              <w:tabs>
                <w:tab w:val="decimal" w:pos="256"/>
              </w:tabs>
              <w:spacing w:before="60" w:after="60"/>
              <w:jc w:val="center"/>
              <w:rPr>
                <w:sz w:val="14"/>
                <w:szCs w:val="14"/>
              </w:rPr>
            </w:pPr>
          </w:p>
        </w:tc>
        <w:tc>
          <w:tcPr>
            <w:tcW w:w="667" w:type="dxa"/>
            <w:vAlign w:val="center"/>
          </w:tcPr>
          <w:p w14:paraId="055C2A9A" w14:textId="77777777" w:rsidR="001047AD" w:rsidRPr="008F735E" w:rsidRDefault="001047AD" w:rsidP="00345DEF">
            <w:pPr>
              <w:keepNext/>
              <w:keepLines/>
              <w:tabs>
                <w:tab w:val="decimal" w:pos="256"/>
              </w:tabs>
              <w:spacing w:before="60" w:after="60"/>
              <w:jc w:val="center"/>
              <w:rPr>
                <w:sz w:val="14"/>
                <w:szCs w:val="14"/>
              </w:rPr>
            </w:pPr>
          </w:p>
        </w:tc>
        <w:tc>
          <w:tcPr>
            <w:tcW w:w="1134" w:type="dxa"/>
            <w:vAlign w:val="center"/>
          </w:tcPr>
          <w:p w14:paraId="3BDB0C45" w14:textId="77777777" w:rsidR="001047AD" w:rsidRPr="008F735E" w:rsidRDefault="001047AD" w:rsidP="00345DEF">
            <w:pPr>
              <w:keepNext/>
              <w:keepLines/>
              <w:tabs>
                <w:tab w:val="decimal" w:pos="256"/>
              </w:tabs>
              <w:spacing w:before="60" w:after="60"/>
              <w:jc w:val="center"/>
              <w:rPr>
                <w:sz w:val="14"/>
                <w:szCs w:val="14"/>
              </w:rPr>
            </w:pPr>
          </w:p>
        </w:tc>
        <w:tc>
          <w:tcPr>
            <w:tcW w:w="851" w:type="dxa"/>
            <w:vAlign w:val="center"/>
          </w:tcPr>
          <w:p w14:paraId="5D7280FE" w14:textId="77777777" w:rsidR="001047AD" w:rsidRPr="008F735E" w:rsidRDefault="001047AD" w:rsidP="00345DEF">
            <w:pPr>
              <w:keepNext/>
              <w:keepLines/>
              <w:tabs>
                <w:tab w:val="decimal" w:pos="256"/>
              </w:tabs>
              <w:spacing w:before="60" w:after="60"/>
              <w:jc w:val="center"/>
              <w:rPr>
                <w:sz w:val="14"/>
                <w:szCs w:val="14"/>
              </w:rPr>
            </w:pPr>
          </w:p>
        </w:tc>
        <w:tc>
          <w:tcPr>
            <w:tcW w:w="1134" w:type="dxa"/>
            <w:vAlign w:val="center"/>
          </w:tcPr>
          <w:p w14:paraId="0CCB6685" w14:textId="77777777" w:rsidR="001047AD" w:rsidRPr="008F735E" w:rsidRDefault="001047AD" w:rsidP="00345DEF">
            <w:pPr>
              <w:keepNext/>
              <w:keepLines/>
              <w:tabs>
                <w:tab w:val="decimal" w:pos="256"/>
              </w:tabs>
              <w:spacing w:before="60" w:after="60"/>
              <w:jc w:val="center"/>
              <w:rPr>
                <w:sz w:val="14"/>
                <w:szCs w:val="14"/>
              </w:rPr>
            </w:pPr>
          </w:p>
        </w:tc>
        <w:tc>
          <w:tcPr>
            <w:tcW w:w="921" w:type="dxa"/>
            <w:vAlign w:val="center"/>
          </w:tcPr>
          <w:p w14:paraId="7228B269" w14:textId="77777777" w:rsidR="001047AD" w:rsidRPr="008F735E" w:rsidRDefault="001047AD" w:rsidP="00345DEF">
            <w:pPr>
              <w:keepNext/>
              <w:keepLines/>
              <w:tabs>
                <w:tab w:val="decimal" w:pos="256"/>
              </w:tabs>
              <w:spacing w:before="60" w:after="60"/>
              <w:jc w:val="center"/>
              <w:rPr>
                <w:sz w:val="14"/>
                <w:szCs w:val="14"/>
              </w:rPr>
            </w:pPr>
          </w:p>
        </w:tc>
      </w:tr>
      <w:tr w:rsidR="001047AD" w:rsidRPr="008F735E" w14:paraId="5D21116C" w14:textId="77777777" w:rsidTr="00740A34">
        <w:tc>
          <w:tcPr>
            <w:tcW w:w="1347" w:type="dxa"/>
            <w:shd w:val="clear" w:color="auto" w:fill="auto"/>
            <w:vAlign w:val="bottom"/>
          </w:tcPr>
          <w:p w14:paraId="34A4EC82" w14:textId="77777777" w:rsidR="001047AD" w:rsidRPr="008F735E" w:rsidRDefault="001047AD" w:rsidP="00345DEF">
            <w:pPr>
              <w:keepNext/>
              <w:keepLines/>
              <w:tabs>
                <w:tab w:val="left" w:pos="106"/>
              </w:tabs>
              <w:spacing w:before="60" w:after="60"/>
              <w:rPr>
                <w:sz w:val="14"/>
                <w:szCs w:val="14"/>
              </w:rPr>
            </w:pPr>
            <w:r w:rsidRPr="008F735E">
              <w:rPr>
                <w:sz w:val="14"/>
                <w:szCs w:val="14"/>
              </w:rPr>
              <w:tab/>
            </w:r>
            <w:r>
              <w:rPr>
                <w:sz w:val="14"/>
                <w:szCs w:val="14"/>
              </w:rPr>
              <w:t>t</w:t>
            </w:r>
            <w:r w:rsidRPr="008F735E">
              <w:rPr>
                <w:sz w:val="14"/>
                <w:szCs w:val="14"/>
              </w:rPr>
              <w:t xml:space="preserve"> = </w:t>
            </w:r>
            <w:r>
              <w:rPr>
                <w:sz w:val="14"/>
                <w:szCs w:val="14"/>
              </w:rPr>
              <w:t>28</w:t>
            </w:r>
            <w:r w:rsidRPr="008F735E">
              <w:rPr>
                <w:sz w:val="14"/>
                <w:szCs w:val="14"/>
              </w:rPr>
              <w:t>%</w:t>
            </w:r>
          </w:p>
        </w:tc>
        <w:tc>
          <w:tcPr>
            <w:tcW w:w="992" w:type="dxa"/>
          </w:tcPr>
          <w:p w14:paraId="36121989" w14:textId="77777777" w:rsidR="001047AD" w:rsidRPr="008F735E" w:rsidRDefault="001047AD" w:rsidP="00345DEF">
            <w:pPr>
              <w:keepNext/>
              <w:keepLines/>
              <w:tabs>
                <w:tab w:val="decimal" w:pos="256"/>
              </w:tabs>
              <w:spacing w:before="60" w:after="60"/>
              <w:jc w:val="center"/>
              <w:rPr>
                <w:sz w:val="14"/>
                <w:szCs w:val="14"/>
              </w:rPr>
            </w:pPr>
            <w:r>
              <w:rPr>
                <w:sz w:val="14"/>
                <w:szCs w:val="14"/>
              </w:rPr>
              <w:t>3.81%</w:t>
            </w:r>
          </w:p>
        </w:tc>
        <w:tc>
          <w:tcPr>
            <w:tcW w:w="737" w:type="dxa"/>
          </w:tcPr>
          <w:p w14:paraId="6F6A5C3B" w14:textId="77777777" w:rsidR="001047AD" w:rsidRPr="008F735E" w:rsidRDefault="001047AD" w:rsidP="00345DEF">
            <w:pPr>
              <w:keepNext/>
              <w:keepLines/>
              <w:tabs>
                <w:tab w:val="decimal" w:pos="256"/>
              </w:tabs>
              <w:spacing w:before="60" w:after="60"/>
              <w:jc w:val="center"/>
              <w:rPr>
                <w:sz w:val="14"/>
                <w:szCs w:val="14"/>
              </w:rPr>
            </w:pPr>
            <w:r>
              <w:rPr>
                <w:sz w:val="14"/>
                <w:szCs w:val="14"/>
              </w:rPr>
              <w:t>4.14</w:t>
            </w:r>
            <w:r w:rsidRPr="003A7326">
              <w:rPr>
                <w:sz w:val="14"/>
                <w:szCs w:val="14"/>
              </w:rPr>
              <w:t>%</w:t>
            </w:r>
          </w:p>
        </w:tc>
        <w:tc>
          <w:tcPr>
            <w:tcW w:w="681" w:type="dxa"/>
          </w:tcPr>
          <w:p w14:paraId="5E613DDD" w14:textId="77777777" w:rsidR="001047AD" w:rsidRPr="008F735E" w:rsidRDefault="001047AD" w:rsidP="00345DEF">
            <w:pPr>
              <w:keepNext/>
              <w:keepLines/>
              <w:tabs>
                <w:tab w:val="decimal" w:pos="256"/>
              </w:tabs>
              <w:spacing w:before="60" w:after="60"/>
              <w:jc w:val="center"/>
              <w:rPr>
                <w:sz w:val="14"/>
                <w:szCs w:val="14"/>
              </w:rPr>
            </w:pPr>
            <w:r>
              <w:rPr>
                <w:sz w:val="14"/>
                <w:szCs w:val="14"/>
              </w:rPr>
              <w:t>4.11</w:t>
            </w:r>
            <w:r w:rsidRPr="003A7326">
              <w:rPr>
                <w:sz w:val="14"/>
                <w:szCs w:val="14"/>
              </w:rPr>
              <w:t>%</w:t>
            </w:r>
          </w:p>
        </w:tc>
        <w:tc>
          <w:tcPr>
            <w:tcW w:w="651" w:type="dxa"/>
          </w:tcPr>
          <w:p w14:paraId="538F3FFE" w14:textId="77777777" w:rsidR="001047AD" w:rsidRPr="008F735E" w:rsidRDefault="001047AD" w:rsidP="00345DEF">
            <w:pPr>
              <w:keepNext/>
              <w:keepLines/>
              <w:tabs>
                <w:tab w:val="decimal" w:pos="256"/>
              </w:tabs>
              <w:spacing w:before="60" w:after="60"/>
              <w:jc w:val="center"/>
              <w:rPr>
                <w:sz w:val="14"/>
                <w:szCs w:val="14"/>
              </w:rPr>
            </w:pPr>
            <w:r>
              <w:rPr>
                <w:sz w:val="14"/>
                <w:szCs w:val="14"/>
              </w:rPr>
              <w:t>3.93</w:t>
            </w:r>
            <w:r w:rsidRPr="003A7326">
              <w:rPr>
                <w:sz w:val="14"/>
                <w:szCs w:val="14"/>
              </w:rPr>
              <w:t>%</w:t>
            </w:r>
          </w:p>
        </w:tc>
        <w:tc>
          <w:tcPr>
            <w:tcW w:w="666" w:type="dxa"/>
          </w:tcPr>
          <w:p w14:paraId="3996E504" w14:textId="77777777" w:rsidR="001047AD" w:rsidRPr="008F735E" w:rsidRDefault="001047AD" w:rsidP="00345DEF">
            <w:pPr>
              <w:keepNext/>
              <w:keepLines/>
              <w:tabs>
                <w:tab w:val="decimal" w:pos="256"/>
              </w:tabs>
              <w:spacing w:before="60" w:after="60"/>
              <w:jc w:val="center"/>
              <w:rPr>
                <w:sz w:val="14"/>
                <w:szCs w:val="14"/>
              </w:rPr>
            </w:pPr>
            <w:r>
              <w:rPr>
                <w:sz w:val="14"/>
                <w:szCs w:val="14"/>
              </w:rPr>
              <w:t>3.76</w:t>
            </w:r>
            <w:r w:rsidRPr="003A7326">
              <w:rPr>
                <w:sz w:val="14"/>
                <w:szCs w:val="14"/>
              </w:rPr>
              <w:t>%</w:t>
            </w:r>
          </w:p>
        </w:tc>
        <w:tc>
          <w:tcPr>
            <w:tcW w:w="667" w:type="dxa"/>
          </w:tcPr>
          <w:p w14:paraId="6CDC99F3" w14:textId="77777777" w:rsidR="001047AD" w:rsidRPr="008F735E" w:rsidRDefault="001047AD" w:rsidP="00345DEF">
            <w:pPr>
              <w:keepNext/>
              <w:keepLines/>
              <w:tabs>
                <w:tab w:val="decimal" w:pos="256"/>
              </w:tabs>
              <w:spacing w:before="60" w:after="60"/>
              <w:jc w:val="center"/>
              <w:rPr>
                <w:sz w:val="14"/>
                <w:szCs w:val="14"/>
              </w:rPr>
            </w:pPr>
            <w:r>
              <w:rPr>
                <w:sz w:val="14"/>
                <w:szCs w:val="14"/>
              </w:rPr>
              <w:t>3.63</w:t>
            </w:r>
            <w:r w:rsidRPr="003A7326">
              <w:rPr>
                <w:sz w:val="14"/>
                <w:szCs w:val="14"/>
              </w:rPr>
              <w:t>%</w:t>
            </w:r>
          </w:p>
        </w:tc>
        <w:tc>
          <w:tcPr>
            <w:tcW w:w="1134" w:type="dxa"/>
          </w:tcPr>
          <w:p w14:paraId="660AF4C3" w14:textId="77777777" w:rsidR="001047AD" w:rsidRPr="008F735E" w:rsidRDefault="001047AD" w:rsidP="00345DEF">
            <w:pPr>
              <w:keepNext/>
              <w:keepLines/>
              <w:tabs>
                <w:tab w:val="decimal" w:pos="256"/>
              </w:tabs>
              <w:spacing w:before="60" w:after="60"/>
              <w:jc w:val="center"/>
              <w:rPr>
                <w:sz w:val="14"/>
                <w:szCs w:val="14"/>
              </w:rPr>
            </w:pPr>
            <w:r>
              <w:rPr>
                <w:sz w:val="14"/>
                <w:szCs w:val="14"/>
              </w:rPr>
              <w:t>3.38</w:t>
            </w:r>
            <w:r w:rsidRPr="003A7326">
              <w:rPr>
                <w:sz w:val="14"/>
                <w:szCs w:val="14"/>
              </w:rPr>
              <w:t>%</w:t>
            </w:r>
          </w:p>
        </w:tc>
        <w:tc>
          <w:tcPr>
            <w:tcW w:w="851" w:type="dxa"/>
          </w:tcPr>
          <w:p w14:paraId="4D5CD5D9" w14:textId="77777777" w:rsidR="001047AD" w:rsidRPr="008F735E" w:rsidRDefault="001047AD" w:rsidP="00345DEF">
            <w:pPr>
              <w:keepNext/>
              <w:keepLines/>
              <w:tabs>
                <w:tab w:val="decimal" w:pos="256"/>
              </w:tabs>
              <w:spacing w:before="60" w:after="60"/>
              <w:jc w:val="center"/>
              <w:rPr>
                <w:sz w:val="14"/>
                <w:szCs w:val="14"/>
              </w:rPr>
            </w:pPr>
            <w:r>
              <w:rPr>
                <w:sz w:val="14"/>
                <w:szCs w:val="14"/>
              </w:rPr>
              <w:t>4.14</w:t>
            </w:r>
            <w:r w:rsidRPr="003A7326">
              <w:rPr>
                <w:sz w:val="14"/>
                <w:szCs w:val="14"/>
              </w:rPr>
              <w:t>%</w:t>
            </w:r>
          </w:p>
        </w:tc>
        <w:tc>
          <w:tcPr>
            <w:tcW w:w="1134" w:type="dxa"/>
          </w:tcPr>
          <w:p w14:paraId="7D84CD14" w14:textId="77777777" w:rsidR="001047AD" w:rsidRPr="008F735E" w:rsidRDefault="001047AD" w:rsidP="00345DEF">
            <w:pPr>
              <w:keepNext/>
              <w:keepLines/>
              <w:tabs>
                <w:tab w:val="decimal" w:pos="256"/>
              </w:tabs>
              <w:spacing w:before="60" w:after="60"/>
              <w:jc w:val="center"/>
              <w:rPr>
                <w:sz w:val="14"/>
                <w:szCs w:val="14"/>
              </w:rPr>
            </w:pPr>
            <w:r>
              <w:rPr>
                <w:sz w:val="14"/>
                <w:szCs w:val="14"/>
              </w:rPr>
              <w:t>2.99</w:t>
            </w:r>
            <w:r w:rsidRPr="003A7326">
              <w:rPr>
                <w:sz w:val="14"/>
                <w:szCs w:val="14"/>
              </w:rPr>
              <w:t>%</w:t>
            </w:r>
          </w:p>
        </w:tc>
        <w:tc>
          <w:tcPr>
            <w:tcW w:w="921" w:type="dxa"/>
          </w:tcPr>
          <w:p w14:paraId="6ABC8401" w14:textId="77777777" w:rsidR="001047AD" w:rsidRPr="008F735E" w:rsidRDefault="001047AD" w:rsidP="00345DEF">
            <w:pPr>
              <w:keepNext/>
              <w:keepLines/>
              <w:tabs>
                <w:tab w:val="decimal" w:pos="256"/>
              </w:tabs>
              <w:spacing w:before="60" w:after="60"/>
              <w:jc w:val="center"/>
              <w:rPr>
                <w:sz w:val="14"/>
                <w:szCs w:val="14"/>
              </w:rPr>
            </w:pPr>
            <w:r>
              <w:rPr>
                <w:sz w:val="14"/>
                <w:szCs w:val="14"/>
              </w:rPr>
              <w:t>2.43</w:t>
            </w:r>
            <w:r w:rsidRPr="003A7326">
              <w:rPr>
                <w:sz w:val="14"/>
                <w:szCs w:val="14"/>
              </w:rPr>
              <w:t>%</w:t>
            </w:r>
          </w:p>
        </w:tc>
      </w:tr>
      <w:tr w:rsidR="001047AD" w:rsidRPr="008F735E" w14:paraId="13322FBE" w14:textId="77777777" w:rsidTr="00740A34">
        <w:tc>
          <w:tcPr>
            <w:tcW w:w="1347" w:type="dxa"/>
            <w:shd w:val="clear" w:color="auto" w:fill="auto"/>
            <w:vAlign w:val="bottom"/>
          </w:tcPr>
          <w:p w14:paraId="58A64E20" w14:textId="77777777" w:rsidR="001047AD" w:rsidRPr="008F735E" w:rsidRDefault="001047AD" w:rsidP="00345DEF">
            <w:pPr>
              <w:keepNext/>
              <w:keepLines/>
              <w:tabs>
                <w:tab w:val="left" w:pos="106"/>
              </w:tabs>
              <w:spacing w:before="60" w:after="60"/>
              <w:rPr>
                <w:sz w:val="14"/>
                <w:szCs w:val="14"/>
              </w:rPr>
            </w:pPr>
            <w:r w:rsidRPr="008F735E">
              <w:rPr>
                <w:sz w:val="14"/>
                <w:szCs w:val="14"/>
              </w:rPr>
              <w:tab/>
            </w:r>
            <w:r>
              <w:rPr>
                <w:sz w:val="14"/>
                <w:szCs w:val="14"/>
              </w:rPr>
              <w:t>t</w:t>
            </w:r>
            <w:r w:rsidRPr="008F735E">
              <w:rPr>
                <w:sz w:val="14"/>
                <w:szCs w:val="14"/>
              </w:rPr>
              <w:t xml:space="preserve"> = </w:t>
            </w:r>
            <w:r>
              <w:rPr>
                <w:sz w:val="14"/>
                <w:szCs w:val="14"/>
              </w:rPr>
              <w:t>24</w:t>
            </w:r>
            <w:r w:rsidRPr="008F735E">
              <w:rPr>
                <w:sz w:val="14"/>
                <w:szCs w:val="14"/>
              </w:rPr>
              <w:t>%</w:t>
            </w:r>
          </w:p>
        </w:tc>
        <w:tc>
          <w:tcPr>
            <w:tcW w:w="992" w:type="dxa"/>
          </w:tcPr>
          <w:p w14:paraId="7F0FFF0F" w14:textId="77777777" w:rsidR="001047AD" w:rsidRPr="008F735E" w:rsidRDefault="001047AD" w:rsidP="00345DEF">
            <w:pPr>
              <w:keepNext/>
              <w:keepLines/>
              <w:tabs>
                <w:tab w:val="decimal" w:pos="256"/>
              </w:tabs>
              <w:spacing w:before="60" w:after="60"/>
              <w:jc w:val="center"/>
              <w:rPr>
                <w:sz w:val="14"/>
                <w:szCs w:val="14"/>
              </w:rPr>
            </w:pPr>
            <w:r>
              <w:rPr>
                <w:sz w:val="14"/>
                <w:szCs w:val="14"/>
              </w:rPr>
              <w:t>3.67</w:t>
            </w:r>
            <w:r w:rsidRPr="008A3106">
              <w:rPr>
                <w:sz w:val="14"/>
                <w:szCs w:val="14"/>
              </w:rPr>
              <w:t>%</w:t>
            </w:r>
          </w:p>
        </w:tc>
        <w:tc>
          <w:tcPr>
            <w:tcW w:w="737" w:type="dxa"/>
          </w:tcPr>
          <w:p w14:paraId="23B8CFB2" w14:textId="77777777" w:rsidR="001047AD" w:rsidRPr="008F735E" w:rsidRDefault="001047AD" w:rsidP="00345DEF">
            <w:pPr>
              <w:keepNext/>
              <w:keepLines/>
              <w:tabs>
                <w:tab w:val="decimal" w:pos="256"/>
              </w:tabs>
              <w:spacing w:before="60" w:after="60"/>
              <w:jc w:val="center"/>
              <w:rPr>
                <w:sz w:val="14"/>
                <w:szCs w:val="14"/>
              </w:rPr>
            </w:pPr>
            <w:r>
              <w:rPr>
                <w:sz w:val="14"/>
                <w:szCs w:val="14"/>
              </w:rPr>
              <w:t>3.94</w:t>
            </w:r>
            <w:r w:rsidRPr="008A3106">
              <w:rPr>
                <w:sz w:val="14"/>
                <w:szCs w:val="14"/>
              </w:rPr>
              <w:t>%</w:t>
            </w:r>
          </w:p>
        </w:tc>
        <w:tc>
          <w:tcPr>
            <w:tcW w:w="681" w:type="dxa"/>
          </w:tcPr>
          <w:p w14:paraId="0404B337" w14:textId="77777777" w:rsidR="001047AD" w:rsidRPr="008F735E" w:rsidRDefault="001047AD" w:rsidP="00345DEF">
            <w:pPr>
              <w:keepNext/>
              <w:keepLines/>
              <w:tabs>
                <w:tab w:val="decimal" w:pos="256"/>
              </w:tabs>
              <w:spacing w:before="60" w:after="60"/>
              <w:jc w:val="center"/>
              <w:rPr>
                <w:sz w:val="14"/>
                <w:szCs w:val="14"/>
              </w:rPr>
            </w:pPr>
            <w:r>
              <w:rPr>
                <w:sz w:val="14"/>
                <w:szCs w:val="14"/>
              </w:rPr>
              <w:t>3.91</w:t>
            </w:r>
            <w:r w:rsidRPr="008A3106">
              <w:rPr>
                <w:sz w:val="14"/>
                <w:szCs w:val="14"/>
              </w:rPr>
              <w:t>%</w:t>
            </w:r>
          </w:p>
        </w:tc>
        <w:tc>
          <w:tcPr>
            <w:tcW w:w="651" w:type="dxa"/>
          </w:tcPr>
          <w:p w14:paraId="435BE666" w14:textId="77777777" w:rsidR="001047AD" w:rsidRPr="008F735E" w:rsidRDefault="001047AD" w:rsidP="00345DEF">
            <w:pPr>
              <w:keepNext/>
              <w:keepLines/>
              <w:tabs>
                <w:tab w:val="decimal" w:pos="256"/>
              </w:tabs>
              <w:spacing w:before="60" w:after="60"/>
              <w:jc w:val="center"/>
              <w:rPr>
                <w:sz w:val="14"/>
                <w:szCs w:val="14"/>
              </w:rPr>
            </w:pPr>
            <w:r>
              <w:rPr>
                <w:sz w:val="14"/>
                <w:szCs w:val="14"/>
              </w:rPr>
              <w:t>3.76</w:t>
            </w:r>
            <w:r w:rsidRPr="008A3106">
              <w:rPr>
                <w:sz w:val="14"/>
                <w:szCs w:val="14"/>
              </w:rPr>
              <w:t>%</w:t>
            </w:r>
          </w:p>
        </w:tc>
        <w:tc>
          <w:tcPr>
            <w:tcW w:w="666" w:type="dxa"/>
          </w:tcPr>
          <w:p w14:paraId="37A2B158" w14:textId="77777777" w:rsidR="001047AD" w:rsidRPr="008F735E" w:rsidRDefault="001047AD" w:rsidP="00345DEF">
            <w:pPr>
              <w:keepNext/>
              <w:keepLines/>
              <w:tabs>
                <w:tab w:val="decimal" w:pos="256"/>
              </w:tabs>
              <w:spacing w:before="60" w:after="60"/>
              <w:jc w:val="center"/>
              <w:rPr>
                <w:sz w:val="14"/>
                <w:szCs w:val="14"/>
              </w:rPr>
            </w:pPr>
            <w:r>
              <w:rPr>
                <w:sz w:val="14"/>
                <w:szCs w:val="14"/>
              </w:rPr>
              <w:t>3.62</w:t>
            </w:r>
            <w:r w:rsidRPr="008A3106">
              <w:rPr>
                <w:sz w:val="14"/>
                <w:szCs w:val="14"/>
              </w:rPr>
              <w:t>%</w:t>
            </w:r>
          </w:p>
        </w:tc>
        <w:tc>
          <w:tcPr>
            <w:tcW w:w="667" w:type="dxa"/>
          </w:tcPr>
          <w:p w14:paraId="777A5216" w14:textId="77777777" w:rsidR="001047AD" w:rsidRPr="008F735E" w:rsidRDefault="001047AD" w:rsidP="00345DEF">
            <w:pPr>
              <w:keepNext/>
              <w:keepLines/>
              <w:tabs>
                <w:tab w:val="decimal" w:pos="256"/>
              </w:tabs>
              <w:spacing w:before="60" w:after="60"/>
              <w:jc w:val="center"/>
              <w:rPr>
                <w:sz w:val="14"/>
                <w:szCs w:val="14"/>
              </w:rPr>
            </w:pPr>
            <w:r>
              <w:rPr>
                <w:sz w:val="14"/>
                <w:szCs w:val="14"/>
              </w:rPr>
              <w:t>3.51</w:t>
            </w:r>
            <w:r w:rsidRPr="008A3106">
              <w:rPr>
                <w:sz w:val="14"/>
                <w:szCs w:val="14"/>
              </w:rPr>
              <w:t>%</w:t>
            </w:r>
          </w:p>
        </w:tc>
        <w:tc>
          <w:tcPr>
            <w:tcW w:w="1134" w:type="dxa"/>
          </w:tcPr>
          <w:p w14:paraId="2AABFD05" w14:textId="77777777" w:rsidR="001047AD" w:rsidRPr="008F735E" w:rsidRDefault="001047AD" w:rsidP="00345DEF">
            <w:pPr>
              <w:keepNext/>
              <w:keepLines/>
              <w:tabs>
                <w:tab w:val="decimal" w:pos="256"/>
              </w:tabs>
              <w:spacing w:before="60" w:after="60"/>
              <w:jc w:val="center"/>
              <w:rPr>
                <w:sz w:val="14"/>
                <w:szCs w:val="14"/>
              </w:rPr>
            </w:pPr>
            <w:r>
              <w:rPr>
                <w:sz w:val="14"/>
                <w:szCs w:val="14"/>
              </w:rPr>
              <w:t>3.32</w:t>
            </w:r>
            <w:r w:rsidRPr="008A3106">
              <w:rPr>
                <w:sz w:val="14"/>
                <w:szCs w:val="14"/>
              </w:rPr>
              <w:t>%</w:t>
            </w:r>
          </w:p>
        </w:tc>
        <w:tc>
          <w:tcPr>
            <w:tcW w:w="851" w:type="dxa"/>
          </w:tcPr>
          <w:p w14:paraId="2316795E" w14:textId="77777777" w:rsidR="001047AD" w:rsidRPr="008F735E" w:rsidRDefault="001047AD" w:rsidP="00345DEF">
            <w:pPr>
              <w:keepNext/>
              <w:keepLines/>
              <w:tabs>
                <w:tab w:val="decimal" w:pos="256"/>
              </w:tabs>
              <w:spacing w:before="60" w:after="60"/>
              <w:jc w:val="center"/>
              <w:rPr>
                <w:sz w:val="14"/>
                <w:szCs w:val="14"/>
              </w:rPr>
            </w:pPr>
            <w:r>
              <w:rPr>
                <w:sz w:val="14"/>
                <w:szCs w:val="14"/>
              </w:rPr>
              <w:t>3.94</w:t>
            </w:r>
            <w:r w:rsidRPr="008A3106">
              <w:rPr>
                <w:sz w:val="14"/>
                <w:szCs w:val="14"/>
              </w:rPr>
              <w:t>%</w:t>
            </w:r>
          </w:p>
        </w:tc>
        <w:tc>
          <w:tcPr>
            <w:tcW w:w="1134" w:type="dxa"/>
          </w:tcPr>
          <w:p w14:paraId="303AC8BE" w14:textId="77777777" w:rsidR="001047AD" w:rsidRPr="008F735E" w:rsidRDefault="001047AD" w:rsidP="00345DEF">
            <w:pPr>
              <w:keepNext/>
              <w:keepLines/>
              <w:tabs>
                <w:tab w:val="decimal" w:pos="256"/>
              </w:tabs>
              <w:spacing w:before="60" w:after="60"/>
              <w:jc w:val="center"/>
              <w:rPr>
                <w:sz w:val="14"/>
                <w:szCs w:val="14"/>
              </w:rPr>
            </w:pPr>
            <w:r>
              <w:rPr>
                <w:sz w:val="14"/>
                <w:szCs w:val="14"/>
              </w:rPr>
              <w:t>3.00</w:t>
            </w:r>
            <w:r w:rsidRPr="008A3106">
              <w:rPr>
                <w:sz w:val="14"/>
                <w:szCs w:val="14"/>
              </w:rPr>
              <w:t>%</w:t>
            </w:r>
          </w:p>
        </w:tc>
        <w:tc>
          <w:tcPr>
            <w:tcW w:w="921" w:type="dxa"/>
          </w:tcPr>
          <w:p w14:paraId="5A33E056" w14:textId="77777777" w:rsidR="001047AD" w:rsidRPr="008F735E" w:rsidRDefault="001047AD" w:rsidP="00345DEF">
            <w:pPr>
              <w:keepNext/>
              <w:keepLines/>
              <w:tabs>
                <w:tab w:val="decimal" w:pos="256"/>
              </w:tabs>
              <w:spacing w:before="60" w:after="60"/>
              <w:jc w:val="center"/>
              <w:rPr>
                <w:sz w:val="14"/>
                <w:szCs w:val="14"/>
              </w:rPr>
            </w:pPr>
            <w:r>
              <w:rPr>
                <w:sz w:val="14"/>
                <w:szCs w:val="14"/>
              </w:rPr>
              <w:t>2.52</w:t>
            </w:r>
            <w:r w:rsidRPr="008A3106">
              <w:rPr>
                <w:sz w:val="14"/>
                <w:szCs w:val="14"/>
              </w:rPr>
              <w:t>%</w:t>
            </w:r>
          </w:p>
        </w:tc>
      </w:tr>
      <w:tr w:rsidR="001047AD" w:rsidRPr="008F735E" w14:paraId="49919134" w14:textId="77777777" w:rsidTr="00740A34">
        <w:tc>
          <w:tcPr>
            <w:tcW w:w="1347" w:type="dxa"/>
            <w:shd w:val="clear" w:color="auto" w:fill="auto"/>
            <w:vAlign w:val="bottom"/>
          </w:tcPr>
          <w:p w14:paraId="075E401A" w14:textId="77777777" w:rsidR="001047AD" w:rsidRPr="008F735E" w:rsidRDefault="001047AD" w:rsidP="00345DEF">
            <w:pPr>
              <w:keepNext/>
              <w:keepLines/>
              <w:tabs>
                <w:tab w:val="left" w:pos="106"/>
              </w:tabs>
              <w:spacing w:before="60" w:after="60"/>
              <w:rPr>
                <w:sz w:val="14"/>
                <w:szCs w:val="14"/>
              </w:rPr>
            </w:pPr>
            <w:r w:rsidRPr="008F735E">
              <w:rPr>
                <w:sz w:val="14"/>
                <w:szCs w:val="14"/>
              </w:rPr>
              <w:tab/>
            </w:r>
            <w:r>
              <w:rPr>
                <w:sz w:val="14"/>
                <w:szCs w:val="14"/>
              </w:rPr>
              <w:t>t</w:t>
            </w:r>
            <w:r w:rsidRPr="008F735E">
              <w:rPr>
                <w:sz w:val="14"/>
                <w:szCs w:val="14"/>
              </w:rPr>
              <w:t xml:space="preserve"> = </w:t>
            </w:r>
            <w:r>
              <w:rPr>
                <w:sz w:val="14"/>
                <w:szCs w:val="14"/>
              </w:rPr>
              <w:t>20</w:t>
            </w:r>
            <w:r w:rsidRPr="008F735E">
              <w:rPr>
                <w:sz w:val="14"/>
                <w:szCs w:val="14"/>
              </w:rPr>
              <w:t>%</w:t>
            </w:r>
          </w:p>
        </w:tc>
        <w:tc>
          <w:tcPr>
            <w:tcW w:w="992" w:type="dxa"/>
          </w:tcPr>
          <w:p w14:paraId="45CDE223" w14:textId="21F1407A" w:rsidR="001047AD" w:rsidRPr="008F735E" w:rsidRDefault="001047AD" w:rsidP="00345DEF">
            <w:pPr>
              <w:keepNext/>
              <w:keepLines/>
              <w:tabs>
                <w:tab w:val="decimal" w:pos="256"/>
              </w:tabs>
              <w:spacing w:before="60" w:after="60"/>
              <w:jc w:val="center"/>
              <w:rPr>
                <w:sz w:val="14"/>
                <w:szCs w:val="14"/>
              </w:rPr>
            </w:pPr>
            <w:r>
              <w:rPr>
                <w:sz w:val="14"/>
                <w:szCs w:val="14"/>
              </w:rPr>
              <w:t>3.53</w:t>
            </w:r>
            <w:r w:rsidRPr="008A3106">
              <w:rPr>
                <w:sz w:val="14"/>
                <w:szCs w:val="14"/>
              </w:rPr>
              <w:t>%</w:t>
            </w:r>
          </w:p>
        </w:tc>
        <w:tc>
          <w:tcPr>
            <w:tcW w:w="737" w:type="dxa"/>
          </w:tcPr>
          <w:p w14:paraId="06693781" w14:textId="77777777" w:rsidR="001047AD" w:rsidRPr="008F735E" w:rsidRDefault="001047AD" w:rsidP="00345DEF">
            <w:pPr>
              <w:keepNext/>
              <w:keepLines/>
              <w:tabs>
                <w:tab w:val="decimal" w:pos="256"/>
              </w:tabs>
              <w:spacing w:before="60" w:after="60"/>
              <w:jc w:val="center"/>
              <w:rPr>
                <w:sz w:val="14"/>
                <w:szCs w:val="14"/>
              </w:rPr>
            </w:pPr>
            <w:r>
              <w:rPr>
                <w:sz w:val="14"/>
                <w:szCs w:val="14"/>
              </w:rPr>
              <w:t>3.75</w:t>
            </w:r>
            <w:r w:rsidRPr="008A3106">
              <w:rPr>
                <w:sz w:val="14"/>
                <w:szCs w:val="14"/>
              </w:rPr>
              <w:t>%</w:t>
            </w:r>
          </w:p>
        </w:tc>
        <w:tc>
          <w:tcPr>
            <w:tcW w:w="681" w:type="dxa"/>
          </w:tcPr>
          <w:p w14:paraId="0D82FABA" w14:textId="77777777" w:rsidR="001047AD" w:rsidRPr="008F735E" w:rsidRDefault="001047AD" w:rsidP="00345DEF">
            <w:pPr>
              <w:keepNext/>
              <w:keepLines/>
              <w:tabs>
                <w:tab w:val="decimal" w:pos="256"/>
              </w:tabs>
              <w:spacing w:before="60" w:after="60"/>
              <w:jc w:val="center"/>
              <w:rPr>
                <w:sz w:val="14"/>
                <w:szCs w:val="14"/>
              </w:rPr>
            </w:pPr>
            <w:r>
              <w:rPr>
                <w:sz w:val="14"/>
                <w:szCs w:val="14"/>
              </w:rPr>
              <w:t>3.73</w:t>
            </w:r>
            <w:r w:rsidRPr="008A3106">
              <w:rPr>
                <w:sz w:val="14"/>
                <w:szCs w:val="14"/>
              </w:rPr>
              <w:t>%</w:t>
            </w:r>
          </w:p>
        </w:tc>
        <w:tc>
          <w:tcPr>
            <w:tcW w:w="651" w:type="dxa"/>
          </w:tcPr>
          <w:p w14:paraId="74D96126" w14:textId="77777777" w:rsidR="001047AD" w:rsidRPr="008F735E" w:rsidRDefault="001047AD" w:rsidP="00345DEF">
            <w:pPr>
              <w:keepNext/>
              <w:keepLines/>
              <w:tabs>
                <w:tab w:val="decimal" w:pos="256"/>
              </w:tabs>
              <w:spacing w:before="60" w:after="60"/>
              <w:jc w:val="center"/>
              <w:rPr>
                <w:sz w:val="14"/>
                <w:szCs w:val="14"/>
              </w:rPr>
            </w:pPr>
            <w:r>
              <w:rPr>
                <w:sz w:val="14"/>
                <w:szCs w:val="14"/>
              </w:rPr>
              <w:t>3.61</w:t>
            </w:r>
            <w:r w:rsidRPr="008A3106">
              <w:rPr>
                <w:sz w:val="14"/>
                <w:szCs w:val="14"/>
              </w:rPr>
              <w:t>%</w:t>
            </w:r>
          </w:p>
        </w:tc>
        <w:tc>
          <w:tcPr>
            <w:tcW w:w="666" w:type="dxa"/>
          </w:tcPr>
          <w:p w14:paraId="5270D5C1" w14:textId="77777777" w:rsidR="001047AD" w:rsidRPr="008F735E" w:rsidRDefault="001047AD" w:rsidP="00345DEF">
            <w:pPr>
              <w:keepNext/>
              <w:keepLines/>
              <w:tabs>
                <w:tab w:val="decimal" w:pos="256"/>
              </w:tabs>
              <w:spacing w:before="60" w:after="60"/>
              <w:jc w:val="center"/>
              <w:rPr>
                <w:sz w:val="14"/>
                <w:szCs w:val="14"/>
              </w:rPr>
            </w:pPr>
            <w:r>
              <w:rPr>
                <w:sz w:val="14"/>
                <w:szCs w:val="14"/>
              </w:rPr>
              <w:t>3.50</w:t>
            </w:r>
            <w:r w:rsidRPr="008A3106">
              <w:rPr>
                <w:sz w:val="14"/>
                <w:szCs w:val="14"/>
              </w:rPr>
              <w:t>%</w:t>
            </w:r>
          </w:p>
        </w:tc>
        <w:tc>
          <w:tcPr>
            <w:tcW w:w="667" w:type="dxa"/>
          </w:tcPr>
          <w:p w14:paraId="4DC53D21" w14:textId="77777777" w:rsidR="001047AD" w:rsidRPr="008F735E" w:rsidRDefault="001047AD" w:rsidP="00345DEF">
            <w:pPr>
              <w:keepNext/>
              <w:keepLines/>
              <w:tabs>
                <w:tab w:val="decimal" w:pos="256"/>
              </w:tabs>
              <w:spacing w:before="60" w:after="60"/>
              <w:jc w:val="center"/>
              <w:rPr>
                <w:sz w:val="14"/>
                <w:szCs w:val="14"/>
              </w:rPr>
            </w:pPr>
            <w:r>
              <w:rPr>
                <w:sz w:val="14"/>
                <w:szCs w:val="14"/>
              </w:rPr>
              <w:t>3.41</w:t>
            </w:r>
            <w:r w:rsidRPr="008A3106">
              <w:rPr>
                <w:sz w:val="14"/>
                <w:szCs w:val="14"/>
              </w:rPr>
              <w:t>%</w:t>
            </w:r>
          </w:p>
        </w:tc>
        <w:tc>
          <w:tcPr>
            <w:tcW w:w="1134" w:type="dxa"/>
          </w:tcPr>
          <w:p w14:paraId="22C70A09" w14:textId="77777777" w:rsidR="001047AD" w:rsidRPr="008F735E" w:rsidRDefault="001047AD" w:rsidP="00345DEF">
            <w:pPr>
              <w:keepNext/>
              <w:keepLines/>
              <w:tabs>
                <w:tab w:val="decimal" w:pos="256"/>
              </w:tabs>
              <w:spacing w:before="60" w:after="60"/>
              <w:jc w:val="center"/>
              <w:rPr>
                <w:sz w:val="14"/>
                <w:szCs w:val="14"/>
              </w:rPr>
            </w:pPr>
            <w:r>
              <w:rPr>
                <w:sz w:val="14"/>
                <w:szCs w:val="14"/>
              </w:rPr>
              <w:t>3.26</w:t>
            </w:r>
            <w:r w:rsidRPr="008A3106">
              <w:rPr>
                <w:sz w:val="14"/>
                <w:szCs w:val="14"/>
              </w:rPr>
              <w:t>%</w:t>
            </w:r>
          </w:p>
        </w:tc>
        <w:tc>
          <w:tcPr>
            <w:tcW w:w="851" w:type="dxa"/>
          </w:tcPr>
          <w:p w14:paraId="48D8B617" w14:textId="77777777" w:rsidR="001047AD" w:rsidRPr="008F735E" w:rsidRDefault="001047AD" w:rsidP="00345DEF">
            <w:pPr>
              <w:keepNext/>
              <w:keepLines/>
              <w:tabs>
                <w:tab w:val="decimal" w:pos="256"/>
              </w:tabs>
              <w:spacing w:before="60" w:after="60"/>
              <w:jc w:val="center"/>
              <w:rPr>
                <w:sz w:val="14"/>
                <w:szCs w:val="14"/>
              </w:rPr>
            </w:pPr>
            <w:r>
              <w:rPr>
                <w:sz w:val="14"/>
                <w:szCs w:val="14"/>
              </w:rPr>
              <w:t>3.75</w:t>
            </w:r>
            <w:r w:rsidRPr="008A3106">
              <w:rPr>
                <w:sz w:val="14"/>
                <w:szCs w:val="14"/>
              </w:rPr>
              <w:t>%</w:t>
            </w:r>
          </w:p>
        </w:tc>
        <w:tc>
          <w:tcPr>
            <w:tcW w:w="1134" w:type="dxa"/>
          </w:tcPr>
          <w:p w14:paraId="3CCE5A63" w14:textId="77777777" w:rsidR="001047AD" w:rsidRPr="008F735E" w:rsidRDefault="001047AD" w:rsidP="00345DEF">
            <w:pPr>
              <w:keepNext/>
              <w:keepLines/>
              <w:tabs>
                <w:tab w:val="decimal" w:pos="256"/>
              </w:tabs>
              <w:spacing w:before="60" w:after="60"/>
              <w:jc w:val="center"/>
              <w:rPr>
                <w:sz w:val="14"/>
                <w:szCs w:val="14"/>
              </w:rPr>
            </w:pPr>
            <w:r>
              <w:rPr>
                <w:sz w:val="14"/>
                <w:szCs w:val="14"/>
              </w:rPr>
              <w:t>3.01</w:t>
            </w:r>
            <w:r w:rsidRPr="008A3106">
              <w:rPr>
                <w:sz w:val="14"/>
                <w:szCs w:val="14"/>
              </w:rPr>
              <w:t>%</w:t>
            </w:r>
          </w:p>
        </w:tc>
        <w:tc>
          <w:tcPr>
            <w:tcW w:w="921" w:type="dxa"/>
          </w:tcPr>
          <w:p w14:paraId="536E4D1F" w14:textId="77777777" w:rsidR="001047AD" w:rsidRPr="008F735E" w:rsidRDefault="001047AD" w:rsidP="00345DEF">
            <w:pPr>
              <w:keepNext/>
              <w:keepLines/>
              <w:tabs>
                <w:tab w:val="decimal" w:pos="256"/>
              </w:tabs>
              <w:spacing w:before="60" w:after="60"/>
              <w:jc w:val="center"/>
              <w:rPr>
                <w:sz w:val="14"/>
                <w:szCs w:val="14"/>
              </w:rPr>
            </w:pPr>
            <w:r>
              <w:rPr>
                <w:sz w:val="14"/>
                <w:szCs w:val="14"/>
              </w:rPr>
              <w:t>2.61</w:t>
            </w:r>
            <w:r w:rsidRPr="008A3106">
              <w:rPr>
                <w:sz w:val="14"/>
                <w:szCs w:val="14"/>
              </w:rPr>
              <w:t>%</w:t>
            </w:r>
          </w:p>
        </w:tc>
      </w:tr>
      <w:tr w:rsidR="001047AD" w:rsidRPr="008F735E" w14:paraId="299758F5" w14:textId="77777777" w:rsidTr="00740A34">
        <w:tc>
          <w:tcPr>
            <w:tcW w:w="1347" w:type="dxa"/>
            <w:shd w:val="clear" w:color="auto" w:fill="auto"/>
            <w:vAlign w:val="bottom"/>
          </w:tcPr>
          <w:p w14:paraId="707C43CA" w14:textId="77777777" w:rsidR="001047AD" w:rsidRPr="008F735E" w:rsidRDefault="001047AD" w:rsidP="00345DEF">
            <w:pPr>
              <w:keepNext/>
              <w:keepLines/>
              <w:tabs>
                <w:tab w:val="left" w:pos="106"/>
              </w:tabs>
              <w:spacing w:before="60" w:after="60"/>
              <w:rPr>
                <w:b/>
                <w:bCs/>
                <w:sz w:val="14"/>
                <w:szCs w:val="14"/>
              </w:rPr>
            </w:pPr>
            <w:r w:rsidRPr="008F735E">
              <w:rPr>
                <w:b/>
                <w:bCs/>
                <w:sz w:val="14"/>
                <w:szCs w:val="14"/>
              </w:rPr>
              <w:t>EMTR</w:t>
            </w:r>
            <w:r>
              <w:rPr>
                <w:b/>
                <w:bCs/>
                <w:sz w:val="14"/>
                <w:szCs w:val="14"/>
              </w:rPr>
              <w:t>s</w:t>
            </w:r>
          </w:p>
        </w:tc>
        <w:tc>
          <w:tcPr>
            <w:tcW w:w="992" w:type="dxa"/>
          </w:tcPr>
          <w:p w14:paraId="6A419CA8" w14:textId="77777777" w:rsidR="001047AD" w:rsidRPr="008F735E" w:rsidRDefault="001047AD" w:rsidP="00345DEF">
            <w:pPr>
              <w:keepNext/>
              <w:keepLines/>
              <w:tabs>
                <w:tab w:val="decimal" w:pos="256"/>
              </w:tabs>
              <w:spacing w:before="60" w:after="60"/>
              <w:jc w:val="center"/>
              <w:rPr>
                <w:sz w:val="14"/>
                <w:szCs w:val="14"/>
              </w:rPr>
            </w:pPr>
          </w:p>
        </w:tc>
        <w:tc>
          <w:tcPr>
            <w:tcW w:w="737" w:type="dxa"/>
          </w:tcPr>
          <w:p w14:paraId="7223D808" w14:textId="77777777" w:rsidR="001047AD" w:rsidRPr="008F735E" w:rsidRDefault="001047AD" w:rsidP="00345DEF">
            <w:pPr>
              <w:keepNext/>
              <w:keepLines/>
              <w:tabs>
                <w:tab w:val="decimal" w:pos="256"/>
              </w:tabs>
              <w:spacing w:before="60" w:after="60"/>
              <w:jc w:val="center"/>
              <w:rPr>
                <w:sz w:val="14"/>
                <w:szCs w:val="14"/>
              </w:rPr>
            </w:pPr>
          </w:p>
        </w:tc>
        <w:tc>
          <w:tcPr>
            <w:tcW w:w="681" w:type="dxa"/>
          </w:tcPr>
          <w:p w14:paraId="6423A689" w14:textId="77777777" w:rsidR="001047AD" w:rsidRPr="008F735E" w:rsidRDefault="001047AD" w:rsidP="00345DEF">
            <w:pPr>
              <w:keepNext/>
              <w:keepLines/>
              <w:tabs>
                <w:tab w:val="decimal" w:pos="256"/>
              </w:tabs>
              <w:spacing w:before="60" w:after="60"/>
              <w:jc w:val="center"/>
              <w:rPr>
                <w:sz w:val="14"/>
                <w:szCs w:val="14"/>
              </w:rPr>
            </w:pPr>
          </w:p>
        </w:tc>
        <w:tc>
          <w:tcPr>
            <w:tcW w:w="651" w:type="dxa"/>
          </w:tcPr>
          <w:p w14:paraId="46B8CAE2" w14:textId="77777777" w:rsidR="001047AD" w:rsidRPr="008F735E" w:rsidRDefault="001047AD" w:rsidP="00345DEF">
            <w:pPr>
              <w:keepNext/>
              <w:keepLines/>
              <w:tabs>
                <w:tab w:val="decimal" w:pos="256"/>
              </w:tabs>
              <w:spacing w:before="60" w:after="60"/>
              <w:jc w:val="center"/>
              <w:rPr>
                <w:sz w:val="14"/>
                <w:szCs w:val="14"/>
              </w:rPr>
            </w:pPr>
          </w:p>
        </w:tc>
        <w:tc>
          <w:tcPr>
            <w:tcW w:w="666" w:type="dxa"/>
          </w:tcPr>
          <w:p w14:paraId="3A4C1645" w14:textId="77777777" w:rsidR="001047AD" w:rsidRPr="008F735E" w:rsidRDefault="001047AD" w:rsidP="00345DEF">
            <w:pPr>
              <w:keepNext/>
              <w:keepLines/>
              <w:tabs>
                <w:tab w:val="decimal" w:pos="256"/>
              </w:tabs>
              <w:spacing w:before="60" w:after="60"/>
              <w:jc w:val="center"/>
              <w:rPr>
                <w:sz w:val="14"/>
                <w:szCs w:val="14"/>
              </w:rPr>
            </w:pPr>
          </w:p>
        </w:tc>
        <w:tc>
          <w:tcPr>
            <w:tcW w:w="667" w:type="dxa"/>
          </w:tcPr>
          <w:p w14:paraId="13FF2A90" w14:textId="77777777" w:rsidR="001047AD" w:rsidRPr="008F735E" w:rsidRDefault="001047AD" w:rsidP="00345DEF">
            <w:pPr>
              <w:keepNext/>
              <w:keepLines/>
              <w:tabs>
                <w:tab w:val="decimal" w:pos="256"/>
              </w:tabs>
              <w:spacing w:before="60" w:after="60"/>
              <w:jc w:val="center"/>
              <w:rPr>
                <w:sz w:val="14"/>
                <w:szCs w:val="14"/>
              </w:rPr>
            </w:pPr>
          </w:p>
        </w:tc>
        <w:tc>
          <w:tcPr>
            <w:tcW w:w="1134" w:type="dxa"/>
          </w:tcPr>
          <w:p w14:paraId="3F109374" w14:textId="77777777" w:rsidR="001047AD" w:rsidRPr="008F735E" w:rsidRDefault="001047AD" w:rsidP="00345DEF">
            <w:pPr>
              <w:keepNext/>
              <w:keepLines/>
              <w:tabs>
                <w:tab w:val="decimal" w:pos="256"/>
              </w:tabs>
              <w:spacing w:before="60" w:after="60"/>
              <w:jc w:val="center"/>
              <w:rPr>
                <w:sz w:val="14"/>
                <w:szCs w:val="14"/>
              </w:rPr>
            </w:pPr>
          </w:p>
        </w:tc>
        <w:tc>
          <w:tcPr>
            <w:tcW w:w="851" w:type="dxa"/>
          </w:tcPr>
          <w:p w14:paraId="79F5AB5E" w14:textId="77777777" w:rsidR="001047AD" w:rsidRPr="008F735E" w:rsidRDefault="001047AD" w:rsidP="00345DEF">
            <w:pPr>
              <w:keepNext/>
              <w:keepLines/>
              <w:tabs>
                <w:tab w:val="decimal" w:pos="256"/>
              </w:tabs>
              <w:spacing w:before="60" w:after="60"/>
              <w:jc w:val="center"/>
              <w:rPr>
                <w:sz w:val="14"/>
                <w:szCs w:val="14"/>
              </w:rPr>
            </w:pPr>
          </w:p>
        </w:tc>
        <w:tc>
          <w:tcPr>
            <w:tcW w:w="1134" w:type="dxa"/>
          </w:tcPr>
          <w:p w14:paraId="60BC3A5F" w14:textId="77777777" w:rsidR="001047AD" w:rsidRPr="008F735E" w:rsidRDefault="001047AD" w:rsidP="00345DEF">
            <w:pPr>
              <w:keepNext/>
              <w:keepLines/>
              <w:tabs>
                <w:tab w:val="decimal" w:pos="256"/>
              </w:tabs>
              <w:spacing w:before="60" w:after="60"/>
              <w:jc w:val="center"/>
              <w:rPr>
                <w:sz w:val="14"/>
                <w:szCs w:val="14"/>
              </w:rPr>
            </w:pPr>
          </w:p>
        </w:tc>
        <w:tc>
          <w:tcPr>
            <w:tcW w:w="921" w:type="dxa"/>
          </w:tcPr>
          <w:p w14:paraId="301826DA" w14:textId="77777777" w:rsidR="001047AD" w:rsidRPr="008F735E" w:rsidRDefault="001047AD" w:rsidP="00345DEF">
            <w:pPr>
              <w:keepNext/>
              <w:keepLines/>
              <w:tabs>
                <w:tab w:val="decimal" w:pos="256"/>
              </w:tabs>
              <w:spacing w:before="60" w:after="60"/>
              <w:jc w:val="center"/>
              <w:rPr>
                <w:sz w:val="14"/>
                <w:szCs w:val="14"/>
              </w:rPr>
            </w:pPr>
          </w:p>
        </w:tc>
      </w:tr>
      <w:tr w:rsidR="001047AD" w:rsidRPr="008F735E" w14:paraId="4A1913B5" w14:textId="77777777" w:rsidTr="00740A34">
        <w:tc>
          <w:tcPr>
            <w:tcW w:w="1347" w:type="dxa"/>
            <w:shd w:val="clear" w:color="auto" w:fill="auto"/>
            <w:vAlign w:val="bottom"/>
          </w:tcPr>
          <w:p w14:paraId="2E3C67BA" w14:textId="77777777" w:rsidR="001047AD" w:rsidRPr="008F735E" w:rsidRDefault="001047AD" w:rsidP="00345DEF">
            <w:pPr>
              <w:keepNext/>
              <w:keepLines/>
              <w:tabs>
                <w:tab w:val="left" w:pos="106"/>
              </w:tabs>
              <w:spacing w:before="60" w:after="60"/>
              <w:rPr>
                <w:sz w:val="14"/>
                <w:szCs w:val="14"/>
              </w:rPr>
            </w:pPr>
            <w:r w:rsidRPr="008F735E">
              <w:rPr>
                <w:sz w:val="14"/>
                <w:szCs w:val="14"/>
              </w:rPr>
              <w:tab/>
            </w:r>
            <w:r>
              <w:rPr>
                <w:sz w:val="14"/>
                <w:szCs w:val="14"/>
              </w:rPr>
              <w:t>t</w:t>
            </w:r>
            <w:r w:rsidRPr="008F735E">
              <w:rPr>
                <w:sz w:val="14"/>
                <w:szCs w:val="14"/>
              </w:rPr>
              <w:t xml:space="preserve"> = </w:t>
            </w:r>
            <w:r>
              <w:rPr>
                <w:sz w:val="14"/>
                <w:szCs w:val="14"/>
              </w:rPr>
              <w:t>28</w:t>
            </w:r>
            <w:r w:rsidRPr="008F735E">
              <w:rPr>
                <w:sz w:val="14"/>
                <w:szCs w:val="14"/>
              </w:rPr>
              <w:t>%</w:t>
            </w:r>
          </w:p>
        </w:tc>
        <w:tc>
          <w:tcPr>
            <w:tcW w:w="992" w:type="dxa"/>
          </w:tcPr>
          <w:p w14:paraId="5E64114D" w14:textId="77777777" w:rsidR="001047AD" w:rsidRPr="008F735E" w:rsidRDefault="001047AD" w:rsidP="00345DEF">
            <w:pPr>
              <w:keepNext/>
              <w:keepLines/>
              <w:tabs>
                <w:tab w:val="decimal" w:pos="256"/>
              </w:tabs>
              <w:spacing w:before="60" w:after="60"/>
              <w:jc w:val="center"/>
              <w:rPr>
                <w:sz w:val="14"/>
                <w:szCs w:val="14"/>
              </w:rPr>
            </w:pPr>
            <w:r>
              <w:rPr>
                <w:sz w:val="14"/>
                <w:szCs w:val="14"/>
              </w:rPr>
              <w:t>21.3</w:t>
            </w:r>
            <w:r w:rsidRPr="008A3106">
              <w:rPr>
                <w:sz w:val="14"/>
                <w:szCs w:val="14"/>
              </w:rPr>
              <w:t>%</w:t>
            </w:r>
          </w:p>
        </w:tc>
        <w:tc>
          <w:tcPr>
            <w:tcW w:w="737" w:type="dxa"/>
          </w:tcPr>
          <w:p w14:paraId="3FF8A2CB" w14:textId="77777777" w:rsidR="001047AD" w:rsidRPr="008F735E" w:rsidRDefault="001047AD" w:rsidP="00345DEF">
            <w:pPr>
              <w:keepNext/>
              <w:keepLines/>
              <w:tabs>
                <w:tab w:val="decimal" w:pos="256"/>
              </w:tabs>
              <w:spacing w:before="60" w:after="60"/>
              <w:jc w:val="center"/>
              <w:rPr>
                <w:sz w:val="14"/>
                <w:szCs w:val="14"/>
              </w:rPr>
            </w:pPr>
            <w:r>
              <w:rPr>
                <w:sz w:val="14"/>
                <w:szCs w:val="14"/>
              </w:rPr>
              <w:t>27.6</w:t>
            </w:r>
            <w:r w:rsidRPr="008A3106">
              <w:rPr>
                <w:sz w:val="14"/>
                <w:szCs w:val="14"/>
              </w:rPr>
              <w:t>%</w:t>
            </w:r>
          </w:p>
        </w:tc>
        <w:tc>
          <w:tcPr>
            <w:tcW w:w="681" w:type="dxa"/>
          </w:tcPr>
          <w:p w14:paraId="408A2E32" w14:textId="77777777" w:rsidR="001047AD" w:rsidRPr="008F735E" w:rsidRDefault="001047AD" w:rsidP="00345DEF">
            <w:pPr>
              <w:keepNext/>
              <w:keepLines/>
              <w:tabs>
                <w:tab w:val="decimal" w:pos="256"/>
              </w:tabs>
              <w:spacing w:before="60" w:after="60"/>
              <w:jc w:val="center"/>
              <w:rPr>
                <w:sz w:val="14"/>
                <w:szCs w:val="14"/>
              </w:rPr>
            </w:pPr>
            <w:r>
              <w:rPr>
                <w:sz w:val="14"/>
                <w:szCs w:val="14"/>
              </w:rPr>
              <w:t>27.0</w:t>
            </w:r>
            <w:r w:rsidRPr="008A3106">
              <w:rPr>
                <w:sz w:val="14"/>
                <w:szCs w:val="14"/>
              </w:rPr>
              <w:t>%</w:t>
            </w:r>
          </w:p>
        </w:tc>
        <w:tc>
          <w:tcPr>
            <w:tcW w:w="651" w:type="dxa"/>
          </w:tcPr>
          <w:p w14:paraId="101B15F3" w14:textId="77777777" w:rsidR="001047AD" w:rsidRPr="008F735E" w:rsidRDefault="001047AD" w:rsidP="00345DEF">
            <w:pPr>
              <w:keepNext/>
              <w:keepLines/>
              <w:tabs>
                <w:tab w:val="decimal" w:pos="256"/>
              </w:tabs>
              <w:spacing w:before="60" w:after="60"/>
              <w:jc w:val="center"/>
              <w:rPr>
                <w:sz w:val="14"/>
                <w:szCs w:val="14"/>
              </w:rPr>
            </w:pPr>
            <w:r>
              <w:rPr>
                <w:sz w:val="14"/>
                <w:szCs w:val="14"/>
              </w:rPr>
              <w:t>23.7</w:t>
            </w:r>
            <w:r w:rsidRPr="008A3106">
              <w:rPr>
                <w:sz w:val="14"/>
                <w:szCs w:val="14"/>
              </w:rPr>
              <w:t>%</w:t>
            </w:r>
          </w:p>
        </w:tc>
        <w:tc>
          <w:tcPr>
            <w:tcW w:w="666" w:type="dxa"/>
          </w:tcPr>
          <w:p w14:paraId="7A25C053" w14:textId="77777777" w:rsidR="001047AD" w:rsidRPr="008F735E" w:rsidRDefault="001047AD" w:rsidP="00345DEF">
            <w:pPr>
              <w:keepNext/>
              <w:keepLines/>
              <w:tabs>
                <w:tab w:val="decimal" w:pos="256"/>
              </w:tabs>
              <w:spacing w:before="60" w:after="60"/>
              <w:jc w:val="center"/>
              <w:rPr>
                <w:sz w:val="14"/>
                <w:szCs w:val="14"/>
              </w:rPr>
            </w:pPr>
            <w:r>
              <w:rPr>
                <w:sz w:val="14"/>
                <w:szCs w:val="14"/>
              </w:rPr>
              <w:t>20.1</w:t>
            </w:r>
            <w:r w:rsidRPr="008A3106">
              <w:rPr>
                <w:sz w:val="14"/>
                <w:szCs w:val="14"/>
              </w:rPr>
              <w:t>%</w:t>
            </w:r>
          </w:p>
        </w:tc>
        <w:tc>
          <w:tcPr>
            <w:tcW w:w="667" w:type="dxa"/>
          </w:tcPr>
          <w:p w14:paraId="15502112" w14:textId="77777777" w:rsidR="001047AD" w:rsidRPr="008F735E" w:rsidRDefault="001047AD" w:rsidP="00345DEF">
            <w:pPr>
              <w:keepNext/>
              <w:keepLines/>
              <w:tabs>
                <w:tab w:val="decimal" w:pos="256"/>
              </w:tabs>
              <w:spacing w:before="60" w:after="60"/>
              <w:jc w:val="center"/>
              <w:rPr>
                <w:sz w:val="14"/>
                <w:szCs w:val="14"/>
              </w:rPr>
            </w:pPr>
            <w:r>
              <w:rPr>
                <w:sz w:val="14"/>
                <w:szCs w:val="14"/>
              </w:rPr>
              <w:t>17.3</w:t>
            </w:r>
            <w:r w:rsidRPr="008A3106">
              <w:rPr>
                <w:sz w:val="14"/>
                <w:szCs w:val="14"/>
              </w:rPr>
              <w:t>%</w:t>
            </w:r>
          </w:p>
        </w:tc>
        <w:tc>
          <w:tcPr>
            <w:tcW w:w="1134" w:type="dxa"/>
          </w:tcPr>
          <w:p w14:paraId="3E117F30" w14:textId="1C4D6CB5" w:rsidR="001047AD" w:rsidRPr="008F735E" w:rsidRDefault="001047AD" w:rsidP="00345DEF">
            <w:pPr>
              <w:keepNext/>
              <w:keepLines/>
              <w:tabs>
                <w:tab w:val="decimal" w:pos="256"/>
              </w:tabs>
              <w:spacing w:before="60" w:after="60"/>
              <w:jc w:val="center"/>
              <w:rPr>
                <w:sz w:val="14"/>
                <w:szCs w:val="14"/>
              </w:rPr>
            </w:pPr>
            <w:r>
              <w:rPr>
                <w:sz w:val="14"/>
                <w:szCs w:val="14"/>
              </w:rPr>
              <w:t>11.2</w:t>
            </w:r>
            <w:r w:rsidRPr="008A3106">
              <w:rPr>
                <w:sz w:val="14"/>
                <w:szCs w:val="14"/>
              </w:rPr>
              <w:t>%</w:t>
            </w:r>
          </w:p>
        </w:tc>
        <w:tc>
          <w:tcPr>
            <w:tcW w:w="851" w:type="dxa"/>
          </w:tcPr>
          <w:p w14:paraId="40493180" w14:textId="77777777" w:rsidR="001047AD" w:rsidRPr="008F735E" w:rsidRDefault="001047AD" w:rsidP="00345DEF">
            <w:pPr>
              <w:keepNext/>
              <w:keepLines/>
              <w:tabs>
                <w:tab w:val="decimal" w:pos="256"/>
              </w:tabs>
              <w:spacing w:before="60" w:after="60"/>
              <w:jc w:val="center"/>
              <w:rPr>
                <w:sz w:val="14"/>
                <w:szCs w:val="14"/>
              </w:rPr>
            </w:pPr>
            <w:r>
              <w:rPr>
                <w:sz w:val="14"/>
                <w:szCs w:val="14"/>
              </w:rPr>
              <w:t>27.6</w:t>
            </w:r>
            <w:r w:rsidRPr="008A3106">
              <w:rPr>
                <w:sz w:val="14"/>
                <w:szCs w:val="14"/>
              </w:rPr>
              <w:t>%</w:t>
            </w:r>
          </w:p>
        </w:tc>
        <w:tc>
          <w:tcPr>
            <w:tcW w:w="1134" w:type="dxa"/>
          </w:tcPr>
          <w:p w14:paraId="52FCC5E7" w14:textId="77777777" w:rsidR="001047AD" w:rsidRPr="008F735E" w:rsidRDefault="001047AD" w:rsidP="00345DEF">
            <w:pPr>
              <w:keepNext/>
              <w:keepLines/>
              <w:tabs>
                <w:tab w:val="decimal" w:pos="256"/>
              </w:tabs>
              <w:spacing w:before="60" w:after="60"/>
              <w:jc w:val="center"/>
              <w:rPr>
                <w:sz w:val="14"/>
                <w:szCs w:val="14"/>
              </w:rPr>
            </w:pPr>
            <w:r>
              <w:rPr>
                <w:sz w:val="14"/>
                <w:szCs w:val="14"/>
              </w:rPr>
              <w:t>-0.3</w:t>
            </w:r>
            <w:r w:rsidRPr="008A3106">
              <w:rPr>
                <w:sz w:val="14"/>
                <w:szCs w:val="14"/>
              </w:rPr>
              <w:t>%</w:t>
            </w:r>
          </w:p>
        </w:tc>
        <w:tc>
          <w:tcPr>
            <w:tcW w:w="921" w:type="dxa"/>
          </w:tcPr>
          <w:p w14:paraId="464116EB" w14:textId="77777777" w:rsidR="001047AD" w:rsidRPr="008F735E" w:rsidRDefault="001047AD" w:rsidP="00345DEF">
            <w:pPr>
              <w:keepNext/>
              <w:keepLines/>
              <w:tabs>
                <w:tab w:val="decimal" w:pos="256"/>
              </w:tabs>
              <w:spacing w:before="60" w:after="60"/>
              <w:jc w:val="center"/>
              <w:rPr>
                <w:sz w:val="14"/>
                <w:szCs w:val="14"/>
              </w:rPr>
            </w:pPr>
            <w:r>
              <w:rPr>
                <w:sz w:val="14"/>
                <w:szCs w:val="14"/>
              </w:rPr>
              <w:t>-23.3</w:t>
            </w:r>
            <w:r w:rsidRPr="008A3106">
              <w:rPr>
                <w:sz w:val="14"/>
                <w:szCs w:val="14"/>
              </w:rPr>
              <w:t>%</w:t>
            </w:r>
          </w:p>
        </w:tc>
      </w:tr>
      <w:tr w:rsidR="001047AD" w:rsidRPr="008F735E" w14:paraId="700EA9AC" w14:textId="77777777" w:rsidTr="00740A34">
        <w:tc>
          <w:tcPr>
            <w:tcW w:w="1347" w:type="dxa"/>
            <w:shd w:val="clear" w:color="auto" w:fill="auto"/>
            <w:vAlign w:val="bottom"/>
          </w:tcPr>
          <w:p w14:paraId="3F15D488" w14:textId="77777777" w:rsidR="001047AD" w:rsidRPr="008F735E" w:rsidRDefault="001047AD" w:rsidP="00345DEF">
            <w:pPr>
              <w:keepNext/>
              <w:keepLines/>
              <w:tabs>
                <w:tab w:val="left" w:pos="106"/>
              </w:tabs>
              <w:spacing w:before="60" w:after="60"/>
              <w:rPr>
                <w:sz w:val="14"/>
                <w:szCs w:val="14"/>
              </w:rPr>
            </w:pPr>
            <w:r w:rsidRPr="008F735E">
              <w:rPr>
                <w:sz w:val="14"/>
                <w:szCs w:val="14"/>
              </w:rPr>
              <w:tab/>
            </w:r>
            <w:r>
              <w:rPr>
                <w:sz w:val="14"/>
                <w:szCs w:val="14"/>
              </w:rPr>
              <w:t>t</w:t>
            </w:r>
            <w:r w:rsidRPr="008F735E">
              <w:rPr>
                <w:sz w:val="14"/>
                <w:szCs w:val="14"/>
              </w:rPr>
              <w:t xml:space="preserve"> = </w:t>
            </w:r>
            <w:r>
              <w:rPr>
                <w:sz w:val="14"/>
                <w:szCs w:val="14"/>
              </w:rPr>
              <w:t>24</w:t>
            </w:r>
            <w:r w:rsidRPr="008F735E">
              <w:rPr>
                <w:sz w:val="14"/>
                <w:szCs w:val="14"/>
              </w:rPr>
              <w:t>%</w:t>
            </w:r>
          </w:p>
        </w:tc>
        <w:tc>
          <w:tcPr>
            <w:tcW w:w="992" w:type="dxa"/>
          </w:tcPr>
          <w:p w14:paraId="43872DB6" w14:textId="61500A95" w:rsidR="001047AD" w:rsidRPr="008F735E" w:rsidRDefault="001047AD" w:rsidP="00345DEF">
            <w:pPr>
              <w:keepNext/>
              <w:keepLines/>
              <w:tabs>
                <w:tab w:val="decimal" w:pos="256"/>
              </w:tabs>
              <w:spacing w:before="60" w:after="60"/>
              <w:jc w:val="center"/>
              <w:rPr>
                <w:sz w:val="14"/>
                <w:szCs w:val="14"/>
              </w:rPr>
            </w:pPr>
            <w:r>
              <w:rPr>
                <w:sz w:val="14"/>
                <w:szCs w:val="14"/>
              </w:rPr>
              <w:t>18.1</w:t>
            </w:r>
            <w:r w:rsidRPr="008A3106">
              <w:rPr>
                <w:sz w:val="14"/>
                <w:szCs w:val="14"/>
              </w:rPr>
              <w:t>%</w:t>
            </w:r>
          </w:p>
        </w:tc>
        <w:tc>
          <w:tcPr>
            <w:tcW w:w="737" w:type="dxa"/>
          </w:tcPr>
          <w:p w14:paraId="33F183D2" w14:textId="77777777" w:rsidR="001047AD" w:rsidRPr="008F735E" w:rsidRDefault="001047AD" w:rsidP="00345DEF">
            <w:pPr>
              <w:keepNext/>
              <w:keepLines/>
              <w:tabs>
                <w:tab w:val="decimal" w:pos="256"/>
              </w:tabs>
              <w:spacing w:before="60" w:after="60"/>
              <w:jc w:val="center"/>
              <w:rPr>
                <w:sz w:val="14"/>
                <w:szCs w:val="14"/>
              </w:rPr>
            </w:pPr>
            <w:r>
              <w:rPr>
                <w:sz w:val="14"/>
                <w:szCs w:val="14"/>
              </w:rPr>
              <w:t>23.8</w:t>
            </w:r>
            <w:r w:rsidRPr="008A3106">
              <w:rPr>
                <w:sz w:val="14"/>
                <w:szCs w:val="14"/>
              </w:rPr>
              <w:t>%</w:t>
            </w:r>
          </w:p>
        </w:tc>
        <w:tc>
          <w:tcPr>
            <w:tcW w:w="681" w:type="dxa"/>
          </w:tcPr>
          <w:p w14:paraId="535AEDEC" w14:textId="77777777" w:rsidR="001047AD" w:rsidRPr="008F735E" w:rsidRDefault="001047AD" w:rsidP="00345DEF">
            <w:pPr>
              <w:keepNext/>
              <w:keepLines/>
              <w:tabs>
                <w:tab w:val="decimal" w:pos="256"/>
              </w:tabs>
              <w:spacing w:before="60" w:after="60"/>
              <w:jc w:val="center"/>
              <w:rPr>
                <w:sz w:val="14"/>
                <w:szCs w:val="14"/>
              </w:rPr>
            </w:pPr>
            <w:r>
              <w:rPr>
                <w:sz w:val="14"/>
                <w:szCs w:val="14"/>
              </w:rPr>
              <w:t>23.3</w:t>
            </w:r>
            <w:r w:rsidRPr="008A3106">
              <w:rPr>
                <w:sz w:val="14"/>
                <w:szCs w:val="14"/>
              </w:rPr>
              <w:t>%</w:t>
            </w:r>
          </w:p>
        </w:tc>
        <w:tc>
          <w:tcPr>
            <w:tcW w:w="651" w:type="dxa"/>
          </w:tcPr>
          <w:p w14:paraId="62666062" w14:textId="77777777" w:rsidR="001047AD" w:rsidRPr="008F735E" w:rsidRDefault="001047AD" w:rsidP="00345DEF">
            <w:pPr>
              <w:keepNext/>
              <w:keepLines/>
              <w:tabs>
                <w:tab w:val="decimal" w:pos="256"/>
              </w:tabs>
              <w:spacing w:before="60" w:after="60"/>
              <w:jc w:val="center"/>
              <w:rPr>
                <w:sz w:val="14"/>
                <w:szCs w:val="14"/>
              </w:rPr>
            </w:pPr>
            <w:r>
              <w:rPr>
                <w:sz w:val="14"/>
                <w:szCs w:val="14"/>
              </w:rPr>
              <w:t>20.2</w:t>
            </w:r>
            <w:r w:rsidRPr="008A3106">
              <w:rPr>
                <w:sz w:val="14"/>
                <w:szCs w:val="14"/>
              </w:rPr>
              <w:t>%</w:t>
            </w:r>
          </w:p>
        </w:tc>
        <w:tc>
          <w:tcPr>
            <w:tcW w:w="666" w:type="dxa"/>
          </w:tcPr>
          <w:p w14:paraId="0C8C6DCA" w14:textId="77777777" w:rsidR="001047AD" w:rsidRPr="008F735E" w:rsidRDefault="001047AD" w:rsidP="00345DEF">
            <w:pPr>
              <w:keepNext/>
              <w:keepLines/>
              <w:tabs>
                <w:tab w:val="decimal" w:pos="256"/>
              </w:tabs>
              <w:spacing w:before="60" w:after="60"/>
              <w:jc w:val="center"/>
              <w:rPr>
                <w:sz w:val="14"/>
                <w:szCs w:val="14"/>
              </w:rPr>
            </w:pPr>
            <w:r>
              <w:rPr>
                <w:sz w:val="14"/>
                <w:szCs w:val="14"/>
              </w:rPr>
              <w:t>17.1</w:t>
            </w:r>
            <w:r w:rsidRPr="008A3106">
              <w:rPr>
                <w:sz w:val="14"/>
                <w:szCs w:val="14"/>
              </w:rPr>
              <w:t>%</w:t>
            </w:r>
          </w:p>
        </w:tc>
        <w:tc>
          <w:tcPr>
            <w:tcW w:w="667" w:type="dxa"/>
          </w:tcPr>
          <w:p w14:paraId="025C9E3A" w14:textId="77777777" w:rsidR="001047AD" w:rsidRPr="008F735E" w:rsidRDefault="001047AD" w:rsidP="00345DEF">
            <w:pPr>
              <w:keepNext/>
              <w:keepLines/>
              <w:tabs>
                <w:tab w:val="decimal" w:pos="256"/>
              </w:tabs>
              <w:spacing w:before="60" w:after="60"/>
              <w:jc w:val="center"/>
              <w:rPr>
                <w:sz w:val="14"/>
                <w:szCs w:val="14"/>
              </w:rPr>
            </w:pPr>
            <w:r>
              <w:rPr>
                <w:sz w:val="14"/>
                <w:szCs w:val="14"/>
              </w:rPr>
              <w:t>14.6</w:t>
            </w:r>
            <w:r w:rsidRPr="008A3106">
              <w:rPr>
                <w:sz w:val="14"/>
                <w:szCs w:val="14"/>
              </w:rPr>
              <w:t>%</w:t>
            </w:r>
          </w:p>
        </w:tc>
        <w:tc>
          <w:tcPr>
            <w:tcW w:w="1134" w:type="dxa"/>
          </w:tcPr>
          <w:p w14:paraId="362EC142" w14:textId="56B2E41F" w:rsidR="001047AD" w:rsidRPr="008F735E" w:rsidRDefault="001047AD" w:rsidP="00345DEF">
            <w:pPr>
              <w:keepNext/>
              <w:keepLines/>
              <w:tabs>
                <w:tab w:val="decimal" w:pos="256"/>
              </w:tabs>
              <w:spacing w:before="60" w:after="60"/>
              <w:jc w:val="center"/>
              <w:rPr>
                <w:sz w:val="14"/>
                <w:szCs w:val="14"/>
              </w:rPr>
            </w:pPr>
            <w:r>
              <w:rPr>
                <w:sz w:val="14"/>
                <w:szCs w:val="14"/>
              </w:rPr>
              <w:t>9.5</w:t>
            </w:r>
            <w:r w:rsidRPr="008A3106">
              <w:rPr>
                <w:sz w:val="14"/>
                <w:szCs w:val="14"/>
              </w:rPr>
              <w:t>%</w:t>
            </w:r>
          </w:p>
        </w:tc>
        <w:tc>
          <w:tcPr>
            <w:tcW w:w="851" w:type="dxa"/>
          </w:tcPr>
          <w:p w14:paraId="3AB8BE92" w14:textId="77777777" w:rsidR="001047AD" w:rsidRPr="008F735E" w:rsidRDefault="001047AD" w:rsidP="00345DEF">
            <w:pPr>
              <w:keepNext/>
              <w:keepLines/>
              <w:tabs>
                <w:tab w:val="decimal" w:pos="256"/>
              </w:tabs>
              <w:spacing w:before="60" w:after="60"/>
              <w:jc w:val="center"/>
              <w:rPr>
                <w:sz w:val="14"/>
                <w:szCs w:val="14"/>
              </w:rPr>
            </w:pPr>
            <w:r>
              <w:rPr>
                <w:sz w:val="14"/>
                <w:szCs w:val="14"/>
              </w:rPr>
              <w:t>23.8</w:t>
            </w:r>
            <w:r w:rsidRPr="008A3106">
              <w:rPr>
                <w:sz w:val="14"/>
                <w:szCs w:val="14"/>
              </w:rPr>
              <w:t>%</w:t>
            </w:r>
          </w:p>
        </w:tc>
        <w:tc>
          <w:tcPr>
            <w:tcW w:w="1134" w:type="dxa"/>
          </w:tcPr>
          <w:p w14:paraId="5C73BD5B" w14:textId="77777777" w:rsidR="001047AD" w:rsidRPr="008F735E" w:rsidRDefault="001047AD" w:rsidP="00345DEF">
            <w:pPr>
              <w:keepNext/>
              <w:keepLines/>
              <w:tabs>
                <w:tab w:val="decimal" w:pos="256"/>
              </w:tabs>
              <w:spacing w:before="60" w:after="60"/>
              <w:jc w:val="center"/>
              <w:rPr>
                <w:sz w:val="14"/>
                <w:szCs w:val="14"/>
              </w:rPr>
            </w:pPr>
            <w:r>
              <w:rPr>
                <w:sz w:val="14"/>
                <w:szCs w:val="14"/>
              </w:rPr>
              <w:t>0.0</w:t>
            </w:r>
            <w:r w:rsidRPr="008A3106">
              <w:rPr>
                <w:sz w:val="14"/>
                <w:szCs w:val="14"/>
              </w:rPr>
              <w:t>%</w:t>
            </w:r>
          </w:p>
        </w:tc>
        <w:tc>
          <w:tcPr>
            <w:tcW w:w="921" w:type="dxa"/>
          </w:tcPr>
          <w:p w14:paraId="5F342F7D" w14:textId="77777777" w:rsidR="001047AD" w:rsidRPr="008F735E" w:rsidRDefault="001047AD" w:rsidP="00345DEF">
            <w:pPr>
              <w:keepNext/>
              <w:keepLines/>
              <w:tabs>
                <w:tab w:val="decimal" w:pos="256"/>
              </w:tabs>
              <w:spacing w:before="60" w:after="60"/>
              <w:jc w:val="center"/>
              <w:rPr>
                <w:sz w:val="14"/>
                <w:szCs w:val="14"/>
              </w:rPr>
            </w:pPr>
            <w:r>
              <w:rPr>
                <w:sz w:val="14"/>
                <w:szCs w:val="14"/>
              </w:rPr>
              <w:t>-19.0</w:t>
            </w:r>
            <w:r w:rsidRPr="008A3106">
              <w:rPr>
                <w:sz w:val="14"/>
                <w:szCs w:val="14"/>
              </w:rPr>
              <w:t>%</w:t>
            </w:r>
          </w:p>
        </w:tc>
      </w:tr>
      <w:tr w:rsidR="001047AD" w:rsidRPr="008F735E" w14:paraId="27B7F789" w14:textId="77777777" w:rsidTr="00740A34">
        <w:tc>
          <w:tcPr>
            <w:tcW w:w="1347" w:type="dxa"/>
            <w:shd w:val="clear" w:color="auto" w:fill="auto"/>
            <w:vAlign w:val="bottom"/>
          </w:tcPr>
          <w:p w14:paraId="7D900E76" w14:textId="77777777" w:rsidR="001047AD" w:rsidRPr="008F735E" w:rsidRDefault="001047AD" w:rsidP="00345DEF">
            <w:pPr>
              <w:keepNext/>
              <w:keepLines/>
              <w:tabs>
                <w:tab w:val="left" w:pos="106"/>
              </w:tabs>
              <w:spacing w:before="60" w:after="60"/>
              <w:rPr>
                <w:sz w:val="14"/>
                <w:szCs w:val="14"/>
              </w:rPr>
            </w:pPr>
            <w:r w:rsidRPr="008F735E">
              <w:rPr>
                <w:sz w:val="14"/>
                <w:szCs w:val="14"/>
              </w:rPr>
              <w:tab/>
            </w:r>
            <w:r>
              <w:rPr>
                <w:sz w:val="14"/>
                <w:szCs w:val="14"/>
              </w:rPr>
              <w:t>t</w:t>
            </w:r>
            <w:r w:rsidRPr="008F735E">
              <w:rPr>
                <w:sz w:val="14"/>
                <w:szCs w:val="14"/>
              </w:rPr>
              <w:t xml:space="preserve"> = </w:t>
            </w:r>
            <w:r>
              <w:rPr>
                <w:sz w:val="14"/>
                <w:szCs w:val="14"/>
              </w:rPr>
              <w:t>20</w:t>
            </w:r>
            <w:r w:rsidRPr="008F735E">
              <w:rPr>
                <w:sz w:val="14"/>
                <w:szCs w:val="14"/>
              </w:rPr>
              <w:t>%</w:t>
            </w:r>
          </w:p>
        </w:tc>
        <w:tc>
          <w:tcPr>
            <w:tcW w:w="992" w:type="dxa"/>
          </w:tcPr>
          <w:p w14:paraId="1A87C320" w14:textId="77777777" w:rsidR="001047AD" w:rsidRPr="008F735E" w:rsidRDefault="001047AD" w:rsidP="00345DEF">
            <w:pPr>
              <w:keepNext/>
              <w:keepLines/>
              <w:tabs>
                <w:tab w:val="decimal" w:pos="256"/>
              </w:tabs>
              <w:spacing w:before="60" w:after="60"/>
              <w:jc w:val="center"/>
              <w:rPr>
                <w:sz w:val="14"/>
                <w:szCs w:val="14"/>
              </w:rPr>
            </w:pPr>
            <w:r>
              <w:rPr>
                <w:sz w:val="14"/>
                <w:szCs w:val="14"/>
              </w:rPr>
              <w:t>15.1</w:t>
            </w:r>
            <w:r w:rsidRPr="008A3106">
              <w:rPr>
                <w:sz w:val="14"/>
                <w:szCs w:val="14"/>
              </w:rPr>
              <w:t>%</w:t>
            </w:r>
          </w:p>
        </w:tc>
        <w:tc>
          <w:tcPr>
            <w:tcW w:w="737" w:type="dxa"/>
          </w:tcPr>
          <w:p w14:paraId="655558A5" w14:textId="77777777" w:rsidR="001047AD" w:rsidRPr="008F735E" w:rsidRDefault="001047AD" w:rsidP="00345DEF">
            <w:pPr>
              <w:keepNext/>
              <w:keepLines/>
              <w:tabs>
                <w:tab w:val="decimal" w:pos="256"/>
              </w:tabs>
              <w:spacing w:before="60" w:after="60"/>
              <w:jc w:val="center"/>
              <w:rPr>
                <w:sz w:val="14"/>
                <w:szCs w:val="14"/>
              </w:rPr>
            </w:pPr>
            <w:r>
              <w:rPr>
                <w:sz w:val="14"/>
                <w:szCs w:val="14"/>
              </w:rPr>
              <w:t>20.0</w:t>
            </w:r>
            <w:r w:rsidRPr="008A3106">
              <w:rPr>
                <w:sz w:val="14"/>
                <w:szCs w:val="14"/>
              </w:rPr>
              <w:t>%</w:t>
            </w:r>
          </w:p>
        </w:tc>
        <w:tc>
          <w:tcPr>
            <w:tcW w:w="681" w:type="dxa"/>
          </w:tcPr>
          <w:p w14:paraId="1636B0B9" w14:textId="27E66BFB" w:rsidR="001047AD" w:rsidRPr="008F735E" w:rsidRDefault="001047AD" w:rsidP="00345DEF">
            <w:pPr>
              <w:keepNext/>
              <w:keepLines/>
              <w:tabs>
                <w:tab w:val="decimal" w:pos="256"/>
              </w:tabs>
              <w:spacing w:before="60" w:after="60"/>
              <w:jc w:val="center"/>
              <w:rPr>
                <w:sz w:val="14"/>
                <w:szCs w:val="14"/>
              </w:rPr>
            </w:pPr>
            <w:r>
              <w:rPr>
                <w:sz w:val="14"/>
                <w:szCs w:val="14"/>
              </w:rPr>
              <w:t>19.5</w:t>
            </w:r>
            <w:r w:rsidRPr="008A3106">
              <w:rPr>
                <w:sz w:val="14"/>
                <w:szCs w:val="14"/>
              </w:rPr>
              <w:t>%</w:t>
            </w:r>
          </w:p>
        </w:tc>
        <w:tc>
          <w:tcPr>
            <w:tcW w:w="651" w:type="dxa"/>
          </w:tcPr>
          <w:p w14:paraId="4B266992" w14:textId="77777777" w:rsidR="001047AD" w:rsidRPr="008F735E" w:rsidRDefault="001047AD" w:rsidP="00345DEF">
            <w:pPr>
              <w:keepNext/>
              <w:keepLines/>
              <w:tabs>
                <w:tab w:val="decimal" w:pos="256"/>
              </w:tabs>
              <w:spacing w:before="60" w:after="60"/>
              <w:jc w:val="center"/>
              <w:rPr>
                <w:sz w:val="14"/>
                <w:szCs w:val="14"/>
              </w:rPr>
            </w:pPr>
            <w:r>
              <w:rPr>
                <w:sz w:val="14"/>
                <w:szCs w:val="14"/>
              </w:rPr>
              <w:t>16.9</w:t>
            </w:r>
            <w:r w:rsidRPr="008A3106">
              <w:rPr>
                <w:sz w:val="14"/>
                <w:szCs w:val="14"/>
              </w:rPr>
              <w:t>%</w:t>
            </w:r>
          </w:p>
        </w:tc>
        <w:tc>
          <w:tcPr>
            <w:tcW w:w="666" w:type="dxa"/>
          </w:tcPr>
          <w:p w14:paraId="1BACE101" w14:textId="77777777" w:rsidR="001047AD" w:rsidRPr="008F735E" w:rsidRDefault="001047AD" w:rsidP="00345DEF">
            <w:pPr>
              <w:keepNext/>
              <w:keepLines/>
              <w:tabs>
                <w:tab w:val="decimal" w:pos="256"/>
              </w:tabs>
              <w:spacing w:before="60" w:after="60"/>
              <w:jc w:val="center"/>
              <w:rPr>
                <w:sz w:val="14"/>
                <w:szCs w:val="14"/>
              </w:rPr>
            </w:pPr>
            <w:r>
              <w:rPr>
                <w:sz w:val="14"/>
                <w:szCs w:val="14"/>
              </w:rPr>
              <w:t>14.2</w:t>
            </w:r>
            <w:r w:rsidRPr="008A3106">
              <w:rPr>
                <w:sz w:val="14"/>
                <w:szCs w:val="14"/>
              </w:rPr>
              <w:t>%</w:t>
            </w:r>
          </w:p>
        </w:tc>
        <w:tc>
          <w:tcPr>
            <w:tcW w:w="667" w:type="dxa"/>
          </w:tcPr>
          <w:p w14:paraId="5240AA78" w14:textId="77777777" w:rsidR="001047AD" w:rsidRPr="008F735E" w:rsidRDefault="001047AD" w:rsidP="00345DEF">
            <w:pPr>
              <w:keepNext/>
              <w:keepLines/>
              <w:tabs>
                <w:tab w:val="decimal" w:pos="256"/>
              </w:tabs>
              <w:spacing w:before="60" w:after="60"/>
              <w:jc w:val="center"/>
              <w:rPr>
                <w:sz w:val="14"/>
                <w:szCs w:val="14"/>
              </w:rPr>
            </w:pPr>
            <w:r>
              <w:rPr>
                <w:sz w:val="14"/>
                <w:szCs w:val="14"/>
              </w:rPr>
              <w:t>12.1</w:t>
            </w:r>
            <w:r w:rsidRPr="008A3106">
              <w:rPr>
                <w:sz w:val="14"/>
                <w:szCs w:val="14"/>
              </w:rPr>
              <w:t>%</w:t>
            </w:r>
          </w:p>
        </w:tc>
        <w:tc>
          <w:tcPr>
            <w:tcW w:w="1134" w:type="dxa"/>
          </w:tcPr>
          <w:p w14:paraId="15D8A5E6" w14:textId="77777777" w:rsidR="001047AD" w:rsidRPr="008F735E" w:rsidRDefault="001047AD" w:rsidP="00345DEF">
            <w:pPr>
              <w:keepNext/>
              <w:keepLines/>
              <w:tabs>
                <w:tab w:val="decimal" w:pos="256"/>
              </w:tabs>
              <w:spacing w:before="60" w:after="60"/>
              <w:jc w:val="center"/>
              <w:rPr>
                <w:sz w:val="14"/>
                <w:szCs w:val="14"/>
              </w:rPr>
            </w:pPr>
            <w:r>
              <w:rPr>
                <w:sz w:val="14"/>
                <w:szCs w:val="14"/>
              </w:rPr>
              <w:t>8.0</w:t>
            </w:r>
            <w:r w:rsidRPr="008A3106">
              <w:rPr>
                <w:sz w:val="14"/>
                <w:szCs w:val="14"/>
              </w:rPr>
              <w:t>%</w:t>
            </w:r>
          </w:p>
        </w:tc>
        <w:tc>
          <w:tcPr>
            <w:tcW w:w="851" w:type="dxa"/>
          </w:tcPr>
          <w:p w14:paraId="3361160A" w14:textId="77777777" w:rsidR="001047AD" w:rsidRPr="008F735E" w:rsidRDefault="001047AD" w:rsidP="00345DEF">
            <w:pPr>
              <w:keepNext/>
              <w:keepLines/>
              <w:tabs>
                <w:tab w:val="decimal" w:pos="256"/>
              </w:tabs>
              <w:spacing w:before="60" w:after="60"/>
              <w:jc w:val="center"/>
              <w:rPr>
                <w:sz w:val="14"/>
                <w:szCs w:val="14"/>
              </w:rPr>
            </w:pPr>
            <w:r>
              <w:rPr>
                <w:sz w:val="14"/>
                <w:szCs w:val="14"/>
              </w:rPr>
              <w:t>20.0</w:t>
            </w:r>
            <w:r w:rsidRPr="008A3106">
              <w:rPr>
                <w:sz w:val="14"/>
                <w:szCs w:val="14"/>
              </w:rPr>
              <w:t>%</w:t>
            </w:r>
          </w:p>
        </w:tc>
        <w:tc>
          <w:tcPr>
            <w:tcW w:w="1134" w:type="dxa"/>
          </w:tcPr>
          <w:p w14:paraId="2E973AED" w14:textId="77777777" w:rsidR="001047AD" w:rsidRPr="008F735E" w:rsidRDefault="001047AD" w:rsidP="00345DEF">
            <w:pPr>
              <w:keepNext/>
              <w:keepLines/>
              <w:tabs>
                <w:tab w:val="decimal" w:pos="256"/>
              </w:tabs>
              <w:spacing w:before="60" w:after="60"/>
              <w:jc w:val="center"/>
              <w:rPr>
                <w:sz w:val="14"/>
                <w:szCs w:val="14"/>
              </w:rPr>
            </w:pPr>
            <w:r>
              <w:rPr>
                <w:sz w:val="14"/>
                <w:szCs w:val="14"/>
              </w:rPr>
              <w:t>0.3</w:t>
            </w:r>
            <w:r w:rsidRPr="008A3106">
              <w:rPr>
                <w:sz w:val="14"/>
                <w:szCs w:val="14"/>
              </w:rPr>
              <w:t>%</w:t>
            </w:r>
          </w:p>
        </w:tc>
        <w:tc>
          <w:tcPr>
            <w:tcW w:w="921" w:type="dxa"/>
          </w:tcPr>
          <w:p w14:paraId="7ABC5FE6" w14:textId="4DC9332E" w:rsidR="001047AD" w:rsidRPr="008F735E" w:rsidRDefault="001047AD" w:rsidP="00345DEF">
            <w:pPr>
              <w:keepNext/>
              <w:keepLines/>
              <w:tabs>
                <w:tab w:val="decimal" w:pos="256"/>
              </w:tabs>
              <w:spacing w:before="60" w:after="60"/>
              <w:jc w:val="center"/>
              <w:rPr>
                <w:sz w:val="14"/>
                <w:szCs w:val="14"/>
              </w:rPr>
            </w:pPr>
            <w:r>
              <w:rPr>
                <w:sz w:val="14"/>
                <w:szCs w:val="14"/>
              </w:rPr>
              <w:t>-15.1</w:t>
            </w:r>
            <w:r w:rsidRPr="008A3106">
              <w:rPr>
                <w:sz w:val="14"/>
                <w:szCs w:val="14"/>
              </w:rPr>
              <w:t>%</w:t>
            </w:r>
          </w:p>
        </w:tc>
      </w:tr>
    </w:tbl>
    <w:p w14:paraId="3933F018" w14:textId="77777777" w:rsidR="001B3AE0" w:rsidRPr="00754852" w:rsidRDefault="001B3AE0" w:rsidP="00075D72">
      <w:pPr>
        <w:pStyle w:val="NumberedParagraph"/>
      </w:pPr>
      <w:r w:rsidRPr="00754852">
        <w:t>We draw attention to several points:</w:t>
      </w:r>
    </w:p>
    <w:p w14:paraId="188E8869" w14:textId="08ACE69D" w:rsidR="001B3AE0" w:rsidRPr="00754852" w:rsidRDefault="001B3AE0" w:rsidP="00075D72">
      <w:pPr>
        <w:pStyle w:val="NumberedParagraph-BulletL1"/>
      </w:pPr>
      <w:r w:rsidRPr="00754852">
        <w:t>Focusing on the current tax rules (rows where t = 28%)</w:t>
      </w:r>
      <w:r w:rsidR="001E1B34">
        <w:t>,</w:t>
      </w:r>
      <w:r w:rsidRPr="00754852">
        <w:t xml:space="preserve"> we see that costs of capital can vary significantly from 4.14% for very short-lived PME and inventories to 2.43% for assets that can be expensed.</w:t>
      </w:r>
      <w:r w:rsidR="00D94677">
        <w:rPr>
          <w:rStyle w:val="FootnoteReference"/>
        </w:rPr>
        <w:footnoteReference w:id="44"/>
      </w:r>
      <w:r w:rsidRPr="00754852">
        <w:t xml:space="preserve"> The real cost of funds to New Zealand is assumed to be 3.00%</w:t>
      </w:r>
      <w:r w:rsidR="001C0F18">
        <w:t>,</w:t>
      </w:r>
      <w:r w:rsidRPr="00754852">
        <w:t xml:space="preserve"> so this varies from a substantial tax (an EMTR of 27.6%) to a significant subsidy (with an EMTR of -23.3%).</w:t>
      </w:r>
    </w:p>
    <w:p w14:paraId="2F13E6C2" w14:textId="77777777" w:rsidR="001B3AE0" w:rsidRPr="00754852" w:rsidRDefault="001B3AE0" w:rsidP="00075D72">
      <w:pPr>
        <w:pStyle w:val="NumberedParagraph-BulletL1"/>
      </w:pPr>
      <w:r w:rsidRPr="00754852">
        <w:t>Reducing the company tax rate to 20% would narrow this range of EMTRs to between 20.0% and -15.0%.</w:t>
      </w:r>
    </w:p>
    <w:p w14:paraId="29886650" w14:textId="48D120DD" w:rsidR="001B3AE0" w:rsidRPr="00754852" w:rsidRDefault="001B3AE0" w:rsidP="00075D72">
      <w:pPr>
        <w:pStyle w:val="NumberedParagraph-BulletL1"/>
      </w:pPr>
      <w:r w:rsidRPr="00754852">
        <w:t>Thus</w:t>
      </w:r>
      <w:r w:rsidR="00471615">
        <w:t>,</w:t>
      </w:r>
      <w:r w:rsidRPr="00754852">
        <w:t xml:space="preserve"> unsurprisingly</w:t>
      </w:r>
      <w:r w:rsidR="00061F0C">
        <w:t>,</w:t>
      </w:r>
      <w:r w:rsidRPr="00754852">
        <w:t xml:space="preserve"> a cut in the company tax rate lowers costs of capital for investments that are heavily taxed and reduces tax subsidies for investments that are subsidised</w:t>
      </w:r>
      <w:r w:rsidR="00530EED">
        <w:t>. This</w:t>
      </w:r>
      <w:r w:rsidRPr="00754852">
        <w:t xml:space="preserve"> reduces tax distortions between investment in different assets.</w:t>
      </w:r>
    </w:p>
    <w:p w14:paraId="70C9C9A0" w14:textId="26B93F42" w:rsidR="001B3AE0" w:rsidRPr="00754852" w:rsidRDefault="001B3AE0" w:rsidP="001B3AE0">
      <w:pPr>
        <w:pStyle w:val="Heading2"/>
        <w:rPr>
          <w:rFonts w:eastAsia="Calibri"/>
          <w:lang w:eastAsia="en-US"/>
        </w:rPr>
      </w:pPr>
      <w:bookmarkStart w:id="40" w:name="_Toc112857418"/>
      <w:r w:rsidRPr="00754852">
        <w:rPr>
          <w:rFonts w:eastAsia="Calibri"/>
          <w:lang w:eastAsia="en-US"/>
        </w:rPr>
        <w:t>P</w:t>
      </w:r>
      <w:r w:rsidR="006160B5">
        <w:rPr>
          <w:rFonts w:eastAsia="Calibri"/>
          <w:lang w:eastAsia="en-US"/>
        </w:rPr>
        <w:t>ros</w:t>
      </w:r>
      <w:bookmarkEnd w:id="40"/>
    </w:p>
    <w:p w14:paraId="0848F2AB" w14:textId="77777777" w:rsidR="001B3AE0" w:rsidRPr="00754852" w:rsidRDefault="001B3AE0" w:rsidP="001B3AE0">
      <w:pPr>
        <w:pStyle w:val="Heading3"/>
        <w:rPr>
          <w:rFonts w:eastAsia="Calibri"/>
          <w:lang w:eastAsia="en-US"/>
        </w:rPr>
      </w:pPr>
      <w:r w:rsidRPr="00754852">
        <w:rPr>
          <w:rFonts w:eastAsia="Calibri"/>
          <w:lang w:eastAsia="en-US"/>
        </w:rPr>
        <w:t>Lowering costs of capital when EMTRs are high</w:t>
      </w:r>
    </w:p>
    <w:p w14:paraId="71924131" w14:textId="2BBC91AE" w:rsidR="001B3AE0" w:rsidRPr="00754852" w:rsidRDefault="001B3AE0" w:rsidP="00075D72">
      <w:pPr>
        <w:pStyle w:val="NumberedParagraph"/>
      </w:pPr>
      <w:r w:rsidRPr="00754852">
        <w:t xml:space="preserve">A benefit of a company tax </w:t>
      </w:r>
      <w:r w:rsidR="004A53E7">
        <w:t xml:space="preserve">rate </w:t>
      </w:r>
      <w:r w:rsidRPr="00754852">
        <w:t xml:space="preserve">cut is that this would address New Zealand’s relatively high costs of capital and promote additional investment in activities </w:t>
      </w:r>
      <w:r w:rsidR="00325353">
        <w:t>that</w:t>
      </w:r>
      <w:r w:rsidRPr="00754852">
        <w:t xml:space="preserve"> have high EMTRs. This is likely to increase economic efficiency and productivity.</w:t>
      </w:r>
    </w:p>
    <w:p w14:paraId="12DBE20D" w14:textId="77777777" w:rsidR="001B3AE0" w:rsidRPr="00754852" w:rsidRDefault="001B3AE0" w:rsidP="001B3AE0">
      <w:pPr>
        <w:pStyle w:val="Heading3"/>
        <w:rPr>
          <w:rFonts w:eastAsia="Calibri"/>
          <w:lang w:eastAsia="en-US"/>
        </w:rPr>
      </w:pPr>
      <w:r w:rsidRPr="00754852">
        <w:rPr>
          <w:rFonts w:eastAsia="Calibri"/>
          <w:lang w:eastAsia="en-US"/>
        </w:rPr>
        <w:t>Reducing distortions between different investments</w:t>
      </w:r>
    </w:p>
    <w:p w14:paraId="187BB9E8" w14:textId="35248BBD" w:rsidR="001B3AE0" w:rsidRPr="00754852" w:rsidRDefault="001B3AE0" w:rsidP="00075D72">
      <w:pPr>
        <w:pStyle w:val="NumberedParagraph"/>
      </w:pPr>
      <w:r w:rsidRPr="00754852">
        <w:t>As discussed in chapter 4, an attraction of allowing economic depreciation</w:t>
      </w:r>
      <w:r w:rsidRPr="00754852" w:rsidDel="00E948F2">
        <w:t xml:space="preserve"> </w:t>
      </w:r>
      <w:r w:rsidR="00F4061C">
        <w:t>(</w:t>
      </w:r>
      <w:r w:rsidRPr="00754852" w:rsidDel="00E948F2">
        <w:t>at least if there is no inflation</w:t>
      </w:r>
      <w:r w:rsidR="00F4061C">
        <w:t>)</w:t>
      </w:r>
      <w:r w:rsidRPr="00754852">
        <w:t xml:space="preserve"> is that it would promote neutrality across different types of investment for any company. There would be incentives to invest in the most productive assets rather than assets </w:t>
      </w:r>
      <w:r w:rsidR="00F4061C">
        <w:t>that</w:t>
      </w:r>
      <w:r w:rsidRPr="00754852">
        <w:t xml:space="preserve"> provide the biggest tax </w:t>
      </w:r>
      <w:r w:rsidRPr="00754852">
        <w:lastRenderedPageBreak/>
        <w:t>advantages. Hurdle rates of return across different possible investments would be the same.</w:t>
      </w:r>
    </w:p>
    <w:p w14:paraId="5D97C110" w14:textId="2347DD28" w:rsidR="001B3AE0" w:rsidRPr="00754852" w:rsidRDefault="001B3AE0" w:rsidP="00075D72">
      <w:pPr>
        <w:pStyle w:val="NumberedParagraph"/>
      </w:pPr>
      <w:r w:rsidRPr="00754852">
        <w:t>There is, however, a major difficulty in setting depreciation rates to mirror economic depreciation because we are far from certain about how different assets are likely to depreciate. As a result, biases to investment decisions are inevitable. These are likely to be compounded by inflation if the tax system is not indexed to take account of inflation. Biases will also be created if, for practical reasons, some forms of income are untaxed (</w:t>
      </w:r>
      <w:r w:rsidR="00771F15">
        <w:t>for example</w:t>
      </w:r>
      <w:r w:rsidRPr="00754852">
        <w:t xml:space="preserve">, </w:t>
      </w:r>
      <w:r w:rsidR="002A04FB">
        <w:t>because</w:t>
      </w:r>
      <w:r w:rsidRPr="00754852">
        <w:t xml:space="preserve"> there </w:t>
      </w:r>
      <w:r w:rsidR="002A04FB">
        <w:t>is</w:t>
      </w:r>
      <w:r w:rsidRPr="00754852">
        <w:t xml:space="preserve"> no tax on capital gains) or because certain forms of capital expenditure can be expensed. An obvious way of reducing these distortions is to lower the company tax rate. As table</w:t>
      </w:r>
      <w:r>
        <w:t xml:space="preserve"> 6.1</w:t>
      </w:r>
      <w:r w:rsidRPr="00754852">
        <w:t xml:space="preserve"> above shows, reducing the company tax rate will tend to reduce investment biases. There is a narrower range of costs of capital when the company tax rate is 20% (from 3.75% to 2.61%) than when the company tax rate is 28% (from 4.14% to 2.43%).</w:t>
      </w:r>
    </w:p>
    <w:p w14:paraId="21D65D1A" w14:textId="77777777" w:rsidR="001B3AE0" w:rsidRPr="00754852" w:rsidRDefault="001B3AE0" w:rsidP="001B3AE0">
      <w:pPr>
        <w:pStyle w:val="Heading3"/>
        <w:rPr>
          <w:rFonts w:eastAsia="Calibri"/>
          <w:lang w:eastAsia="en-US"/>
        </w:rPr>
      </w:pPr>
      <w:r w:rsidRPr="00754852">
        <w:rPr>
          <w:rFonts w:eastAsia="Calibri"/>
          <w:lang w:eastAsia="en-US"/>
        </w:rPr>
        <w:t>Reducing base erosion and profit shifting</w:t>
      </w:r>
    </w:p>
    <w:p w14:paraId="15B0F0DF" w14:textId="13ECE02F" w:rsidR="00834E6A" w:rsidRDefault="001B3AE0" w:rsidP="00075D72">
      <w:pPr>
        <w:pStyle w:val="NumberedParagraph"/>
      </w:pPr>
      <w:r w:rsidRPr="00754852">
        <w:t>New Zealand has reasonably robust anti-avoidance rules to mitigate the risk of tax base erosion and profit shifting. Nevertheless, no rules will be watertight</w:t>
      </w:r>
      <w:r w:rsidR="00B5004F">
        <w:t>,</w:t>
      </w:r>
      <w:r w:rsidRPr="00754852">
        <w:t xml:space="preserve"> and if profits are shifted away from New Zealand, this will tend to reduce New Zealand’s national income and reduce tax collections. This puts upward pressure on the levels of taxes New Zealanders must pay.</w:t>
      </w:r>
    </w:p>
    <w:p w14:paraId="37BE8391" w14:textId="01F29FFE" w:rsidR="001B3AE0" w:rsidRPr="00754852" w:rsidRDefault="00666078" w:rsidP="00075D72">
      <w:pPr>
        <w:pStyle w:val="NumberedParagraph"/>
      </w:pPr>
      <w:r>
        <w:t>New Zealand becomes more vulnerable to international profit shifting if its company tax rate is high relative to tax rates</w:t>
      </w:r>
      <w:r w:rsidR="00B47250">
        <w:t xml:space="preserve"> in other countries. </w:t>
      </w:r>
      <w:r w:rsidR="001B3AE0" w:rsidRPr="00754852">
        <w:t>Other measures</w:t>
      </w:r>
      <w:r w:rsidR="00475778">
        <w:t>,</w:t>
      </w:r>
      <w:r w:rsidR="001B3AE0" w:rsidRPr="00754852">
        <w:t xml:space="preserve"> such as </w:t>
      </w:r>
      <w:r w:rsidR="00186877">
        <w:t>the OECD’s Pillar 2 tax changes</w:t>
      </w:r>
      <w:r w:rsidR="008126DD">
        <w:t>,</w:t>
      </w:r>
      <w:r w:rsidR="00186877">
        <w:t xml:space="preserve"> are likely to result in a global minimum tax of 15%</w:t>
      </w:r>
      <w:r w:rsidR="00C85C77">
        <w:t xml:space="preserve"> for larger multinational enterprises</w:t>
      </w:r>
      <w:r w:rsidR="00186877">
        <w:t xml:space="preserve">. </w:t>
      </w:r>
      <w:r w:rsidR="001B3AE0" w:rsidRPr="00754852">
        <w:t>This is likely to reduc</w:t>
      </w:r>
      <w:r w:rsidR="00895522">
        <w:t>e</w:t>
      </w:r>
      <w:r w:rsidR="001B3AE0" w:rsidRPr="00754852">
        <w:t xml:space="preserve"> incentives to shift profits out of New Zealand. </w:t>
      </w:r>
      <w:r w:rsidR="00B60087">
        <w:t>However,</w:t>
      </w:r>
      <w:r w:rsidR="001B3AE0" w:rsidRPr="00754852">
        <w:t xml:space="preserve"> a potential benefit of reducing the company tax rate is that this would further reduce the incentive for firms to shift profits out of New Zealand to countries with lower company tax rates.</w:t>
      </w:r>
    </w:p>
    <w:p w14:paraId="22CA1257" w14:textId="2150E5B3" w:rsidR="001B3AE0" w:rsidRPr="00754852" w:rsidRDefault="005E3845" w:rsidP="001B3AE0">
      <w:pPr>
        <w:pStyle w:val="Heading2"/>
        <w:rPr>
          <w:rFonts w:eastAsia="Calibri"/>
          <w:lang w:eastAsia="en-US"/>
        </w:rPr>
      </w:pPr>
      <w:bookmarkStart w:id="41" w:name="_Toc112857419"/>
      <w:r>
        <w:rPr>
          <w:rFonts w:eastAsia="Calibri"/>
          <w:lang w:eastAsia="en-US"/>
        </w:rPr>
        <w:t>Con</w:t>
      </w:r>
      <w:r w:rsidR="001B3AE0" w:rsidRPr="00754852">
        <w:rPr>
          <w:rFonts w:eastAsia="Calibri"/>
          <w:lang w:eastAsia="en-US"/>
        </w:rPr>
        <w:t>s</w:t>
      </w:r>
      <w:bookmarkEnd w:id="41"/>
    </w:p>
    <w:p w14:paraId="3D2E6414" w14:textId="77777777" w:rsidR="001B3AE0" w:rsidRPr="00754852" w:rsidRDefault="001B3AE0" w:rsidP="001B3AE0">
      <w:pPr>
        <w:pStyle w:val="Heading3"/>
        <w:rPr>
          <w:rFonts w:eastAsia="Calibri"/>
          <w:lang w:eastAsia="en-US"/>
        </w:rPr>
      </w:pPr>
      <w:r w:rsidRPr="00754852">
        <w:rPr>
          <w:rFonts w:eastAsia="Calibri"/>
          <w:lang w:eastAsia="en-US"/>
        </w:rPr>
        <w:t>Reducing tax revenue on existing investments</w:t>
      </w:r>
    </w:p>
    <w:p w14:paraId="37C23041" w14:textId="27DC1DF8" w:rsidR="001B3AE0" w:rsidRPr="00754852" w:rsidRDefault="001B3AE0" w:rsidP="00075D72">
      <w:pPr>
        <w:pStyle w:val="NumberedParagraph"/>
      </w:pPr>
      <w:r w:rsidRPr="00754852">
        <w:t xml:space="preserve">One </w:t>
      </w:r>
      <w:r w:rsidR="00916834">
        <w:t>disadvantage</w:t>
      </w:r>
      <w:r w:rsidRPr="00754852">
        <w:t xml:space="preserve"> associated with reducing the company tax rate is that it would reduce the tax revenue from existing investments in New Zealand. This provides windfall gains to existing owners of firms where the investment was undertaken with the expectation that future returns would be taxed at a higher rate. Ideally</w:t>
      </w:r>
      <w:r w:rsidR="00BE47A8">
        <w:t>,</w:t>
      </w:r>
      <w:r w:rsidRPr="00754852">
        <w:t xml:space="preserve"> it would be preferable to limit any company tax </w:t>
      </w:r>
      <w:r w:rsidR="007466DC">
        <w:t xml:space="preserve">rate </w:t>
      </w:r>
      <w:r w:rsidRPr="00754852">
        <w:t>reductions to new investments only</w:t>
      </w:r>
      <w:r w:rsidR="00700C6A">
        <w:t>,</w:t>
      </w:r>
      <w:r w:rsidRPr="00754852">
        <w:t xml:space="preserve"> as it </w:t>
      </w:r>
      <w:r w:rsidR="00700C6A">
        <w:t xml:space="preserve">is </w:t>
      </w:r>
      <w:r w:rsidRPr="00754852">
        <w:t>only in this case that new investment will be promoted. However, this is likely to be impractical with a company tax rate cut.</w:t>
      </w:r>
    </w:p>
    <w:p w14:paraId="2FC1F10D" w14:textId="01611796" w:rsidR="001B3AE0" w:rsidRPr="00754852" w:rsidRDefault="001B3AE0" w:rsidP="001B3AE0">
      <w:pPr>
        <w:pStyle w:val="Heading3"/>
        <w:rPr>
          <w:rFonts w:eastAsia="Calibri"/>
          <w:lang w:eastAsia="en-US"/>
        </w:rPr>
      </w:pPr>
      <w:r w:rsidRPr="00754852">
        <w:rPr>
          <w:rFonts w:eastAsia="Calibri"/>
          <w:lang w:eastAsia="en-US"/>
        </w:rPr>
        <w:t>Loss of taxation on location-specific economic rents</w:t>
      </w:r>
    </w:p>
    <w:p w14:paraId="3E49457B" w14:textId="4A2D48AA" w:rsidR="001B3AE0" w:rsidRPr="00754852" w:rsidRDefault="001B3AE0" w:rsidP="00075D72">
      <w:pPr>
        <w:pStyle w:val="NumberedParagraph"/>
      </w:pPr>
      <w:r w:rsidRPr="00754852">
        <w:t xml:space="preserve">Furthermore, a company tax </w:t>
      </w:r>
      <w:r w:rsidR="00F91CE5">
        <w:t xml:space="preserve">rate </w:t>
      </w:r>
      <w:r w:rsidRPr="00754852">
        <w:t xml:space="preserve">cut would mean reducing taxes on location-specific economic rents. Economic rents are returns over and above those required for investment to take place, and location-specific means the rents arise from factors that are linked to a location. If we forgo tax on these rents and </w:t>
      </w:r>
      <w:r w:rsidR="00220C4C">
        <w:t>must</w:t>
      </w:r>
      <w:r w:rsidRPr="00754852">
        <w:t xml:space="preserve"> levy replacement taxes, these replacement taxes are likely to be less efficient than the taxes we have forgone. Rents of this kind are likely to be larger in a geographically isolated market like New Zealand where supply of certain goods and services is likely to be helped by having a physical presence. New Zealand’s geographical remoteness is likely to create a bigger than normal barrier to many goods and services being supplied from nearby other countries.</w:t>
      </w:r>
    </w:p>
    <w:p w14:paraId="1BFB5DA5" w14:textId="77777777" w:rsidR="001B3AE0" w:rsidRPr="00754852" w:rsidRDefault="001B3AE0" w:rsidP="001B3AE0">
      <w:pPr>
        <w:pStyle w:val="Heading3"/>
        <w:rPr>
          <w:rFonts w:eastAsia="Calibri"/>
          <w:lang w:eastAsia="en-US"/>
        </w:rPr>
      </w:pPr>
      <w:r w:rsidRPr="00754852">
        <w:rPr>
          <w:rFonts w:eastAsia="Calibri"/>
          <w:lang w:eastAsia="en-US"/>
        </w:rPr>
        <w:lastRenderedPageBreak/>
        <w:t xml:space="preserve">Consistency, </w:t>
      </w:r>
      <w:proofErr w:type="gramStart"/>
      <w:r w:rsidRPr="00754852">
        <w:rPr>
          <w:rFonts w:eastAsia="Calibri"/>
          <w:lang w:eastAsia="en-US"/>
        </w:rPr>
        <w:t>fairness</w:t>
      </w:r>
      <w:proofErr w:type="gramEnd"/>
      <w:r w:rsidRPr="00754852">
        <w:rPr>
          <w:rFonts w:eastAsia="Calibri"/>
          <w:lang w:eastAsia="en-US"/>
        </w:rPr>
        <w:t xml:space="preserve"> and efficiency of personal income tax</w:t>
      </w:r>
    </w:p>
    <w:p w14:paraId="1544543E" w14:textId="025D9226" w:rsidR="001B3AE0" w:rsidRPr="00754852" w:rsidRDefault="001B3AE0" w:rsidP="00075D72">
      <w:pPr>
        <w:pStyle w:val="NumberedParagraph"/>
      </w:pPr>
      <w:r w:rsidRPr="00754852">
        <w:t xml:space="preserve">A reduction in the company </w:t>
      </w:r>
      <w:r w:rsidR="00211835">
        <w:t xml:space="preserve">tax </w:t>
      </w:r>
      <w:r w:rsidRPr="00754852">
        <w:t xml:space="preserve">rate would mean that income being earned through companies is taxed at rates </w:t>
      </w:r>
      <w:r w:rsidR="00211835">
        <w:t>that</w:t>
      </w:r>
      <w:r w:rsidRPr="00754852">
        <w:t xml:space="preserve"> are further below </w:t>
      </w:r>
      <w:r w:rsidR="0069713D">
        <w:t xml:space="preserve">the </w:t>
      </w:r>
      <w:r w:rsidRPr="00754852">
        <w:t xml:space="preserve">higher rates of personal tax rates than they are at present. Personal tax rates are set to reflect a </w:t>
      </w:r>
      <w:r w:rsidR="00741558">
        <w:t>g</w:t>
      </w:r>
      <w:r w:rsidRPr="00754852">
        <w:t>overnment’s views on the level of progressivity that is desirable so that higher income earners pay rates of tax that are deemed to be fair. This goal is undermined if income taxed in different entities is taxed at significantly lower rates.</w:t>
      </w:r>
    </w:p>
    <w:p w14:paraId="79608511" w14:textId="12A600E1" w:rsidR="001B3AE0" w:rsidRPr="00754852" w:rsidRDefault="001B3AE0" w:rsidP="00075D72">
      <w:pPr>
        <w:pStyle w:val="NumberedParagraph"/>
      </w:pPr>
      <w:r w:rsidRPr="00754852">
        <w:t xml:space="preserve">The tax system becomes less fair if people with high levels of wealth and income can shelter income in companies to avoid the top personal tax rates. </w:t>
      </w:r>
      <w:r w:rsidR="00BA4D51" w:rsidRPr="00754852">
        <w:t xml:space="preserve">As noted </w:t>
      </w:r>
      <w:r w:rsidR="00BA4D51" w:rsidRPr="00DA1903">
        <w:t xml:space="preserve">in </w:t>
      </w:r>
      <w:r w:rsidR="00BA4D51" w:rsidRPr="0059107C">
        <w:t>chapter 2</w:t>
      </w:r>
      <w:r w:rsidR="00BA4D51" w:rsidRPr="00DA1903">
        <w:t>,</w:t>
      </w:r>
      <w:r w:rsidR="00BA4D51" w:rsidRPr="00754852">
        <w:t xml:space="preserve"> </w:t>
      </w:r>
      <w:r w:rsidR="00BA4D51">
        <w:t>in 2018 roughly 8</w:t>
      </w:r>
      <w:r w:rsidR="00BA4D51" w:rsidRPr="00754852">
        <w:t xml:space="preserve">% </w:t>
      </w:r>
      <w:r w:rsidR="00BA4D51">
        <w:t>of tax paid by high-wealth individuals was tax</w:t>
      </w:r>
      <w:r w:rsidR="007F44A0">
        <w:t xml:space="preserve"> on</w:t>
      </w:r>
      <w:r w:rsidR="00BA4D51">
        <w:t xml:space="preserve"> personal income, 21% was on </w:t>
      </w:r>
      <w:r w:rsidR="00701A74">
        <w:t xml:space="preserve">trustee </w:t>
      </w:r>
      <w:r w:rsidR="00BA4D51">
        <w:t xml:space="preserve">income and 71% was on </w:t>
      </w:r>
      <w:r w:rsidR="00074734">
        <w:t xml:space="preserve">company </w:t>
      </w:r>
      <w:r w:rsidR="00BA4D51">
        <w:t>income.</w:t>
      </w:r>
      <w:r w:rsidR="00BA4D51" w:rsidRPr="00754852">
        <w:t xml:space="preserve"> </w:t>
      </w:r>
      <w:r w:rsidRPr="00754852">
        <w:t>Only small amounts of the taxable income of high</w:t>
      </w:r>
      <w:r w:rsidR="00305B1C">
        <w:t>-</w:t>
      </w:r>
      <w:r w:rsidRPr="00754852">
        <w:t xml:space="preserve">wealth individuals </w:t>
      </w:r>
      <w:r w:rsidR="009F0977">
        <w:t>are</w:t>
      </w:r>
      <w:r w:rsidRPr="00754852">
        <w:t xml:space="preserve"> taxed at personal rates. There is now a 5% rate differential between the company rate and trust rate (33%), and a greater 11% rate differential between the company rate and the top personal tax rate (39%). This can provide </w:t>
      </w:r>
      <w:r w:rsidR="00EA59AF">
        <w:t xml:space="preserve">even greater </w:t>
      </w:r>
      <w:r>
        <w:t>incentives</w:t>
      </w:r>
      <w:r w:rsidRPr="00754852">
        <w:t xml:space="preserve"> for higher income earners to shelter income in companies and have it taxed at the company tax rate rather than at personal tax rates.</w:t>
      </w:r>
    </w:p>
    <w:p w14:paraId="475EE50E" w14:textId="10262011" w:rsidR="00A63483" w:rsidRPr="00754852" w:rsidRDefault="001B3AE0" w:rsidP="00075D72">
      <w:pPr>
        <w:pStyle w:val="NumberedParagraph"/>
      </w:pPr>
      <w:r w:rsidRPr="00754852">
        <w:t>Reducing the company tax rate would exacerbate these gaps</w:t>
      </w:r>
      <w:r w:rsidR="007B6BC2">
        <w:t xml:space="preserve"> unless personal tax rates were cut at the same time</w:t>
      </w:r>
      <w:r w:rsidRPr="00754852">
        <w:t xml:space="preserve">. </w:t>
      </w:r>
      <w:r w:rsidR="00B91271">
        <w:t xml:space="preserve">Cutting </w:t>
      </w:r>
      <w:r w:rsidR="00352442">
        <w:t xml:space="preserve">personal tax rates may be supported by some future </w:t>
      </w:r>
      <w:r w:rsidR="00473E35">
        <w:t xml:space="preserve">governments but not </w:t>
      </w:r>
      <w:r w:rsidR="00D41C5D">
        <w:t xml:space="preserve">by </w:t>
      </w:r>
      <w:r w:rsidR="00473E35">
        <w:t>others.</w:t>
      </w:r>
    </w:p>
    <w:p w14:paraId="4D506FA2" w14:textId="2B41FA14" w:rsidR="003C23BE" w:rsidRDefault="001B3AE0" w:rsidP="00075D72">
      <w:pPr>
        <w:pStyle w:val="NumberedParagraph"/>
      </w:pPr>
      <w:r w:rsidRPr="00754852">
        <w:t>If governments want to lower the company tax rate and maintain the progressivity of the New Zealand tax system, higher levels of tax might be needed at the shareholder level. One option might be a tax on gains from share sales. As discussed by Chen and Mintz (2009), New Zealand is particularly vulnerable to a gap between the company tax rate and the top personal tax rate because of the absence of any tax on capital gains. As a result</w:t>
      </w:r>
      <w:r w:rsidR="00AE5BA9">
        <w:t>,</w:t>
      </w:r>
      <w:r w:rsidRPr="00754852">
        <w:t xml:space="preserve"> those on the top marginal tax rate of 39% </w:t>
      </w:r>
      <w:r w:rsidR="007D499E">
        <w:t>can</w:t>
      </w:r>
      <w:r w:rsidRPr="00754852">
        <w:t xml:space="preserve"> have income taxed at a low rate if this is earned in a company and then gains are realised by selling shares in the company. Chen and Mintz expressed surprise that New Zealand had not adopted the solution of taxing share gains to help with integrity concerns.</w:t>
      </w:r>
    </w:p>
    <w:p w14:paraId="09DB9478" w14:textId="2BE818EB" w:rsidR="001B3AE0" w:rsidRDefault="0052728D" w:rsidP="00075D72">
      <w:pPr>
        <w:pStyle w:val="NumberedParagraph"/>
      </w:pPr>
      <w:r>
        <w:t>Company tax rates and top personal marg</w:t>
      </w:r>
      <w:r w:rsidR="00C92768">
        <w:t xml:space="preserve">inal tax rates in OECD countries are provided in </w:t>
      </w:r>
      <w:r w:rsidR="0081763A">
        <w:t>t</w:t>
      </w:r>
      <w:r w:rsidR="00C92768">
        <w:t xml:space="preserve">able 6.2. </w:t>
      </w:r>
      <w:r w:rsidR="00D01AA9">
        <w:t>Having a small gap between the company tax rate and the top personal rate is attractive because it limits the scope for personal income to be sheltered in companies. At the same time</w:t>
      </w:r>
      <w:r w:rsidR="006572AD">
        <w:t>,</w:t>
      </w:r>
      <w:r w:rsidR="00D01AA9">
        <w:t xml:space="preserve"> </w:t>
      </w:r>
      <w:r w:rsidR="001B3AE0" w:rsidRPr="00754852">
        <w:t xml:space="preserve">New Zealand’s gap between the company tax rate and the top personal marginal </w:t>
      </w:r>
      <w:r w:rsidR="002002F5">
        <w:t xml:space="preserve">tax </w:t>
      </w:r>
      <w:r w:rsidR="001B3AE0" w:rsidRPr="00754852">
        <w:t>rate is not high compared to other OECD countries. In 2020, the latest year for which OECD data is provided</w:t>
      </w:r>
      <w:r w:rsidR="00AC5764">
        <w:t>,</w:t>
      </w:r>
      <w:r w:rsidR="001B3AE0" w:rsidRPr="00754852">
        <w:t xml:space="preserve"> New Zealand had a company tax rate of 28% and a top personal marginal tax rate of 33%. The gap between the two was 5 percentage points</w:t>
      </w:r>
      <w:r w:rsidR="002002F5">
        <w:t>,</w:t>
      </w:r>
      <w:r w:rsidR="001B3AE0" w:rsidRPr="00754852">
        <w:t xml:space="preserve"> which was the fifth equal lowest gap for the 37 OECD countries for which data is recorded. Even now, with a top marginal tax rate of 39% and an </w:t>
      </w:r>
      <w:proofErr w:type="gramStart"/>
      <w:r w:rsidR="001B3AE0" w:rsidRPr="00754852">
        <w:t>11</w:t>
      </w:r>
      <w:r w:rsidR="00702353">
        <w:t> </w:t>
      </w:r>
      <w:r w:rsidR="001B3AE0" w:rsidRPr="00754852">
        <w:t>percentage</w:t>
      </w:r>
      <w:proofErr w:type="gramEnd"/>
      <w:r w:rsidR="001B3AE0" w:rsidRPr="00754852">
        <w:t xml:space="preserve"> point gap, the gap is not large compared with other OECD countries. Only </w:t>
      </w:r>
      <w:r w:rsidR="00E47EC9">
        <w:t>six</w:t>
      </w:r>
      <w:r w:rsidR="001B3AE0" w:rsidRPr="00754852">
        <w:t xml:space="preserve"> </w:t>
      </w:r>
      <w:r w:rsidR="00FB1390">
        <w:t>other</w:t>
      </w:r>
      <w:r w:rsidR="001B3AE0" w:rsidRPr="00754852">
        <w:t xml:space="preserve"> OECD countries had a smaller gap than this in 2020.</w:t>
      </w:r>
    </w:p>
    <w:p w14:paraId="7708D2A8" w14:textId="4E3F99BC" w:rsidR="00774612" w:rsidRPr="00774612" w:rsidRDefault="00774612" w:rsidP="00E1409A">
      <w:pPr>
        <w:pStyle w:val="Caption"/>
        <w:keepLines/>
        <w:rPr>
          <w:rFonts w:eastAsia="Calibri"/>
        </w:rPr>
      </w:pPr>
      <w:r w:rsidRPr="00774612">
        <w:rPr>
          <w:rFonts w:eastAsia="Calibri"/>
        </w:rPr>
        <w:lastRenderedPageBreak/>
        <w:t>Table 6.</w:t>
      </w:r>
      <w:r w:rsidR="003D66CD">
        <w:rPr>
          <w:rFonts w:eastAsia="Calibri"/>
        </w:rPr>
        <w:t>2</w:t>
      </w:r>
      <w:r w:rsidRPr="00774612">
        <w:rPr>
          <w:rFonts w:eastAsia="Calibri"/>
        </w:rPr>
        <w:t>: Co</w:t>
      </w:r>
      <w:r w:rsidR="003D66CD">
        <w:rPr>
          <w:rFonts w:eastAsia="Calibri"/>
        </w:rPr>
        <w:t>mpany and top personal</w:t>
      </w:r>
      <w:r w:rsidR="00E77822">
        <w:rPr>
          <w:rFonts w:eastAsia="Calibri"/>
        </w:rPr>
        <w:t xml:space="preserve"> tax rates</w:t>
      </w:r>
      <w:r w:rsidR="003D66CD">
        <w:rPr>
          <w:rFonts w:eastAsia="Calibri"/>
        </w:rPr>
        <w:t xml:space="preserve"> </w:t>
      </w:r>
      <w:r w:rsidR="00E1409A">
        <w:rPr>
          <w:rFonts w:ascii="Times New Roman" w:eastAsia="Calibri" w:hAnsi="Times New Roman"/>
        </w:rPr>
        <w:t>–</w:t>
      </w:r>
      <w:r w:rsidR="00CA5D8B">
        <w:rPr>
          <w:rFonts w:eastAsia="Calibri"/>
        </w:rPr>
        <w:t xml:space="preserve"> 2020</w:t>
      </w:r>
    </w:p>
    <w:tbl>
      <w:tblPr>
        <w:tblStyle w:val="TableGrid"/>
        <w:tblW w:w="7938" w:type="dxa"/>
        <w:tblInd w:w="84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977"/>
        <w:gridCol w:w="1653"/>
        <w:gridCol w:w="1654"/>
        <w:gridCol w:w="1654"/>
      </w:tblGrid>
      <w:tr w:rsidR="00C966AF" w:rsidRPr="00363CF9" w14:paraId="7664660A" w14:textId="494789E8" w:rsidTr="00740A34">
        <w:trPr>
          <w:tblHeader/>
        </w:trPr>
        <w:tc>
          <w:tcPr>
            <w:tcW w:w="2977" w:type="dxa"/>
            <w:shd w:val="clear" w:color="auto" w:fill="232E36"/>
          </w:tcPr>
          <w:p w14:paraId="438C0214" w14:textId="77777777" w:rsidR="00C966AF" w:rsidRPr="00363CF9" w:rsidRDefault="00C966AF" w:rsidP="003B6F2B">
            <w:pPr>
              <w:keepNext/>
              <w:keepLines/>
              <w:spacing w:before="80" w:after="80"/>
              <w:jc w:val="left"/>
              <w:rPr>
                <w:b/>
                <w:bCs/>
                <w:color w:val="FFFFFF" w:themeColor="background1"/>
                <w:sz w:val="16"/>
                <w:szCs w:val="16"/>
              </w:rPr>
            </w:pPr>
            <w:r>
              <w:rPr>
                <w:b/>
                <w:bCs/>
                <w:color w:val="FFFFFF" w:themeColor="background1"/>
                <w:sz w:val="16"/>
                <w:szCs w:val="16"/>
              </w:rPr>
              <w:t>Country</w:t>
            </w:r>
          </w:p>
        </w:tc>
        <w:tc>
          <w:tcPr>
            <w:tcW w:w="1653" w:type="dxa"/>
            <w:shd w:val="clear" w:color="auto" w:fill="232E36"/>
          </w:tcPr>
          <w:p w14:paraId="36550317" w14:textId="4C0597E1" w:rsidR="00C966AF" w:rsidRPr="00363CF9" w:rsidRDefault="00C966AF" w:rsidP="003B6F2B">
            <w:pPr>
              <w:keepNext/>
              <w:keepLines/>
              <w:spacing w:before="80" w:after="80"/>
              <w:jc w:val="center"/>
              <w:rPr>
                <w:b/>
                <w:bCs/>
                <w:color w:val="FFFFFF" w:themeColor="background1"/>
                <w:sz w:val="16"/>
                <w:szCs w:val="16"/>
              </w:rPr>
            </w:pPr>
            <w:r>
              <w:rPr>
                <w:b/>
                <w:bCs/>
                <w:color w:val="FFFFFF" w:themeColor="background1"/>
                <w:sz w:val="16"/>
                <w:szCs w:val="16"/>
              </w:rPr>
              <w:t>Company tax rate</w:t>
            </w:r>
          </w:p>
        </w:tc>
        <w:tc>
          <w:tcPr>
            <w:tcW w:w="1654" w:type="dxa"/>
            <w:shd w:val="clear" w:color="auto" w:fill="232E36"/>
          </w:tcPr>
          <w:p w14:paraId="516EC4FD" w14:textId="5FECE09E" w:rsidR="00C966AF" w:rsidRPr="00363CF9" w:rsidRDefault="00C966AF" w:rsidP="003B6F2B">
            <w:pPr>
              <w:keepNext/>
              <w:keepLines/>
              <w:spacing w:before="80" w:after="80"/>
              <w:jc w:val="center"/>
              <w:rPr>
                <w:b/>
                <w:bCs/>
                <w:color w:val="FFFFFF" w:themeColor="background1"/>
                <w:sz w:val="16"/>
                <w:szCs w:val="16"/>
              </w:rPr>
            </w:pPr>
            <w:r>
              <w:rPr>
                <w:b/>
                <w:bCs/>
                <w:color w:val="FFFFFF" w:themeColor="background1"/>
                <w:sz w:val="16"/>
                <w:szCs w:val="16"/>
              </w:rPr>
              <w:t>Top marginal tax rate</w:t>
            </w:r>
          </w:p>
        </w:tc>
        <w:tc>
          <w:tcPr>
            <w:tcW w:w="1654" w:type="dxa"/>
            <w:shd w:val="clear" w:color="auto" w:fill="232E36"/>
          </w:tcPr>
          <w:p w14:paraId="588270E8" w14:textId="5466CED7" w:rsidR="00C966AF" w:rsidRPr="00363CF9" w:rsidRDefault="00C966AF" w:rsidP="003B6F2B">
            <w:pPr>
              <w:keepNext/>
              <w:keepLines/>
              <w:spacing w:before="80" w:after="80"/>
              <w:jc w:val="center"/>
              <w:rPr>
                <w:b/>
                <w:bCs/>
                <w:color w:val="FFFFFF" w:themeColor="background1"/>
                <w:sz w:val="16"/>
                <w:szCs w:val="16"/>
              </w:rPr>
            </w:pPr>
            <w:r>
              <w:rPr>
                <w:b/>
                <w:bCs/>
                <w:color w:val="FFFFFF" w:themeColor="background1"/>
                <w:sz w:val="16"/>
                <w:szCs w:val="16"/>
              </w:rPr>
              <w:t>Difference</w:t>
            </w:r>
          </w:p>
        </w:tc>
      </w:tr>
      <w:tr w:rsidR="00C966AF" w:rsidRPr="00363CF9" w14:paraId="3F9FA1C4" w14:textId="73900883" w:rsidTr="00740A34">
        <w:tc>
          <w:tcPr>
            <w:tcW w:w="2977" w:type="dxa"/>
          </w:tcPr>
          <w:p w14:paraId="7D66F209" w14:textId="77777777" w:rsidR="00C966AF" w:rsidRPr="00072DC1" w:rsidRDefault="00C966AF" w:rsidP="00455437">
            <w:pPr>
              <w:pStyle w:val="Table-Text"/>
              <w:keepNext/>
              <w:keepLines/>
              <w:spacing w:before="60" w:after="60"/>
              <w:rPr>
                <w:rStyle w:val="Strong"/>
              </w:rPr>
            </w:pPr>
            <w:r w:rsidRPr="00072DC1">
              <w:rPr>
                <w:rStyle w:val="Strong"/>
              </w:rPr>
              <w:t>Australia</w:t>
            </w:r>
          </w:p>
        </w:tc>
        <w:tc>
          <w:tcPr>
            <w:tcW w:w="1653" w:type="dxa"/>
          </w:tcPr>
          <w:p w14:paraId="5583DB44" w14:textId="58CF7787" w:rsidR="00C966AF" w:rsidRPr="00363CF9" w:rsidRDefault="00C966AF" w:rsidP="00455437">
            <w:pPr>
              <w:pStyle w:val="Table-Text"/>
              <w:keepNext/>
              <w:keepLines/>
              <w:tabs>
                <w:tab w:val="decimal" w:pos="802"/>
              </w:tabs>
              <w:spacing w:before="60" w:after="60"/>
            </w:pPr>
            <w:r>
              <w:t>30.0</w:t>
            </w:r>
          </w:p>
        </w:tc>
        <w:tc>
          <w:tcPr>
            <w:tcW w:w="1654" w:type="dxa"/>
          </w:tcPr>
          <w:p w14:paraId="3E7F95B9" w14:textId="2C6A279F" w:rsidR="00C966AF" w:rsidRPr="00363CF9" w:rsidRDefault="00C966AF" w:rsidP="00455437">
            <w:pPr>
              <w:pStyle w:val="Table-Text"/>
              <w:keepNext/>
              <w:keepLines/>
              <w:tabs>
                <w:tab w:val="decimal" w:pos="802"/>
              </w:tabs>
              <w:spacing w:before="60" w:after="60"/>
            </w:pPr>
            <w:r>
              <w:t>47.0</w:t>
            </w:r>
          </w:p>
        </w:tc>
        <w:tc>
          <w:tcPr>
            <w:tcW w:w="1654" w:type="dxa"/>
          </w:tcPr>
          <w:p w14:paraId="77A37FE6" w14:textId="6A06B0CE" w:rsidR="00C966AF" w:rsidRDefault="00DF00C5" w:rsidP="00455437">
            <w:pPr>
              <w:pStyle w:val="Table-Text"/>
              <w:keepNext/>
              <w:keepLines/>
              <w:tabs>
                <w:tab w:val="decimal" w:pos="802"/>
              </w:tabs>
              <w:spacing w:before="60" w:after="60"/>
            </w:pPr>
            <w:r>
              <w:t>17.0</w:t>
            </w:r>
          </w:p>
        </w:tc>
      </w:tr>
      <w:tr w:rsidR="00C966AF" w:rsidRPr="00363CF9" w14:paraId="1CCD6C5B" w14:textId="566E9390" w:rsidTr="00740A34">
        <w:tc>
          <w:tcPr>
            <w:tcW w:w="2977" w:type="dxa"/>
          </w:tcPr>
          <w:p w14:paraId="6A0DA196" w14:textId="77777777" w:rsidR="00C966AF" w:rsidRPr="00072DC1" w:rsidRDefault="00C966AF" w:rsidP="00455437">
            <w:pPr>
              <w:pStyle w:val="Table-Text"/>
              <w:keepNext/>
              <w:keepLines/>
              <w:spacing w:before="60" w:after="60"/>
              <w:rPr>
                <w:rStyle w:val="Strong"/>
              </w:rPr>
            </w:pPr>
            <w:r w:rsidRPr="00072DC1">
              <w:rPr>
                <w:rStyle w:val="Strong"/>
              </w:rPr>
              <w:t>Austria</w:t>
            </w:r>
          </w:p>
        </w:tc>
        <w:tc>
          <w:tcPr>
            <w:tcW w:w="1653" w:type="dxa"/>
            <w:vAlign w:val="center"/>
          </w:tcPr>
          <w:p w14:paraId="0508F940" w14:textId="5D1ED37B" w:rsidR="00C966AF" w:rsidRPr="00363CF9" w:rsidRDefault="00C966AF" w:rsidP="00455437">
            <w:pPr>
              <w:pStyle w:val="Table-Text"/>
              <w:keepNext/>
              <w:keepLines/>
              <w:tabs>
                <w:tab w:val="decimal" w:pos="802"/>
              </w:tabs>
              <w:spacing w:before="60" w:after="60"/>
            </w:pPr>
            <w:r>
              <w:t>25.0</w:t>
            </w:r>
          </w:p>
        </w:tc>
        <w:tc>
          <w:tcPr>
            <w:tcW w:w="1654" w:type="dxa"/>
          </w:tcPr>
          <w:p w14:paraId="444EC44C" w14:textId="26492BFD" w:rsidR="00C966AF" w:rsidRPr="00363CF9" w:rsidRDefault="00C966AF" w:rsidP="00455437">
            <w:pPr>
              <w:pStyle w:val="Table-Text"/>
              <w:keepNext/>
              <w:keepLines/>
              <w:tabs>
                <w:tab w:val="decimal" w:pos="802"/>
              </w:tabs>
              <w:spacing w:before="60" w:after="60"/>
            </w:pPr>
            <w:r>
              <w:t>55.0</w:t>
            </w:r>
          </w:p>
        </w:tc>
        <w:tc>
          <w:tcPr>
            <w:tcW w:w="1654" w:type="dxa"/>
          </w:tcPr>
          <w:p w14:paraId="6B1FE2A3" w14:textId="71610038" w:rsidR="00C966AF" w:rsidRDefault="00DF00C5" w:rsidP="00455437">
            <w:pPr>
              <w:pStyle w:val="Table-Text"/>
              <w:keepNext/>
              <w:keepLines/>
              <w:tabs>
                <w:tab w:val="decimal" w:pos="802"/>
              </w:tabs>
              <w:spacing w:before="60" w:after="60"/>
            </w:pPr>
            <w:r>
              <w:t>30.0</w:t>
            </w:r>
          </w:p>
        </w:tc>
      </w:tr>
      <w:tr w:rsidR="00C966AF" w:rsidRPr="00363CF9" w14:paraId="263A3AE7" w14:textId="41467390" w:rsidTr="00740A34">
        <w:tc>
          <w:tcPr>
            <w:tcW w:w="2977" w:type="dxa"/>
          </w:tcPr>
          <w:p w14:paraId="0FC2A33F" w14:textId="77777777" w:rsidR="00C966AF" w:rsidRPr="00072DC1" w:rsidRDefault="00C966AF" w:rsidP="00455437">
            <w:pPr>
              <w:pStyle w:val="Table-Text"/>
              <w:keepNext/>
              <w:keepLines/>
              <w:spacing w:before="60" w:after="60"/>
              <w:rPr>
                <w:rStyle w:val="Strong"/>
              </w:rPr>
            </w:pPr>
            <w:r w:rsidRPr="00072DC1">
              <w:rPr>
                <w:rStyle w:val="Strong"/>
              </w:rPr>
              <w:t>Belgium</w:t>
            </w:r>
          </w:p>
        </w:tc>
        <w:tc>
          <w:tcPr>
            <w:tcW w:w="1653" w:type="dxa"/>
          </w:tcPr>
          <w:p w14:paraId="4B982B71" w14:textId="1F4C73C1" w:rsidR="00C966AF" w:rsidRPr="00363CF9" w:rsidRDefault="00C966AF" w:rsidP="00455437">
            <w:pPr>
              <w:pStyle w:val="Table-Text"/>
              <w:keepNext/>
              <w:keepLines/>
              <w:tabs>
                <w:tab w:val="decimal" w:pos="802"/>
              </w:tabs>
              <w:spacing w:before="60" w:after="60"/>
            </w:pPr>
            <w:r>
              <w:t>25.0</w:t>
            </w:r>
          </w:p>
        </w:tc>
        <w:tc>
          <w:tcPr>
            <w:tcW w:w="1654" w:type="dxa"/>
          </w:tcPr>
          <w:p w14:paraId="27C75CA7" w14:textId="546D9EBF" w:rsidR="00C966AF" w:rsidRPr="00363CF9" w:rsidRDefault="00C966AF" w:rsidP="00455437">
            <w:pPr>
              <w:pStyle w:val="Table-Text"/>
              <w:keepNext/>
              <w:keepLines/>
              <w:tabs>
                <w:tab w:val="decimal" w:pos="802"/>
              </w:tabs>
              <w:spacing w:before="60" w:after="60"/>
            </w:pPr>
            <w:r>
              <w:t>52.9</w:t>
            </w:r>
          </w:p>
        </w:tc>
        <w:tc>
          <w:tcPr>
            <w:tcW w:w="1654" w:type="dxa"/>
          </w:tcPr>
          <w:p w14:paraId="46CC27F7" w14:textId="5F178930" w:rsidR="00C966AF" w:rsidRDefault="00DF00C5" w:rsidP="00455437">
            <w:pPr>
              <w:pStyle w:val="Table-Text"/>
              <w:keepNext/>
              <w:keepLines/>
              <w:tabs>
                <w:tab w:val="decimal" w:pos="802"/>
              </w:tabs>
              <w:spacing w:before="60" w:after="60"/>
            </w:pPr>
            <w:r>
              <w:t>27.9</w:t>
            </w:r>
          </w:p>
        </w:tc>
      </w:tr>
      <w:tr w:rsidR="00C966AF" w:rsidRPr="00363CF9" w14:paraId="40395DB7" w14:textId="2126019A" w:rsidTr="00740A34">
        <w:tc>
          <w:tcPr>
            <w:tcW w:w="2977" w:type="dxa"/>
          </w:tcPr>
          <w:p w14:paraId="22F2674B" w14:textId="77777777" w:rsidR="00C966AF" w:rsidRPr="00072DC1" w:rsidRDefault="00C966AF" w:rsidP="00455437">
            <w:pPr>
              <w:pStyle w:val="Table-Text"/>
              <w:keepNext/>
              <w:keepLines/>
              <w:spacing w:before="60" w:after="60"/>
              <w:rPr>
                <w:rStyle w:val="Strong"/>
              </w:rPr>
            </w:pPr>
            <w:r w:rsidRPr="00072DC1">
              <w:rPr>
                <w:rStyle w:val="Strong"/>
              </w:rPr>
              <w:t>Canada</w:t>
            </w:r>
          </w:p>
        </w:tc>
        <w:tc>
          <w:tcPr>
            <w:tcW w:w="1653" w:type="dxa"/>
          </w:tcPr>
          <w:p w14:paraId="232D9FB2" w14:textId="1FAE50B0" w:rsidR="00C966AF" w:rsidRPr="00363CF9" w:rsidRDefault="00C966AF" w:rsidP="00455437">
            <w:pPr>
              <w:pStyle w:val="Table-Text"/>
              <w:keepNext/>
              <w:keepLines/>
              <w:tabs>
                <w:tab w:val="decimal" w:pos="802"/>
              </w:tabs>
              <w:spacing w:before="60" w:after="60"/>
            </w:pPr>
            <w:r>
              <w:t>26.2</w:t>
            </w:r>
          </w:p>
        </w:tc>
        <w:tc>
          <w:tcPr>
            <w:tcW w:w="1654" w:type="dxa"/>
          </w:tcPr>
          <w:p w14:paraId="28542C6F" w14:textId="0B9C1C63" w:rsidR="00C966AF" w:rsidRPr="00363CF9" w:rsidRDefault="00C966AF" w:rsidP="00455437">
            <w:pPr>
              <w:pStyle w:val="Table-Text"/>
              <w:keepNext/>
              <w:keepLines/>
              <w:tabs>
                <w:tab w:val="decimal" w:pos="802"/>
              </w:tabs>
              <w:spacing w:before="60" w:after="60"/>
            </w:pPr>
            <w:r>
              <w:t>53.5</w:t>
            </w:r>
          </w:p>
        </w:tc>
        <w:tc>
          <w:tcPr>
            <w:tcW w:w="1654" w:type="dxa"/>
          </w:tcPr>
          <w:p w14:paraId="4A1846BD" w14:textId="59A6BDD4" w:rsidR="00C966AF" w:rsidRDefault="00DF00C5" w:rsidP="00455437">
            <w:pPr>
              <w:pStyle w:val="Table-Text"/>
              <w:keepNext/>
              <w:keepLines/>
              <w:tabs>
                <w:tab w:val="decimal" w:pos="802"/>
              </w:tabs>
              <w:spacing w:before="60" w:after="60"/>
            </w:pPr>
            <w:r>
              <w:t>27.3</w:t>
            </w:r>
          </w:p>
        </w:tc>
      </w:tr>
      <w:tr w:rsidR="00C966AF" w:rsidRPr="00363CF9" w14:paraId="23343CB6" w14:textId="205E99AD" w:rsidTr="00740A34">
        <w:tc>
          <w:tcPr>
            <w:tcW w:w="2977" w:type="dxa"/>
          </w:tcPr>
          <w:p w14:paraId="73CD0294" w14:textId="77777777" w:rsidR="00C966AF" w:rsidRPr="00072DC1" w:rsidRDefault="00C966AF" w:rsidP="00455437">
            <w:pPr>
              <w:pStyle w:val="Table-Text"/>
              <w:keepNext/>
              <w:keepLines/>
              <w:spacing w:before="60" w:after="60"/>
              <w:rPr>
                <w:rStyle w:val="Strong"/>
              </w:rPr>
            </w:pPr>
            <w:r w:rsidRPr="00072DC1">
              <w:rPr>
                <w:rStyle w:val="Strong"/>
              </w:rPr>
              <w:t>Chile</w:t>
            </w:r>
          </w:p>
        </w:tc>
        <w:tc>
          <w:tcPr>
            <w:tcW w:w="1653" w:type="dxa"/>
          </w:tcPr>
          <w:p w14:paraId="1AAC889D" w14:textId="6833AC68" w:rsidR="00C966AF" w:rsidRPr="00363CF9" w:rsidRDefault="00C966AF" w:rsidP="00455437">
            <w:pPr>
              <w:pStyle w:val="Table-Text"/>
              <w:keepNext/>
              <w:keepLines/>
              <w:tabs>
                <w:tab w:val="decimal" w:pos="802"/>
              </w:tabs>
              <w:spacing w:before="60" w:after="60"/>
            </w:pPr>
            <w:r>
              <w:t>10.0</w:t>
            </w:r>
          </w:p>
        </w:tc>
        <w:tc>
          <w:tcPr>
            <w:tcW w:w="1654" w:type="dxa"/>
          </w:tcPr>
          <w:p w14:paraId="6801AC19" w14:textId="409C3A53" w:rsidR="00C966AF" w:rsidRPr="00363CF9" w:rsidRDefault="00C966AF" w:rsidP="00455437">
            <w:pPr>
              <w:pStyle w:val="Table-Text"/>
              <w:keepNext/>
              <w:keepLines/>
              <w:tabs>
                <w:tab w:val="decimal" w:pos="802"/>
              </w:tabs>
              <w:spacing w:before="60" w:after="60"/>
            </w:pPr>
            <w:r>
              <w:t>35.0</w:t>
            </w:r>
          </w:p>
        </w:tc>
        <w:tc>
          <w:tcPr>
            <w:tcW w:w="1654" w:type="dxa"/>
          </w:tcPr>
          <w:p w14:paraId="683A5398" w14:textId="3BF0B6F1" w:rsidR="00C966AF" w:rsidRDefault="00DF00C5" w:rsidP="00455437">
            <w:pPr>
              <w:pStyle w:val="Table-Text"/>
              <w:keepNext/>
              <w:keepLines/>
              <w:tabs>
                <w:tab w:val="decimal" w:pos="802"/>
              </w:tabs>
              <w:spacing w:before="60" w:after="60"/>
            </w:pPr>
            <w:r>
              <w:t>25.0</w:t>
            </w:r>
          </w:p>
        </w:tc>
      </w:tr>
      <w:tr w:rsidR="00C966AF" w:rsidRPr="00363CF9" w14:paraId="2C7D81E5" w14:textId="20A5CE94" w:rsidTr="00740A34">
        <w:tc>
          <w:tcPr>
            <w:tcW w:w="2977" w:type="dxa"/>
          </w:tcPr>
          <w:p w14:paraId="2609CEBC" w14:textId="77777777" w:rsidR="00C966AF" w:rsidRPr="00072DC1" w:rsidRDefault="00C966AF" w:rsidP="00455437">
            <w:pPr>
              <w:pStyle w:val="Table-Text"/>
              <w:keepNext/>
              <w:keepLines/>
              <w:spacing w:before="60" w:after="60"/>
              <w:rPr>
                <w:rStyle w:val="Strong"/>
              </w:rPr>
            </w:pPr>
            <w:r w:rsidRPr="00072DC1">
              <w:rPr>
                <w:rStyle w:val="Strong"/>
              </w:rPr>
              <w:t>Colombia</w:t>
            </w:r>
          </w:p>
        </w:tc>
        <w:tc>
          <w:tcPr>
            <w:tcW w:w="1653" w:type="dxa"/>
          </w:tcPr>
          <w:p w14:paraId="662FB37E" w14:textId="5A40D4E6" w:rsidR="00C966AF" w:rsidRPr="00363CF9" w:rsidRDefault="00C966AF" w:rsidP="00455437">
            <w:pPr>
              <w:pStyle w:val="Table-Text"/>
              <w:keepNext/>
              <w:keepLines/>
              <w:tabs>
                <w:tab w:val="decimal" w:pos="802"/>
              </w:tabs>
              <w:spacing w:before="60" w:after="60"/>
            </w:pPr>
            <w:r>
              <w:t>32.0</w:t>
            </w:r>
          </w:p>
        </w:tc>
        <w:tc>
          <w:tcPr>
            <w:tcW w:w="1654" w:type="dxa"/>
          </w:tcPr>
          <w:p w14:paraId="4F05CC5A" w14:textId="34D962AD" w:rsidR="00C966AF" w:rsidRPr="00363CF9" w:rsidRDefault="00C966AF" w:rsidP="00455437">
            <w:pPr>
              <w:pStyle w:val="Table-Text"/>
              <w:keepNext/>
              <w:keepLines/>
              <w:tabs>
                <w:tab w:val="decimal" w:pos="802"/>
              </w:tabs>
              <w:spacing w:before="60" w:after="60"/>
            </w:pPr>
            <w:r>
              <w:t>33.0</w:t>
            </w:r>
          </w:p>
        </w:tc>
        <w:tc>
          <w:tcPr>
            <w:tcW w:w="1654" w:type="dxa"/>
          </w:tcPr>
          <w:p w14:paraId="13F2CDDF" w14:textId="66A90B13" w:rsidR="00C966AF" w:rsidRDefault="00DF00C5" w:rsidP="00455437">
            <w:pPr>
              <w:pStyle w:val="Table-Text"/>
              <w:keepNext/>
              <w:keepLines/>
              <w:tabs>
                <w:tab w:val="decimal" w:pos="802"/>
              </w:tabs>
              <w:spacing w:before="60" w:after="60"/>
            </w:pPr>
            <w:r>
              <w:t>1.0</w:t>
            </w:r>
          </w:p>
        </w:tc>
      </w:tr>
      <w:tr w:rsidR="00C966AF" w:rsidRPr="00363CF9" w14:paraId="2D2963D3" w14:textId="2D33DD0C" w:rsidTr="00740A34">
        <w:tc>
          <w:tcPr>
            <w:tcW w:w="2977" w:type="dxa"/>
          </w:tcPr>
          <w:p w14:paraId="7CA35A57" w14:textId="77777777" w:rsidR="00C966AF" w:rsidRPr="00072DC1" w:rsidRDefault="00C966AF" w:rsidP="00455437">
            <w:pPr>
              <w:pStyle w:val="Table-Text"/>
              <w:keepNext/>
              <w:keepLines/>
              <w:spacing w:before="60" w:after="60"/>
              <w:rPr>
                <w:rStyle w:val="Strong"/>
              </w:rPr>
            </w:pPr>
            <w:r w:rsidRPr="00072DC1">
              <w:rPr>
                <w:rStyle w:val="Strong"/>
              </w:rPr>
              <w:t>Czech Republic</w:t>
            </w:r>
          </w:p>
        </w:tc>
        <w:tc>
          <w:tcPr>
            <w:tcW w:w="1653" w:type="dxa"/>
          </w:tcPr>
          <w:p w14:paraId="50282FD0" w14:textId="382502C5" w:rsidR="00C966AF" w:rsidRPr="00363CF9" w:rsidRDefault="00C966AF" w:rsidP="00455437">
            <w:pPr>
              <w:pStyle w:val="Table-Text"/>
              <w:keepNext/>
              <w:keepLines/>
              <w:tabs>
                <w:tab w:val="decimal" w:pos="802"/>
              </w:tabs>
              <w:spacing w:before="60" w:after="60"/>
            </w:pPr>
            <w:r>
              <w:t>19.0</w:t>
            </w:r>
          </w:p>
        </w:tc>
        <w:tc>
          <w:tcPr>
            <w:tcW w:w="1654" w:type="dxa"/>
          </w:tcPr>
          <w:p w14:paraId="30BF122F" w14:textId="5CC00F87" w:rsidR="00C966AF" w:rsidRPr="00363CF9" w:rsidRDefault="00C966AF" w:rsidP="00455437">
            <w:pPr>
              <w:pStyle w:val="Table-Text"/>
              <w:keepNext/>
              <w:keepLines/>
              <w:tabs>
                <w:tab w:val="decimal" w:pos="802"/>
              </w:tabs>
              <w:spacing w:before="60" w:after="60"/>
            </w:pPr>
            <w:r>
              <w:t>15.0</w:t>
            </w:r>
          </w:p>
        </w:tc>
        <w:tc>
          <w:tcPr>
            <w:tcW w:w="1654" w:type="dxa"/>
          </w:tcPr>
          <w:p w14:paraId="39B3EBC1" w14:textId="62F5CF94" w:rsidR="00C966AF" w:rsidRDefault="00DF00C5" w:rsidP="00455437">
            <w:pPr>
              <w:pStyle w:val="Table-Text"/>
              <w:keepNext/>
              <w:keepLines/>
              <w:tabs>
                <w:tab w:val="decimal" w:pos="802"/>
              </w:tabs>
              <w:spacing w:before="60" w:after="60"/>
            </w:pPr>
            <w:r>
              <w:t>-4.0</w:t>
            </w:r>
          </w:p>
        </w:tc>
      </w:tr>
      <w:tr w:rsidR="00C966AF" w:rsidRPr="00363CF9" w14:paraId="2E2A71E8" w14:textId="46680F26" w:rsidTr="00740A34">
        <w:tc>
          <w:tcPr>
            <w:tcW w:w="2977" w:type="dxa"/>
          </w:tcPr>
          <w:p w14:paraId="27E76BD2" w14:textId="77777777" w:rsidR="00C966AF" w:rsidRPr="00072DC1" w:rsidRDefault="00C966AF" w:rsidP="00455437">
            <w:pPr>
              <w:pStyle w:val="Table-Text"/>
              <w:keepNext/>
              <w:keepLines/>
              <w:spacing w:before="60" w:after="60"/>
              <w:rPr>
                <w:rStyle w:val="Strong"/>
              </w:rPr>
            </w:pPr>
            <w:r w:rsidRPr="00072DC1">
              <w:rPr>
                <w:rStyle w:val="Strong"/>
              </w:rPr>
              <w:t>Denmark</w:t>
            </w:r>
          </w:p>
        </w:tc>
        <w:tc>
          <w:tcPr>
            <w:tcW w:w="1653" w:type="dxa"/>
          </w:tcPr>
          <w:p w14:paraId="1A541B83" w14:textId="0C661A73" w:rsidR="00C966AF" w:rsidRPr="00363CF9" w:rsidRDefault="00C966AF" w:rsidP="00455437">
            <w:pPr>
              <w:pStyle w:val="Table-Text"/>
              <w:keepNext/>
              <w:keepLines/>
              <w:tabs>
                <w:tab w:val="decimal" w:pos="802"/>
              </w:tabs>
              <w:spacing w:before="60" w:after="60"/>
            </w:pPr>
            <w:r>
              <w:t>22.0</w:t>
            </w:r>
          </w:p>
        </w:tc>
        <w:tc>
          <w:tcPr>
            <w:tcW w:w="1654" w:type="dxa"/>
          </w:tcPr>
          <w:p w14:paraId="27B03693" w14:textId="3D432CDB" w:rsidR="00C966AF" w:rsidRPr="00363CF9" w:rsidRDefault="00C966AF" w:rsidP="00455437">
            <w:pPr>
              <w:pStyle w:val="Table-Text"/>
              <w:keepNext/>
              <w:keepLines/>
              <w:tabs>
                <w:tab w:val="decimal" w:pos="802"/>
              </w:tabs>
              <w:spacing w:before="60" w:after="60"/>
            </w:pPr>
            <w:r>
              <w:t>55.9</w:t>
            </w:r>
          </w:p>
        </w:tc>
        <w:tc>
          <w:tcPr>
            <w:tcW w:w="1654" w:type="dxa"/>
          </w:tcPr>
          <w:p w14:paraId="2119FBF3" w14:textId="0F76D0B6" w:rsidR="00C966AF" w:rsidRDefault="00DF00C5" w:rsidP="00455437">
            <w:pPr>
              <w:pStyle w:val="Table-Text"/>
              <w:keepNext/>
              <w:keepLines/>
              <w:tabs>
                <w:tab w:val="decimal" w:pos="802"/>
              </w:tabs>
              <w:spacing w:before="60" w:after="60"/>
            </w:pPr>
            <w:r>
              <w:t>33.9</w:t>
            </w:r>
          </w:p>
        </w:tc>
      </w:tr>
      <w:tr w:rsidR="00C966AF" w:rsidRPr="00363CF9" w14:paraId="003E718B" w14:textId="7CE35644" w:rsidTr="00740A34">
        <w:tc>
          <w:tcPr>
            <w:tcW w:w="2977" w:type="dxa"/>
          </w:tcPr>
          <w:p w14:paraId="2D609637" w14:textId="77777777" w:rsidR="00C966AF" w:rsidRPr="00072DC1" w:rsidRDefault="00C966AF" w:rsidP="00455437">
            <w:pPr>
              <w:pStyle w:val="Table-Text"/>
              <w:keepNext/>
              <w:keepLines/>
              <w:spacing w:before="60" w:after="60"/>
              <w:rPr>
                <w:rStyle w:val="Strong"/>
              </w:rPr>
            </w:pPr>
            <w:r w:rsidRPr="00072DC1">
              <w:rPr>
                <w:rStyle w:val="Strong"/>
              </w:rPr>
              <w:t>Estonia</w:t>
            </w:r>
          </w:p>
        </w:tc>
        <w:tc>
          <w:tcPr>
            <w:tcW w:w="1653" w:type="dxa"/>
          </w:tcPr>
          <w:p w14:paraId="30A55159" w14:textId="556BDFEE" w:rsidR="00C966AF" w:rsidRPr="00363CF9" w:rsidRDefault="00C966AF" w:rsidP="00455437">
            <w:pPr>
              <w:pStyle w:val="Table-Text"/>
              <w:keepNext/>
              <w:keepLines/>
              <w:tabs>
                <w:tab w:val="decimal" w:pos="802"/>
              </w:tabs>
              <w:spacing w:before="60" w:after="60"/>
            </w:pPr>
            <w:r>
              <w:t>20.0</w:t>
            </w:r>
          </w:p>
        </w:tc>
        <w:tc>
          <w:tcPr>
            <w:tcW w:w="1654" w:type="dxa"/>
          </w:tcPr>
          <w:p w14:paraId="512E8202" w14:textId="383ABAE8" w:rsidR="00C966AF" w:rsidRPr="00363CF9" w:rsidRDefault="00C966AF" w:rsidP="00455437">
            <w:pPr>
              <w:pStyle w:val="Table-Text"/>
              <w:keepNext/>
              <w:keepLines/>
              <w:tabs>
                <w:tab w:val="decimal" w:pos="802"/>
              </w:tabs>
              <w:spacing w:before="60" w:after="60"/>
            </w:pPr>
            <w:r>
              <w:t>20.0</w:t>
            </w:r>
          </w:p>
        </w:tc>
        <w:tc>
          <w:tcPr>
            <w:tcW w:w="1654" w:type="dxa"/>
          </w:tcPr>
          <w:p w14:paraId="3871695D" w14:textId="23326BAB" w:rsidR="00C966AF" w:rsidRDefault="00DF00C5" w:rsidP="00455437">
            <w:pPr>
              <w:pStyle w:val="Table-Text"/>
              <w:keepNext/>
              <w:keepLines/>
              <w:tabs>
                <w:tab w:val="decimal" w:pos="802"/>
              </w:tabs>
              <w:spacing w:before="60" w:after="60"/>
            </w:pPr>
            <w:r>
              <w:t>0.0</w:t>
            </w:r>
          </w:p>
        </w:tc>
      </w:tr>
      <w:tr w:rsidR="00C966AF" w:rsidRPr="00363CF9" w14:paraId="236D187E" w14:textId="71E3D598" w:rsidTr="00740A34">
        <w:tc>
          <w:tcPr>
            <w:tcW w:w="2977" w:type="dxa"/>
          </w:tcPr>
          <w:p w14:paraId="76967F04" w14:textId="77777777" w:rsidR="00C966AF" w:rsidRPr="00072DC1" w:rsidRDefault="00C966AF" w:rsidP="00455437">
            <w:pPr>
              <w:pStyle w:val="Table-Text"/>
              <w:keepNext/>
              <w:keepLines/>
              <w:spacing w:before="60" w:after="60"/>
              <w:rPr>
                <w:rStyle w:val="Strong"/>
              </w:rPr>
            </w:pPr>
            <w:r w:rsidRPr="00072DC1">
              <w:rPr>
                <w:rStyle w:val="Strong"/>
              </w:rPr>
              <w:t>Finland</w:t>
            </w:r>
          </w:p>
        </w:tc>
        <w:tc>
          <w:tcPr>
            <w:tcW w:w="1653" w:type="dxa"/>
          </w:tcPr>
          <w:p w14:paraId="04312D33" w14:textId="7D9D274A" w:rsidR="00C966AF" w:rsidRPr="00363CF9" w:rsidRDefault="00C966AF" w:rsidP="00455437">
            <w:pPr>
              <w:pStyle w:val="Table-Text"/>
              <w:keepNext/>
              <w:keepLines/>
              <w:tabs>
                <w:tab w:val="decimal" w:pos="802"/>
              </w:tabs>
              <w:spacing w:before="60" w:after="60"/>
            </w:pPr>
            <w:r>
              <w:t>20.0</w:t>
            </w:r>
          </w:p>
        </w:tc>
        <w:tc>
          <w:tcPr>
            <w:tcW w:w="1654" w:type="dxa"/>
          </w:tcPr>
          <w:p w14:paraId="6D9FB845" w14:textId="68D9271B" w:rsidR="00C966AF" w:rsidRPr="00363CF9" w:rsidRDefault="00C966AF" w:rsidP="00455437">
            <w:pPr>
              <w:pStyle w:val="Table-Text"/>
              <w:keepNext/>
              <w:keepLines/>
              <w:tabs>
                <w:tab w:val="decimal" w:pos="802"/>
              </w:tabs>
              <w:spacing w:before="60" w:after="60"/>
            </w:pPr>
            <w:r>
              <w:t>51.2</w:t>
            </w:r>
          </w:p>
        </w:tc>
        <w:tc>
          <w:tcPr>
            <w:tcW w:w="1654" w:type="dxa"/>
          </w:tcPr>
          <w:p w14:paraId="4C862CFE" w14:textId="478DC097" w:rsidR="00C966AF" w:rsidRDefault="00DF00C5" w:rsidP="00455437">
            <w:pPr>
              <w:pStyle w:val="Table-Text"/>
              <w:keepNext/>
              <w:keepLines/>
              <w:tabs>
                <w:tab w:val="decimal" w:pos="802"/>
              </w:tabs>
              <w:spacing w:before="60" w:after="60"/>
            </w:pPr>
            <w:r>
              <w:t>31.2</w:t>
            </w:r>
          </w:p>
        </w:tc>
      </w:tr>
      <w:tr w:rsidR="00C966AF" w:rsidRPr="00363CF9" w14:paraId="5AC8BB8E" w14:textId="5278E104" w:rsidTr="00740A34">
        <w:tc>
          <w:tcPr>
            <w:tcW w:w="2977" w:type="dxa"/>
          </w:tcPr>
          <w:p w14:paraId="2B516321" w14:textId="77777777" w:rsidR="00C966AF" w:rsidRPr="00072DC1" w:rsidRDefault="00C966AF" w:rsidP="00455437">
            <w:pPr>
              <w:pStyle w:val="Table-Text"/>
              <w:keepNext/>
              <w:keepLines/>
              <w:spacing w:before="60" w:after="60"/>
              <w:rPr>
                <w:rStyle w:val="Strong"/>
              </w:rPr>
            </w:pPr>
            <w:r w:rsidRPr="00072DC1">
              <w:rPr>
                <w:rStyle w:val="Strong"/>
              </w:rPr>
              <w:t>France</w:t>
            </w:r>
          </w:p>
        </w:tc>
        <w:tc>
          <w:tcPr>
            <w:tcW w:w="1653" w:type="dxa"/>
          </w:tcPr>
          <w:p w14:paraId="02F458BA" w14:textId="76173EE5" w:rsidR="00C966AF" w:rsidRPr="00363CF9" w:rsidRDefault="00C966AF" w:rsidP="00455437">
            <w:pPr>
              <w:pStyle w:val="Table-Text"/>
              <w:keepNext/>
              <w:keepLines/>
              <w:tabs>
                <w:tab w:val="decimal" w:pos="802"/>
              </w:tabs>
              <w:spacing w:before="60" w:after="60"/>
            </w:pPr>
            <w:r>
              <w:t>32.0</w:t>
            </w:r>
          </w:p>
        </w:tc>
        <w:tc>
          <w:tcPr>
            <w:tcW w:w="1654" w:type="dxa"/>
          </w:tcPr>
          <w:p w14:paraId="72FC795C" w14:textId="48C27312" w:rsidR="00C966AF" w:rsidRPr="00363CF9" w:rsidRDefault="00C966AF" w:rsidP="00455437">
            <w:pPr>
              <w:pStyle w:val="Table-Text"/>
              <w:keepNext/>
              <w:keepLines/>
              <w:tabs>
                <w:tab w:val="decimal" w:pos="802"/>
              </w:tabs>
              <w:spacing w:before="60" w:after="60"/>
            </w:pPr>
            <w:r>
              <w:t>55.4</w:t>
            </w:r>
          </w:p>
        </w:tc>
        <w:tc>
          <w:tcPr>
            <w:tcW w:w="1654" w:type="dxa"/>
          </w:tcPr>
          <w:p w14:paraId="025D4101" w14:textId="1C58EE77" w:rsidR="00C966AF" w:rsidRDefault="00DF00C5" w:rsidP="00455437">
            <w:pPr>
              <w:pStyle w:val="Table-Text"/>
              <w:keepNext/>
              <w:keepLines/>
              <w:tabs>
                <w:tab w:val="decimal" w:pos="802"/>
              </w:tabs>
              <w:spacing w:before="60" w:after="60"/>
            </w:pPr>
            <w:r>
              <w:t>23.4</w:t>
            </w:r>
          </w:p>
        </w:tc>
      </w:tr>
      <w:tr w:rsidR="00C966AF" w:rsidRPr="00363CF9" w14:paraId="12241BB7" w14:textId="4E938214" w:rsidTr="00740A34">
        <w:tc>
          <w:tcPr>
            <w:tcW w:w="2977" w:type="dxa"/>
          </w:tcPr>
          <w:p w14:paraId="61D00E2D" w14:textId="77777777" w:rsidR="00C966AF" w:rsidRPr="00072DC1" w:rsidRDefault="00C966AF" w:rsidP="00455437">
            <w:pPr>
              <w:pStyle w:val="Table-Text"/>
              <w:keepNext/>
              <w:keepLines/>
              <w:spacing w:before="60" w:after="60"/>
              <w:rPr>
                <w:rStyle w:val="Strong"/>
              </w:rPr>
            </w:pPr>
            <w:r w:rsidRPr="00072DC1">
              <w:rPr>
                <w:rStyle w:val="Strong"/>
              </w:rPr>
              <w:t>Germany</w:t>
            </w:r>
          </w:p>
        </w:tc>
        <w:tc>
          <w:tcPr>
            <w:tcW w:w="1653" w:type="dxa"/>
          </w:tcPr>
          <w:p w14:paraId="74BCE5A7" w14:textId="3543CF6A" w:rsidR="00C966AF" w:rsidRPr="00363CF9" w:rsidRDefault="00C966AF" w:rsidP="00455437">
            <w:pPr>
              <w:pStyle w:val="Table-Text"/>
              <w:keepNext/>
              <w:keepLines/>
              <w:tabs>
                <w:tab w:val="decimal" w:pos="802"/>
              </w:tabs>
              <w:spacing w:before="60" w:after="60"/>
            </w:pPr>
            <w:r>
              <w:t>29.9</w:t>
            </w:r>
          </w:p>
        </w:tc>
        <w:tc>
          <w:tcPr>
            <w:tcW w:w="1654" w:type="dxa"/>
          </w:tcPr>
          <w:p w14:paraId="0DC3230B" w14:textId="141801E2" w:rsidR="00C966AF" w:rsidRPr="00363CF9" w:rsidRDefault="00C966AF" w:rsidP="00455437">
            <w:pPr>
              <w:pStyle w:val="Table-Text"/>
              <w:keepNext/>
              <w:keepLines/>
              <w:tabs>
                <w:tab w:val="decimal" w:pos="802"/>
              </w:tabs>
              <w:spacing w:before="60" w:after="60"/>
            </w:pPr>
            <w:r>
              <w:t>47.5</w:t>
            </w:r>
          </w:p>
        </w:tc>
        <w:tc>
          <w:tcPr>
            <w:tcW w:w="1654" w:type="dxa"/>
          </w:tcPr>
          <w:p w14:paraId="0BF21462" w14:textId="282AAD82" w:rsidR="00C966AF" w:rsidRDefault="00DF00C5" w:rsidP="00455437">
            <w:pPr>
              <w:pStyle w:val="Table-Text"/>
              <w:keepNext/>
              <w:keepLines/>
              <w:tabs>
                <w:tab w:val="decimal" w:pos="802"/>
              </w:tabs>
              <w:spacing w:before="60" w:after="60"/>
            </w:pPr>
            <w:r>
              <w:t>17.6</w:t>
            </w:r>
          </w:p>
        </w:tc>
      </w:tr>
      <w:tr w:rsidR="00C966AF" w:rsidRPr="00363CF9" w14:paraId="4EB68DA3" w14:textId="6104B948" w:rsidTr="00740A34">
        <w:tc>
          <w:tcPr>
            <w:tcW w:w="2977" w:type="dxa"/>
          </w:tcPr>
          <w:p w14:paraId="0E47F03C" w14:textId="77777777" w:rsidR="00C966AF" w:rsidRPr="00072DC1" w:rsidRDefault="00C966AF" w:rsidP="00455437">
            <w:pPr>
              <w:pStyle w:val="Table-Text"/>
              <w:keepNext/>
              <w:keepLines/>
              <w:spacing w:before="60" w:after="60"/>
              <w:rPr>
                <w:rStyle w:val="Strong"/>
              </w:rPr>
            </w:pPr>
            <w:r w:rsidRPr="00072DC1">
              <w:rPr>
                <w:rStyle w:val="Strong"/>
              </w:rPr>
              <w:t>Greece</w:t>
            </w:r>
          </w:p>
        </w:tc>
        <w:tc>
          <w:tcPr>
            <w:tcW w:w="1653" w:type="dxa"/>
          </w:tcPr>
          <w:p w14:paraId="55F04096" w14:textId="44AE1A03" w:rsidR="00C966AF" w:rsidRPr="00363CF9" w:rsidRDefault="00C966AF" w:rsidP="00455437">
            <w:pPr>
              <w:pStyle w:val="Table-Text"/>
              <w:keepNext/>
              <w:keepLines/>
              <w:tabs>
                <w:tab w:val="decimal" w:pos="802"/>
              </w:tabs>
              <w:spacing w:before="60" w:after="60"/>
            </w:pPr>
            <w:r>
              <w:t>24.0</w:t>
            </w:r>
          </w:p>
        </w:tc>
        <w:tc>
          <w:tcPr>
            <w:tcW w:w="1654" w:type="dxa"/>
          </w:tcPr>
          <w:p w14:paraId="7CEA972D" w14:textId="34CDDDEC" w:rsidR="00C966AF" w:rsidRPr="00363CF9" w:rsidRDefault="00C966AF" w:rsidP="00455437">
            <w:pPr>
              <w:pStyle w:val="Table-Text"/>
              <w:keepNext/>
              <w:keepLines/>
              <w:tabs>
                <w:tab w:val="decimal" w:pos="802"/>
              </w:tabs>
              <w:spacing w:before="60" w:after="60"/>
            </w:pPr>
            <w:r>
              <w:t>54.0</w:t>
            </w:r>
          </w:p>
        </w:tc>
        <w:tc>
          <w:tcPr>
            <w:tcW w:w="1654" w:type="dxa"/>
          </w:tcPr>
          <w:p w14:paraId="0D44FC84" w14:textId="52276C30" w:rsidR="00C966AF" w:rsidRDefault="00DF00C5" w:rsidP="00455437">
            <w:pPr>
              <w:pStyle w:val="Table-Text"/>
              <w:keepNext/>
              <w:keepLines/>
              <w:tabs>
                <w:tab w:val="decimal" w:pos="802"/>
              </w:tabs>
              <w:spacing w:before="60" w:after="60"/>
            </w:pPr>
            <w:r>
              <w:t>30.0</w:t>
            </w:r>
          </w:p>
        </w:tc>
      </w:tr>
      <w:tr w:rsidR="00C966AF" w:rsidRPr="00363CF9" w14:paraId="1DBDAC10" w14:textId="2A980302" w:rsidTr="00740A34">
        <w:tc>
          <w:tcPr>
            <w:tcW w:w="2977" w:type="dxa"/>
          </w:tcPr>
          <w:p w14:paraId="4C647C75" w14:textId="77777777" w:rsidR="00C966AF" w:rsidRPr="00072DC1" w:rsidRDefault="00C966AF" w:rsidP="00455437">
            <w:pPr>
              <w:pStyle w:val="Table-Text"/>
              <w:keepNext/>
              <w:keepLines/>
              <w:spacing w:before="60" w:after="60"/>
              <w:rPr>
                <w:rStyle w:val="Strong"/>
              </w:rPr>
            </w:pPr>
            <w:r w:rsidRPr="00072DC1">
              <w:rPr>
                <w:rStyle w:val="Strong"/>
              </w:rPr>
              <w:t>Hungary</w:t>
            </w:r>
          </w:p>
        </w:tc>
        <w:tc>
          <w:tcPr>
            <w:tcW w:w="1653" w:type="dxa"/>
          </w:tcPr>
          <w:p w14:paraId="4208FE23" w14:textId="13C2ABBF" w:rsidR="00C966AF" w:rsidRPr="00363CF9" w:rsidRDefault="00C966AF" w:rsidP="00455437">
            <w:pPr>
              <w:pStyle w:val="Table-Text"/>
              <w:keepNext/>
              <w:keepLines/>
              <w:tabs>
                <w:tab w:val="decimal" w:pos="802"/>
              </w:tabs>
              <w:spacing w:before="60" w:after="60"/>
            </w:pPr>
            <w:r>
              <w:t>9.0</w:t>
            </w:r>
          </w:p>
        </w:tc>
        <w:tc>
          <w:tcPr>
            <w:tcW w:w="1654" w:type="dxa"/>
          </w:tcPr>
          <w:p w14:paraId="6E0A5722" w14:textId="57CD1950" w:rsidR="00C966AF" w:rsidRPr="00363CF9" w:rsidRDefault="00C966AF" w:rsidP="00455437">
            <w:pPr>
              <w:pStyle w:val="Table-Text"/>
              <w:keepNext/>
              <w:keepLines/>
              <w:tabs>
                <w:tab w:val="decimal" w:pos="802"/>
              </w:tabs>
              <w:spacing w:before="60" w:after="60"/>
            </w:pPr>
            <w:r>
              <w:t>15.0</w:t>
            </w:r>
          </w:p>
        </w:tc>
        <w:tc>
          <w:tcPr>
            <w:tcW w:w="1654" w:type="dxa"/>
          </w:tcPr>
          <w:p w14:paraId="24B84044" w14:textId="7ED60B19" w:rsidR="00C966AF" w:rsidRDefault="00DF00C5" w:rsidP="00455437">
            <w:pPr>
              <w:pStyle w:val="Table-Text"/>
              <w:keepNext/>
              <w:keepLines/>
              <w:tabs>
                <w:tab w:val="decimal" w:pos="802"/>
              </w:tabs>
              <w:spacing w:before="60" w:after="60"/>
            </w:pPr>
            <w:r>
              <w:t>6.0</w:t>
            </w:r>
          </w:p>
        </w:tc>
      </w:tr>
      <w:tr w:rsidR="00C966AF" w:rsidRPr="00363CF9" w14:paraId="12FED8F2" w14:textId="4B8630B1" w:rsidTr="00740A34">
        <w:tc>
          <w:tcPr>
            <w:tcW w:w="2977" w:type="dxa"/>
          </w:tcPr>
          <w:p w14:paraId="107EAD45" w14:textId="77777777" w:rsidR="00C966AF" w:rsidRPr="00072DC1" w:rsidRDefault="00C966AF" w:rsidP="00455437">
            <w:pPr>
              <w:pStyle w:val="Table-Text"/>
              <w:keepNext/>
              <w:keepLines/>
              <w:spacing w:before="60" w:after="60"/>
              <w:rPr>
                <w:rStyle w:val="Strong"/>
              </w:rPr>
            </w:pPr>
            <w:r w:rsidRPr="00072DC1">
              <w:rPr>
                <w:rStyle w:val="Strong"/>
              </w:rPr>
              <w:t>Iceland</w:t>
            </w:r>
          </w:p>
        </w:tc>
        <w:tc>
          <w:tcPr>
            <w:tcW w:w="1653" w:type="dxa"/>
          </w:tcPr>
          <w:p w14:paraId="16FC69DF" w14:textId="41E22FDC" w:rsidR="00C966AF" w:rsidRPr="00363CF9" w:rsidRDefault="00C966AF" w:rsidP="00455437">
            <w:pPr>
              <w:pStyle w:val="Table-Text"/>
              <w:keepNext/>
              <w:keepLines/>
              <w:tabs>
                <w:tab w:val="decimal" w:pos="802"/>
              </w:tabs>
              <w:spacing w:before="60" w:after="60"/>
            </w:pPr>
            <w:r>
              <w:t>20.0</w:t>
            </w:r>
          </w:p>
        </w:tc>
        <w:tc>
          <w:tcPr>
            <w:tcW w:w="1654" w:type="dxa"/>
          </w:tcPr>
          <w:p w14:paraId="6C765745" w14:textId="40060E4C" w:rsidR="00C966AF" w:rsidRPr="00363CF9" w:rsidRDefault="00C966AF" w:rsidP="00455437">
            <w:pPr>
              <w:pStyle w:val="Table-Text"/>
              <w:keepNext/>
              <w:keepLines/>
              <w:tabs>
                <w:tab w:val="decimal" w:pos="802"/>
              </w:tabs>
              <w:spacing w:before="60" w:after="60"/>
            </w:pPr>
            <w:r>
              <w:t>46.2</w:t>
            </w:r>
          </w:p>
        </w:tc>
        <w:tc>
          <w:tcPr>
            <w:tcW w:w="1654" w:type="dxa"/>
          </w:tcPr>
          <w:p w14:paraId="7606D4C8" w14:textId="03FF29B1" w:rsidR="00C966AF" w:rsidRDefault="00DF00C5" w:rsidP="00455437">
            <w:pPr>
              <w:pStyle w:val="Table-Text"/>
              <w:keepNext/>
              <w:keepLines/>
              <w:tabs>
                <w:tab w:val="decimal" w:pos="802"/>
              </w:tabs>
              <w:spacing w:before="60" w:after="60"/>
            </w:pPr>
            <w:r>
              <w:t>26.2</w:t>
            </w:r>
          </w:p>
        </w:tc>
      </w:tr>
      <w:tr w:rsidR="00C966AF" w:rsidRPr="00363CF9" w14:paraId="304930B1" w14:textId="7F1DFEBA" w:rsidTr="00740A34">
        <w:tc>
          <w:tcPr>
            <w:tcW w:w="2977" w:type="dxa"/>
          </w:tcPr>
          <w:p w14:paraId="55D57E86" w14:textId="77777777" w:rsidR="00C966AF" w:rsidRPr="00072DC1" w:rsidRDefault="00C966AF" w:rsidP="00455437">
            <w:pPr>
              <w:pStyle w:val="Table-Text"/>
              <w:keepNext/>
              <w:keepLines/>
              <w:spacing w:before="60" w:after="60"/>
              <w:rPr>
                <w:rStyle w:val="Strong"/>
              </w:rPr>
            </w:pPr>
            <w:r w:rsidRPr="00072DC1">
              <w:rPr>
                <w:rStyle w:val="Strong"/>
              </w:rPr>
              <w:t>Ireland</w:t>
            </w:r>
          </w:p>
        </w:tc>
        <w:tc>
          <w:tcPr>
            <w:tcW w:w="1653" w:type="dxa"/>
          </w:tcPr>
          <w:p w14:paraId="38D17672" w14:textId="607F72EF" w:rsidR="00C966AF" w:rsidRPr="00363CF9" w:rsidRDefault="00C966AF" w:rsidP="00455437">
            <w:pPr>
              <w:pStyle w:val="Table-Text"/>
              <w:keepNext/>
              <w:keepLines/>
              <w:tabs>
                <w:tab w:val="decimal" w:pos="802"/>
              </w:tabs>
              <w:spacing w:before="60" w:after="60"/>
            </w:pPr>
            <w:r>
              <w:t>12.5</w:t>
            </w:r>
          </w:p>
        </w:tc>
        <w:tc>
          <w:tcPr>
            <w:tcW w:w="1654" w:type="dxa"/>
          </w:tcPr>
          <w:p w14:paraId="56B9C862" w14:textId="4F4EB4F0" w:rsidR="00C966AF" w:rsidRPr="00363CF9" w:rsidRDefault="00C966AF" w:rsidP="00455437">
            <w:pPr>
              <w:pStyle w:val="Table-Text"/>
              <w:keepNext/>
              <w:keepLines/>
              <w:tabs>
                <w:tab w:val="decimal" w:pos="802"/>
              </w:tabs>
              <w:spacing w:before="60" w:after="60"/>
            </w:pPr>
            <w:r>
              <w:t>48.0</w:t>
            </w:r>
          </w:p>
        </w:tc>
        <w:tc>
          <w:tcPr>
            <w:tcW w:w="1654" w:type="dxa"/>
          </w:tcPr>
          <w:p w14:paraId="3CC2325C" w14:textId="579237B9" w:rsidR="00C966AF" w:rsidRDefault="00DF00C5" w:rsidP="00455437">
            <w:pPr>
              <w:pStyle w:val="Table-Text"/>
              <w:keepNext/>
              <w:keepLines/>
              <w:tabs>
                <w:tab w:val="decimal" w:pos="802"/>
              </w:tabs>
              <w:spacing w:before="60" w:after="60"/>
            </w:pPr>
            <w:r>
              <w:t>35.5</w:t>
            </w:r>
          </w:p>
        </w:tc>
      </w:tr>
      <w:tr w:rsidR="00C966AF" w:rsidRPr="00363CF9" w14:paraId="588FCA9D" w14:textId="0112D8F4" w:rsidTr="00740A34">
        <w:tc>
          <w:tcPr>
            <w:tcW w:w="2977" w:type="dxa"/>
          </w:tcPr>
          <w:p w14:paraId="02DDCF05" w14:textId="77777777" w:rsidR="00C966AF" w:rsidRPr="00072DC1" w:rsidRDefault="00C966AF" w:rsidP="00455437">
            <w:pPr>
              <w:pStyle w:val="Table-Text"/>
              <w:keepNext/>
              <w:keepLines/>
              <w:spacing w:before="60" w:after="60"/>
              <w:rPr>
                <w:rStyle w:val="Strong"/>
              </w:rPr>
            </w:pPr>
            <w:r w:rsidRPr="00072DC1">
              <w:rPr>
                <w:rStyle w:val="Strong"/>
              </w:rPr>
              <w:t>Israel</w:t>
            </w:r>
          </w:p>
        </w:tc>
        <w:tc>
          <w:tcPr>
            <w:tcW w:w="1653" w:type="dxa"/>
          </w:tcPr>
          <w:p w14:paraId="6C5480CB" w14:textId="0F5B769B" w:rsidR="00C966AF" w:rsidRPr="00363CF9" w:rsidRDefault="00C966AF" w:rsidP="00455437">
            <w:pPr>
              <w:pStyle w:val="Table-Text"/>
              <w:keepNext/>
              <w:keepLines/>
              <w:tabs>
                <w:tab w:val="decimal" w:pos="802"/>
              </w:tabs>
              <w:spacing w:before="60" w:after="60"/>
            </w:pPr>
            <w:r>
              <w:t>23.0</w:t>
            </w:r>
          </w:p>
        </w:tc>
        <w:tc>
          <w:tcPr>
            <w:tcW w:w="1654" w:type="dxa"/>
          </w:tcPr>
          <w:p w14:paraId="00DDD061" w14:textId="3D82AC71" w:rsidR="00C966AF" w:rsidRPr="00363CF9" w:rsidRDefault="00C966AF" w:rsidP="00455437">
            <w:pPr>
              <w:pStyle w:val="Table-Text"/>
              <w:keepNext/>
              <w:keepLines/>
              <w:tabs>
                <w:tab w:val="decimal" w:pos="802"/>
              </w:tabs>
              <w:spacing w:before="60" w:after="60"/>
            </w:pPr>
            <w:r>
              <w:t>50.0</w:t>
            </w:r>
          </w:p>
        </w:tc>
        <w:tc>
          <w:tcPr>
            <w:tcW w:w="1654" w:type="dxa"/>
          </w:tcPr>
          <w:p w14:paraId="4B19C0D6" w14:textId="4D88B178" w:rsidR="00C966AF" w:rsidRDefault="00DF00C5" w:rsidP="00455437">
            <w:pPr>
              <w:pStyle w:val="Table-Text"/>
              <w:keepNext/>
              <w:keepLines/>
              <w:tabs>
                <w:tab w:val="decimal" w:pos="802"/>
              </w:tabs>
              <w:spacing w:before="60" w:after="60"/>
            </w:pPr>
            <w:r>
              <w:t>27.0</w:t>
            </w:r>
          </w:p>
        </w:tc>
      </w:tr>
      <w:tr w:rsidR="00C966AF" w:rsidRPr="00363CF9" w14:paraId="527F91CA" w14:textId="3607B46D" w:rsidTr="00740A34">
        <w:tc>
          <w:tcPr>
            <w:tcW w:w="2977" w:type="dxa"/>
          </w:tcPr>
          <w:p w14:paraId="1F5CDDC7" w14:textId="77777777" w:rsidR="00C966AF" w:rsidRPr="00072DC1" w:rsidRDefault="00C966AF" w:rsidP="00455437">
            <w:pPr>
              <w:pStyle w:val="Table-Text"/>
              <w:keepNext/>
              <w:keepLines/>
              <w:spacing w:before="60" w:after="60"/>
              <w:rPr>
                <w:rStyle w:val="Strong"/>
              </w:rPr>
            </w:pPr>
            <w:r w:rsidRPr="00072DC1">
              <w:rPr>
                <w:rStyle w:val="Strong"/>
              </w:rPr>
              <w:t>Italy</w:t>
            </w:r>
          </w:p>
        </w:tc>
        <w:tc>
          <w:tcPr>
            <w:tcW w:w="1653" w:type="dxa"/>
          </w:tcPr>
          <w:p w14:paraId="2F11A0CF" w14:textId="0D75EA32" w:rsidR="00C966AF" w:rsidRPr="00363CF9" w:rsidRDefault="00C966AF" w:rsidP="00455437">
            <w:pPr>
              <w:pStyle w:val="Table-Text"/>
              <w:keepNext/>
              <w:keepLines/>
              <w:tabs>
                <w:tab w:val="decimal" w:pos="802"/>
              </w:tabs>
              <w:spacing w:before="60" w:after="60"/>
            </w:pPr>
            <w:r>
              <w:t>27.8</w:t>
            </w:r>
          </w:p>
        </w:tc>
        <w:tc>
          <w:tcPr>
            <w:tcW w:w="1654" w:type="dxa"/>
          </w:tcPr>
          <w:p w14:paraId="5252EDF4" w14:textId="6552C9A4" w:rsidR="00C966AF" w:rsidRPr="00363CF9" w:rsidRDefault="00C966AF" w:rsidP="00455437">
            <w:pPr>
              <w:pStyle w:val="Table-Text"/>
              <w:keepNext/>
              <w:keepLines/>
              <w:tabs>
                <w:tab w:val="decimal" w:pos="802"/>
              </w:tabs>
              <w:spacing w:before="60" w:after="60"/>
            </w:pPr>
            <w:r>
              <w:t>47.2</w:t>
            </w:r>
          </w:p>
        </w:tc>
        <w:tc>
          <w:tcPr>
            <w:tcW w:w="1654" w:type="dxa"/>
          </w:tcPr>
          <w:p w14:paraId="60A18101" w14:textId="43863336" w:rsidR="00C966AF" w:rsidRDefault="00DF00C5" w:rsidP="00455437">
            <w:pPr>
              <w:pStyle w:val="Table-Text"/>
              <w:keepNext/>
              <w:keepLines/>
              <w:tabs>
                <w:tab w:val="decimal" w:pos="802"/>
              </w:tabs>
              <w:spacing w:before="60" w:after="60"/>
            </w:pPr>
            <w:r>
              <w:t>19.4</w:t>
            </w:r>
          </w:p>
        </w:tc>
      </w:tr>
      <w:tr w:rsidR="00C966AF" w:rsidRPr="00363CF9" w14:paraId="360440B6" w14:textId="2EDEE12D" w:rsidTr="00740A34">
        <w:tc>
          <w:tcPr>
            <w:tcW w:w="2977" w:type="dxa"/>
          </w:tcPr>
          <w:p w14:paraId="0308DEA9" w14:textId="77777777" w:rsidR="00C966AF" w:rsidRPr="00072DC1" w:rsidRDefault="00C966AF" w:rsidP="00455437">
            <w:pPr>
              <w:pStyle w:val="Table-Text"/>
              <w:keepNext/>
              <w:keepLines/>
              <w:spacing w:before="60" w:after="60"/>
              <w:rPr>
                <w:rStyle w:val="Strong"/>
              </w:rPr>
            </w:pPr>
            <w:r w:rsidRPr="00072DC1">
              <w:rPr>
                <w:rStyle w:val="Strong"/>
              </w:rPr>
              <w:t>Japan</w:t>
            </w:r>
          </w:p>
        </w:tc>
        <w:tc>
          <w:tcPr>
            <w:tcW w:w="1653" w:type="dxa"/>
          </w:tcPr>
          <w:p w14:paraId="37201B64" w14:textId="6773C8A8" w:rsidR="00C966AF" w:rsidRPr="00363CF9" w:rsidRDefault="00C966AF" w:rsidP="00455437">
            <w:pPr>
              <w:pStyle w:val="Table-Text"/>
              <w:keepNext/>
              <w:keepLines/>
              <w:tabs>
                <w:tab w:val="decimal" w:pos="802"/>
              </w:tabs>
              <w:spacing w:before="60" w:after="60"/>
            </w:pPr>
            <w:r>
              <w:t>29.7</w:t>
            </w:r>
          </w:p>
        </w:tc>
        <w:tc>
          <w:tcPr>
            <w:tcW w:w="1654" w:type="dxa"/>
          </w:tcPr>
          <w:p w14:paraId="65C79DF9" w14:textId="1DB2D636" w:rsidR="00C966AF" w:rsidRPr="00363CF9" w:rsidRDefault="00C966AF" w:rsidP="00455437">
            <w:pPr>
              <w:pStyle w:val="Table-Text"/>
              <w:keepNext/>
              <w:keepLines/>
              <w:tabs>
                <w:tab w:val="decimal" w:pos="802"/>
              </w:tabs>
              <w:spacing w:before="60" w:after="60"/>
            </w:pPr>
            <w:r>
              <w:t>55.9</w:t>
            </w:r>
          </w:p>
        </w:tc>
        <w:tc>
          <w:tcPr>
            <w:tcW w:w="1654" w:type="dxa"/>
          </w:tcPr>
          <w:p w14:paraId="37713EB6" w14:textId="14B3E5F8" w:rsidR="00C966AF" w:rsidRDefault="00DF00C5" w:rsidP="00455437">
            <w:pPr>
              <w:pStyle w:val="Table-Text"/>
              <w:keepNext/>
              <w:keepLines/>
              <w:tabs>
                <w:tab w:val="decimal" w:pos="802"/>
              </w:tabs>
              <w:spacing w:before="60" w:after="60"/>
            </w:pPr>
            <w:r>
              <w:t>26.2</w:t>
            </w:r>
          </w:p>
        </w:tc>
      </w:tr>
      <w:tr w:rsidR="00C966AF" w:rsidRPr="00363CF9" w14:paraId="3314B51C" w14:textId="0E7F8AE9" w:rsidTr="00740A34">
        <w:tc>
          <w:tcPr>
            <w:tcW w:w="2977" w:type="dxa"/>
          </w:tcPr>
          <w:p w14:paraId="5C334521" w14:textId="77777777" w:rsidR="00C966AF" w:rsidRPr="00072DC1" w:rsidRDefault="00C966AF" w:rsidP="00455437">
            <w:pPr>
              <w:pStyle w:val="Table-Text"/>
              <w:keepNext/>
              <w:keepLines/>
              <w:spacing w:before="60" w:after="60"/>
              <w:rPr>
                <w:rStyle w:val="Strong"/>
              </w:rPr>
            </w:pPr>
            <w:r w:rsidRPr="00072DC1">
              <w:rPr>
                <w:rStyle w:val="Strong"/>
              </w:rPr>
              <w:t>Korea</w:t>
            </w:r>
          </w:p>
        </w:tc>
        <w:tc>
          <w:tcPr>
            <w:tcW w:w="1653" w:type="dxa"/>
          </w:tcPr>
          <w:p w14:paraId="0457D509" w14:textId="03C8075B" w:rsidR="00C966AF" w:rsidRPr="00363CF9" w:rsidRDefault="00C966AF" w:rsidP="00455437">
            <w:pPr>
              <w:pStyle w:val="Table-Text"/>
              <w:keepNext/>
              <w:keepLines/>
              <w:tabs>
                <w:tab w:val="decimal" w:pos="802"/>
              </w:tabs>
              <w:spacing w:before="60" w:after="60"/>
            </w:pPr>
            <w:r>
              <w:t>27.5</w:t>
            </w:r>
          </w:p>
        </w:tc>
        <w:tc>
          <w:tcPr>
            <w:tcW w:w="1654" w:type="dxa"/>
          </w:tcPr>
          <w:p w14:paraId="389479E2" w14:textId="39019532" w:rsidR="00C966AF" w:rsidRPr="00363CF9" w:rsidRDefault="00C966AF" w:rsidP="00455437">
            <w:pPr>
              <w:pStyle w:val="Table-Text"/>
              <w:keepNext/>
              <w:keepLines/>
              <w:tabs>
                <w:tab w:val="decimal" w:pos="802"/>
              </w:tabs>
              <w:spacing w:before="60" w:after="60"/>
            </w:pPr>
            <w:r>
              <w:t>46.2</w:t>
            </w:r>
          </w:p>
        </w:tc>
        <w:tc>
          <w:tcPr>
            <w:tcW w:w="1654" w:type="dxa"/>
          </w:tcPr>
          <w:p w14:paraId="4E00C85D" w14:textId="7FE65649" w:rsidR="00C966AF" w:rsidRDefault="00DF00C5" w:rsidP="00455437">
            <w:pPr>
              <w:pStyle w:val="Table-Text"/>
              <w:keepNext/>
              <w:keepLines/>
              <w:tabs>
                <w:tab w:val="decimal" w:pos="802"/>
              </w:tabs>
              <w:spacing w:before="60" w:after="60"/>
            </w:pPr>
            <w:r>
              <w:t>18.7</w:t>
            </w:r>
          </w:p>
        </w:tc>
      </w:tr>
      <w:tr w:rsidR="00C966AF" w:rsidRPr="00363CF9" w14:paraId="27D43B33" w14:textId="2AA0AA83" w:rsidTr="00740A34">
        <w:tc>
          <w:tcPr>
            <w:tcW w:w="2977" w:type="dxa"/>
          </w:tcPr>
          <w:p w14:paraId="6F6784EA" w14:textId="311BAC79" w:rsidR="00C966AF" w:rsidRPr="00072DC1" w:rsidRDefault="00C966AF" w:rsidP="00455437">
            <w:pPr>
              <w:pStyle w:val="Table-Text"/>
              <w:keepNext/>
              <w:keepLines/>
              <w:spacing w:before="60" w:after="60"/>
              <w:rPr>
                <w:rStyle w:val="Strong"/>
              </w:rPr>
            </w:pPr>
            <w:r w:rsidRPr="00072DC1">
              <w:rPr>
                <w:rStyle w:val="Strong"/>
              </w:rPr>
              <w:t>Latvia</w:t>
            </w:r>
          </w:p>
        </w:tc>
        <w:tc>
          <w:tcPr>
            <w:tcW w:w="1653" w:type="dxa"/>
          </w:tcPr>
          <w:p w14:paraId="7BBFE453" w14:textId="68B913BE" w:rsidR="00C966AF" w:rsidRPr="00363CF9" w:rsidRDefault="00C966AF" w:rsidP="00455437">
            <w:pPr>
              <w:pStyle w:val="Table-Text"/>
              <w:keepNext/>
              <w:keepLines/>
              <w:tabs>
                <w:tab w:val="decimal" w:pos="802"/>
              </w:tabs>
              <w:spacing w:before="60" w:after="60"/>
            </w:pPr>
            <w:r>
              <w:t>20.0</w:t>
            </w:r>
          </w:p>
        </w:tc>
        <w:tc>
          <w:tcPr>
            <w:tcW w:w="1654" w:type="dxa"/>
          </w:tcPr>
          <w:p w14:paraId="0BA72F74" w14:textId="22E64A70" w:rsidR="00C966AF" w:rsidRPr="00363CF9" w:rsidRDefault="00C966AF" w:rsidP="00455437">
            <w:pPr>
              <w:pStyle w:val="Table-Text"/>
              <w:keepNext/>
              <w:keepLines/>
              <w:tabs>
                <w:tab w:val="decimal" w:pos="802"/>
              </w:tabs>
              <w:spacing w:before="60" w:after="60"/>
            </w:pPr>
            <w:r>
              <w:t>31.4</w:t>
            </w:r>
          </w:p>
        </w:tc>
        <w:tc>
          <w:tcPr>
            <w:tcW w:w="1654" w:type="dxa"/>
          </w:tcPr>
          <w:p w14:paraId="70BA2BBE" w14:textId="4F8ACBFE" w:rsidR="00C966AF" w:rsidRDefault="00DF00C5" w:rsidP="00455437">
            <w:pPr>
              <w:pStyle w:val="Table-Text"/>
              <w:keepNext/>
              <w:keepLines/>
              <w:tabs>
                <w:tab w:val="decimal" w:pos="802"/>
              </w:tabs>
              <w:spacing w:before="60" w:after="60"/>
            </w:pPr>
            <w:r>
              <w:t>11.4</w:t>
            </w:r>
          </w:p>
        </w:tc>
      </w:tr>
      <w:tr w:rsidR="00E1409A" w:rsidRPr="00363CF9" w14:paraId="14CC5A8E" w14:textId="77777777" w:rsidTr="00740A34">
        <w:tc>
          <w:tcPr>
            <w:tcW w:w="2977" w:type="dxa"/>
          </w:tcPr>
          <w:p w14:paraId="32E84AD6" w14:textId="77777777" w:rsidR="00E1409A" w:rsidRPr="00072DC1" w:rsidRDefault="00E1409A" w:rsidP="00455437">
            <w:pPr>
              <w:pStyle w:val="Table-Text"/>
              <w:keepNext/>
              <w:keepLines/>
              <w:spacing w:before="60" w:after="60"/>
              <w:rPr>
                <w:rStyle w:val="Strong"/>
              </w:rPr>
            </w:pPr>
            <w:r w:rsidRPr="00072DC1">
              <w:rPr>
                <w:rStyle w:val="Strong"/>
              </w:rPr>
              <w:t>Lithuania</w:t>
            </w:r>
          </w:p>
        </w:tc>
        <w:tc>
          <w:tcPr>
            <w:tcW w:w="1653" w:type="dxa"/>
          </w:tcPr>
          <w:p w14:paraId="148BCEB5" w14:textId="77777777" w:rsidR="00E1409A" w:rsidRPr="00363CF9" w:rsidRDefault="00E1409A" w:rsidP="00455437">
            <w:pPr>
              <w:pStyle w:val="Table-Text"/>
              <w:keepNext/>
              <w:keepLines/>
              <w:tabs>
                <w:tab w:val="decimal" w:pos="802"/>
              </w:tabs>
              <w:spacing w:before="60" w:after="60"/>
            </w:pPr>
            <w:r>
              <w:t>15.0</w:t>
            </w:r>
          </w:p>
        </w:tc>
        <w:tc>
          <w:tcPr>
            <w:tcW w:w="1654" w:type="dxa"/>
          </w:tcPr>
          <w:p w14:paraId="5285BCDC" w14:textId="77777777" w:rsidR="00E1409A" w:rsidRPr="00363CF9" w:rsidRDefault="00E1409A" w:rsidP="00455437">
            <w:pPr>
              <w:pStyle w:val="Table-Text"/>
              <w:keepNext/>
              <w:keepLines/>
              <w:tabs>
                <w:tab w:val="decimal" w:pos="802"/>
              </w:tabs>
              <w:spacing w:before="60" w:after="60"/>
            </w:pPr>
            <w:r>
              <w:t>32.0</w:t>
            </w:r>
          </w:p>
        </w:tc>
        <w:tc>
          <w:tcPr>
            <w:tcW w:w="1654" w:type="dxa"/>
          </w:tcPr>
          <w:p w14:paraId="6FAB2C38" w14:textId="77777777" w:rsidR="00E1409A" w:rsidRDefault="00E1409A" w:rsidP="00455437">
            <w:pPr>
              <w:pStyle w:val="Table-Text"/>
              <w:keepNext/>
              <w:keepLines/>
              <w:tabs>
                <w:tab w:val="decimal" w:pos="802"/>
              </w:tabs>
              <w:spacing w:before="60" w:after="60"/>
            </w:pPr>
            <w:r>
              <w:t>17.0</w:t>
            </w:r>
          </w:p>
        </w:tc>
      </w:tr>
      <w:tr w:rsidR="00C966AF" w:rsidRPr="00363CF9" w14:paraId="672A6A12" w14:textId="312D1528" w:rsidTr="00740A34">
        <w:tc>
          <w:tcPr>
            <w:tcW w:w="2977" w:type="dxa"/>
          </w:tcPr>
          <w:p w14:paraId="13EFE700" w14:textId="77777777" w:rsidR="00C966AF" w:rsidRPr="00072DC1" w:rsidRDefault="00C966AF" w:rsidP="00455437">
            <w:pPr>
              <w:pStyle w:val="Table-Text"/>
              <w:keepNext/>
              <w:keepLines/>
              <w:spacing w:before="60" w:after="60"/>
              <w:rPr>
                <w:rStyle w:val="Strong"/>
              </w:rPr>
            </w:pPr>
            <w:r w:rsidRPr="00072DC1">
              <w:rPr>
                <w:rStyle w:val="Strong"/>
              </w:rPr>
              <w:t>Luxembourg</w:t>
            </w:r>
          </w:p>
        </w:tc>
        <w:tc>
          <w:tcPr>
            <w:tcW w:w="1653" w:type="dxa"/>
          </w:tcPr>
          <w:p w14:paraId="5AF68DDB" w14:textId="32AA32BC" w:rsidR="00C966AF" w:rsidRPr="00363CF9" w:rsidRDefault="00C966AF" w:rsidP="00455437">
            <w:pPr>
              <w:pStyle w:val="Table-Text"/>
              <w:keepNext/>
              <w:keepLines/>
              <w:tabs>
                <w:tab w:val="decimal" w:pos="802"/>
              </w:tabs>
              <w:spacing w:before="60" w:after="60"/>
            </w:pPr>
            <w:r>
              <w:t>24.9</w:t>
            </w:r>
          </w:p>
        </w:tc>
        <w:tc>
          <w:tcPr>
            <w:tcW w:w="1654" w:type="dxa"/>
          </w:tcPr>
          <w:p w14:paraId="3FACE718" w14:textId="46E7ACD7" w:rsidR="00C966AF" w:rsidRPr="00363CF9" w:rsidRDefault="00C966AF" w:rsidP="00455437">
            <w:pPr>
              <w:pStyle w:val="Table-Text"/>
              <w:keepNext/>
              <w:keepLines/>
              <w:tabs>
                <w:tab w:val="decimal" w:pos="802"/>
              </w:tabs>
              <w:spacing w:before="60" w:after="60"/>
            </w:pPr>
            <w:r>
              <w:t>45.8</w:t>
            </w:r>
          </w:p>
        </w:tc>
        <w:tc>
          <w:tcPr>
            <w:tcW w:w="1654" w:type="dxa"/>
          </w:tcPr>
          <w:p w14:paraId="29916032" w14:textId="657E0EFB" w:rsidR="00C966AF" w:rsidRDefault="00DF00C5" w:rsidP="00455437">
            <w:pPr>
              <w:pStyle w:val="Table-Text"/>
              <w:keepNext/>
              <w:keepLines/>
              <w:tabs>
                <w:tab w:val="decimal" w:pos="802"/>
              </w:tabs>
              <w:spacing w:before="60" w:after="60"/>
            </w:pPr>
            <w:r>
              <w:t>20.9</w:t>
            </w:r>
          </w:p>
        </w:tc>
      </w:tr>
      <w:tr w:rsidR="00C966AF" w:rsidRPr="00363CF9" w14:paraId="3C397784" w14:textId="49242EA3" w:rsidTr="00740A34">
        <w:tc>
          <w:tcPr>
            <w:tcW w:w="2977" w:type="dxa"/>
          </w:tcPr>
          <w:p w14:paraId="61341306" w14:textId="77777777" w:rsidR="00C966AF" w:rsidRPr="00072DC1" w:rsidRDefault="00C966AF" w:rsidP="00455437">
            <w:pPr>
              <w:pStyle w:val="Table-Text"/>
              <w:keepNext/>
              <w:keepLines/>
              <w:spacing w:before="60" w:after="60"/>
              <w:rPr>
                <w:rStyle w:val="Strong"/>
              </w:rPr>
            </w:pPr>
            <w:r w:rsidRPr="00072DC1">
              <w:rPr>
                <w:rStyle w:val="Strong"/>
              </w:rPr>
              <w:t>Mexico</w:t>
            </w:r>
          </w:p>
        </w:tc>
        <w:tc>
          <w:tcPr>
            <w:tcW w:w="1653" w:type="dxa"/>
          </w:tcPr>
          <w:p w14:paraId="4AF12B98" w14:textId="6FDCD120" w:rsidR="00C966AF" w:rsidRPr="00363CF9" w:rsidRDefault="00C966AF" w:rsidP="00455437">
            <w:pPr>
              <w:pStyle w:val="Table-Text"/>
              <w:keepNext/>
              <w:keepLines/>
              <w:tabs>
                <w:tab w:val="decimal" w:pos="802"/>
              </w:tabs>
              <w:spacing w:before="60" w:after="60"/>
            </w:pPr>
            <w:r>
              <w:t>30.0</w:t>
            </w:r>
          </w:p>
        </w:tc>
        <w:tc>
          <w:tcPr>
            <w:tcW w:w="1654" w:type="dxa"/>
          </w:tcPr>
          <w:p w14:paraId="21224EE5" w14:textId="001355BF" w:rsidR="00C966AF" w:rsidRPr="00363CF9" w:rsidRDefault="00C966AF" w:rsidP="00455437">
            <w:pPr>
              <w:pStyle w:val="Table-Text"/>
              <w:keepNext/>
              <w:keepLines/>
              <w:tabs>
                <w:tab w:val="decimal" w:pos="802"/>
              </w:tabs>
              <w:spacing w:before="60" w:after="60"/>
            </w:pPr>
            <w:r>
              <w:t>35.0</w:t>
            </w:r>
          </w:p>
        </w:tc>
        <w:tc>
          <w:tcPr>
            <w:tcW w:w="1654" w:type="dxa"/>
          </w:tcPr>
          <w:p w14:paraId="0C1E0034" w14:textId="3DD8CD1B" w:rsidR="00C966AF" w:rsidRDefault="00DF00C5" w:rsidP="00455437">
            <w:pPr>
              <w:pStyle w:val="Table-Text"/>
              <w:keepNext/>
              <w:keepLines/>
              <w:tabs>
                <w:tab w:val="decimal" w:pos="802"/>
              </w:tabs>
              <w:spacing w:before="60" w:after="60"/>
            </w:pPr>
            <w:r>
              <w:t>5.0</w:t>
            </w:r>
          </w:p>
        </w:tc>
      </w:tr>
      <w:tr w:rsidR="00C966AF" w:rsidRPr="00363CF9" w14:paraId="07FAA757" w14:textId="75FA8E53" w:rsidTr="00740A34">
        <w:tc>
          <w:tcPr>
            <w:tcW w:w="2977" w:type="dxa"/>
          </w:tcPr>
          <w:p w14:paraId="03AAD202" w14:textId="77777777" w:rsidR="00C966AF" w:rsidRPr="00072DC1" w:rsidRDefault="00C966AF" w:rsidP="00455437">
            <w:pPr>
              <w:pStyle w:val="Table-Text"/>
              <w:keepNext/>
              <w:keepLines/>
              <w:spacing w:before="60" w:after="60"/>
              <w:rPr>
                <w:rStyle w:val="Strong"/>
              </w:rPr>
            </w:pPr>
            <w:r w:rsidRPr="00072DC1">
              <w:rPr>
                <w:rStyle w:val="Strong"/>
              </w:rPr>
              <w:t>Netherlands</w:t>
            </w:r>
          </w:p>
        </w:tc>
        <w:tc>
          <w:tcPr>
            <w:tcW w:w="1653" w:type="dxa"/>
          </w:tcPr>
          <w:p w14:paraId="10C5AA22" w14:textId="7EAAE3DC" w:rsidR="00C966AF" w:rsidRPr="00363CF9" w:rsidRDefault="00C966AF" w:rsidP="00455437">
            <w:pPr>
              <w:pStyle w:val="Table-Text"/>
              <w:keepNext/>
              <w:keepLines/>
              <w:tabs>
                <w:tab w:val="decimal" w:pos="802"/>
              </w:tabs>
              <w:spacing w:before="60" w:after="60"/>
            </w:pPr>
            <w:r>
              <w:t>25.0</w:t>
            </w:r>
          </w:p>
        </w:tc>
        <w:tc>
          <w:tcPr>
            <w:tcW w:w="1654" w:type="dxa"/>
          </w:tcPr>
          <w:p w14:paraId="0A1CA535" w14:textId="50402826" w:rsidR="00C966AF" w:rsidRPr="00363CF9" w:rsidRDefault="00C966AF" w:rsidP="00455437">
            <w:pPr>
              <w:pStyle w:val="Table-Text"/>
              <w:keepNext/>
              <w:keepLines/>
              <w:tabs>
                <w:tab w:val="decimal" w:pos="802"/>
              </w:tabs>
              <w:spacing w:before="60" w:after="60"/>
            </w:pPr>
            <w:r>
              <w:t>49.5</w:t>
            </w:r>
          </w:p>
        </w:tc>
        <w:tc>
          <w:tcPr>
            <w:tcW w:w="1654" w:type="dxa"/>
          </w:tcPr>
          <w:p w14:paraId="2832F247" w14:textId="6EA9058F" w:rsidR="00C966AF" w:rsidRDefault="00DF00C5" w:rsidP="00455437">
            <w:pPr>
              <w:pStyle w:val="Table-Text"/>
              <w:keepNext/>
              <w:keepLines/>
              <w:tabs>
                <w:tab w:val="decimal" w:pos="802"/>
              </w:tabs>
              <w:spacing w:before="60" w:after="60"/>
            </w:pPr>
            <w:r>
              <w:t>24.5</w:t>
            </w:r>
          </w:p>
        </w:tc>
      </w:tr>
      <w:tr w:rsidR="00C966AF" w:rsidRPr="00363CF9" w14:paraId="261B1046" w14:textId="45854577" w:rsidTr="00740A34">
        <w:tc>
          <w:tcPr>
            <w:tcW w:w="2977" w:type="dxa"/>
            <w:shd w:val="clear" w:color="auto" w:fill="BFBFBF" w:themeFill="background1" w:themeFillShade="BF"/>
          </w:tcPr>
          <w:p w14:paraId="35F27A37" w14:textId="77777777" w:rsidR="00C966AF" w:rsidRPr="00072DC1" w:rsidRDefault="00C966AF" w:rsidP="00455437">
            <w:pPr>
              <w:pStyle w:val="Table-Text"/>
              <w:keepNext/>
              <w:keepLines/>
              <w:spacing w:before="60" w:after="60"/>
              <w:rPr>
                <w:rStyle w:val="Strong"/>
              </w:rPr>
            </w:pPr>
            <w:r w:rsidRPr="00072DC1">
              <w:rPr>
                <w:rStyle w:val="Strong"/>
              </w:rPr>
              <w:t>New Zealand</w:t>
            </w:r>
          </w:p>
        </w:tc>
        <w:tc>
          <w:tcPr>
            <w:tcW w:w="1653" w:type="dxa"/>
            <w:shd w:val="clear" w:color="auto" w:fill="BFBFBF" w:themeFill="background1" w:themeFillShade="BF"/>
          </w:tcPr>
          <w:p w14:paraId="77E109AA" w14:textId="263EB6F8" w:rsidR="00C966AF" w:rsidRPr="00363CF9" w:rsidRDefault="00C966AF" w:rsidP="00455437">
            <w:pPr>
              <w:pStyle w:val="Table-Text"/>
              <w:keepNext/>
              <w:keepLines/>
              <w:tabs>
                <w:tab w:val="decimal" w:pos="802"/>
              </w:tabs>
              <w:spacing w:before="60" w:after="60"/>
            </w:pPr>
            <w:r>
              <w:t>28.0</w:t>
            </w:r>
          </w:p>
        </w:tc>
        <w:tc>
          <w:tcPr>
            <w:tcW w:w="1654" w:type="dxa"/>
            <w:shd w:val="clear" w:color="auto" w:fill="BFBFBF" w:themeFill="background1" w:themeFillShade="BF"/>
          </w:tcPr>
          <w:p w14:paraId="0F3CAF3A" w14:textId="3FEB4013" w:rsidR="00C966AF" w:rsidRPr="00363CF9" w:rsidRDefault="00DF00C5" w:rsidP="00455437">
            <w:pPr>
              <w:pStyle w:val="Table-Text"/>
              <w:keepNext/>
              <w:keepLines/>
              <w:tabs>
                <w:tab w:val="decimal" w:pos="802"/>
              </w:tabs>
              <w:spacing w:before="60" w:after="60"/>
            </w:pPr>
            <w:r>
              <w:t>33.0</w:t>
            </w:r>
          </w:p>
        </w:tc>
        <w:tc>
          <w:tcPr>
            <w:tcW w:w="1654" w:type="dxa"/>
            <w:shd w:val="clear" w:color="auto" w:fill="BFBFBF" w:themeFill="background1" w:themeFillShade="BF"/>
          </w:tcPr>
          <w:p w14:paraId="24C6BE7F" w14:textId="6BD3755D" w:rsidR="00C966AF" w:rsidRDefault="00DF00C5" w:rsidP="00455437">
            <w:pPr>
              <w:pStyle w:val="Table-Text"/>
              <w:keepNext/>
              <w:keepLines/>
              <w:tabs>
                <w:tab w:val="decimal" w:pos="802"/>
              </w:tabs>
              <w:spacing w:before="60" w:after="60"/>
            </w:pPr>
            <w:r>
              <w:t>5.0</w:t>
            </w:r>
          </w:p>
        </w:tc>
      </w:tr>
      <w:tr w:rsidR="00C966AF" w:rsidRPr="00363CF9" w14:paraId="2FB2FB92" w14:textId="7786E6EC" w:rsidTr="00740A34">
        <w:tc>
          <w:tcPr>
            <w:tcW w:w="2977" w:type="dxa"/>
          </w:tcPr>
          <w:p w14:paraId="774C1CDA" w14:textId="77777777" w:rsidR="00C966AF" w:rsidRPr="00072DC1" w:rsidRDefault="00C966AF" w:rsidP="00455437">
            <w:pPr>
              <w:pStyle w:val="Table-Text"/>
              <w:keepNext/>
              <w:keepLines/>
              <w:spacing w:before="60" w:after="60"/>
              <w:rPr>
                <w:rStyle w:val="Strong"/>
              </w:rPr>
            </w:pPr>
            <w:r w:rsidRPr="00072DC1">
              <w:rPr>
                <w:rStyle w:val="Strong"/>
              </w:rPr>
              <w:t>Norway</w:t>
            </w:r>
          </w:p>
        </w:tc>
        <w:tc>
          <w:tcPr>
            <w:tcW w:w="1653" w:type="dxa"/>
          </w:tcPr>
          <w:p w14:paraId="4E902575" w14:textId="6B7E50BA" w:rsidR="00C966AF" w:rsidRPr="00363CF9" w:rsidRDefault="00C966AF" w:rsidP="00455437">
            <w:pPr>
              <w:pStyle w:val="Table-Text"/>
              <w:keepNext/>
              <w:keepLines/>
              <w:tabs>
                <w:tab w:val="decimal" w:pos="802"/>
              </w:tabs>
              <w:spacing w:before="60" w:after="60"/>
            </w:pPr>
            <w:r>
              <w:t>22.0</w:t>
            </w:r>
          </w:p>
        </w:tc>
        <w:tc>
          <w:tcPr>
            <w:tcW w:w="1654" w:type="dxa"/>
          </w:tcPr>
          <w:p w14:paraId="0AF9E42B" w14:textId="6652A4BF" w:rsidR="00C966AF" w:rsidRPr="00363CF9" w:rsidRDefault="00DF00C5" w:rsidP="00455437">
            <w:pPr>
              <w:pStyle w:val="Table-Text"/>
              <w:keepNext/>
              <w:keepLines/>
              <w:tabs>
                <w:tab w:val="decimal" w:pos="802"/>
              </w:tabs>
              <w:spacing w:before="60" w:after="60"/>
            </w:pPr>
            <w:r>
              <w:t>38.2</w:t>
            </w:r>
          </w:p>
        </w:tc>
        <w:tc>
          <w:tcPr>
            <w:tcW w:w="1654" w:type="dxa"/>
          </w:tcPr>
          <w:p w14:paraId="0D55F54E" w14:textId="7D3B7385" w:rsidR="00C966AF" w:rsidRDefault="00DF00C5" w:rsidP="00455437">
            <w:pPr>
              <w:pStyle w:val="Table-Text"/>
              <w:keepNext/>
              <w:keepLines/>
              <w:tabs>
                <w:tab w:val="decimal" w:pos="802"/>
              </w:tabs>
              <w:spacing w:before="60" w:after="60"/>
            </w:pPr>
            <w:r>
              <w:t>16.2</w:t>
            </w:r>
          </w:p>
        </w:tc>
      </w:tr>
      <w:tr w:rsidR="00C966AF" w:rsidRPr="00363CF9" w14:paraId="3FECF295" w14:textId="35B077B2" w:rsidTr="00740A34">
        <w:tc>
          <w:tcPr>
            <w:tcW w:w="2977" w:type="dxa"/>
          </w:tcPr>
          <w:p w14:paraId="0069E17E" w14:textId="77777777" w:rsidR="00C966AF" w:rsidRPr="00072DC1" w:rsidRDefault="00C966AF" w:rsidP="00455437">
            <w:pPr>
              <w:pStyle w:val="Table-Text"/>
              <w:keepNext/>
              <w:keepLines/>
              <w:spacing w:before="60" w:after="60"/>
              <w:rPr>
                <w:rStyle w:val="Strong"/>
              </w:rPr>
            </w:pPr>
            <w:r w:rsidRPr="00072DC1">
              <w:rPr>
                <w:rStyle w:val="Strong"/>
              </w:rPr>
              <w:t>Poland</w:t>
            </w:r>
          </w:p>
        </w:tc>
        <w:tc>
          <w:tcPr>
            <w:tcW w:w="1653" w:type="dxa"/>
          </w:tcPr>
          <w:p w14:paraId="25491CA8" w14:textId="32B098DF" w:rsidR="00C966AF" w:rsidRPr="00363CF9" w:rsidRDefault="00C966AF" w:rsidP="00455437">
            <w:pPr>
              <w:pStyle w:val="Table-Text"/>
              <w:keepNext/>
              <w:keepLines/>
              <w:tabs>
                <w:tab w:val="decimal" w:pos="802"/>
              </w:tabs>
              <w:spacing w:before="60" w:after="60"/>
            </w:pPr>
            <w:r>
              <w:t>19.0</w:t>
            </w:r>
          </w:p>
        </w:tc>
        <w:tc>
          <w:tcPr>
            <w:tcW w:w="1654" w:type="dxa"/>
          </w:tcPr>
          <w:p w14:paraId="00DD2BFB" w14:textId="33E21669" w:rsidR="00DF00C5" w:rsidRPr="00363CF9" w:rsidRDefault="00DF00C5" w:rsidP="00455437">
            <w:pPr>
              <w:pStyle w:val="Table-Text"/>
              <w:keepNext/>
              <w:keepLines/>
              <w:tabs>
                <w:tab w:val="decimal" w:pos="802"/>
              </w:tabs>
              <w:spacing w:before="60" w:after="60"/>
            </w:pPr>
            <w:r>
              <w:t>32.0</w:t>
            </w:r>
          </w:p>
        </w:tc>
        <w:tc>
          <w:tcPr>
            <w:tcW w:w="1654" w:type="dxa"/>
          </w:tcPr>
          <w:p w14:paraId="4DECB0A5" w14:textId="3C6F2CF7" w:rsidR="00C966AF" w:rsidRDefault="00DF00C5" w:rsidP="00455437">
            <w:pPr>
              <w:pStyle w:val="Table-Text"/>
              <w:keepNext/>
              <w:keepLines/>
              <w:tabs>
                <w:tab w:val="decimal" w:pos="802"/>
              </w:tabs>
              <w:spacing w:before="60" w:after="60"/>
            </w:pPr>
            <w:r>
              <w:t>13.0</w:t>
            </w:r>
          </w:p>
        </w:tc>
      </w:tr>
      <w:tr w:rsidR="00C966AF" w:rsidRPr="00363CF9" w14:paraId="6F8F061D" w14:textId="0C4180A3" w:rsidTr="00740A34">
        <w:tc>
          <w:tcPr>
            <w:tcW w:w="2977" w:type="dxa"/>
          </w:tcPr>
          <w:p w14:paraId="00231307" w14:textId="77777777" w:rsidR="00C966AF" w:rsidRPr="00072DC1" w:rsidRDefault="00C966AF" w:rsidP="00455437">
            <w:pPr>
              <w:pStyle w:val="Table-Text"/>
              <w:keepNext/>
              <w:keepLines/>
              <w:spacing w:before="60" w:after="60"/>
              <w:rPr>
                <w:rStyle w:val="Strong"/>
              </w:rPr>
            </w:pPr>
            <w:r w:rsidRPr="00072DC1">
              <w:rPr>
                <w:rStyle w:val="Strong"/>
              </w:rPr>
              <w:t>Portugal</w:t>
            </w:r>
          </w:p>
        </w:tc>
        <w:tc>
          <w:tcPr>
            <w:tcW w:w="1653" w:type="dxa"/>
          </w:tcPr>
          <w:p w14:paraId="1334764F" w14:textId="71F4BDB3" w:rsidR="00C966AF" w:rsidRPr="00363CF9" w:rsidRDefault="00C966AF" w:rsidP="00455437">
            <w:pPr>
              <w:pStyle w:val="Table-Text"/>
              <w:keepNext/>
              <w:keepLines/>
              <w:tabs>
                <w:tab w:val="decimal" w:pos="802"/>
              </w:tabs>
              <w:spacing w:before="60" w:after="60"/>
            </w:pPr>
            <w:r>
              <w:t>31.5</w:t>
            </w:r>
          </w:p>
        </w:tc>
        <w:tc>
          <w:tcPr>
            <w:tcW w:w="1654" w:type="dxa"/>
          </w:tcPr>
          <w:p w14:paraId="5EAB6002" w14:textId="3329CEBA" w:rsidR="00C966AF" w:rsidRPr="00363CF9" w:rsidRDefault="00DF00C5" w:rsidP="00455437">
            <w:pPr>
              <w:pStyle w:val="Table-Text"/>
              <w:keepNext/>
              <w:keepLines/>
              <w:tabs>
                <w:tab w:val="decimal" w:pos="802"/>
              </w:tabs>
              <w:spacing w:before="60" w:after="60"/>
            </w:pPr>
            <w:r>
              <w:t>53.0</w:t>
            </w:r>
          </w:p>
        </w:tc>
        <w:tc>
          <w:tcPr>
            <w:tcW w:w="1654" w:type="dxa"/>
          </w:tcPr>
          <w:p w14:paraId="47F0A6C2" w14:textId="65DB142F" w:rsidR="00C966AF" w:rsidRDefault="00DF00C5" w:rsidP="00455437">
            <w:pPr>
              <w:pStyle w:val="Table-Text"/>
              <w:keepNext/>
              <w:keepLines/>
              <w:tabs>
                <w:tab w:val="decimal" w:pos="802"/>
              </w:tabs>
              <w:spacing w:before="60" w:after="60"/>
            </w:pPr>
            <w:r>
              <w:t>21.5</w:t>
            </w:r>
          </w:p>
        </w:tc>
      </w:tr>
      <w:tr w:rsidR="00C966AF" w:rsidRPr="00363CF9" w14:paraId="036C8947" w14:textId="763A4D7F" w:rsidTr="00740A34">
        <w:tc>
          <w:tcPr>
            <w:tcW w:w="2977" w:type="dxa"/>
          </w:tcPr>
          <w:p w14:paraId="5CEA7B1F" w14:textId="77777777" w:rsidR="00C966AF" w:rsidRPr="00072DC1" w:rsidRDefault="00C966AF" w:rsidP="00455437">
            <w:pPr>
              <w:pStyle w:val="Table-Text"/>
              <w:keepNext/>
              <w:keepLines/>
              <w:spacing w:before="60" w:after="60"/>
              <w:rPr>
                <w:rStyle w:val="Strong"/>
              </w:rPr>
            </w:pPr>
            <w:r w:rsidRPr="00072DC1">
              <w:rPr>
                <w:rStyle w:val="Strong"/>
              </w:rPr>
              <w:t>Slovak Republic</w:t>
            </w:r>
          </w:p>
        </w:tc>
        <w:tc>
          <w:tcPr>
            <w:tcW w:w="1653" w:type="dxa"/>
          </w:tcPr>
          <w:p w14:paraId="09C3DAD5" w14:textId="1BA6A9BE" w:rsidR="00C966AF" w:rsidRPr="00363CF9" w:rsidRDefault="00C966AF" w:rsidP="00455437">
            <w:pPr>
              <w:pStyle w:val="Table-Text"/>
              <w:keepNext/>
              <w:keepLines/>
              <w:tabs>
                <w:tab w:val="decimal" w:pos="802"/>
              </w:tabs>
              <w:spacing w:before="60" w:after="60"/>
            </w:pPr>
            <w:r>
              <w:t>21.0</w:t>
            </w:r>
          </w:p>
        </w:tc>
        <w:tc>
          <w:tcPr>
            <w:tcW w:w="1654" w:type="dxa"/>
          </w:tcPr>
          <w:p w14:paraId="39AED6A0" w14:textId="3867FBFC" w:rsidR="00C966AF" w:rsidRPr="00363CF9" w:rsidRDefault="00DF00C5" w:rsidP="00455437">
            <w:pPr>
              <w:pStyle w:val="Table-Text"/>
              <w:keepNext/>
              <w:keepLines/>
              <w:tabs>
                <w:tab w:val="decimal" w:pos="802"/>
              </w:tabs>
              <w:spacing w:before="60" w:after="60"/>
            </w:pPr>
            <w:r>
              <w:t>25.0</w:t>
            </w:r>
          </w:p>
        </w:tc>
        <w:tc>
          <w:tcPr>
            <w:tcW w:w="1654" w:type="dxa"/>
          </w:tcPr>
          <w:p w14:paraId="35BBE5FE" w14:textId="6AE0026C" w:rsidR="00C966AF" w:rsidRDefault="00DF00C5" w:rsidP="00455437">
            <w:pPr>
              <w:pStyle w:val="Table-Text"/>
              <w:keepNext/>
              <w:keepLines/>
              <w:tabs>
                <w:tab w:val="decimal" w:pos="802"/>
              </w:tabs>
              <w:spacing w:before="60" w:after="60"/>
            </w:pPr>
            <w:r>
              <w:t>4.0</w:t>
            </w:r>
          </w:p>
        </w:tc>
      </w:tr>
      <w:tr w:rsidR="00C966AF" w:rsidRPr="00363CF9" w14:paraId="1140B683" w14:textId="047307A3" w:rsidTr="00740A34">
        <w:tc>
          <w:tcPr>
            <w:tcW w:w="2977" w:type="dxa"/>
          </w:tcPr>
          <w:p w14:paraId="75DB1167" w14:textId="77777777" w:rsidR="00C966AF" w:rsidRPr="00072DC1" w:rsidRDefault="00C966AF" w:rsidP="00455437">
            <w:pPr>
              <w:pStyle w:val="Table-Text"/>
              <w:keepNext/>
              <w:keepLines/>
              <w:spacing w:before="60" w:after="60"/>
              <w:rPr>
                <w:rStyle w:val="Strong"/>
              </w:rPr>
            </w:pPr>
            <w:r w:rsidRPr="00072DC1">
              <w:rPr>
                <w:rStyle w:val="Strong"/>
              </w:rPr>
              <w:t>Slovenia</w:t>
            </w:r>
          </w:p>
        </w:tc>
        <w:tc>
          <w:tcPr>
            <w:tcW w:w="1653" w:type="dxa"/>
          </w:tcPr>
          <w:p w14:paraId="1D48F27E" w14:textId="0173F7A0" w:rsidR="00C966AF" w:rsidRPr="00363CF9" w:rsidRDefault="00C966AF" w:rsidP="00455437">
            <w:pPr>
              <w:pStyle w:val="Table-Text"/>
              <w:keepNext/>
              <w:keepLines/>
              <w:tabs>
                <w:tab w:val="decimal" w:pos="802"/>
              </w:tabs>
              <w:spacing w:before="60" w:after="60"/>
            </w:pPr>
            <w:r>
              <w:t>19.0</w:t>
            </w:r>
          </w:p>
        </w:tc>
        <w:tc>
          <w:tcPr>
            <w:tcW w:w="1654" w:type="dxa"/>
          </w:tcPr>
          <w:p w14:paraId="128B9E33" w14:textId="7FBF7DE0" w:rsidR="00C966AF" w:rsidRPr="00363CF9" w:rsidRDefault="00DF00C5" w:rsidP="00455437">
            <w:pPr>
              <w:pStyle w:val="Table-Text"/>
              <w:keepNext/>
              <w:keepLines/>
              <w:tabs>
                <w:tab w:val="decimal" w:pos="802"/>
              </w:tabs>
              <w:spacing w:before="60" w:after="60"/>
            </w:pPr>
            <w:r>
              <w:t>50.0</w:t>
            </w:r>
          </w:p>
        </w:tc>
        <w:tc>
          <w:tcPr>
            <w:tcW w:w="1654" w:type="dxa"/>
          </w:tcPr>
          <w:p w14:paraId="4BF89AD5" w14:textId="68D2ACD5" w:rsidR="00C966AF" w:rsidRDefault="00DF00C5" w:rsidP="00455437">
            <w:pPr>
              <w:pStyle w:val="Table-Text"/>
              <w:keepNext/>
              <w:keepLines/>
              <w:tabs>
                <w:tab w:val="decimal" w:pos="802"/>
              </w:tabs>
              <w:spacing w:before="60" w:after="60"/>
            </w:pPr>
            <w:r>
              <w:t>31.0</w:t>
            </w:r>
          </w:p>
        </w:tc>
      </w:tr>
      <w:tr w:rsidR="00C966AF" w:rsidRPr="00363CF9" w14:paraId="6DBDB4F5" w14:textId="1B58B413" w:rsidTr="00740A34">
        <w:tc>
          <w:tcPr>
            <w:tcW w:w="2977" w:type="dxa"/>
          </w:tcPr>
          <w:p w14:paraId="7AA68AF7" w14:textId="77777777" w:rsidR="00C966AF" w:rsidRPr="00072DC1" w:rsidRDefault="00C966AF" w:rsidP="00455437">
            <w:pPr>
              <w:pStyle w:val="Table-Text"/>
              <w:keepNext/>
              <w:keepLines/>
              <w:spacing w:before="60" w:after="60"/>
              <w:rPr>
                <w:rStyle w:val="Strong"/>
              </w:rPr>
            </w:pPr>
            <w:r w:rsidRPr="00072DC1">
              <w:rPr>
                <w:rStyle w:val="Strong"/>
              </w:rPr>
              <w:t>Spain</w:t>
            </w:r>
          </w:p>
        </w:tc>
        <w:tc>
          <w:tcPr>
            <w:tcW w:w="1653" w:type="dxa"/>
          </w:tcPr>
          <w:p w14:paraId="598E59EB" w14:textId="536B0F63" w:rsidR="00C966AF" w:rsidRPr="00363CF9" w:rsidRDefault="00C966AF" w:rsidP="00455437">
            <w:pPr>
              <w:pStyle w:val="Table-Text"/>
              <w:keepNext/>
              <w:keepLines/>
              <w:tabs>
                <w:tab w:val="decimal" w:pos="802"/>
              </w:tabs>
              <w:spacing w:before="60" w:after="60"/>
            </w:pPr>
            <w:r>
              <w:t>25.0</w:t>
            </w:r>
          </w:p>
        </w:tc>
        <w:tc>
          <w:tcPr>
            <w:tcW w:w="1654" w:type="dxa"/>
          </w:tcPr>
          <w:p w14:paraId="451C678F" w14:textId="1F23A4FD" w:rsidR="00C966AF" w:rsidRPr="00363CF9" w:rsidRDefault="00DF00C5" w:rsidP="00455437">
            <w:pPr>
              <w:pStyle w:val="Table-Text"/>
              <w:keepNext/>
              <w:keepLines/>
              <w:tabs>
                <w:tab w:val="decimal" w:pos="802"/>
              </w:tabs>
              <w:spacing w:before="60" w:after="60"/>
            </w:pPr>
            <w:r>
              <w:t>43.5</w:t>
            </w:r>
          </w:p>
        </w:tc>
        <w:tc>
          <w:tcPr>
            <w:tcW w:w="1654" w:type="dxa"/>
          </w:tcPr>
          <w:p w14:paraId="3500F673" w14:textId="049AD52A" w:rsidR="00C966AF" w:rsidRDefault="00DF00C5" w:rsidP="00455437">
            <w:pPr>
              <w:pStyle w:val="Table-Text"/>
              <w:keepNext/>
              <w:keepLines/>
              <w:tabs>
                <w:tab w:val="decimal" w:pos="802"/>
              </w:tabs>
              <w:spacing w:before="60" w:after="60"/>
            </w:pPr>
            <w:r>
              <w:t>18.5</w:t>
            </w:r>
          </w:p>
        </w:tc>
      </w:tr>
      <w:tr w:rsidR="00C966AF" w:rsidRPr="00363CF9" w14:paraId="0748388A" w14:textId="00FB6070" w:rsidTr="00740A34">
        <w:tc>
          <w:tcPr>
            <w:tcW w:w="2977" w:type="dxa"/>
          </w:tcPr>
          <w:p w14:paraId="21D41D4E" w14:textId="77777777" w:rsidR="00C966AF" w:rsidRPr="00072DC1" w:rsidRDefault="00C966AF" w:rsidP="00455437">
            <w:pPr>
              <w:pStyle w:val="Table-Text"/>
              <w:keepNext/>
              <w:keepLines/>
              <w:spacing w:before="60" w:after="60"/>
              <w:rPr>
                <w:rStyle w:val="Strong"/>
              </w:rPr>
            </w:pPr>
            <w:r w:rsidRPr="00072DC1">
              <w:rPr>
                <w:rStyle w:val="Strong"/>
              </w:rPr>
              <w:t>Sweden</w:t>
            </w:r>
          </w:p>
        </w:tc>
        <w:tc>
          <w:tcPr>
            <w:tcW w:w="1653" w:type="dxa"/>
          </w:tcPr>
          <w:p w14:paraId="5D076DC1" w14:textId="710F2D44" w:rsidR="00C966AF" w:rsidRPr="00363CF9" w:rsidRDefault="00C966AF" w:rsidP="00455437">
            <w:pPr>
              <w:pStyle w:val="Table-Text"/>
              <w:keepNext/>
              <w:keepLines/>
              <w:tabs>
                <w:tab w:val="decimal" w:pos="802"/>
              </w:tabs>
              <w:spacing w:before="60" w:after="60"/>
            </w:pPr>
            <w:r>
              <w:t>21.4</w:t>
            </w:r>
          </w:p>
        </w:tc>
        <w:tc>
          <w:tcPr>
            <w:tcW w:w="1654" w:type="dxa"/>
          </w:tcPr>
          <w:p w14:paraId="010A6819" w14:textId="05586168" w:rsidR="00C966AF" w:rsidRPr="00363CF9" w:rsidRDefault="00DF00C5" w:rsidP="00455437">
            <w:pPr>
              <w:pStyle w:val="Table-Text"/>
              <w:keepNext/>
              <w:keepLines/>
              <w:tabs>
                <w:tab w:val="decimal" w:pos="802"/>
              </w:tabs>
              <w:spacing w:before="60" w:after="60"/>
            </w:pPr>
            <w:r>
              <w:t>52.3</w:t>
            </w:r>
          </w:p>
        </w:tc>
        <w:tc>
          <w:tcPr>
            <w:tcW w:w="1654" w:type="dxa"/>
          </w:tcPr>
          <w:p w14:paraId="46AF672D" w14:textId="026724E1" w:rsidR="00C966AF" w:rsidRDefault="00DF00C5" w:rsidP="00455437">
            <w:pPr>
              <w:pStyle w:val="Table-Text"/>
              <w:keepNext/>
              <w:keepLines/>
              <w:tabs>
                <w:tab w:val="decimal" w:pos="802"/>
              </w:tabs>
              <w:spacing w:before="60" w:after="60"/>
            </w:pPr>
            <w:r>
              <w:t>30.9</w:t>
            </w:r>
          </w:p>
        </w:tc>
      </w:tr>
      <w:tr w:rsidR="00C966AF" w:rsidRPr="00363CF9" w14:paraId="459249D4" w14:textId="521615EB" w:rsidTr="00740A34">
        <w:tc>
          <w:tcPr>
            <w:tcW w:w="2977" w:type="dxa"/>
          </w:tcPr>
          <w:p w14:paraId="78ADB51C" w14:textId="77777777" w:rsidR="00C966AF" w:rsidRPr="00072DC1" w:rsidRDefault="00C966AF" w:rsidP="00455437">
            <w:pPr>
              <w:pStyle w:val="Table-Text"/>
              <w:keepNext/>
              <w:keepLines/>
              <w:spacing w:before="60" w:after="60"/>
              <w:rPr>
                <w:rStyle w:val="Strong"/>
              </w:rPr>
            </w:pPr>
            <w:r w:rsidRPr="00072DC1">
              <w:rPr>
                <w:rStyle w:val="Strong"/>
              </w:rPr>
              <w:t>Switzerland</w:t>
            </w:r>
          </w:p>
        </w:tc>
        <w:tc>
          <w:tcPr>
            <w:tcW w:w="1653" w:type="dxa"/>
          </w:tcPr>
          <w:p w14:paraId="7FEF5CFA" w14:textId="13C70D67" w:rsidR="00C966AF" w:rsidRPr="00363CF9" w:rsidRDefault="00C966AF" w:rsidP="00455437">
            <w:pPr>
              <w:pStyle w:val="Table-Text"/>
              <w:keepNext/>
              <w:keepLines/>
              <w:tabs>
                <w:tab w:val="decimal" w:pos="802"/>
              </w:tabs>
              <w:spacing w:before="60" w:after="60"/>
            </w:pPr>
            <w:r>
              <w:t>21.1</w:t>
            </w:r>
          </w:p>
        </w:tc>
        <w:tc>
          <w:tcPr>
            <w:tcW w:w="1654" w:type="dxa"/>
          </w:tcPr>
          <w:p w14:paraId="1CCED371" w14:textId="1677D0F4" w:rsidR="00C966AF" w:rsidRPr="00363CF9" w:rsidRDefault="00DF00C5" w:rsidP="00455437">
            <w:pPr>
              <w:pStyle w:val="Table-Text"/>
              <w:keepNext/>
              <w:keepLines/>
              <w:tabs>
                <w:tab w:val="decimal" w:pos="802"/>
              </w:tabs>
              <w:spacing w:before="60" w:after="60"/>
            </w:pPr>
            <w:r>
              <w:t>41.7</w:t>
            </w:r>
          </w:p>
        </w:tc>
        <w:tc>
          <w:tcPr>
            <w:tcW w:w="1654" w:type="dxa"/>
          </w:tcPr>
          <w:p w14:paraId="3453C53E" w14:textId="08F4192C" w:rsidR="00C966AF" w:rsidRDefault="00DF00C5" w:rsidP="00455437">
            <w:pPr>
              <w:pStyle w:val="Table-Text"/>
              <w:keepNext/>
              <w:keepLines/>
              <w:tabs>
                <w:tab w:val="decimal" w:pos="802"/>
              </w:tabs>
              <w:spacing w:before="60" w:after="60"/>
            </w:pPr>
            <w:r>
              <w:t>20.6</w:t>
            </w:r>
          </w:p>
        </w:tc>
      </w:tr>
      <w:tr w:rsidR="00C966AF" w:rsidRPr="00363CF9" w14:paraId="566B1682" w14:textId="0CC2B272" w:rsidTr="00740A34">
        <w:tc>
          <w:tcPr>
            <w:tcW w:w="2977" w:type="dxa"/>
          </w:tcPr>
          <w:p w14:paraId="18271133" w14:textId="77777777" w:rsidR="00C966AF" w:rsidRPr="00072DC1" w:rsidRDefault="00C966AF" w:rsidP="00455437">
            <w:pPr>
              <w:pStyle w:val="Table-Text"/>
              <w:keepNext/>
              <w:keepLines/>
              <w:spacing w:before="60" w:after="60"/>
              <w:rPr>
                <w:rStyle w:val="Strong"/>
              </w:rPr>
            </w:pPr>
            <w:r w:rsidRPr="00072DC1">
              <w:rPr>
                <w:rStyle w:val="Strong"/>
              </w:rPr>
              <w:t>Turkey</w:t>
            </w:r>
          </w:p>
        </w:tc>
        <w:tc>
          <w:tcPr>
            <w:tcW w:w="1653" w:type="dxa"/>
          </w:tcPr>
          <w:p w14:paraId="590A3B9C" w14:textId="40D50C8D" w:rsidR="00C966AF" w:rsidRPr="00363CF9" w:rsidRDefault="00C966AF" w:rsidP="00455437">
            <w:pPr>
              <w:pStyle w:val="Table-Text"/>
              <w:keepNext/>
              <w:keepLines/>
              <w:tabs>
                <w:tab w:val="decimal" w:pos="802"/>
              </w:tabs>
              <w:spacing w:before="60" w:after="60"/>
            </w:pPr>
            <w:r>
              <w:t>22.0</w:t>
            </w:r>
          </w:p>
        </w:tc>
        <w:tc>
          <w:tcPr>
            <w:tcW w:w="1654" w:type="dxa"/>
          </w:tcPr>
          <w:p w14:paraId="789DBD10" w14:textId="508394D0" w:rsidR="00C966AF" w:rsidRPr="00363CF9" w:rsidRDefault="00DF00C5" w:rsidP="00455437">
            <w:pPr>
              <w:pStyle w:val="Table-Text"/>
              <w:keepNext/>
              <w:keepLines/>
              <w:tabs>
                <w:tab w:val="decimal" w:pos="802"/>
              </w:tabs>
              <w:spacing w:before="60" w:after="60"/>
            </w:pPr>
            <w:r>
              <w:t>40.8</w:t>
            </w:r>
          </w:p>
        </w:tc>
        <w:tc>
          <w:tcPr>
            <w:tcW w:w="1654" w:type="dxa"/>
          </w:tcPr>
          <w:p w14:paraId="24446781" w14:textId="45E21452" w:rsidR="00C966AF" w:rsidRDefault="00DF00C5" w:rsidP="00455437">
            <w:pPr>
              <w:pStyle w:val="Table-Text"/>
              <w:keepNext/>
              <w:keepLines/>
              <w:tabs>
                <w:tab w:val="decimal" w:pos="802"/>
              </w:tabs>
              <w:spacing w:before="60" w:after="60"/>
            </w:pPr>
            <w:r>
              <w:t>18.8</w:t>
            </w:r>
          </w:p>
        </w:tc>
      </w:tr>
      <w:tr w:rsidR="00C966AF" w:rsidRPr="00363CF9" w14:paraId="16611A55" w14:textId="6F437A28" w:rsidTr="00740A34">
        <w:tc>
          <w:tcPr>
            <w:tcW w:w="2977" w:type="dxa"/>
          </w:tcPr>
          <w:p w14:paraId="654B5144" w14:textId="5EB8FFDA" w:rsidR="00C966AF" w:rsidRPr="00072DC1" w:rsidRDefault="00C966AF" w:rsidP="00455437">
            <w:pPr>
              <w:pStyle w:val="Table-Text"/>
              <w:keepNext/>
              <w:keepLines/>
              <w:spacing w:before="60" w:after="60"/>
              <w:rPr>
                <w:rStyle w:val="Strong"/>
              </w:rPr>
            </w:pPr>
            <w:r>
              <w:rPr>
                <w:rStyle w:val="Strong"/>
              </w:rPr>
              <w:t>U</w:t>
            </w:r>
            <w:r w:rsidR="00390D07">
              <w:rPr>
                <w:rStyle w:val="Strong"/>
              </w:rPr>
              <w:t xml:space="preserve">nited </w:t>
            </w:r>
            <w:r>
              <w:rPr>
                <w:rStyle w:val="Strong"/>
              </w:rPr>
              <w:t>K</w:t>
            </w:r>
            <w:r w:rsidR="00390D07">
              <w:rPr>
                <w:rStyle w:val="Strong"/>
              </w:rPr>
              <w:t>ingdom</w:t>
            </w:r>
          </w:p>
        </w:tc>
        <w:tc>
          <w:tcPr>
            <w:tcW w:w="1653" w:type="dxa"/>
          </w:tcPr>
          <w:p w14:paraId="1FC806B9" w14:textId="1DA0824D" w:rsidR="00C966AF" w:rsidRPr="00363CF9" w:rsidRDefault="00C966AF" w:rsidP="00455437">
            <w:pPr>
              <w:pStyle w:val="Table-Text"/>
              <w:keepNext/>
              <w:keepLines/>
              <w:tabs>
                <w:tab w:val="decimal" w:pos="802"/>
              </w:tabs>
              <w:spacing w:before="60" w:after="60"/>
            </w:pPr>
            <w:r>
              <w:t>19.0</w:t>
            </w:r>
          </w:p>
        </w:tc>
        <w:tc>
          <w:tcPr>
            <w:tcW w:w="1654" w:type="dxa"/>
          </w:tcPr>
          <w:p w14:paraId="57B6AEEA" w14:textId="77AB9667" w:rsidR="00C966AF" w:rsidRPr="00363CF9" w:rsidRDefault="00DF00C5" w:rsidP="00455437">
            <w:pPr>
              <w:pStyle w:val="Table-Text"/>
              <w:keepNext/>
              <w:keepLines/>
              <w:tabs>
                <w:tab w:val="decimal" w:pos="802"/>
              </w:tabs>
              <w:spacing w:before="60" w:after="60"/>
            </w:pPr>
            <w:r>
              <w:t>45.0</w:t>
            </w:r>
          </w:p>
        </w:tc>
        <w:tc>
          <w:tcPr>
            <w:tcW w:w="1654" w:type="dxa"/>
          </w:tcPr>
          <w:p w14:paraId="0AB23683" w14:textId="69EE99EA" w:rsidR="00C966AF" w:rsidRDefault="00DF00C5" w:rsidP="00455437">
            <w:pPr>
              <w:pStyle w:val="Table-Text"/>
              <w:keepNext/>
              <w:keepLines/>
              <w:tabs>
                <w:tab w:val="decimal" w:pos="802"/>
              </w:tabs>
              <w:spacing w:before="60" w:after="60"/>
            </w:pPr>
            <w:r>
              <w:t>26.0</w:t>
            </w:r>
          </w:p>
        </w:tc>
      </w:tr>
      <w:tr w:rsidR="00C966AF" w:rsidRPr="00363CF9" w14:paraId="7852E932" w14:textId="71E1FB4E" w:rsidTr="00740A34">
        <w:tc>
          <w:tcPr>
            <w:tcW w:w="2977" w:type="dxa"/>
          </w:tcPr>
          <w:p w14:paraId="263BE1C2" w14:textId="7828DDAB" w:rsidR="00C966AF" w:rsidRPr="00072DC1" w:rsidRDefault="00C966AF" w:rsidP="00455437">
            <w:pPr>
              <w:pStyle w:val="Table-Text"/>
              <w:keepNext/>
              <w:keepLines/>
              <w:spacing w:before="60" w:after="60"/>
              <w:rPr>
                <w:rStyle w:val="Strong"/>
              </w:rPr>
            </w:pPr>
            <w:r>
              <w:rPr>
                <w:rStyle w:val="Strong"/>
              </w:rPr>
              <w:t>U</w:t>
            </w:r>
            <w:r w:rsidR="00390D07">
              <w:rPr>
                <w:rStyle w:val="Strong"/>
              </w:rPr>
              <w:t xml:space="preserve">nited </w:t>
            </w:r>
            <w:r>
              <w:rPr>
                <w:rStyle w:val="Strong"/>
              </w:rPr>
              <w:t>S</w:t>
            </w:r>
            <w:r w:rsidR="00390D07">
              <w:rPr>
                <w:rStyle w:val="Strong"/>
              </w:rPr>
              <w:t>tates</w:t>
            </w:r>
          </w:p>
        </w:tc>
        <w:tc>
          <w:tcPr>
            <w:tcW w:w="1653" w:type="dxa"/>
          </w:tcPr>
          <w:p w14:paraId="5FB66C8F" w14:textId="0B279E03" w:rsidR="00C966AF" w:rsidRPr="00363CF9" w:rsidRDefault="00C966AF" w:rsidP="00455437">
            <w:pPr>
              <w:pStyle w:val="Table-Text"/>
              <w:keepNext/>
              <w:keepLines/>
              <w:tabs>
                <w:tab w:val="decimal" w:pos="802"/>
              </w:tabs>
              <w:spacing w:before="60" w:after="60"/>
            </w:pPr>
            <w:r>
              <w:t>25.8</w:t>
            </w:r>
          </w:p>
        </w:tc>
        <w:tc>
          <w:tcPr>
            <w:tcW w:w="1654" w:type="dxa"/>
          </w:tcPr>
          <w:p w14:paraId="746F9924" w14:textId="7B211C55" w:rsidR="00C966AF" w:rsidRPr="00363CF9" w:rsidRDefault="00DF00C5" w:rsidP="00455437">
            <w:pPr>
              <w:pStyle w:val="Table-Text"/>
              <w:keepNext/>
              <w:keepLines/>
              <w:tabs>
                <w:tab w:val="decimal" w:pos="802"/>
              </w:tabs>
              <w:spacing w:before="60" w:after="60"/>
            </w:pPr>
            <w:r>
              <w:t>43.7</w:t>
            </w:r>
          </w:p>
        </w:tc>
        <w:tc>
          <w:tcPr>
            <w:tcW w:w="1654" w:type="dxa"/>
          </w:tcPr>
          <w:p w14:paraId="0572D6A0" w14:textId="7927A9D6" w:rsidR="00C966AF" w:rsidRDefault="00DF00C5" w:rsidP="00455437">
            <w:pPr>
              <w:pStyle w:val="Table-Text"/>
              <w:keepNext/>
              <w:keepLines/>
              <w:tabs>
                <w:tab w:val="decimal" w:pos="802"/>
              </w:tabs>
              <w:spacing w:before="60" w:after="60"/>
            </w:pPr>
            <w:r>
              <w:t>17.9</w:t>
            </w:r>
          </w:p>
        </w:tc>
      </w:tr>
      <w:tr w:rsidR="00C966AF" w:rsidRPr="00072DC1" w14:paraId="62E9C628" w14:textId="21A07232" w:rsidTr="00740A34">
        <w:tc>
          <w:tcPr>
            <w:tcW w:w="2977" w:type="dxa"/>
            <w:shd w:val="clear" w:color="auto" w:fill="A6A6A6" w:themeFill="background1" w:themeFillShade="A6"/>
          </w:tcPr>
          <w:p w14:paraId="1FC90B64" w14:textId="77777777" w:rsidR="00C966AF" w:rsidRPr="00E402A4" w:rsidRDefault="00C966AF" w:rsidP="00455437">
            <w:pPr>
              <w:pStyle w:val="Table-Text"/>
              <w:keepNext/>
              <w:keepLines/>
              <w:spacing w:before="60" w:after="60"/>
              <w:rPr>
                <w:rStyle w:val="Strong"/>
              </w:rPr>
            </w:pPr>
            <w:r w:rsidRPr="00E402A4">
              <w:rPr>
                <w:rStyle w:val="Strong"/>
              </w:rPr>
              <w:t>Average</w:t>
            </w:r>
          </w:p>
        </w:tc>
        <w:tc>
          <w:tcPr>
            <w:tcW w:w="1653" w:type="dxa"/>
            <w:shd w:val="clear" w:color="auto" w:fill="A6A6A6" w:themeFill="background1" w:themeFillShade="A6"/>
          </w:tcPr>
          <w:p w14:paraId="55A53166" w14:textId="57C24D1A" w:rsidR="00C966AF" w:rsidRPr="00072DC1" w:rsidRDefault="00C966AF" w:rsidP="00455437">
            <w:pPr>
              <w:pStyle w:val="Table-Text"/>
              <w:keepNext/>
              <w:keepLines/>
              <w:tabs>
                <w:tab w:val="decimal" w:pos="802"/>
              </w:tabs>
              <w:spacing w:before="60" w:after="60"/>
              <w:rPr>
                <w:b/>
                <w:bCs/>
              </w:rPr>
            </w:pPr>
            <w:r>
              <w:rPr>
                <w:b/>
                <w:bCs/>
              </w:rPr>
              <w:t>23.1</w:t>
            </w:r>
          </w:p>
        </w:tc>
        <w:tc>
          <w:tcPr>
            <w:tcW w:w="1654" w:type="dxa"/>
            <w:shd w:val="clear" w:color="auto" w:fill="A6A6A6" w:themeFill="background1" w:themeFillShade="A6"/>
          </w:tcPr>
          <w:p w14:paraId="3D64E674" w14:textId="5424B183" w:rsidR="00C966AF" w:rsidRPr="00072DC1" w:rsidRDefault="00DF00C5" w:rsidP="00455437">
            <w:pPr>
              <w:pStyle w:val="Table-Text"/>
              <w:keepNext/>
              <w:keepLines/>
              <w:tabs>
                <w:tab w:val="decimal" w:pos="802"/>
              </w:tabs>
              <w:spacing w:before="60" w:after="60"/>
              <w:rPr>
                <w:b/>
                <w:bCs/>
              </w:rPr>
            </w:pPr>
            <w:r>
              <w:rPr>
                <w:b/>
                <w:bCs/>
              </w:rPr>
              <w:t>42.6</w:t>
            </w:r>
          </w:p>
        </w:tc>
        <w:tc>
          <w:tcPr>
            <w:tcW w:w="1654" w:type="dxa"/>
            <w:shd w:val="clear" w:color="auto" w:fill="A6A6A6" w:themeFill="background1" w:themeFillShade="A6"/>
          </w:tcPr>
          <w:p w14:paraId="2349B93D" w14:textId="0CB1DBF1" w:rsidR="00C966AF" w:rsidRPr="00072DC1" w:rsidRDefault="00DF00C5" w:rsidP="00455437">
            <w:pPr>
              <w:pStyle w:val="Table-Text"/>
              <w:keepNext/>
              <w:keepLines/>
              <w:tabs>
                <w:tab w:val="decimal" w:pos="802"/>
              </w:tabs>
              <w:spacing w:before="60" w:after="60"/>
              <w:rPr>
                <w:b/>
                <w:bCs/>
              </w:rPr>
            </w:pPr>
            <w:r>
              <w:rPr>
                <w:b/>
                <w:bCs/>
              </w:rPr>
              <w:t>19.5</w:t>
            </w:r>
          </w:p>
        </w:tc>
      </w:tr>
    </w:tbl>
    <w:p w14:paraId="47DB7DC9" w14:textId="59715683" w:rsidR="001B3AE0" w:rsidRDefault="001B3AE0" w:rsidP="00075D72">
      <w:pPr>
        <w:pStyle w:val="NumberedParagraph"/>
      </w:pPr>
      <w:r w:rsidRPr="00754852">
        <w:lastRenderedPageBreak/>
        <w:t>If about 39% of gains were taxable</w:t>
      </w:r>
      <w:r w:rsidR="00324A64">
        <w:t>,</w:t>
      </w:r>
      <w:r w:rsidRPr="00754852">
        <w:t xml:space="preserve"> so gains on shares were taxed at a rate of approximately 15.2%, there would be a similar tax impost when shares are sold to when imputed dividends are paid for shareholders taxed at the top personal marginal tax rate.</w:t>
      </w:r>
      <w:r w:rsidRPr="00754852">
        <w:rPr>
          <w:vertAlign w:val="superscript"/>
        </w:rPr>
        <w:footnoteReference w:id="45"/>
      </w:r>
      <w:r w:rsidRPr="00754852">
        <w:t xml:space="preserve"> Of course, </w:t>
      </w:r>
      <w:r w:rsidR="002542A8">
        <w:t xml:space="preserve">there are other issues to consider. </w:t>
      </w:r>
      <w:r w:rsidR="003F752E">
        <w:t>Taxing gains on sha</w:t>
      </w:r>
      <w:r w:rsidR="00694B5F">
        <w:t>res</w:t>
      </w:r>
      <w:r w:rsidRPr="00754852">
        <w:t xml:space="preserve"> </w:t>
      </w:r>
      <w:r w:rsidR="003F752E">
        <w:t xml:space="preserve">would </w:t>
      </w:r>
      <w:r w:rsidR="00694B5F">
        <w:t>add</w:t>
      </w:r>
      <w:r w:rsidRPr="00754852">
        <w:t xml:space="preserve"> to compliance costs</w:t>
      </w:r>
      <w:r w:rsidR="00653E79">
        <w:t xml:space="preserve"> but</w:t>
      </w:r>
      <w:r w:rsidR="00116E74">
        <w:t xml:space="preserve"> </w:t>
      </w:r>
      <w:r w:rsidR="00653E79">
        <w:t>it</w:t>
      </w:r>
      <w:r w:rsidR="00116E74">
        <w:t xml:space="preserve"> might provide a revenue bas</w:t>
      </w:r>
      <w:r w:rsidR="000D7429">
        <w:t xml:space="preserve">e </w:t>
      </w:r>
      <w:r w:rsidR="00B267B5">
        <w:t>that</w:t>
      </w:r>
      <w:r w:rsidR="000D7429">
        <w:t xml:space="preserve"> could help </w:t>
      </w:r>
      <w:r w:rsidR="00B267B5">
        <w:t xml:space="preserve">reduce </w:t>
      </w:r>
      <w:r w:rsidR="000D7429">
        <w:t>costs of capital and EMTRs</w:t>
      </w:r>
      <w:r w:rsidR="00637AB5">
        <w:t xml:space="preserve">, especially if </w:t>
      </w:r>
      <w:r w:rsidR="005471EA">
        <w:t>it</w:t>
      </w:r>
      <w:r w:rsidR="00637AB5">
        <w:t xml:space="preserve"> were accompanied by taxing other forms of capital gain as well</w:t>
      </w:r>
      <w:r w:rsidR="00357911">
        <w:t xml:space="preserve">. </w:t>
      </w:r>
      <w:r w:rsidRPr="00754852">
        <w:t xml:space="preserve">Taxing gains on shares or other forms of capital gains may be unlikely as a short-term or medium-term measure. However, many other countries tax these gains and this may be feasible in the longer </w:t>
      </w:r>
      <w:r w:rsidR="00B67FB0">
        <w:t>term</w:t>
      </w:r>
      <w:r w:rsidRPr="00754852">
        <w:t>.</w:t>
      </w:r>
    </w:p>
    <w:p w14:paraId="4A7558B8" w14:textId="5B07E737" w:rsidR="001B3AE0" w:rsidRPr="00754852" w:rsidRDefault="001B3AE0" w:rsidP="00075D72">
      <w:pPr>
        <w:pStyle w:val="NumberedParagraph"/>
      </w:pPr>
      <w:r>
        <w:t xml:space="preserve">There may be options </w:t>
      </w:r>
      <w:r w:rsidR="009C0FD8">
        <w:t>(</w:t>
      </w:r>
      <w:r>
        <w:t>other than taxing gains on shares</w:t>
      </w:r>
      <w:r w:rsidR="009C0FD8">
        <w:t>)</w:t>
      </w:r>
      <w:r>
        <w:t xml:space="preserve"> that could make a significant difference between the company tax rate and the top personal marginal </w:t>
      </w:r>
      <w:r w:rsidR="00D16DF9">
        <w:t xml:space="preserve">tax </w:t>
      </w:r>
      <w:r>
        <w:t xml:space="preserve">rate less of a concern. There appear to be some other countries with a larger gap than New Zealand (for example, Switzerland and Belgium) </w:t>
      </w:r>
      <w:r w:rsidR="000A268C">
        <w:t>that</w:t>
      </w:r>
      <w:r>
        <w:t xml:space="preserve"> also do not tax gains on shares. It is possible these countries have ways of making a large gap between the company tax rate and the top personal marginal tax rate less of a concern without taxing gains on shares. </w:t>
      </w:r>
      <w:r w:rsidR="000A268C">
        <w:t>However,</w:t>
      </w:r>
      <w:r>
        <w:t xml:space="preserve"> it is also possible these gaps are creating important inconsistencies in these countries as well.</w:t>
      </w:r>
    </w:p>
    <w:p w14:paraId="12D95660" w14:textId="541268A1" w:rsidR="001B3AE0" w:rsidRPr="00754852" w:rsidRDefault="001B3AE0" w:rsidP="00075D72">
      <w:pPr>
        <w:pStyle w:val="NumberedParagraph"/>
      </w:pPr>
      <w:r w:rsidRPr="00754852">
        <w:t xml:space="preserve">Other options might involve shifting away from New Zealand’s full imputation company tax system to one </w:t>
      </w:r>
      <w:r w:rsidR="00CF1EE5">
        <w:t>that</w:t>
      </w:r>
      <w:r w:rsidRPr="00754852">
        <w:t xml:space="preserve"> leads to heavier taxation of dividends. This would, however, create additional pressures for a tax on gains from share sales and make it less attractive for those on lower marginal tax rates to invest in companies. There would </w:t>
      </w:r>
      <w:r w:rsidR="00EE60EA">
        <w:t xml:space="preserve">also </w:t>
      </w:r>
      <w:r w:rsidRPr="00754852">
        <w:t>be a broad set of other pros and cons to consider.</w:t>
      </w:r>
    </w:p>
    <w:p w14:paraId="36D357F3" w14:textId="375DD6B8" w:rsidR="001B3AE0" w:rsidRPr="00754852" w:rsidRDefault="001B3AE0" w:rsidP="00075D72">
      <w:pPr>
        <w:pStyle w:val="NumberedParagraph"/>
      </w:pPr>
      <w:r w:rsidRPr="00754852">
        <w:t>New Zealand is not alone in needing to work through these sorts of issues. In a recent paper, McKenzie (2021) suggests higher taxes o</w:t>
      </w:r>
      <w:r w:rsidR="00732271">
        <w:t>n</w:t>
      </w:r>
      <w:r w:rsidRPr="00754852">
        <w:t xml:space="preserve"> dividends and capital gains plus taxation of rents at the company level as a possible option for Canada. In an accompanying paper</w:t>
      </w:r>
      <w:r w:rsidR="00A24167">
        <w:t>,</w:t>
      </w:r>
      <w:r w:rsidRPr="00754852">
        <w:t xml:space="preserve"> Smart (2021) discusses pressures that arise in Canada through sheltering of personal income in closely</w:t>
      </w:r>
      <w:r w:rsidR="008320EE">
        <w:t xml:space="preserve"> </w:t>
      </w:r>
      <w:r w:rsidRPr="00754852">
        <w:t>held companies.</w:t>
      </w:r>
    </w:p>
    <w:p w14:paraId="64E1CC28" w14:textId="77777777" w:rsidR="001B3AE0" w:rsidRPr="00754852" w:rsidRDefault="001B3AE0" w:rsidP="001B3AE0">
      <w:pPr>
        <w:pStyle w:val="Heading2"/>
        <w:rPr>
          <w:rFonts w:eastAsia="Calibri"/>
          <w:lang w:eastAsia="en-US"/>
        </w:rPr>
      </w:pPr>
      <w:bookmarkStart w:id="42" w:name="_Toc112857420"/>
      <w:r w:rsidRPr="00754852">
        <w:rPr>
          <w:rFonts w:eastAsia="Calibri"/>
          <w:lang w:eastAsia="en-US"/>
        </w:rPr>
        <w:t>International experience</w:t>
      </w:r>
      <w:bookmarkEnd w:id="42"/>
    </w:p>
    <w:p w14:paraId="4562144A" w14:textId="1EDFD11C" w:rsidR="001B3AE0" w:rsidRPr="00754852" w:rsidRDefault="001B3AE0" w:rsidP="00075D72">
      <w:pPr>
        <w:pStyle w:val="NumberedParagraph"/>
      </w:pPr>
      <w:r w:rsidRPr="00754852">
        <w:t>In the late 1980s and early 1990s, New Zealand had a relatively low company tax rate compared to most OECD countries</w:t>
      </w:r>
      <w:r w:rsidR="00A24167">
        <w:t>,</w:t>
      </w:r>
      <w:r w:rsidRPr="00754852">
        <w:t xml:space="preserve"> which made New Zealand a relatively attractive place to invest. However, as </w:t>
      </w:r>
      <w:proofErr w:type="gramStart"/>
      <w:r w:rsidR="00AF710F">
        <w:t>at</w:t>
      </w:r>
      <w:proofErr w:type="gramEnd"/>
      <w:r w:rsidRPr="00754852">
        <w:t xml:space="preserve"> 2021, New Zealand’s company rate of 28% is the </w:t>
      </w:r>
      <w:r w:rsidR="00D8699B">
        <w:t>9</w:t>
      </w:r>
      <w:r w:rsidR="00054732" w:rsidRPr="00054732">
        <w:rPr>
          <w:vertAlign w:val="superscript"/>
        </w:rPr>
        <w:t>th</w:t>
      </w:r>
      <w:r w:rsidR="00054732">
        <w:t xml:space="preserve"> </w:t>
      </w:r>
      <w:r w:rsidRPr="00754852">
        <w:t xml:space="preserve">highest in the OECD. This is due to the ongoing trend for OECD countries to cut their company tax rates, </w:t>
      </w:r>
      <w:r w:rsidR="00EE63B2">
        <w:t xml:space="preserve">which </w:t>
      </w:r>
      <w:r w:rsidR="00367BB5">
        <w:t xml:space="preserve">has been </w:t>
      </w:r>
      <w:r w:rsidRPr="00754852">
        <w:t>prompted by concerns about promoting investment and reducing international tax avoidance. Substantial cuts in company tax rates have occurred in non-OECD countries as well.</w:t>
      </w:r>
    </w:p>
    <w:p w14:paraId="5EB13B17" w14:textId="77777777" w:rsidR="001B3AE0" w:rsidRPr="00754852" w:rsidRDefault="001B3AE0" w:rsidP="00075D72">
      <w:pPr>
        <w:pStyle w:val="NumberedParagraph"/>
      </w:pPr>
      <w:r w:rsidRPr="00754852">
        <w:t xml:space="preserve">An important aspect of this trend is that the competition for tax base and location of companies is likely to be greater in countries that are close substitutes. In Europe, a business may, at times, be able to supply a large </w:t>
      </w:r>
      <w:r w:rsidRPr="00754852">
        <w:lastRenderedPageBreak/>
        <w:t>number of countries out of one country. In that case, a tax rate decrease may attract businesses that were otherwise largely indifferent to location.</w:t>
      </w:r>
    </w:p>
    <w:p w14:paraId="5034C3E3" w14:textId="494CB1E2" w:rsidR="001B3AE0" w:rsidRPr="00754852" w:rsidRDefault="001B3AE0" w:rsidP="00075D72">
      <w:pPr>
        <w:pStyle w:val="NumberedParagraph"/>
      </w:pPr>
      <w:r w:rsidRPr="00754852">
        <w:t>Australia is the closest country to New Zealand</w:t>
      </w:r>
      <w:r w:rsidR="00C4666C">
        <w:t>,</w:t>
      </w:r>
      <w:r w:rsidRPr="00754852">
        <w:t xml:space="preserve"> and if Australia were to reduce its company tax rate, this might put downward pressure on New Zealand’s company tax rate. Currently</w:t>
      </w:r>
      <w:r w:rsidR="002D4A9E">
        <w:t>,</w:t>
      </w:r>
      <w:r w:rsidRPr="00754852">
        <w:t xml:space="preserve"> just over half of foreign direct investment into New Zealand is from Australia</w:t>
      </w:r>
      <w:r w:rsidR="00075AC4">
        <w:t>,</w:t>
      </w:r>
      <w:r w:rsidRPr="00754852">
        <w:rPr>
          <w:vertAlign w:val="superscript"/>
        </w:rPr>
        <w:footnoteReference w:id="46"/>
      </w:r>
      <w:r w:rsidRPr="00754852">
        <w:t xml:space="preserve"> and </w:t>
      </w:r>
      <w:r w:rsidR="0076263C">
        <w:t>a reduction in Australia’s company tax rate</w:t>
      </w:r>
      <w:r w:rsidRPr="00754852">
        <w:t xml:space="preserve"> would increase incentives for profits to be streamed to Australia. Australia’s company </w:t>
      </w:r>
      <w:r w:rsidR="0076263C">
        <w:t xml:space="preserve">tax </w:t>
      </w:r>
      <w:r w:rsidRPr="00754852">
        <w:t>rate for larger companies is 30%</w:t>
      </w:r>
      <w:r w:rsidR="0076263C">
        <w:t>,</w:t>
      </w:r>
      <w:r w:rsidRPr="00754852">
        <w:t xml:space="preserve"> which is higher than New Zealand’s </w:t>
      </w:r>
      <w:r w:rsidR="008823C5">
        <w:t xml:space="preserve">company tax rate </w:t>
      </w:r>
      <w:r w:rsidRPr="00754852">
        <w:t xml:space="preserve">(although </w:t>
      </w:r>
      <w:r w:rsidR="008823C5">
        <w:t>Australia</w:t>
      </w:r>
      <w:r w:rsidRPr="00754852">
        <w:t xml:space="preserve"> has a lower 26% rate for small to medium companies). Our relative company tax rate is only one of several factors to consider. A bigger issue may be the Australian full imputation system. This currently provides incentives for companies with Australian parents to pay tax in Australia rather than New Zealand. This is because Australian imputation credits (referred to as franking credits in Australia) are available for taxes paid in Australia but not </w:t>
      </w:r>
      <w:r w:rsidR="005B0714">
        <w:t xml:space="preserve">those paid in </w:t>
      </w:r>
      <w:r w:rsidRPr="00754852">
        <w:t>New Zealand.</w:t>
      </w:r>
    </w:p>
    <w:p w14:paraId="134BAFD6" w14:textId="6F1F8AD8" w:rsidR="001B3AE0" w:rsidRPr="00754852" w:rsidRDefault="001B3AE0" w:rsidP="00075D72">
      <w:pPr>
        <w:pStyle w:val="NumberedParagraph"/>
      </w:pPr>
      <w:r w:rsidRPr="00754852">
        <w:t xml:space="preserve">There are recent indications that there may be some movement back towards higher company tax rates internationally. Many countries are examining how best to repair their fiscal position after their COVID-19 response, and this may reduce downward pressure on company tax rates. The UK has announced an intention to increases its company </w:t>
      </w:r>
      <w:r w:rsidR="002562A1">
        <w:t xml:space="preserve">tax </w:t>
      </w:r>
      <w:r w:rsidRPr="00754852">
        <w:t xml:space="preserve">rate from 19% </w:t>
      </w:r>
      <w:r w:rsidR="002562A1">
        <w:t>to</w:t>
      </w:r>
      <w:r w:rsidRPr="00754852">
        <w:t xml:space="preserve"> 25%. Most recently, 130 out of 139 jurisdictions have signed up to a new international tax framework </w:t>
      </w:r>
      <w:r w:rsidR="001A545D">
        <w:t>that</w:t>
      </w:r>
      <w:r w:rsidRPr="00754852">
        <w:t xml:space="preserve"> would result in a global minimum company </w:t>
      </w:r>
      <w:r w:rsidR="001B41A7">
        <w:t xml:space="preserve">tax </w:t>
      </w:r>
      <w:r w:rsidRPr="00754852">
        <w:t>rate of 15% targeted at income from intangibles.</w:t>
      </w:r>
      <w:r w:rsidR="00B136BF">
        <w:t xml:space="preserve"> </w:t>
      </w:r>
      <w:r w:rsidR="009A0536">
        <w:t>All of this may be</w:t>
      </w:r>
      <w:r w:rsidR="00C13103">
        <w:t xml:space="preserve"> reducing or even </w:t>
      </w:r>
      <w:r w:rsidR="00595A32">
        <w:t xml:space="preserve">end up </w:t>
      </w:r>
      <w:r w:rsidR="00C13103">
        <w:t xml:space="preserve">reversing the </w:t>
      </w:r>
      <w:r w:rsidR="001F2CAC">
        <w:t xml:space="preserve">long </w:t>
      </w:r>
      <w:r w:rsidR="00C13103">
        <w:t>downward trend in company tax rates th</w:t>
      </w:r>
      <w:r w:rsidR="001F2CAC">
        <w:t>at</w:t>
      </w:r>
      <w:r w:rsidR="00060BAC">
        <w:t xml:space="preserve"> has been evident in the last 40 years</w:t>
      </w:r>
      <w:r w:rsidR="00E14485">
        <w:t>.</w:t>
      </w:r>
      <w:r w:rsidR="000A491C">
        <w:t xml:space="preserve"> However, </w:t>
      </w:r>
      <w:r w:rsidR="00D53943">
        <w:t xml:space="preserve">the </w:t>
      </w:r>
      <w:r w:rsidR="003D7721">
        <w:t xml:space="preserve">OECD </w:t>
      </w:r>
      <w:proofErr w:type="gramStart"/>
      <w:r w:rsidR="00D53943">
        <w:t>unweighted</w:t>
      </w:r>
      <w:proofErr w:type="gramEnd"/>
      <w:r w:rsidR="00D53943">
        <w:t xml:space="preserve"> and weighted </w:t>
      </w:r>
      <w:r w:rsidR="003D7721">
        <w:t xml:space="preserve">average company tax rates </w:t>
      </w:r>
      <w:r w:rsidR="00595A32">
        <w:t xml:space="preserve">have </w:t>
      </w:r>
      <w:r w:rsidR="003D7721">
        <w:t xml:space="preserve">continued to decline </w:t>
      </w:r>
      <w:r w:rsidR="00595A32">
        <w:t xml:space="preserve">in recent years </w:t>
      </w:r>
      <w:r w:rsidR="00A82747">
        <w:t>(see figure 1.1)</w:t>
      </w:r>
      <w:r w:rsidR="003D7721">
        <w:t>.</w:t>
      </w:r>
    </w:p>
    <w:p w14:paraId="59A56C73" w14:textId="77777777" w:rsidR="001B3AE0" w:rsidRPr="00754852" w:rsidRDefault="001B3AE0" w:rsidP="001B3AE0">
      <w:pPr>
        <w:pStyle w:val="Heading2"/>
        <w:rPr>
          <w:rFonts w:eastAsia="Calibri"/>
          <w:lang w:eastAsia="en-US"/>
        </w:rPr>
      </w:pPr>
      <w:bookmarkStart w:id="43" w:name="_Toc112857421"/>
      <w:r w:rsidRPr="00754852">
        <w:rPr>
          <w:rFonts w:eastAsia="Calibri"/>
          <w:lang w:eastAsia="en-US"/>
        </w:rPr>
        <w:t>Should future company tax rate cuts be signalled in advance?</w:t>
      </w:r>
      <w:bookmarkEnd w:id="43"/>
    </w:p>
    <w:p w14:paraId="468C70E9" w14:textId="4DCB9D2B" w:rsidR="00E50186" w:rsidRDefault="001B3AE0" w:rsidP="00075D72">
      <w:pPr>
        <w:pStyle w:val="NumberedParagraph"/>
      </w:pPr>
      <w:r w:rsidRPr="00754852">
        <w:t>If governments wish</w:t>
      </w:r>
      <w:r w:rsidR="005D13FD">
        <w:t>ed</w:t>
      </w:r>
      <w:r w:rsidRPr="00754852">
        <w:t xml:space="preserve"> to cut the company tax rate, </w:t>
      </w:r>
      <w:r w:rsidR="009A46E5">
        <w:t>the</w:t>
      </w:r>
      <w:r w:rsidRPr="00754852">
        <w:t xml:space="preserve"> question </w:t>
      </w:r>
      <w:r w:rsidR="001165AD">
        <w:t>arises</w:t>
      </w:r>
      <w:r w:rsidRPr="00754852">
        <w:t xml:space="preserve"> whether to do this in a way </w:t>
      </w:r>
      <w:r w:rsidR="009A46E5">
        <w:t>that</w:t>
      </w:r>
      <w:r w:rsidRPr="00754852">
        <w:t xml:space="preserve"> minimises windfalls for sunk investments. One way of doing so might be to announce a commitment to cut the rate at some stage in the future. A credible announcement of a future company tax rate cut</w:t>
      </w:r>
      <w:r w:rsidR="009A46E5">
        <w:t>,</w:t>
      </w:r>
      <w:r w:rsidRPr="00754852">
        <w:t xml:space="preserve"> or a programme of such cuts</w:t>
      </w:r>
      <w:r w:rsidR="009A46E5">
        <w:t>,</w:t>
      </w:r>
      <w:r w:rsidRPr="00754852">
        <w:t xml:space="preserve"> could promote investment </w:t>
      </w:r>
      <w:r w:rsidR="009A46E5">
        <w:t>before</w:t>
      </w:r>
      <w:r w:rsidRPr="00754852">
        <w:t xml:space="preserve"> the cuts taking place. This could reduce the windfall element in the future company </w:t>
      </w:r>
      <w:r w:rsidR="00BB24B0">
        <w:t xml:space="preserve">tax </w:t>
      </w:r>
      <w:r w:rsidRPr="00754852">
        <w:t>rate cuts.</w:t>
      </w:r>
      <w:r w:rsidR="00D75DE6">
        <w:t xml:space="preserve"> </w:t>
      </w:r>
      <w:r w:rsidR="00356A5F">
        <w:t xml:space="preserve">But it can be difficult for governments to make credible commitments for tax cuts to occur too far into the future. </w:t>
      </w:r>
      <w:r w:rsidR="00180F43">
        <w:t xml:space="preserve">In its submission on the draft LTIB, </w:t>
      </w:r>
      <w:r w:rsidR="00356A5F">
        <w:t>Business NZ suggested that</w:t>
      </w:r>
      <w:r w:rsidR="009709D3">
        <w:t xml:space="preserve"> any promised tax </w:t>
      </w:r>
      <w:r w:rsidR="0035144B">
        <w:t xml:space="preserve">changes should </w:t>
      </w:r>
      <w:r w:rsidR="00FD60B4">
        <w:t xml:space="preserve">be signalled and </w:t>
      </w:r>
      <w:r w:rsidR="0035144B">
        <w:t>occur</w:t>
      </w:r>
      <w:r w:rsidR="00FD60B4">
        <w:t xml:space="preserve"> within a government’s political term.</w:t>
      </w:r>
    </w:p>
    <w:p w14:paraId="02D3D753" w14:textId="77777777" w:rsidR="001B3AE0" w:rsidRPr="00754852" w:rsidRDefault="001B3AE0" w:rsidP="001B3AE0">
      <w:pPr>
        <w:pStyle w:val="Heading2"/>
        <w:rPr>
          <w:rFonts w:eastAsia="Calibri"/>
          <w:lang w:eastAsia="en-US"/>
        </w:rPr>
      </w:pPr>
      <w:bookmarkStart w:id="44" w:name="_Toc112857422"/>
      <w:r w:rsidRPr="00754852">
        <w:rPr>
          <w:rFonts w:eastAsia="Calibri"/>
          <w:lang w:eastAsia="en-US"/>
        </w:rPr>
        <w:t xml:space="preserve">Implications for unincorporated enterprises and </w:t>
      </w:r>
      <w:r>
        <w:rPr>
          <w:rFonts w:eastAsia="Calibri"/>
          <w:lang w:eastAsia="en-US"/>
        </w:rPr>
        <w:t xml:space="preserve">domestic </w:t>
      </w:r>
      <w:r w:rsidRPr="00754852">
        <w:rPr>
          <w:rFonts w:eastAsia="Calibri"/>
          <w:lang w:eastAsia="en-US"/>
        </w:rPr>
        <w:t>SMEs operating as companies</w:t>
      </w:r>
      <w:bookmarkEnd w:id="44"/>
    </w:p>
    <w:p w14:paraId="13F84B72" w14:textId="6E345B42" w:rsidR="001B3AE0" w:rsidRPr="00754852" w:rsidRDefault="001B3AE0" w:rsidP="00075D72">
      <w:pPr>
        <w:pStyle w:val="NumberedParagraph"/>
      </w:pPr>
      <w:r w:rsidRPr="00754852">
        <w:t>Some businesses are organised as sole proprietorships or partnerships and</w:t>
      </w:r>
      <w:r w:rsidR="00BB24B0">
        <w:t>,</w:t>
      </w:r>
      <w:r w:rsidRPr="00754852">
        <w:t xml:space="preserve"> in these enterprises</w:t>
      </w:r>
      <w:r w:rsidR="00BB24B0">
        <w:t>,</w:t>
      </w:r>
      <w:r w:rsidRPr="00754852">
        <w:t xml:space="preserve"> income is taxed at the personal tax rates of the owners. For domestic </w:t>
      </w:r>
      <w:r w:rsidR="001B2433">
        <w:t>small and medium enterprises (</w:t>
      </w:r>
      <w:r w:rsidRPr="00754852">
        <w:t>SMEs</w:t>
      </w:r>
      <w:r w:rsidR="001B2433">
        <w:t>)</w:t>
      </w:r>
      <w:r w:rsidRPr="00754852">
        <w:t xml:space="preserve"> that operate as companies and are fully distributing profits to their domestic owners, this income will also be taxed at personal rates.</w:t>
      </w:r>
    </w:p>
    <w:p w14:paraId="3773020C" w14:textId="75DBE53E" w:rsidR="001B3AE0" w:rsidRDefault="00AB2A20" w:rsidP="00075D72">
      <w:pPr>
        <w:pStyle w:val="NumberedParagraph"/>
      </w:pPr>
      <w:r>
        <w:t>The</w:t>
      </w:r>
      <w:r w:rsidR="001B3AE0" w:rsidRPr="00754852">
        <w:t xml:space="preserve"> question might be asked whether personal tax rates should be cut at the same time as the company tax rate. If personal tax rates are designed to reflect a government’s goals on the progressivity of the tax system, a reduction in the </w:t>
      </w:r>
      <w:r w:rsidR="001B3AE0" w:rsidRPr="00754852">
        <w:lastRenderedPageBreak/>
        <w:t>company tax rate because of cost of capital concerns should not provide a case for lower personal tax rates. Rather</w:t>
      </w:r>
      <w:r w:rsidR="00C650DE">
        <w:t>,</w:t>
      </w:r>
      <w:r w:rsidR="001B3AE0" w:rsidRPr="00754852">
        <w:t xml:space="preserve"> the issue should be how to ensure that company income is adequately taxed at the personal level to ensure that company income ends up being taxed at appropriate personal rates.</w:t>
      </w:r>
    </w:p>
    <w:p w14:paraId="592AC82A" w14:textId="2B7DA64B" w:rsidR="00FF1FCB" w:rsidRPr="00754852" w:rsidRDefault="00BE38FB" w:rsidP="00FF1FCB">
      <w:pPr>
        <w:pStyle w:val="Heading2"/>
        <w:rPr>
          <w:rFonts w:eastAsia="Calibri"/>
          <w:lang w:eastAsia="en-US"/>
        </w:rPr>
      </w:pPr>
      <w:bookmarkStart w:id="45" w:name="_Toc112857423"/>
      <w:r>
        <w:rPr>
          <w:rFonts w:eastAsia="Calibri"/>
          <w:lang w:eastAsia="en-US"/>
        </w:rPr>
        <w:t>Views of s</w:t>
      </w:r>
      <w:r w:rsidR="00E9793B">
        <w:rPr>
          <w:rFonts w:eastAsia="Calibri"/>
          <w:lang w:eastAsia="en-US"/>
        </w:rPr>
        <w:t>takeholder</w:t>
      </w:r>
      <w:r>
        <w:rPr>
          <w:rFonts w:eastAsia="Calibri"/>
          <w:lang w:eastAsia="en-US"/>
        </w:rPr>
        <w:t>s</w:t>
      </w:r>
      <w:bookmarkEnd w:id="45"/>
    </w:p>
    <w:p w14:paraId="5CD42858" w14:textId="1A958B2D" w:rsidR="00F30B8B" w:rsidRDefault="00B6364B" w:rsidP="00E9793B">
      <w:pPr>
        <w:pStyle w:val="NumberedParagraph"/>
      </w:pPr>
      <w:r>
        <w:t xml:space="preserve">Stakeholders had mixed reactions to the </w:t>
      </w:r>
      <w:r w:rsidR="00A47E2A">
        <w:t>idea of a reduction in the company tax rate. For Business N</w:t>
      </w:r>
      <w:r w:rsidR="00663DC4">
        <w:t>Z</w:t>
      </w:r>
      <w:r w:rsidR="002119F0">
        <w:t>,</w:t>
      </w:r>
      <w:r w:rsidR="00A47E2A">
        <w:t xml:space="preserve"> this was </w:t>
      </w:r>
      <w:r w:rsidR="00242403">
        <w:t xml:space="preserve">the preferred way of </w:t>
      </w:r>
      <w:r w:rsidR="00B16AA1">
        <w:t>reducing costs of capital and EMTRs. Business N</w:t>
      </w:r>
      <w:r w:rsidR="00663DC4">
        <w:t>Z</w:t>
      </w:r>
      <w:r w:rsidR="00B16AA1">
        <w:t xml:space="preserve"> argued that the company rate had a </w:t>
      </w:r>
      <w:r w:rsidR="00247F15">
        <w:t>strong and positive signalling effect</w:t>
      </w:r>
      <w:r w:rsidR="00177C9D">
        <w:t>,</w:t>
      </w:r>
      <w:r w:rsidR="00247F15">
        <w:t xml:space="preserve"> promoting New Zealand as a good place in which to invest. </w:t>
      </w:r>
      <w:r w:rsidR="00E22195">
        <w:t xml:space="preserve">At the same time, </w:t>
      </w:r>
      <w:r w:rsidR="002123E0">
        <w:t>Business N</w:t>
      </w:r>
      <w:r w:rsidR="00663DC4">
        <w:t>Z</w:t>
      </w:r>
      <w:r w:rsidR="002123E0">
        <w:t xml:space="preserve"> expressed concerns about integrity pressure that arise</w:t>
      </w:r>
      <w:r w:rsidR="00FF6C33">
        <w:t>s</w:t>
      </w:r>
      <w:r w:rsidR="002123E0">
        <w:t xml:space="preserve"> when the company tax rate and top personal marginal rate are poorly aligned. It argued for cuts to personal income tax rates as well.</w:t>
      </w:r>
    </w:p>
    <w:p w14:paraId="63337AF4" w14:textId="703DC3E7" w:rsidR="00E9793B" w:rsidRDefault="002123E0" w:rsidP="00E9793B">
      <w:pPr>
        <w:pStyle w:val="NumberedParagraph"/>
      </w:pPr>
      <w:r>
        <w:t>T</w:t>
      </w:r>
      <w:r w:rsidR="00247F15">
        <w:t>he Corporate Taxpayers Group</w:t>
      </w:r>
      <w:r w:rsidR="00E9793B" w:rsidRPr="00754852">
        <w:t xml:space="preserve"> </w:t>
      </w:r>
      <w:r w:rsidR="00622E88">
        <w:t>w</w:t>
      </w:r>
      <w:r w:rsidR="00017CCD">
        <w:t>as</w:t>
      </w:r>
      <w:r w:rsidR="00622E88">
        <w:t xml:space="preserve"> also supportive</w:t>
      </w:r>
      <w:r w:rsidR="00264DB6">
        <w:t xml:space="preserve"> of a cut to the company tax rate while recognising that this created important integrity concerns. It was </w:t>
      </w:r>
      <w:r w:rsidR="00FF34DF">
        <w:t xml:space="preserve">not convinced that these </w:t>
      </w:r>
      <w:r w:rsidR="00F20EB6">
        <w:t xml:space="preserve">concerns </w:t>
      </w:r>
      <w:r w:rsidR="00FF34DF">
        <w:t>could be efficiently and effectively addresse</w:t>
      </w:r>
      <w:r w:rsidR="00F20EB6">
        <w:t>d</w:t>
      </w:r>
      <w:r w:rsidR="00FF34DF">
        <w:t xml:space="preserve"> by taxing gains on shareholders</w:t>
      </w:r>
      <w:r w:rsidR="00CF5325">
        <w:t xml:space="preserve">. </w:t>
      </w:r>
      <w:r w:rsidR="008C643A">
        <w:t>It was</w:t>
      </w:r>
      <w:r w:rsidR="00310F7F">
        <w:t>, however,</w:t>
      </w:r>
      <w:r w:rsidR="00FF34DF">
        <w:t xml:space="preserve"> supportive of </w:t>
      </w:r>
      <w:r w:rsidR="006C3CE4">
        <w:t>de</w:t>
      </w:r>
      <w:r w:rsidR="005911A6">
        <w:t xml:space="preserve">veloping a process to work through changes that </w:t>
      </w:r>
      <w:r w:rsidR="00CF5325">
        <w:t>might accompany a cut in the company tax rate.</w:t>
      </w:r>
    </w:p>
    <w:p w14:paraId="4686196E" w14:textId="576B98DF" w:rsidR="004F7BCC" w:rsidRDefault="00F30B8B" w:rsidP="00E9793B">
      <w:pPr>
        <w:pStyle w:val="NumberedParagraph"/>
      </w:pPr>
      <w:r>
        <w:t>CA ANZ di</w:t>
      </w:r>
      <w:r w:rsidR="00831ABC">
        <w:t xml:space="preserve">d not believe that it would be appropriate for New Zealand to cut its company tax rate. </w:t>
      </w:r>
      <w:r w:rsidR="00AC033F">
        <w:t>The</w:t>
      </w:r>
      <w:r w:rsidR="00CD3BDE">
        <w:t>y</w:t>
      </w:r>
      <w:r w:rsidR="00AC033F">
        <w:t xml:space="preserve"> </w:t>
      </w:r>
      <w:r w:rsidR="00186ED5">
        <w:t xml:space="preserve">also </w:t>
      </w:r>
      <w:r w:rsidR="00AC033F">
        <w:t>voiced c</w:t>
      </w:r>
      <w:r w:rsidR="00831ABC">
        <w:t xml:space="preserve">oncerns about greater integrity pressures from a bigger </w:t>
      </w:r>
      <w:r w:rsidR="00AC033F">
        <w:t>gap between the company tax rate and the top personal marginal tax rate.</w:t>
      </w:r>
    </w:p>
    <w:p w14:paraId="29AECD04" w14:textId="77777777" w:rsidR="00E9793B" w:rsidRDefault="00E9793B" w:rsidP="00FF1FCB">
      <w:pPr>
        <w:pStyle w:val="NumberedParagraph"/>
        <w:numPr>
          <w:ilvl w:val="0"/>
          <w:numId w:val="0"/>
        </w:numPr>
        <w:ind w:left="851"/>
      </w:pPr>
    </w:p>
    <w:p w14:paraId="6180260E" w14:textId="77777777" w:rsidR="001B3AE0" w:rsidRPr="004B1C56" w:rsidRDefault="001B3AE0" w:rsidP="007847AF">
      <w:pPr>
        <w:pStyle w:val="Heading1"/>
        <w:ind w:left="0"/>
        <w:rPr>
          <w:rFonts w:eastAsia="Calibri"/>
          <w:lang w:eastAsia="en-US"/>
        </w:rPr>
      </w:pPr>
      <w:r w:rsidRPr="004B1C56">
        <w:rPr>
          <w:rFonts w:eastAsia="Calibri"/>
          <w:lang w:eastAsia="en-US"/>
        </w:rPr>
        <w:lastRenderedPageBreak/>
        <w:br/>
      </w:r>
      <w:r w:rsidRPr="004B1C56">
        <w:rPr>
          <w:rFonts w:eastAsia="Calibri"/>
          <w:lang w:eastAsia="en-US"/>
        </w:rPr>
        <w:br/>
      </w:r>
      <w:bookmarkStart w:id="46" w:name="_Toc112857424"/>
      <w:r w:rsidRPr="004B1C56">
        <w:rPr>
          <w:rFonts w:eastAsia="Calibri"/>
          <w:lang w:eastAsia="en-US"/>
        </w:rPr>
        <w:t>Accelerated Depreciation</w:t>
      </w:r>
      <w:bookmarkEnd w:id="46"/>
    </w:p>
    <w:tbl>
      <w:tblPr>
        <w:tblStyle w:val="SummaryBox"/>
        <w:tblW w:w="0" w:type="auto"/>
        <w:tblLayout w:type="fixed"/>
        <w:tblLook w:val="04A0" w:firstRow="1" w:lastRow="0" w:firstColumn="1" w:lastColumn="0" w:noHBand="0" w:noVBand="1"/>
      </w:tblPr>
      <w:tblGrid>
        <w:gridCol w:w="8778"/>
      </w:tblGrid>
      <w:tr w:rsidR="001B3AE0" w:rsidRPr="00FC3791" w14:paraId="063F6203" w14:textId="77777777" w:rsidTr="007D07BC">
        <w:tc>
          <w:tcPr>
            <w:tcW w:w="8778" w:type="dxa"/>
          </w:tcPr>
          <w:p w14:paraId="0C40E232" w14:textId="77777777" w:rsidR="001B3AE0" w:rsidRPr="00FC3791" w:rsidRDefault="001B3AE0" w:rsidP="00597B6B">
            <w:pPr>
              <w:pStyle w:val="ListBullet"/>
            </w:pPr>
            <w:r w:rsidRPr="00FC3791">
              <w:t>Accelerated depreciation schemes are measures that many countries have used to incentivise investment.</w:t>
            </w:r>
          </w:p>
          <w:p w14:paraId="30325C5A" w14:textId="4CACB400" w:rsidR="001B3AE0" w:rsidRPr="00FC3791" w:rsidRDefault="001B3AE0" w:rsidP="00597B6B">
            <w:pPr>
              <w:pStyle w:val="ListBullet"/>
            </w:pPr>
            <w:r w:rsidRPr="00FC3791">
              <w:t xml:space="preserve">They could reduce higher costs of capital and EMTRs </w:t>
            </w:r>
            <w:r w:rsidR="000E463F">
              <w:t xml:space="preserve">by </w:t>
            </w:r>
            <w:r w:rsidRPr="00FC3791">
              <w:t>reducing taxes on marginal investments</w:t>
            </w:r>
            <w:r w:rsidR="006F1DC7">
              <w:t>,</w:t>
            </w:r>
            <w:r w:rsidRPr="00FC3791">
              <w:t xml:space="preserve"> and by offsetting some biases caused by inflation </w:t>
            </w:r>
            <w:r w:rsidR="006F1DC7">
              <w:t xml:space="preserve">they </w:t>
            </w:r>
            <w:r w:rsidRPr="00FC3791">
              <w:t>could potentially increase the neutrality of many forms of investment.</w:t>
            </w:r>
          </w:p>
          <w:p w14:paraId="170DA76A" w14:textId="4B8CE061" w:rsidR="001B3AE0" w:rsidRPr="00FC3791" w:rsidRDefault="001B3AE0" w:rsidP="00597B6B">
            <w:pPr>
              <w:pStyle w:val="ListBullet"/>
            </w:pPr>
            <w:r w:rsidRPr="00FC3791">
              <w:t xml:space="preserve">They would, however, lead to biases between assets </w:t>
            </w:r>
            <w:r w:rsidR="006F1DC7">
              <w:t>that</w:t>
            </w:r>
            <w:r w:rsidRPr="00FC3791">
              <w:t xml:space="preserve"> benefit from these accelerated depreciation schemes and inventories.</w:t>
            </w:r>
          </w:p>
          <w:p w14:paraId="01DC4243" w14:textId="7688BA02" w:rsidR="001B3AE0" w:rsidRPr="00FC3791" w:rsidRDefault="001B3AE0" w:rsidP="00597B6B">
            <w:pPr>
              <w:pStyle w:val="ListBullet"/>
            </w:pPr>
            <w:r w:rsidRPr="00FC3791">
              <w:t xml:space="preserve">An attraction of accelerated depreciation schemes relative to a company tax rate cut is that </w:t>
            </w:r>
            <w:r w:rsidR="000F32DA">
              <w:t>accelerated depreciation</w:t>
            </w:r>
            <w:r w:rsidRPr="00FC3791">
              <w:t xml:space="preserve"> could be restricted to new investments and minimise windfalls.</w:t>
            </w:r>
          </w:p>
          <w:p w14:paraId="79E6B304" w14:textId="7F7A2035" w:rsidR="001B3AE0" w:rsidRPr="00FC3791" w:rsidRDefault="001B3AE0" w:rsidP="00597B6B">
            <w:pPr>
              <w:pStyle w:val="ListBullet"/>
            </w:pPr>
            <w:r w:rsidRPr="00FC3791">
              <w:t>At the same time</w:t>
            </w:r>
            <w:r w:rsidR="005702E5">
              <w:t>,</w:t>
            </w:r>
            <w:r w:rsidRPr="00FC3791">
              <w:t xml:space="preserve"> restricting accelerated depreciation to new investment would create some distortions by discouraging sales of assets.</w:t>
            </w:r>
          </w:p>
          <w:p w14:paraId="226EA6E1" w14:textId="287D390A" w:rsidR="001B3AE0" w:rsidRPr="00FC3791" w:rsidRDefault="001B3AE0" w:rsidP="00597B6B">
            <w:pPr>
              <w:pStyle w:val="ListBullet"/>
            </w:pPr>
            <w:r w:rsidRPr="00FC3791">
              <w:t>Accelerated depreciation would also not be as likely to create tax sheltering opportunities as a cut in the company tax rate</w:t>
            </w:r>
            <w:r w:rsidR="00AF0510">
              <w:t xml:space="preserve"> would</w:t>
            </w:r>
            <w:r w:rsidRPr="00FC3791">
              <w:t>.</w:t>
            </w:r>
          </w:p>
          <w:p w14:paraId="0A04CB0D" w14:textId="77777777" w:rsidR="001B3AE0" w:rsidRPr="00FC3791" w:rsidRDefault="001B3AE0" w:rsidP="00597B6B">
            <w:pPr>
              <w:pStyle w:val="ListBullet"/>
            </w:pPr>
            <w:r w:rsidRPr="00FC3791">
              <w:t xml:space="preserve">Unlike a cut in the company tax rate, </w:t>
            </w:r>
            <w:r>
              <w:t>accelerated depreciation</w:t>
            </w:r>
            <w:r w:rsidRPr="00FC3791">
              <w:t xml:space="preserve"> would not reduce biases between debt and equity financing by non-resident investors.</w:t>
            </w:r>
          </w:p>
          <w:p w14:paraId="74EE65DF" w14:textId="77777777" w:rsidR="001B3AE0" w:rsidRPr="00FC3791" w:rsidRDefault="001B3AE0" w:rsidP="00597B6B">
            <w:pPr>
              <w:pStyle w:val="ListBullet"/>
            </w:pPr>
            <w:r>
              <w:t>Accelerated depreciation</w:t>
            </w:r>
            <w:r w:rsidRPr="00FC3791">
              <w:t xml:space="preserve"> would also not reduce international tax avoidance pressures caused by New Zealand’s company tax rate being higher than the company tax rates in many other countries.</w:t>
            </w:r>
          </w:p>
          <w:p w14:paraId="78C70608" w14:textId="720C066A" w:rsidR="001B3AE0" w:rsidRPr="00FC3791" w:rsidRDefault="001B3AE0" w:rsidP="00597B6B">
            <w:pPr>
              <w:pStyle w:val="ListBullet"/>
            </w:pPr>
            <w:r w:rsidRPr="00FC3791">
              <w:t>At times</w:t>
            </w:r>
            <w:r w:rsidR="006629CB">
              <w:t>,</w:t>
            </w:r>
            <w:r w:rsidRPr="00FC3791">
              <w:t xml:space="preserve"> </w:t>
            </w:r>
            <w:r>
              <w:t>accelerated depreciation</w:t>
            </w:r>
            <w:r w:rsidRPr="00FC3791">
              <w:t xml:space="preserve"> may lead to investment subsidies and promote inefficient investment</w:t>
            </w:r>
            <w:r w:rsidR="008C46AC">
              <w:t>,</w:t>
            </w:r>
            <w:r w:rsidR="0026345E">
              <w:t xml:space="preserve"> especially if depreciation is </w:t>
            </w:r>
            <w:r w:rsidR="00977C5E">
              <w:t>very substantially accelerated</w:t>
            </w:r>
            <w:r w:rsidRPr="00FC3791">
              <w:t>.</w:t>
            </w:r>
          </w:p>
        </w:tc>
      </w:tr>
    </w:tbl>
    <w:p w14:paraId="489FBF5E" w14:textId="77777777" w:rsidR="001B3AE0" w:rsidRPr="00FC3791" w:rsidRDefault="001B3AE0" w:rsidP="001B3AE0">
      <w:pPr>
        <w:pStyle w:val="Heading2"/>
        <w:rPr>
          <w:rFonts w:eastAsia="Calibri"/>
          <w:lang w:eastAsia="en-US"/>
        </w:rPr>
      </w:pPr>
      <w:bookmarkStart w:id="47" w:name="_Toc112857425"/>
      <w:r w:rsidRPr="00FC3791">
        <w:rPr>
          <w:rFonts w:eastAsia="Calibri"/>
          <w:lang w:eastAsia="en-US"/>
        </w:rPr>
        <w:t>Introduction</w:t>
      </w:r>
      <w:bookmarkEnd w:id="47"/>
    </w:p>
    <w:p w14:paraId="337D4E6B" w14:textId="2CF71436" w:rsidR="001B3AE0" w:rsidRPr="00FC3791" w:rsidRDefault="001B3AE0" w:rsidP="00075D72">
      <w:pPr>
        <w:pStyle w:val="NumberedParagraph"/>
      </w:pPr>
      <w:r w:rsidRPr="00FC3791">
        <w:t>Accelerated depreciation or additional deductions for capital costs (such as investment allowances) or tax credits are commonly used by countries to lower the cost of capital and incentivise investment.</w:t>
      </w:r>
    </w:p>
    <w:p w14:paraId="69362D78" w14:textId="462E68EB" w:rsidR="001B3AE0" w:rsidRPr="00FC3791" w:rsidRDefault="006629CB" w:rsidP="00075D72">
      <w:pPr>
        <w:pStyle w:val="NumberedParagraph"/>
      </w:pPr>
      <w:r>
        <w:t>Before</w:t>
      </w:r>
      <w:r w:rsidR="001B3AE0" w:rsidRPr="00FC3791">
        <w:t xml:space="preserve"> 2010, New Zealand allowed accelerated depreciation of machinery and equipment but not buildings. Accelerated depreciation as a deliberate policy was removed in 2010.</w:t>
      </w:r>
    </w:p>
    <w:p w14:paraId="5E7B4330" w14:textId="77777777" w:rsidR="001B3AE0" w:rsidRPr="00FC3791" w:rsidRDefault="001B3AE0" w:rsidP="001B3AE0">
      <w:pPr>
        <w:pStyle w:val="Heading2"/>
        <w:rPr>
          <w:rFonts w:eastAsia="Calibri"/>
          <w:lang w:eastAsia="en-US"/>
        </w:rPr>
      </w:pPr>
      <w:bookmarkStart w:id="48" w:name="_Toc112857426"/>
      <w:r w:rsidRPr="00FC3791">
        <w:rPr>
          <w:rFonts w:eastAsia="Calibri"/>
          <w:lang w:eastAsia="en-US"/>
        </w:rPr>
        <w:t>Possible accelerated depreciation measures</w:t>
      </w:r>
      <w:bookmarkEnd w:id="48"/>
    </w:p>
    <w:p w14:paraId="39CD662C" w14:textId="77777777" w:rsidR="001B3AE0" w:rsidRPr="00FC3791" w:rsidRDefault="001B3AE0" w:rsidP="00075D72">
      <w:pPr>
        <w:pStyle w:val="NumberedParagraph"/>
      </w:pPr>
      <w:r w:rsidRPr="00FC3791">
        <w:t>In this chapter we focus on two types of accelerated depreciation measures: depreciation loading and partial expensing.</w:t>
      </w:r>
    </w:p>
    <w:p w14:paraId="17D588BE" w14:textId="7D7BCF51" w:rsidR="001B3AE0" w:rsidRPr="00FC3791" w:rsidRDefault="001B3AE0" w:rsidP="00075D72">
      <w:pPr>
        <w:pStyle w:val="NumberedParagraph-BulletL1"/>
      </w:pPr>
      <w:r w:rsidRPr="00FC3791">
        <w:t xml:space="preserve">Depreciation loading means allowing a deduction from taxable income </w:t>
      </w:r>
      <w:r w:rsidR="00B7131C">
        <w:t>that</w:t>
      </w:r>
      <w:r w:rsidRPr="00FC3791">
        <w:t xml:space="preserve"> is greater than the standard depreciation rate. Suppose an asset would normally receive a diminishing value (DV) rate of depreciation of 10% each year. This means that if an asset costs $10,000, $1,000 would be allowed as a depreciation deduction in the first year, </w:t>
      </w:r>
      <w:r w:rsidRPr="00FC3791" w:rsidDel="003D7D62">
        <w:t>$</w:t>
      </w:r>
      <w:r w:rsidRPr="00FC3791">
        <w:t xml:space="preserve">900 (namely, </w:t>
      </w:r>
      <w:r w:rsidRPr="00FC3791">
        <w:lastRenderedPageBreak/>
        <w:t>10% of the residual balance of $9,000) in the next year and so forth. Now suppose that an additional 20% depreciation loading is permitted. The yearly DV depreciation deduction would be increased to 12%.</w:t>
      </w:r>
    </w:p>
    <w:p w14:paraId="75EBA3EE" w14:textId="0C6A5CDC" w:rsidR="001B3AE0" w:rsidRPr="00FC3791" w:rsidRDefault="001B3AE0" w:rsidP="00075D72">
      <w:pPr>
        <w:pStyle w:val="NumberedParagraph-BulletL1"/>
      </w:pPr>
      <w:r w:rsidRPr="00FC3791">
        <w:t xml:space="preserve">Partial expensing means that a portion of the cost of a new asset can be deducted immediately (in the year that an asset is acquired) from taxable income. The remaining cost of the asset is deducted at the normal depreciation rate. For example, suppose once more that an asset costs $10,000 and would normally qualify for a 10% </w:t>
      </w:r>
      <w:r w:rsidR="00487032">
        <w:t>DV</w:t>
      </w:r>
      <w:r w:rsidRPr="00FC3791">
        <w:t xml:space="preserve"> rate of depreciation. Now suppose that partial expensing of 50% is permitted. Taxable income is reduced by $5,000 immediately. The remaining $5,000 is depreciated at a 10% </w:t>
      </w:r>
      <w:r w:rsidR="004663BF">
        <w:t>DV</w:t>
      </w:r>
      <w:r w:rsidRPr="00FC3791">
        <w:t xml:space="preserve"> rate of depreciation.</w:t>
      </w:r>
    </w:p>
    <w:p w14:paraId="6BFCE987" w14:textId="77777777" w:rsidR="001B3AE0" w:rsidRPr="00FC3791" w:rsidRDefault="001B3AE0" w:rsidP="001B3AE0">
      <w:pPr>
        <w:pStyle w:val="Heading2"/>
        <w:rPr>
          <w:rFonts w:eastAsia="Calibri"/>
          <w:lang w:eastAsia="en-US"/>
        </w:rPr>
      </w:pPr>
      <w:bookmarkStart w:id="49" w:name="_Toc112857427"/>
      <w:r w:rsidRPr="00FC3791">
        <w:rPr>
          <w:rFonts w:eastAsia="Calibri"/>
          <w:lang w:eastAsia="en-US"/>
        </w:rPr>
        <w:t>Impacts on costs of capital and EMTRs</w:t>
      </w:r>
      <w:bookmarkEnd w:id="49"/>
    </w:p>
    <w:p w14:paraId="6097DAD9" w14:textId="54175223" w:rsidR="001B3AE0" w:rsidRPr="00FC3791" w:rsidRDefault="001B3AE0" w:rsidP="00075D72">
      <w:pPr>
        <w:pStyle w:val="NumberedParagraph"/>
      </w:pPr>
      <w:r w:rsidRPr="00FC3791">
        <w:t xml:space="preserve">Table </w:t>
      </w:r>
      <w:r>
        <w:t xml:space="preserve">7.1 </w:t>
      </w:r>
      <w:r w:rsidRPr="00FC3791">
        <w:t>reports the estimated EMTRs for various assets. As in chapter 6, we assume that the assets are held by a domestic company with marginal foreign shareholders. The world real interest rate is 3%</w:t>
      </w:r>
      <w:r w:rsidR="004663BF">
        <w:t>,</w:t>
      </w:r>
      <w:r w:rsidRPr="00FC3791">
        <w:t xml:space="preserve"> and non-resident shareholders demand a real rate of return of 3% net of any New Zealand taxes. Due to </w:t>
      </w:r>
      <w:r w:rsidR="00946E27">
        <w:t>approved issuer levy (</w:t>
      </w:r>
      <w:r w:rsidRPr="00FC3791">
        <w:t>AIL</w:t>
      </w:r>
      <w:r w:rsidR="00946E27">
        <w:t>)</w:t>
      </w:r>
      <w:r w:rsidRPr="00FC3791">
        <w:t xml:space="preserve">, the domestic real interest rate is bid up to 3.10%. Furthermore, we assume that firms are 43% debt </w:t>
      </w:r>
      <w:r w:rsidR="00B54A69">
        <w:t>financed</w:t>
      </w:r>
      <w:r w:rsidRPr="00FC3791">
        <w:t xml:space="preserve">. The depreciation allowance rates for </w:t>
      </w:r>
      <w:r w:rsidR="00B54A69">
        <w:t>‘</w:t>
      </w:r>
      <w:r w:rsidRPr="00FC3791">
        <w:t>plant, machinery, and equipment</w:t>
      </w:r>
      <w:r w:rsidR="00B54A69">
        <w:t>’</w:t>
      </w:r>
      <w:r w:rsidRPr="00FC3791">
        <w:t xml:space="preserve"> (PME) are assumed to be set to mirror how the asset would depreciate in the absence of inflation. Rows 3</w:t>
      </w:r>
      <w:r w:rsidR="00E402A4" w:rsidRPr="00586800">
        <w:t>–</w:t>
      </w:r>
      <w:r w:rsidRPr="00FC3791">
        <w:t>5 report estimated costs of capital and rows 6</w:t>
      </w:r>
      <w:r w:rsidR="00E402A4" w:rsidRPr="00841651">
        <w:t>–</w:t>
      </w:r>
      <w:r w:rsidRPr="00FC3791">
        <w:t>8 report estimated EMTRs. We consider three possible tax treatments:</w:t>
      </w:r>
    </w:p>
    <w:p w14:paraId="3CB3ABF2" w14:textId="4C3CF261" w:rsidR="001B3AE0" w:rsidRPr="00FC3791" w:rsidRDefault="001B3AE0" w:rsidP="00075D72">
      <w:pPr>
        <w:pStyle w:val="NumberedParagraph-BulletL1"/>
      </w:pPr>
      <w:r w:rsidRPr="00FC3791">
        <w:t>the status quo</w:t>
      </w:r>
    </w:p>
    <w:p w14:paraId="53D83915" w14:textId="5353BF98" w:rsidR="001B3AE0" w:rsidRPr="00FC3791" w:rsidRDefault="001B3AE0" w:rsidP="00075D72">
      <w:pPr>
        <w:pStyle w:val="NumberedParagraph-BulletL1"/>
      </w:pPr>
      <w:r w:rsidRPr="00FC3791">
        <w:t>20% depreciation loading for both buildings and PMEs,</w:t>
      </w:r>
      <w:r w:rsidR="00336043">
        <w:t xml:space="preserve"> and</w:t>
      </w:r>
    </w:p>
    <w:p w14:paraId="2912B020" w14:textId="77777777" w:rsidR="001B3AE0" w:rsidRPr="00FC3791" w:rsidRDefault="001B3AE0" w:rsidP="00075D72">
      <w:pPr>
        <w:pStyle w:val="NumberedParagraph-BulletL1"/>
      </w:pPr>
      <w:r w:rsidRPr="00FC3791">
        <w:t>20% partial expensing for buildings and for PMEs with depreciation rates greater than zero.</w:t>
      </w:r>
    </w:p>
    <w:p w14:paraId="4CFB78C4" w14:textId="5B2106AB" w:rsidR="001B3AE0" w:rsidRPr="00FC3791" w:rsidRDefault="001B3AE0" w:rsidP="00075D72">
      <w:pPr>
        <w:pStyle w:val="NumberedParagraph"/>
      </w:pPr>
      <w:r w:rsidRPr="00FC3791">
        <w:t xml:space="preserve">The question </w:t>
      </w:r>
      <w:r w:rsidR="00EC7C35">
        <w:t xml:space="preserve">arises </w:t>
      </w:r>
      <w:r w:rsidRPr="00FC3791">
        <w:t xml:space="preserve">how depreciation loading would be applied to an asset </w:t>
      </w:r>
      <w:r w:rsidR="00E3771E">
        <w:t>that</w:t>
      </w:r>
      <w:r w:rsidRPr="00FC3791">
        <w:t xml:space="preserve"> qualifies for full depreciation of </w:t>
      </w:r>
      <w:r w:rsidRPr="00FC3791">
        <w:rPr>
          <w:position w:val="-6"/>
        </w:rPr>
        <w:object w:dxaOrig="1520" w:dyaOrig="260" w14:anchorId="5C1C6BE2">
          <v:shape id="_x0000_i1025" type="#_x0000_t75" style="width:76.5pt;height:14.25pt" o:ole="">
            <v:imagedata r:id="rId20" o:title=""/>
          </v:shape>
          <o:OLEObject Type="Embed" ProgID="Equation.DSMT4" ShapeID="_x0000_i1025" DrawAspect="Content" ObjectID="_1723470718" r:id="rId21"/>
        </w:object>
      </w:r>
      <w:r w:rsidRPr="00FC3791">
        <w:t xml:space="preserve"> over its first year</w:t>
      </w:r>
      <w:r w:rsidR="00741953">
        <w:t>. This is because</w:t>
      </w:r>
      <w:r w:rsidRPr="00FC3791">
        <w:t xml:space="preserve"> it would be impossible to give a depreciation loading without allowing more than the full cost of the asset to be depreciated. We assume that current depreciation rules are maintained for these assets</w:t>
      </w:r>
      <w:r w:rsidR="00E95391">
        <w:t>,</w:t>
      </w:r>
      <w:r w:rsidRPr="00FC3791">
        <w:t xml:space="preserve"> so costs of capital and EMTRs are uncha</w:t>
      </w:r>
      <w:r>
        <w:t>n</w:t>
      </w:r>
      <w:r w:rsidRPr="00FC3791">
        <w:t>ged from the status quo. An alternative might be to allow some level of partial expensing in lieu of depreciation loading for th</w:t>
      </w:r>
      <w:r w:rsidR="00E95391">
        <w:t>ose</w:t>
      </w:r>
      <w:r w:rsidRPr="00FC3791">
        <w:t xml:space="preserve"> </w:t>
      </w:r>
      <w:r w:rsidR="00E17FB1">
        <w:t xml:space="preserve">assets </w:t>
      </w:r>
      <w:r w:rsidRPr="00FC3791">
        <w:t xml:space="preserve">for which </w:t>
      </w:r>
      <w:r w:rsidRPr="00FC3791">
        <w:rPr>
          <w:position w:val="-6"/>
        </w:rPr>
        <w:object w:dxaOrig="1520" w:dyaOrig="260" w14:anchorId="49639FEF">
          <v:shape id="_x0000_i1026" type="#_x0000_t75" style="width:76.5pt;height:14.25pt" o:ole="">
            <v:imagedata r:id="rId22" o:title=""/>
          </v:shape>
          <o:OLEObject Type="Embed" ProgID="Equation.DSMT4" ShapeID="_x0000_i1026" DrawAspect="Content" ObjectID="_1723470719" r:id="rId23"/>
        </w:object>
      </w:r>
      <w:r w:rsidRPr="00FC3791">
        <w:t>.</w:t>
      </w:r>
      <w:r w:rsidR="00361A92">
        <w:t xml:space="preserve"> This would mean </w:t>
      </w:r>
      <w:r w:rsidR="00482988">
        <w:t>allowing some fraction of the cost of the asset (perhaps 20% or 40%) to be written off in the year that the asset is acquired</w:t>
      </w:r>
      <w:r w:rsidR="00C5026D">
        <w:t xml:space="preserve"> rather than in the subsequent year</w:t>
      </w:r>
      <w:r w:rsidR="00482988">
        <w:t xml:space="preserve"> </w:t>
      </w:r>
      <w:r w:rsidR="00361A92">
        <w:t xml:space="preserve">even if the asset is acquired </w:t>
      </w:r>
      <w:r w:rsidR="00C5026D">
        <w:t xml:space="preserve">right </w:t>
      </w:r>
      <w:r w:rsidR="00361A92">
        <w:t xml:space="preserve">at the end of </w:t>
      </w:r>
      <w:r w:rsidR="00C5026D">
        <w:t>an income year.</w:t>
      </w:r>
    </w:p>
    <w:p w14:paraId="6654D96F" w14:textId="4680EE3B" w:rsidR="001B3AE0" w:rsidRDefault="001B3AE0" w:rsidP="00931218">
      <w:pPr>
        <w:pStyle w:val="Caption"/>
        <w:ind w:left="-426" w:right="-426"/>
        <w:rPr>
          <w:rFonts w:eastAsia="Calibri"/>
          <w:lang w:eastAsia="en-US"/>
        </w:rPr>
      </w:pPr>
      <w:r w:rsidRPr="00FC3791">
        <w:rPr>
          <w:rFonts w:eastAsia="Calibri"/>
          <w:lang w:eastAsia="en-US"/>
        </w:rPr>
        <w:lastRenderedPageBreak/>
        <w:t xml:space="preserve">Table </w:t>
      </w:r>
      <w:r>
        <w:rPr>
          <w:rFonts w:eastAsia="Calibri"/>
          <w:lang w:eastAsia="en-US"/>
        </w:rPr>
        <w:t xml:space="preserve">7.1: </w:t>
      </w:r>
      <w:r w:rsidRPr="00FC3791">
        <w:rPr>
          <w:rFonts w:eastAsia="Calibri"/>
          <w:lang w:eastAsia="en-US"/>
        </w:rPr>
        <w:t>Costs of capital and EMTRs</w:t>
      </w:r>
      <w:r w:rsidR="00E95391">
        <w:rPr>
          <w:rFonts w:eastAsia="Calibri"/>
          <w:lang w:eastAsia="en-US"/>
        </w:rPr>
        <w:t>,</w:t>
      </w:r>
      <w:r w:rsidRPr="00FC3791">
        <w:rPr>
          <w:rFonts w:eastAsia="Calibri"/>
          <w:lang w:eastAsia="en-US"/>
        </w:rPr>
        <w:t xml:space="preserve"> </w:t>
      </w:r>
      <w:r w:rsidR="00584AF9">
        <w:rPr>
          <w:rFonts w:eastAsia="Calibri"/>
          <w:lang w:eastAsia="en-US"/>
        </w:rPr>
        <w:t xml:space="preserve">domestic company with foreign marginal portfolio shareholders, </w:t>
      </w:r>
      <w:r w:rsidRPr="00FC3791">
        <w:rPr>
          <w:rFonts w:eastAsia="Calibri"/>
          <w:lang w:eastAsia="en-US"/>
        </w:rPr>
        <w:t>debt = 43%, r</w:t>
      </w:r>
      <w:r w:rsidR="00633C07">
        <w:rPr>
          <w:rFonts w:eastAsia="Calibri"/>
          <w:lang w:eastAsia="en-US"/>
        </w:rPr>
        <w:t>*</w:t>
      </w:r>
      <w:r w:rsidRPr="00FC3791">
        <w:rPr>
          <w:rFonts w:eastAsia="Calibri"/>
          <w:lang w:eastAsia="en-US"/>
        </w:rPr>
        <w:t xml:space="preserve"> = 3%, inflation = 2%,</w:t>
      </w:r>
      <w:r>
        <w:rPr>
          <w:rFonts w:eastAsia="Calibri"/>
          <w:lang w:eastAsia="en-US"/>
        </w:rPr>
        <w:t xml:space="preserve"> </w:t>
      </w:r>
      <w:r w:rsidR="00ED650F">
        <w:rPr>
          <w:rFonts w:eastAsia="Calibri"/>
          <w:lang w:eastAsia="en-US"/>
        </w:rPr>
        <w:t>AIL</w:t>
      </w:r>
      <w:r w:rsidR="00AF1878">
        <w:rPr>
          <w:rFonts w:eastAsia="Calibri"/>
          <w:lang w:eastAsia="en-US"/>
        </w:rPr>
        <w:t xml:space="preserve"> = 2%</w:t>
      </w:r>
      <w:r w:rsidR="00801223">
        <w:rPr>
          <w:rFonts w:eastAsia="Calibri"/>
          <w:lang w:eastAsia="en-US"/>
        </w:rPr>
        <w:t xml:space="preserve"> </w:t>
      </w:r>
      <w:r w:rsidR="00931218">
        <w:rPr>
          <w:rFonts w:eastAsia="Calibri"/>
          <w:lang w:eastAsia="en-US"/>
        </w:rPr>
        <w:br/>
      </w:r>
      <w:r w:rsidRPr="00FC3791">
        <w:rPr>
          <w:rFonts w:eastAsia="Calibri"/>
          <w:lang w:eastAsia="en-US"/>
        </w:rPr>
        <w:t xml:space="preserve">Status quo compared with </w:t>
      </w:r>
      <w:r w:rsidR="00BA155E">
        <w:rPr>
          <w:rFonts w:eastAsia="Calibri"/>
          <w:lang w:eastAsia="en-US"/>
        </w:rPr>
        <w:t>accelerated depreciation options</w:t>
      </w:r>
    </w:p>
    <w:tbl>
      <w:tblPr>
        <w:tblStyle w:val="TableGrid"/>
        <w:tblW w:w="9781" w:type="dxa"/>
        <w:tblInd w:w="-5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8" w:type="dxa"/>
          <w:right w:w="28" w:type="dxa"/>
        </w:tblCellMar>
        <w:tblLook w:val="04A0" w:firstRow="1" w:lastRow="0" w:firstColumn="1" w:lastColumn="0" w:noHBand="0" w:noVBand="1"/>
      </w:tblPr>
      <w:tblGrid>
        <w:gridCol w:w="1347"/>
        <w:gridCol w:w="992"/>
        <w:gridCol w:w="737"/>
        <w:gridCol w:w="681"/>
        <w:gridCol w:w="651"/>
        <w:gridCol w:w="666"/>
        <w:gridCol w:w="667"/>
        <w:gridCol w:w="1134"/>
        <w:gridCol w:w="851"/>
        <w:gridCol w:w="1134"/>
        <w:gridCol w:w="921"/>
      </w:tblGrid>
      <w:tr w:rsidR="005D47F0" w:rsidRPr="008F735E" w14:paraId="0C81E645" w14:textId="67B3DA3E" w:rsidTr="00740A34">
        <w:trPr>
          <w:tblHeader/>
        </w:trPr>
        <w:tc>
          <w:tcPr>
            <w:tcW w:w="1347" w:type="dxa"/>
            <w:shd w:val="clear" w:color="auto" w:fill="232E36"/>
          </w:tcPr>
          <w:p w14:paraId="730F9C27" w14:textId="588051F7" w:rsidR="00921E80" w:rsidRPr="008F735E" w:rsidRDefault="00921E80" w:rsidP="00345DEF">
            <w:pPr>
              <w:keepNext/>
              <w:keepLines/>
              <w:spacing w:before="120" w:after="120"/>
              <w:rPr>
                <w:color w:val="FFFFFF" w:themeColor="background1"/>
                <w:sz w:val="14"/>
                <w:szCs w:val="14"/>
              </w:rPr>
            </w:pPr>
          </w:p>
        </w:tc>
        <w:tc>
          <w:tcPr>
            <w:tcW w:w="992" w:type="dxa"/>
            <w:shd w:val="clear" w:color="auto" w:fill="232E36"/>
          </w:tcPr>
          <w:p w14:paraId="38E68352" w14:textId="0997E05B" w:rsidR="00921E80" w:rsidRPr="008F735E" w:rsidRDefault="00921E80" w:rsidP="00345DEF">
            <w:pPr>
              <w:keepNext/>
              <w:keepLines/>
              <w:spacing w:before="120" w:after="120"/>
              <w:jc w:val="center"/>
              <w:rPr>
                <w:b/>
                <w:bCs/>
                <w:color w:val="FFFFFF" w:themeColor="background1"/>
                <w:sz w:val="14"/>
                <w:szCs w:val="14"/>
              </w:rPr>
            </w:pPr>
            <w:proofErr w:type="spellStart"/>
            <w:r w:rsidRPr="008F735E">
              <w:rPr>
                <w:b/>
                <w:bCs/>
                <w:color w:val="FFFFFF" w:themeColor="background1"/>
                <w:sz w:val="14"/>
                <w:szCs w:val="14"/>
              </w:rPr>
              <w:t>Commercialand</w:t>
            </w:r>
            <w:proofErr w:type="spellEnd"/>
            <w:r w:rsidRPr="008F735E">
              <w:rPr>
                <w:b/>
                <w:bCs/>
                <w:color w:val="FFFFFF" w:themeColor="background1"/>
                <w:sz w:val="14"/>
                <w:szCs w:val="14"/>
              </w:rPr>
              <w:t xml:space="preserve"> industrial buildings</w:t>
            </w:r>
          </w:p>
        </w:tc>
        <w:tc>
          <w:tcPr>
            <w:tcW w:w="3402" w:type="dxa"/>
            <w:gridSpan w:val="5"/>
            <w:shd w:val="clear" w:color="auto" w:fill="232E36"/>
          </w:tcPr>
          <w:p w14:paraId="7E48C411" w14:textId="231B8E34" w:rsidR="00921E80" w:rsidRPr="008F735E" w:rsidRDefault="00921E80"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 xml:space="preserve">Plant, </w:t>
            </w:r>
            <w:proofErr w:type="gramStart"/>
            <w:r w:rsidRPr="008F735E">
              <w:rPr>
                <w:b/>
                <w:bCs/>
                <w:color w:val="FFFFFF" w:themeColor="background1"/>
                <w:sz w:val="14"/>
                <w:szCs w:val="14"/>
              </w:rPr>
              <w:t>machinery</w:t>
            </w:r>
            <w:proofErr w:type="gramEnd"/>
            <w:r w:rsidRPr="008F735E">
              <w:rPr>
                <w:b/>
                <w:bCs/>
                <w:color w:val="FFFFFF" w:themeColor="background1"/>
                <w:sz w:val="14"/>
                <w:szCs w:val="14"/>
              </w:rPr>
              <w:t xml:space="preserve"> and equipment</w:t>
            </w:r>
          </w:p>
        </w:tc>
        <w:tc>
          <w:tcPr>
            <w:tcW w:w="1134" w:type="dxa"/>
            <w:shd w:val="clear" w:color="auto" w:fill="232E36"/>
          </w:tcPr>
          <w:p w14:paraId="4896B3DD" w14:textId="62331070" w:rsidR="00921E80" w:rsidRPr="008F735E" w:rsidRDefault="00921E80"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Zero</w:t>
            </w:r>
            <w:r>
              <w:rPr>
                <w:b/>
                <w:bCs/>
                <w:color w:val="FFFFFF" w:themeColor="background1"/>
                <w:sz w:val="14"/>
                <w:szCs w:val="14"/>
              </w:rPr>
              <w:t>-</w:t>
            </w:r>
            <w:r w:rsidRPr="008F735E">
              <w:rPr>
                <w:b/>
                <w:bCs/>
                <w:color w:val="FFFFFF" w:themeColor="background1"/>
                <w:sz w:val="14"/>
                <w:szCs w:val="14"/>
              </w:rPr>
              <w:t>depreciating assets</w:t>
            </w:r>
          </w:p>
        </w:tc>
        <w:tc>
          <w:tcPr>
            <w:tcW w:w="851" w:type="dxa"/>
            <w:shd w:val="clear" w:color="auto" w:fill="232E36"/>
          </w:tcPr>
          <w:p w14:paraId="587F1082" w14:textId="1B8A2C2B" w:rsidR="00921E80" w:rsidRPr="008F735E" w:rsidRDefault="00921E80"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Inventory</w:t>
            </w:r>
          </w:p>
        </w:tc>
        <w:tc>
          <w:tcPr>
            <w:tcW w:w="1134" w:type="dxa"/>
            <w:shd w:val="clear" w:color="auto" w:fill="232E36"/>
          </w:tcPr>
          <w:p w14:paraId="1DA9224C" w14:textId="423302F2" w:rsidR="00921E80" w:rsidRPr="008F735E" w:rsidRDefault="00921E80"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Appreciating assets</w:t>
            </w:r>
          </w:p>
        </w:tc>
        <w:tc>
          <w:tcPr>
            <w:tcW w:w="921" w:type="dxa"/>
            <w:shd w:val="clear" w:color="auto" w:fill="232E36"/>
          </w:tcPr>
          <w:p w14:paraId="7C9573A1" w14:textId="69511C34" w:rsidR="00921E80" w:rsidRPr="008F735E" w:rsidRDefault="00921E80"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Expensing</w:t>
            </w:r>
          </w:p>
        </w:tc>
      </w:tr>
      <w:tr w:rsidR="00921E80" w:rsidRPr="008F735E" w14:paraId="29AEF83E" w14:textId="75780935" w:rsidTr="00740A34">
        <w:tc>
          <w:tcPr>
            <w:tcW w:w="1347" w:type="dxa"/>
            <w:shd w:val="clear" w:color="auto" w:fill="auto"/>
            <w:vAlign w:val="bottom"/>
          </w:tcPr>
          <w:p w14:paraId="6E6BA56D" w14:textId="1A9106D1" w:rsidR="00921E80" w:rsidRPr="00B97C02" w:rsidRDefault="00921E80" w:rsidP="00345DEF">
            <w:pPr>
              <w:keepNext/>
              <w:keepLines/>
              <w:tabs>
                <w:tab w:val="left" w:pos="106"/>
              </w:tabs>
              <w:spacing w:before="60" w:after="60"/>
              <w:rPr>
                <w:rStyle w:val="Strong"/>
                <w:b w:val="0"/>
                <w:bCs w:val="0"/>
                <w:sz w:val="14"/>
                <w:szCs w:val="14"/>
              </w:rPr>
            </w:pPr>
            <w:r>
              <w:rPr>
                <w:rStyle w:val="Strong"/>
                <w:sz w:val="14"/>
                <w:szCs w:val="14"/>
              </w:rPr>
              <w:t>d</w:t>
            </w:r>
          </w:p>
        </w:tc>
        <w:tc>
          <w:tcPr>
            <w:tcW w:w="992" w:type="dxa"/>
            <w:vAlign w:val="center"/>
          </w:tcPr>
          <w:p w14:paraId="32B647ED" w14:textId="69C7CC3A" w:rsidR="00921E80" w:rsidRPr="008F735E" w:rsidRDefault="00921E80" w:rsidP="00345DEF">
            <w:pPr>
              <w:keepNext/>
              <w:keepLines/>
              <w:tabs>
                <w:tab w:val="decimal" w:pos="256"/>
              </w:tabs>
              <w:spacing w:before="60" w:after="60"/>
              <w:jc w:val="center"/>
              <w:rPr>
                <w:sz w:val="14"/>
                <w:szCs w:val="14"/>
              </w:rPr>
            </w:pPr>
            <w:r w:rsidRPr="008F735E">
              <w:rPr>
                <w:sz w:val="14"/>
                <w:szCs w:val="14"/>
              </w:rPr>
              <w:t>2.69%</w:t>
            </w:r>
          </w:p>
        </w:tc>
        <w:tc>
          <w:tcPr>
            <w:tcW w:w="737" w:type="dxa"/>
            <w:vAlign w:val="center"/>
          </w:tcPr>
          <w:p w14:paraId="15F2165B" w14:textId="6A6CAE1F" w:rsidR="00921E80" w:rsidRPr="008F735E" w:rsidRDefault="00921E80" w:rsidP="00345DEF">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035070F0" w14:textId="2A57D25B" w:rsidR="00921E80" w:rsidRPr="008F735E" w:rsidRDefault="00921E80" w:rsidP="00345DEF">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40094C6D" w14:textId="23069051" w:rsidR="00921E80" w:rsidRPr="008F735E" w:rsidRDefault="00921E80" w:rsidP="00345DEF">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3FC5D601" w14:textId="703306C1" w:rsidR="00921E80" w:rsidRPr="008F735E" w:rsidRDefault="00921E80" w:rsidP="00345DEF">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23AFBE21" w14:textId="6CA34C28" w:rsidR="00921E80" w:rsidRPr="008F735E" w:rsidRDefault="00921E80" w:rsidP="00345DEF">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281DC2B2" w14:textId="517AB707" w:rsidR="00921E80" w:rsidRPr="008F735E" w:rsidRDefault="00921E80" w:rsidP="00345DEF">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18C2DDD0" w14:textId="6BCC6041" w:rsidR="00921E80" w:rsidRPr="008F735E" w:rsidRDefault="00921E80" w:rsidP="00345DEF">
            <w:pPr>
              <w:keepNext/>
              <w:keepLines/>
              <w:tabs>
                <w:tab w:val="decimal" w:pos="256"/>
              </w:tabs>
              <w:spacing w:before="60" w:after="60"/>
              <w:jc w:val="center"/>
              <w:rPr>
                <w:sz w:val="14"/>
                <w:szCs w:val="14"/>
              </w:rPr>
            </w:pPr>
          </w:p>
        </w:tc>
        <w:tc>
          <w:tcPr>
            <w:tcW w:w="1134" w:type="dxa"/>
            <w:vAlign w:val="center"/>
          </w:tcPr>
          <w:p w14:paraId="06C4426B" w14:textId="79302888" w:rsidR="00921E80" w:rsidRPr="008F735E" w:rsidRDefault="00921E80" w:rsidP="00345DEF">
            <w:pPr>
              <w:keepNext/>
              <w:keepLines/>
              <w:tabs>
                <w:tab w:val="decimal" w:pos="256"/>
              </w:tabs>
              <w:spacing w:before="60" w:after="60"/>
              <w:jc w:val="center"/>
              <w:rPr>
                <w:sz w:val="14"/>
                <w:szCs w:val="14"/>
              </w:rPr>
            </w:pPr>
            <w:r w:rsidRPr="008F735E">
              <w:rPr>
                <w:sz w:val="14"/>
                <w:szCs w:val="14"/>
              </w:rPr>
              <w:t>-1.00%</w:t>
            </w:r>
          </w:p>
        </w:tc>
        <w:tc>
          <w:tcPr>
            <w:tcW w:w="921" w:type="dxa"/>
            <w:vAlign w:val="center"/>
          </w:tcPr>
          <w:p w14:paraId="3234ABC8" w14:textId="478FDF58" w:rsidR="00921E80" w:rsidRPr="008F735E" w:rsidRDefault="00921E80" w:rsidP="00345DEF">
            <w:pPr>
              <w:keepNext/>
              <w:keepLines/>
              <w:tabs>
                <w:tab w:val="decimal" w:pos="256"/>
              </w:tabs>
              <w:spacing w:before="60" w:after="60"/>
              <w:jc w:val="center"/>
              <w:rPr>
                <w:sz w:val="14"/>
                <w:szCs w:val="14"/>
              </w:rPr>
            </w:pPr>
          </w:p>
        </w:tc>
      </w:tr>
      <w:tr w:rsidR="00921E80" w:rsidRPr="008F735E" w14:paraId="2995D92B" w14:textId="68D9E320" w:rsidTr="00740A34">
        <w:tc>
          <w:tcPr>
            <w:tcW w:w="1347" w:type="dxa"/>
            <w:shd w:val="clear" w:color="auto" w:fill="auto"/>
            <w:vAlign w:val="bottom"/>
          </w:tcPr>
          <w:p w14:paraId="38761B2C" w14:textId="1EC893CD" w:rsidR="00921E80" w:rsidRPr="00B97C02" w:rsidRDefault="00921E80" w:rsidP="00345DEF">
            <w:pPr>
              <w:keepNext/>
              <w:keepLines/>
              <w:tabs>
                <w:tab w:val="left" w:pos="106"/>
              </w:tabs>
              <w:spacing w:before="60" w:after="60"/>
              <w:rPr>
                <w:rStyle w:val="Strong"/>
                <w:b w:val="0"/>
                <w:bCs w:val="0"/>
                <w:sz w:val="14"/>
                <w:szCs w:val="14"/>
              </w:rPr>
            </w:pPr>
            <w:r>
              <w:rPr>
                <w:rStyle w:val="Strong"/>
                <w:sz w:val="14"/>
                <w:szCs w:val="14"/>
              </w:rPr>
              <w:t>d*</w:t>
            </w:r>
          </w:p>
        </w:tc>
        <w:tc>
          <w:tcPr>
            <w:tcW w:w="992" w:type="dxa"/>
            <w:vAlign w:val="center"/>
          </w:tcPr>
          <w:p w14:paraId="25FD26C0" w14:textId="43DD1FC9" w:rsidR="00921E80" w:rsidRPr="008F735E" w:rsidRDefault="00921E80" w:rsidP="00345DEF">
            <w:pPr>
              <w:keepNext/>
              <w:keepLines/>
              <w:tabs>
                <w:tab w:val="decimal" w:pos="256"/>
              </w:tabs>
              <w:spacing w:before="60" w:after="60"/>
              <w:jc w:val="center"/>
              <w:rPr>
                <w:sz w:val="14"/>
                <w:szCs w:val="14"/>
              </w:rPr>
            </w:pPr>
            <w:r w:rsidRPr="008F735E">
              <w:rPr>
                <w:sz w:val="14"/>
                <w:szCs w:val="14"/>
              </w:rPr>
              <w:t>2</w:t>
            </w:r>
            <w:r>
              <w:rPr>
                <w:sz w:val="14"/>
                <w:szCs w:val="14"/>
              </w:rPr>
              <w:t>.00</w:t>
            </w:r>
            <w:r w:rsidRPr="008F735E">
              <w:rPr>
                <w:sz w:val="14"/>
                <w:szCs w:val="14"/>
              </w:rPr>
              <w:t>%</w:t>
            </w:r>
          </w:p>
        </w:tc>
        <w:tc>
          <w:tcPr>
            <w:tcW w:w="737" w:type="dxa"/>
            <w:vAlign w:val="center"/>
          </w:tcPr>
          <w:p w14:paraId="7BC45D54" w14:textId="0311C47F" w:rsidR="00921E80" w:rsidRPr="008F735E" w:rsidRDefault="00921E80" w:rsidP="00345DEF">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373D4798" w14:textId="6D56743E" w:rsidR="00921E80" w:rsidRPr="008F735E" w:rsidRDefault="00921E80" w:rsidP="00345DEF">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44F0513C" w14:textId="77E85CBA" w:rsidR="00921E80" w:rsidRPr="008F735E" w:rsidRDefault="00921E80" w:rsidP="00345DEF">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52693B6B" w14:textId="5FE9D7B5" w:rsidR="00921E80" w:rsidRPr="008F735E" w:rsidRDefault="00921E80" w:rsidP="00345DEF">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2A1962CC" w14:textId="43E27228" w:rsidR="00921E80" w:rsidRPr="008F735E" w:rsidRDefault="00921E80" w:rsidP="00345DEF">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2AEFE74E" w14:textId="46636366" w:rsidR="00921E80" w:rsidRPr="008F735E" w:rsidRDefault="00921E80" w:rsidP="00345DEF">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508961D8" w14:textId="6DE91A6A" w:rsidR="00921E80" w:rsidRPr="008F735E" w:rsidRDefault="00921E80" w:rsidP="00345DEF">
            <w:pPr>
              <w:keepNext/>
              <w:keepLines/>
              <w:tabs>
                <w:tab w:val="decimal" w:pos="256"/>
              </w:tabs>
              <w:spacing w:before="60" w:after="60"/>
              <w:jc w:val="center"/>
              <w:rPr>
                <w:sz w:val="14"/>
                <w:szCs w:val="14"/>
              </w:rPr>
            </w:pPr>
          </w:p>
        </w:tc>
        <w:tc>
          <w:tcPr>
            <w:tcW w:w="1134" w:type="dxa"/>
            <w:vAlign w:val="center"/>
          </w:tcPr>
          <w:p w14:paraId="417B7263" w14:textId="08BFD7FD" w:rsidR="00921E80" w:rsidRPr="008F735E" w:rsidRDefault="00921E80" w:rsidP="00345DEF">
            <w:pPr>
              <w:keepNext/>
              <w:keepLines/>
              <w:tabs>
                <w:tab w:val="decimal" w:pos="256"/>
              </w:tabs>
              <w:spacing w:before="60" w:after="60"/>
              <w:jc w:val="center"/>
              <w:rPr>
                <w:sz w:val="14"/>
                <w:szCs w:val="14"/>
              </w:rPr>
            </w:pPr>
            <w:r w:rsidRPr="008F735E">
              <w:rPr>
                <w:sz w:val="14"/>
                <w:szCs w:val="14"/>
              </w:rPr>
              <w:t>0.00%</w:t>
            </w:r>
          </w:p>
        </w:tc>
        <w:tc>
          <w:tcPr>
            <w:tcW w:w="921" w:type="dxa"/>
            <w:vAlign w:val="center"/>
          </w:tcPr>
          <w:p w14:paraId="37E00E6A" w14:textId="42CDB65D" w:rsidR="00921E80" w:rsidRPr="008F735E" w:rsidRDefault="00921E80" w:rsidP="00345DEF">
            <w:pPr>
              <w:keepNext/>
              <w:keepLines/>
              <w:tabs>
                <w:tab w:val="decimal" w:pos="256"/>
              </w:tabs>
              <w:spacing w:before="60" w:after="60"/>
              <w:jc w:val="center"/>
              <w:rPr>
                <w:sz w:val="14"/>
                <w:szCs w:val="14"/>
              </w:rPr>
            </w:pPr>
          </w:p>
        </w:tc>
      </w:tr>
      <w:tr w:rsidR="00921E80" w:rsidRPr="008F735E" w14:paraId="411A1F29" w14:textId="2046BB9C" w:rsidTr="00740A34">
        <w:tc>
          <w:tcPr>
            <w:tcW w:w="1347" w:type="dxa"/>
            <w:shd w:val="clear" w:color="auto" w:fill="auto"/>
            <w:vAlign w:val="bottom"/>
          </w:tcPr>
          <w:p w14:paraId="74B9063B" w14:textId="1CB94E30" w:rsidR="00921E80" w:rsidRPr="008F735E" w:rsidRDefault="00921E80" w:rsidP="00345DEF">
            <w:pPr>
              <w:keepNext/>
              <w:keepLines/>
              <w:tabs>
                <w:tab w:val="left" w:pos="106"/>
              </w:tabs>
              <w:spacing w:before="60" w:after="60"/>
              <w:rPr>
                <w:b/>
                <w:bCs/>
                <w:sz w:val="14"/>
                <w:szCs w:val="14"/>
              </w:rPr>
            </w:pPr>
            <w:r w:rsidRPr="008F735E">
              <w:rPr>
                <w:b/>
                <w:bCs/>
                <w:sz w:val="14"/>
                <w:szCs w:val="14"/>
              </w:rPr>
              <w:t>Cost</w:t>
            </w:r>
            <w:r>
              <w:rPr>
                <w:b/>
                <w:bCs/>
                <w:sz w:val="14"/>
                <w:szCs w:val="14"/>
              </w:rPr>
              <w:t>s</w:t>
            </w:r>
            <w:r w:rsidRPr="008F735E">
              <w:rPr>
                <w:b/>
                <w:bCs/>
                <w:sz w:val="14"/>
                <w:szCs w:val="14"/>
              </w:rPr>
              <w:t xml:space="preserve"> of capital</w:t>
            </w:r>
          </w:p>
        </w:tc>
        <w:tc>
          <w:tcPr>
            <w:tcW w:w="992" w:type="dxa"/>
            <w:vAlign w:val="center"/>
          </w:tcPr>
          <w:p w14:paraId="79310DCD" w14:textId="0BF935BF" w:rsidR="00921E80" w:rsidRPr="008F735E" w:rsidRDefault="00921E80" w:rsidP="00345DEF">
            <w:pPr>
              <w:keepNext/>
              <w:keepLines/>
              <w:tabs>
                <w:tab w:val="decimal" w:pos="256"/>
              </w:tabs>
              <w:spacing w:before="60" w:after="60"/>
              <w:jc w:val="center"/>
              <w:rPr>
                <w:sz w:val="14"/>
                <w:szCs w:val="14"/>
              </w:rPr>
            </w:pPr>
          </w:p>
        </w:tc>
        <w:tc>
          <w:tcPr>
            <w:tcW w:w="737" w:type="dxa"/>
            <w:vAlign w:val="center"/>
          </w:tcPr>
          <w:p w14:paraId="69EB61CA" w14:textId="728F9D9A" w:rsidR="00921E80" w:rsidRPr="008F735E" w:rsidRDefault="00921E80" w:rsidP="00345DEF">
            <w:pPr>
              <w:keepNext/>
              <w:keepLines/>
              <w:tabs>
                <w:tab w:val="decimal" w:pos="256"/>
              </w:tabs>
              <w:spacing w:before="60" w:after="60"/>
              <w:jc w:val="center"/>
              <w:rPr>
                <w:sz w:val="14"/>
                <w:szCs w:val="14"/>
              </w:rPr>
            </w:pPr>
          </w:p>
        </w:tc>
        <w:tc>
          <w:tcPr>
            <w:tcW w:w="681" w:type="dxa"/>
            <w:vAlign w:val="center"/>
          </w:tcPr>
          <w:p w14:paraId="06136704" w14:textId="0A9E0626" w:rsidR="00921E80" w:rsidRPr="008F735E" w:rsidRDefault="00921E80" w:rsidP="00345DEF">
            <w:pPr>
              <w:keepNext/>
              <w:keepLines/>
              <w:tabs>
                <w:tab w:val="decimal" w:pos="256"/>
              </w:tabs>
              <w:spacing w:before="60" w:after="60"/>
              <w:jc w:val="center"/>
              <w:rPr>
                <w:sz w:val="14"/>
                <w:szCs w:val="14"/>
              </w:rPr>
            </w:pPr>
          </w:p>
        </w:tc>
        <w:tc>
          <w:tcPr>
            <w:tcW w:w="651" w:type="dxa"/>
            <w:vAlign w:val="center"/>
          </w:tcPr>
          <w:p w14:paraId="3163B5C2" w14:textId="6B5E942D" w:rsidR="00921E80" w:rsidRPr="008F735E" w:rsidRDefault="00921E80" w:rsidP="00345DEF">
            <w:pPr>
              <w:keepNext/>
              <w:keepLines/>
              <w:tabs>
                <w:tab w:val="decimal" w:pos="256"/>
              </w:tabs>
              <w:spacing w:before="60" w:after="60"/>
              <w:jc w:val="center"/>
              <w:rPr>
                <w:sz w:val="14"/>
                <w:szCs w:val="14"/>
              </w:rPr>
            </w:pPr>
          </w:p>
        </w:tc>
        <w:tc>
          <w:tcPr>
            <w:tcW w:w="666" w:type="dxa"/>
            <w:vAlign w:val="center"/>
          </w:tcPr>
          <w:p w14:paraId="59409AE2" w14:textId="26678147" w:rsidR="00921E80" w:rsidRPr="008F735E" w:rsidRDefault="00921E80" w:rsidP="00345DEF">
            <w:pPr>
              <w:keepNext/>
              <w:keepLines/>
              <w:tabs>
                <w:tab w:val="decimal" w:pos="256"/>
              </w:tabs>
              <w:spacing w:before="60" w:after="60"/>
              <w:jc w:val="center"/>
              <w:rPr>
                <w:sz w:val="14"/>
                <w:szCs w:val="14"/>
              </w:rPr>
            </w:pPr>
          </w:p>
        </w:tc>
        <w:tc>
          <w:tcPr>
            <w:tcW w:w="667" w:type="dxa"/>
            <w:vAlign w:val="center"/>
          </w:tcPr>
          <w:p w14:paraId="1E82ADEA" w14:textId="6BD74F3E" w:rsidR="00921E80" w:rsidRPr="008F735E" w:rsidRDefault="00921E80" w:rsidP="00345DEF">
            <w:pPr>
              <w:keepNext/>
              <w:keepLines/>
              <w:tabs>
                <w:tab w:val="decimal" w:pos="256"/>
              </w:tabs>
              <w:spacing w:before="60" w:after="60"/>
              <w:jc w:val="center"/>
              <w:rPr>
                <w:sz w:val="14"/>
                <w:szCs w:val="14"/>
              </w:rPr>
            </w:pPr>
          </w:p>
        </w:tc>
        <w:tc>
          <w:tcPr>
            <w:tcW w:w="1134" w:type="dxa"/>
            <w:vAlign w:val="center"/>
          </w:tcPr>
          <w:p w14:paraId="1656AD5F" w14:textId="3E07DE2E" w:rsidR="00921E80" w:rsidRPr="008F735E" w:rsidRDefault="00921E80" w:rsidP="00345DEF">
            <w:pPr>
              <w:keepNext/>
              <w:keepLines/>
              <w:tabs>
                <w:tab w:val="decimal" w:pos="256"/>
              </w:tabs>
              <w:spacing w:before="60" w:after="60"/>
              <w:jc w:val="center"/>
              <w:rPr>
                <w:sz w:val="14"/>
                <w:szCs w:val="14"/>
              </w:rPr>
            </w:pPr>
          </w:p>
        </w:tc>
        <w:tc>
          <w:tcPr>
            <w:tcW w:w="851" w:type="dxa"/>
            <w:vAlign w:val="center"/>
          </w:tcPr>
          <w:p w14:paraId="1645D44E" w14:textId="4EE370D6" w:rsidR="00921E80" w:rsidRPr="008F735E" w:rsidRDefault="00921E80" w:rsidP="00345DEF">
            <w:pPr>
              <w:keepNext/>
              <w:keepLines/>
              <w:tabs>
                <w:tab w:val="decimal" w:pos="256"/>
              </w:tabs>
              <w:spacing w:before="60" w:after="60"/>
              <w:jc w:val="center"/>
              <w:rPr>
                <w:sz w:val="14"/>
                <w:szCs w:val="14"/>
              </w:rPr>
            </w:pPr>
          </w:p>
        </w:tc>
        <w:tc>
          <w:tcPr>
            <w:tcW w:w="1134" w:type="dxa"/>
            <w:vAlign w:val="center"/>
          </w:tcPr>
          <w:p w14:paraId="0FEE700F" w14:textId="066CB1B0" w:rsidR="00921E80" w:rsidRPr="008F735E" w:rsidRDefault="00921E80" w:rsidP="00345DEF">
            <w:pPr>
              <w:keepNext/>
              <w:keepLines/>
              <w:tabs>
                <w:tab w:val="decimal" w:pos="256"/>
              </w:tabs>
              <w:spacing w:before="60" w:after="60"/>
              <w:jc w:val="center"/>
              <w:rPr>
                <w:sz w:val="14"/>
                <w:szCs w:val="14"/>
              </w:rPr>
            </w:pPr>
          </w:p>
        </w:tc>
        <w:tc>
          <w:tcPr>
            <w:tcW w:w="921" w:type="dxa"/>
            <w:vAlign w:val="center"/>
          </w:tcPr>
          <w:p w14:paraId="494D9A02" w14:textId="12E96EA7" w:rsidR="00921E80" w:rsidRPr="008F735E" w:rsidRDefault="00921E80" w:rsidP="00345DEF">
            <w:pPr>
              <w:keepNext/>
              <w:keepLines/>
              <w:tabs>
                <w:tab w:val="decimal" w:pos="256"/>
              </w:tabs>
              <w:spacing w:before="60" w:after="60"/>
              <w:jc w:val="center"/>
              <w:rPr>
                <w:sz w:val="14"/>
                <w:szCs w:val="14"/>
              </w:rPr>
            </w:pPr>
          </w:p>
        </w:tc>
      </w:tr>
      <w:tr w:rsidR="00921E80" w:rsidRPr="00B80142" w14:paraId="7FD0CFDA" w14:textId="0457AC3B" w:rsidTr="00740A34">
        <w:tc>
          <w:tcPr>
            <w:tcW w:w="1347" w:type="dxa"/>
            <w:shd w:val="clear" w:color="auto" w:fill="auto"/>
            <w:vAlign w:val="bottom"/>
          </w:tcPr>
          <w:p w14:paraId="222A38F8" w14:textId="6A107432" w:rsidR="00921E80" w:rsidRPr="008F735E" w:rsidRDefault="00921E80" w:rsidP="00345DEF">
            <w:pPr>
              <w:keepNext/>
              <w:keepLines/>
              <w:tabs>
                <w:tab w:val="left" w:pos="106"/>
              </w:tabs>
              <w:spacing w:before="60" w:after="60"/>
              <w:ind w:left="108" w:hanging="108"/>
              <w:rPr>
                <w:sz w:val="14"/>
                <w:szCs w:val="14"/>
              </w:rPr>
            </w:pPr>
            <w:r>
              <w:rPr>
                <w:sz w:val="14"/>
                <w:szCs w:val="14"/>
              </w:rPr>
              <w:tab/>
              <w:t>Status quo</w:t>
            </w:r>
          </w:p>
        </w:tc>
        <w:tc>
          <w:tcPr>
            <w:tcW w:w="992" w:type="dxa"/>
            <w:shd w:val="clear" w:color="auto" w:fill="auto"/>
            <w:vAlign w:val="bottom"/>
          </w:tcPr>
          <w:p w14:paraId="48D84A1A" w14:textId="7029B75C"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3.81%</w:t>
            </w:r>
          </w:p>
        </w:tc>
        <w:tc>
          <w:tcPr>
            <w:tcW w:w="737" w:type="dxa"/>
            <w:shd w:val="clear" w:color="auto" w:fill="auto"/>
            <w:vAlign w:val="bottom"/>
          </w:tcPr>
          <w:p w14:paraId="2C9F9047" w14:textId="50782391"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4.14%</w:t>
            </w:r>
          </w:p>
        </w:tc>
        <w:tc>
          <w:tcPr>
            <w:tcW w:w="681" w:type="dxa"/>
            <w:shd w:val="clear" w:color="auto" w:fill="auto"/>
            <w:vAlign w:val="bottom"/>
          </w:tcPr>
          <w:p w14:paraId="006EBC8D" w14:textId="14C784A8"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4.11%</w:t>
            </w:r>
          </w:p>
        </w:tc>
        <w:tc>
          <w:tcPr>
            <w:tcW w:w="651" w:type="dxa"/>
            <w:shd w:val="clear" w:color="auto" w:fill="auto"/>
            <w:vAlign w:val="bottom"/>
          </w:tcPr>
          <w:p w14:paraId="33442F03" w14:textId="301DB253"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3.93%</w:t>
            </w:r>
          </w:p>
        </w:tc>
        <w:tc>
          <w:tcPr>
            <w:tcW w:w="666" w:type="dxa"/>
            <w:shd w:val="clear" w:color="auto" w:fill="auto"/>
            <w:vAlign w:val="bottom"/>
          </w:tcPr>
          <w:p w14:paraId="59CC4BFF" w14:textId="312D7FE9"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3.76%</w:t>
            </w:r>
          </w:p>
        </w:tc>
        <w:tc>
          <w:tcPr>
            <w:tcW w:w="667" w:type="dxa"/>
            <w:shd w:val="clear" w:color="auto" w:fill="auto"/>
            <w:vAlign w:val="bottom"/>
          </w:tcPr>
          <w:p w14:paraId="0D8C6D0A" w14:textId="05022943"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3.63%</w:t>
            </w:r>
          </w:p>
        </w:tc>
        <w:tc>
          <w:tcPr>
            <w:tcW w:w="1134" w:type="dxa"/>
            <w:shd w:val="clear" w:color="auto" w:fill="auto"/>
            <w:vAlign w:val="bottom"/>
          </w:tcPr>
          <w:p w14:paraId="5F3FC9EF" w14:textId="6DCD9C1E"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3.38%</w:t>
            </w:r>
          </w:p>
        </w:tc>
        <w:tc>
          <w:tcPr>
            <w:tcW w:w="851" w:type="dxa"/>
            <w:shd w:val="clear" w:color="auto" w:fill="auto"/>
            <w:vAlign w:val="bottom"/>
          </w:tcPr>
          <w:p w14:paraId="2D32C398" w14:textId="6C15C1E7"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4.14%</w:t>
            </w:r>
          </w:p>
        </w:tc>
        <w:tc>
          <w:tcPr>
            <w:tcW w:w="1134" w:type="dxa"/>
            <w:shd w:val="clear" w:color="auto" w:fill="auto"/>
            <w:vAlign w:val="bottom"/>
          </w:tcPr>
          <w:p w14:paraId="0F867C08" w14:textId="7563E876"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2.99%</w:t>
            </w:r>
          </w:p>
        </w:tc>
        <w:tc>
          <w:tcPr>
            <w:tcW w:w="921" w:type="dxa"/>
            <w:shd w:val="clear" w:color="auto" w:fill="auto"/>
            <w:vAlign w:val="bottom"/>
          </w:tcPr>
          <w:p w14:paraId="35510245" w14:textId="07027538"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2.43%</w:t>
            </w:r>
          </w:p>
        </w:tc>
      </w:tr>
      <w:tr w:rsidR="00921E80" w:rsidRPr="00B80142" w14:paraId="3E20C7C8" w14:textId="224BD807" w:rsidTr="00740A34">
        <w:tc>
          <w:tcPr>
            <w:tcW w:w="1347" w:type="dxa"/>
            <w:shd w:val="clear" w:color="auto" w:fill="auto"/>
            <w:vAlign w:val="bottom"/>
          </w:tcPr>
          <w:p w14:paraId="08C2E6A5" w14:textId="1A59B571" w:rsidR="00921E80" w:rsidRPr="008F735E" w:rsidRDefault="00921E80" w:rsidP="00345DEF">
            <w:pPr>
              <w:keepNext/>
              <w:keepLines/>
              <w:tabs>
                <w:tab w:val="left" w:pos="106"/>
              </w:tabs>
              <w:spacing w:before="60" w:after="60"/>
              <w:ind w:left="108" w:hanging="108"/>
              <w:rPr>
                <w:sz w:val="14"/>
                <w:szCs w:val="14"/>
              </w:rPr>
            </w:pPr>
            <w:r>
              <w:rPr>
                <w:sz w:val="14"/>
                <w:szCs w:val="14"/>
              </w:rPr>
              <w:tab/>
              <w:t>Depreciation loading</w:t>
            </w:r>
          </w:p>
        </w:tc>
        <w:tc>
          <w:tcPr>
            <w:tcW w:w="992" w:type="dxa"/>
            <w:shd w:val="clear" w:color="auto" w:fill="auto"/>
            <w:vAlign w:val="bottom"/>
          </w:tcPr>
          <w:p w14:paraId="3816F294" w14:textId="524E74B6"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3.73%</w:t>
            </w:r>
          </w:p>
        </w:tc>
        <w:tc>
          <w:tcPr>
            <w:tcW w:w="737" w:type="dxa"/>
            <w:shd w:val="clear" w:color="auto" w:fill="auto"/>
            <w:vAlign w:val="bottom"/>
          </w:tcPr>
          <w:p w14:paraId="6364D8CD" w14:textId="07A9BC81"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4.14%</w:t>
            </w:r>
          </w:p>
        </w:tc>
        <w:tc>
          <w:tcPr>
            <w:tcW w:w="681" w:type="dxa"/>
            <w:shd w:val="clear" w:color="auto" w:fill="auto"/>
            <w:vAlign w:val="bottom"/>
          </w:tcPr>
          <w:p w14:paraId="2EDE23CA" w14:textId="4DAA2E8A"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3.85%</w:t>
            </w:r>
          </w:p>
        </w:tc>
        <w:tc>
          <w:tcPr>
            <w:tcW w:w="651" w:type="dxa"/>
            <w:shd w:val="clear" w:color="auto" w:fill="auto"/>
            <w:vAlign w:val="bottom"/>
          </w:tcPr>
          <w:p w14:paraId="1B0FC4C4" w14:textId="5F0FE15F"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3.75%</w:t>
            </w:r>
          </w:p>
        </w:tc>
        <w:tc>
          <w:tcPr>
            <w:tcW w:w="666" w:type="dxa"/>
            <w:shd w:val="clear" w:color="auto" w:fill="auto"/>
            <w:vAlign w:val="bottom"/>
          </w:tcPr>
          <w:p w14:paraId="46FC5883" w14:textId="37761697"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3.64%</w:t>
            </w:r>
          </w:p>
        </w:tc>
        <w:tc>
          <w:tcPr>
            <w:tcW w:w="667" w:type="dxa"/>
            <w:shd w:val="clear" w:color="auto" w:fill="auto"/>
            <w:vAlign w:val="bottom"/>
          </w:tcPr>
          <w:p w14:paraId="59DC741A" w14:textId="5BC93C9D"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3.56%</w:t>
            </w:r>
          </w:p>
        </w:tc>
        <w:tc>
          <w:tcPr>
            <w:tcW w:w="1134" w:type="dxa"/>
            <w:shd w:val="clear" w:color="auto" w:fill="auto"/>
            <w:vAlign w:val="bottom"/>
          </w:tcPr>
          <w:p w14:paraId="795EF377" w14:textId="4874EB0F"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3.38%</w:t>
            </w:r>
          </w:p>
        </w:tc>
        <w:tc>
          <w:tcPr>
            <w:tcW w:w="851" w:type="dxa"/>
            <w:shd w:val="clear" w:color="auto" w:fill="auto"/>
            <w:vAlign w:val="bottom"/>
          </w:tcPr>
          <w:p w14:paraId="4AAF1D42" w14:textId="36760D7D"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4.14%</w:t>
            </w:r>
          </w:p>
        </w:tc>
        <w:tc>
          <w:tcPr>
            <w:tcW w:w="1134" w:type="dxa"/>
            <w:shd w:val="clear" w:color="auto" w:fill="auto"/>
            <w:vAlign w:val="bottom"/>
          </w:tcPr>
          <w:p w14:paraId="3B023EB9" w14:textId="416A10C5"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2.99%</w:t>
            </w:r>
          </w:p>
        </w:tc>
        <w:tc>
          <w:tcPr>
            <w:tcW w:w="921" w:type="dxa"/>
            <w:shd w:val="clear" w:color="auto" w:fill="auto"/>
            <w:vAlign w:val="bottom"/>
          </w:tcPr>
          <w:p w14:paraId="602D1F90" w14:textId="5C9D86DE"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2.43%</w:t>
            </w:r>
          </w:p>
        </w:tc>
      </w:tr>
      <w:tr w:rsidR="00921E80" w:rsidRPr="00B80142" w14:paraId="1973B2A6" w14:textId="7F910721" w:rsidTr="00740A34">
        <w:tc>
          <w:tcPr>
            <w:tcW w:w="1347" w:type="dxa"/>
            <w:shd w:val="clear" w:color="auto" w:fill="auto"/>
            <w:vAlign w:val="bottom"/>
          </w:tcPr>
          <w:p w14:paraId="0A9D0FC9" w14:textId="11EF172F" w:rsidR="00921E80" w:rsidRPr="008F735E" w:rsidRDefault="00921E80" w:rsidP="00345DEF">
            <w:pPr>
              <w:keepNext/>
              <w:keepLines/>
              <w:tabs>
                <w:tab w:val="left" w:pos="106"/>
              </w:tabs>
              <w:spacing w:before="60" w:after="60"/>
              <w:ind w:left="108" w:hanging="108"/>
              <w:rPr>
                <w:sz w:val="14"/>
                <w:szCs w:val="14"/>
              </w:rPr>
            </w:pPr>
            <w:r>
              <w:rPr>
                <w:sz w:val="14"/>
                <w:szCs w:val="14"/>
              </w:rPr>
              <w:tab/>
              <w:t>Partial expensing</w:t>
            </w:r>
          </w:p>
        </w:tc>
        <w:tc>
          <w:tcPr>
            <w:tcW w:w="992" w:type="dxa"/>
            <w:shd w:val="clear" w:color="auto" w:fill="auto"/>
            <w:vAlign w:val="bottom"/>
          </w:tcPr>
          <w:p w14:paraId="46735A7A" w14:textId="225E1A93"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3.54%</w:t>
            </w:r>
          </w:p>
        </w:tc>
        <w:tc>
          <w:tcPr>
            <w:tcW w:w="737" w:type="dxa"/>
            <w:shd w:val="clear" w:color="auto" w:fill="auto"/>
            <w:vAlign w:val="bottom"/>
          </w:tcPr>
          <w:p w14:paraId="5262C699" w14:textId="7ECC283C"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3.80%</w:t>
            </w:r>
          </w:p>
        </w:tc>
        <w:tc>
          <w:tcPr>
            <w:tcW w:w="681" w:type="dxa"/>
            <w:shd w:val="clear" w:color="auto" w:fill="auto"/>
            <w:vAlign w:val="bottom"/>
          </w:tcPr>
          <w:p w14:paraId="3269B1FA" w14:textId="5697140D"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3.78%</w:t>
            </w:r>
          </w:p>
        </w:tc>
        <w:tc>
          <w:tcPr>
            <w:tcW w:w="651" w:type="dxa"/>
            <w:shd w:val="clear" w:color="auto" w:fill="auto"/>
            <w:vAlign w:val="bottom"/>
          </w:tcPr>
          <w:p w14:paraId="1BDD87DC" w14:textId="17800FB5"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3.63%</w:t>
            </w:r>
          </w:p>
        </w:tc>
        <w:tc>
          <w:tcPr>
            <w:tcW w:w="666" w:type="dxa"/>
            <w:shd w:val="clear" w:color="auto" w:fill="auto"/>
            <w:vAlign w:val="bottom"/>
          </w:tcPr>
          <w:p w14:paraId="1CB1B3B4" w14:textId="129D8A2D"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3.49%</w:t>
            </w:r>
          </w:p>
        </w:tc>
        <w:tc>
          <w:tcPr>
            <w:tcW w:w="667" w:type="dxa"/>
            <w:shd w:val="clear" w:color="auto" w:fill="auto"/>
            <w:vAlign w:val="bottom"/>
          </w:tcPr>
          <w:p w14:paraId="6847BD61" w14:textId="38000708"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3.39%</w:t>
            </w:r>
          </w:p>
        </w:tc>
        <w:tc>
          <w:tcPr>
            <w:tcW w:w="1134" w:type="dxa"/>
            <w:shd w:val="clear" w:color="auto" w:fill="auto"/>
            <w:vAlign w:val="bottom"/>
          </w:tcPr>
          <w:p w14:paraId="23392CE6" w14:textId="38177045"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3.38%</w:t>
            </w:r>
          </w:p>
        </w:tc>
        <w:tc>
          <w:tcPr>
            <w:tcW w:w="851" w:type="dxa"/>
            <w:shd w:val="clear" w:color="auto" w:fill="auto"/>
            <w:vAlign w:val="bottom"/>
          </w:tcPr>
          <w:p w14:paraId="637C344A" w14:textId="4C3A714C"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4.14%</w:t>
            </w:r>
          </w:p>
        </w:tc>
        <w:tc>
          <w:tcPr>
            <w:tcW w:w="1134" w:type="dxa"/>
            <w:shd w:val="clear" w:color="auto" w:fill="auto"/>
            <w:vAlign w:val="bottom"/>
          </w:tcPr>
          <w:p w14:paraId="2EEEF8B0" w14:textId="5B01E72C"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2.99%</w:t>
            </w:r>
          </w:p>
        </w:tc>
        <w:tc>
          <w:tcPr>
            <w:tcW w:w="921" w:type="dxa"/>
            <w:shd w:val="clear" w:color="auto" w:fill="auto"/>
            <w:vAlign w:val="bottom"/>
          </w:tcPr>
          <w:p w14:paraId="20C750CE" w14:textId="09B85491"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2.43%</w:t>
            </w:r>
          </w:p>
        </w:tc>
      </w:tr>
      <w:tr w:rsidR="00921E80" w:rsidRPr="00B80142" w14:paraId="51C7F834" w14:textId="7E57D483" w:rsidTr="00740A34">
        <w:tc>
          <w:tcPr>
            <w:tcW w:w="1347" w:type="dxa"/>
            <w:shd w:val="clear" w:color="auto" w:fill="auto"/>
            <w:vAlign w:val="bottom"/>
          </w:tcPr>
          <w:p w14:paraId="06994C8C" w14:textId="16D2E6F5" w:rsidR="00921E80" w:rsidRPr="008F735E" w:rsidRDefault="00921E80" w:rsidP="00345DEF">
            <w:pPr>
              <w:keepNext/>
              <w:keepLines/>
              <w:tabs>
                <w:tab w:val="left" w:pos="106"/>
              </w:tabs>
              <w:spacing w:before="60" w:after="60"/>
              <w:rPr>
                <w:b/>
                <w:bCs/>
                <w:sz w:val="14"/>
                <w:szCs w:val="14"/>
              </w:rPr>
            </w:pPr>
            <w:r w:rsidRPr="008F735E">
              <w:rPr>
                <w:b/>
                <w:bCs/>
                <w:sz w:val="14"/>
                <w:szCs w:val="14"/>
              </w:rPr>
              <w:t>EMTR</w:t>
            </w:r>
            <w:r>
              <w:rPr>
                <w:b/>
                <w:bCs/>
                <w:sz w:val="14"/>
                <w:szCs w:val="14"/>
              </w:rPr>
              <w:t>s</w:t>
            </w:r>
          </w:p>
        </w:tc>
        <w:tc>
          <w:tcPr>
            <w:tcW w:w="992" w:type="dxa"/>
            <w:shd w:val="clear" w:color="auto" w:fill="auto"/>
            <w:vAlign w:val="bottom"/>
          </w:tcPr>
          <w:p w14:paraId="421A39DA" w14:textId="0A9AFF37"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 </w:t>
            </w:r>
          </w:p>
        </w:tc>
        <w:tc>
          <w:tcPr>
            <w:tcW w:w="737" w:type="dxa"/>
            <w:shd w:val="clear" w:color="auto" w:fill="auto"/>
            <w:vAlign w:val="bottom"/>
          </w:tcPr>
          <w:p w14:paraId="032A335F" w14:textId="0EA09342"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 </w:t>
            </w:r>
          </w:p>
        </w:tc>
        <w:tc>
          <w:tcPr>
            <w:tcW w:w="681" w:type="dxa"/>
            <w:shd w:val="clear" w:color="auto" w:fill="auto"/>
            <w:vAlign w:val="bottom"/>
          </w:tcPr>
          <w:p w14:paraId="05016875" w14:textId="053758B5"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 </w:t>
            </w:r>
          </w:p>
        </w:tc>
        <w:tc>
          <w:tcPr>
            <w:tcW w:w="651" w:type="dxa"/>
            <w:shd w:val="clear" w:color="auto" w:fill="auto"/>
            <w:vAlign w:val="bottom"/>
          </w:tcPr>
          <w:p w14:paraId="2210F2AD" w14:textId="011A07C7"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 </w:t>
            </w:r>
          </w:p>
        </w:tc>
        <w:tc>
          <w:tcPr>
            <w:tcW w:w="666" w:type="dxa"/>
            <w:shd w:val="clear" w:color="auto" w:fill="auto"/>
            <w:vAlign w:val="bottom"/>
          </w:tcPr>
          <w:p w14:paraId="7F3A9AB8" w14:textId="17B89E73"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 </w:t>
            </w:r>
          </w:p>
        </w:tc>
        <w:tc>
          <w:tcPr>
            <w:tcW w:w="667" w:type="dxa"/>
            <w:shd w:val="clear" w:color="auto" w:fill="auto"/>
            <w:vAlign w:val="bottom"/>
          </w:tcPr>
          <w:p w14:paraId="064E8B88" w14:textId="34F09173"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 </w:t>
            </w:r>
          </w:p>
        </w:tc>
        <w:tc>
          <w:tcPr>
            <w:tcW w:w="1134" w:type="dxa"/>
            <w:shd w:val="clear" w:color="auto" w:fill="auto"/>
            <w:vAlign w:val="bottom"/>
          </w:tcPr>
          <w:p w14:paraId="0E4B93E3" w14:textId="46DCDC0B"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 </w:t>
            </w:r>
          </w:p>
        </w:tc>
        <w:tc>
          <w:tcPr>
            <w:tcW w:w="851" w:type="dxa"/>
            <w:shd w:val="clear" w:color="auto" w:fill="auto"/>
            <w:vAlign w:val="bottom"/>
          </w:tcPr>
          <w:p w14:paraId="047516C7" w14:textId="6EC34405"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 </w:t>
            </w:r>
          </w:p>
        </w:tc>
        <w:tc>
          <w:tcPr>
            <w:tcW w:w="1134" w:type="dxa"/>
            <w:shd w:val="clear" w:color="auto" w:fill="auto"/>
            <w:vAlign w:val="bottom"/>
          </w:tcPr>
          <w:p w14:paraId="1AF78352" w14:textId="5498266E"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 </w:t>
            </w:r>
          </w:p>
        </w:tc>
        <w:tc>
          <w:tcPr>
            <w:tcW w:w="921" w:type="dxa"/>
            <w:shd w:val="clear" w:color="auto" w:fill="auto"/>
            <w:vAlign w:val="bottom"/>
          </w:tcPr>
          <w:p w14:paraId="2475AF04" w14:textId="694E5D22"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 </w:t>
            </w:r>
          </w:p>
        </w:tc>
      </w:tr>
      <w:tr w:rsidR="00921E80" w:rsidRPr="00B80142" w14:paraId="059476C2" w14:textId="7D8ADF97" w:rsidTr="00740A34">
        <w:tc>
          <w:tcPr>
            <w:tcW w:w="1347" w:type="dxa"/>
            <w:shd w:val="clear" w:color="auto" w:fill="auto"/>
            <w:vAlign w:val="bottom"/>
          </w:tcPr>
          <w:p w14:paraId="7F89D53A" w14:textId="05708265" w:rsidR="00921E80" w:rsidRPr="008F735E" w:rsidRDefault="00921E80" w:rsidP="00345DEF">
            <w:pPr>
              <w:keepNext/>
              <w:keepLines/>
              <w:tabs>
                <w:tab w:val="left" w:pos="106"/>
              </w:tabs>
              <w:spacing w:before="60" w:after="60"/>
              <w:rPr>
                <w:sz w:val="14"/>
                <w:szCs w:val="14"/>
              </w:rPr>
            </w:pPr>
            <w:r>
              <w:rPr>
                <w:sz w:val="14"/>
                <w:szCs w:val="14"/>
              </w:rPr>
              <w:tab/>
              <w:t>Status quo</w:t>
            </w:r>
          </w:p>
        </w:tc>
        <w:tc>
          <w:tcPr>
            <w:tcW w:w="992" w:type="dxa"/>
            <w:shd w:val="clear" w:color="auto" w:fill="auto"/>
            <w:vAlign w:val="bottom"/>
          </w:tcPr>
          <w:p w14:paraId="65C61950" w14:textId="6941336C"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21.3%</w:t>
            </w:r>
          </w:p>
        </w:tc>
        <w:tc>
          <w:tcPr>
            <w:tcW w:w="737" w:type="dxa"/>
            <w:shd w:val="clear" w:color="auto" w:fill="auto"/>
            <w:vAlign w:val="bottom"/>
          </w:tcPr>
          <w:p w14:paraId="7BC60D04" w14:textId="1856D43D"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27.6%</w:t>
            </w:r>
          </w:p>
        </w:tc>
        <w:tc>
          <w:tcPr>
            <w:tcW w:w="681" w:type="dxa"/>
            <w:shd w:val="clear" w:color="auto" w:fill="auto"/>
            <w:vAlign w:val="bottom"/>
          </w:tcPr>
          <w:p w14:paraId="77EE556D" w14:textId="16D93DE9"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27.0%</w:t>
            </w:r>
          </w:p>
        </w:tc>
        <w:tc>
          <w:tcPr>
            <w:tcW w:w="651" w:type="dxa"/>
            <w:shd w:val="clear" w:color="auto" w:fill="auto"/>
            <w:vAlign w:val="bottom"/>
          </w:tcPr>
          <w:p w14:paraId="0D5023EC" w14:textId="63321902"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23.7%</w:t>
            </w:r>
          </w:p>
        </w:tc>
        <w:tc>
          <w:tcPr>
            <w:tcW w:w="666" w:type="dxa"/>
            <w:shd w:val="clear" w:color="auto" w:fill="auto"/>
            <w:vAlign w:val="bottom"/>
          </w:tcPr>
          <w:p w14:paraId="567EC8CF" w14:textId="6BA7F532"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20.1%</w:t>
            </w:r>
          </w:p>
        </w:tc>
        <w:tc>
          <w:tcPr>
            <w:tcW w:w="667" w:type="dxa"/>
            <w:shd w:val="clear" w:color="auto" w:fill="auto"/>
            <w:vAlign w:val="bottom"/>
          </w:tcPr>
          <w:p w14:paraId="58EA9041" w14:textId="49F9193F"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17.3%</w:t>
            </w:r>
          </w:p>
        </w:tc>
        <w:tc>
          <w:tcPr>
            <w:tcW w:w="1134" w:type="dxa"/>
            <w:shd w:val="clear" w:color="auto" w:fill="auto"/>
            <w:vAlign w:val="bottom"/>
          </w:tcPr>
          <w:p w14:paraId="39ACEC66" w14:textId="6774AFA4"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11.2%</w:t>
            </w:r>
          </w:p>
        </w:tc>
        <w:tc>
          <w:tcPr>
            <w:tcW w:w="851" w:type="dxa"/>
            <w:shd w:val="clear" w:color="auto" w:fill="auto"/>
            <w:vAlign w:val="bottom"/>
          </w:tcPr>
          <w:p w14:paraId="39F5D647" w14:textId="7A17F37C"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27.6%</w:t>
            </w:r>
          </w:p>
        </w:tc>
        <w:tc>
          <w:tcPr>
            <w:tcW w:w="1134" w:type="dxa"/>
            <w:shd w:val="clear" w:color="auto" w:fill="auto"/>
            <w:vAlign w:val="bottom"/>
          </w:tcPr>
          <w:p w14:paraId="272A37BD" w14:textId="7B4789ED"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-0.3%</w:t>
            </w:r>
          </w:p>
        </w:tc>
        <w:tc>
          <w:tcPr>
            <w:tcW w:w="921" w:type="dxa"/>
            <w:shd w:val="clear" w:color="auto" w:fill="auto"/>
            <w:vAlign w:val="bottom"/>
          </w:tcPr>
          <w:p w14:paraId="19A90E40" w14:textId="7FBFD63D"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-23.3%</w:t>
            </w:r>
          </w:p>
        </w:tc>
      </w:tr>
      <w:tr w:rsidR="00921E80" w:rsidRPr="00B80142" w14:paraId="0DF2C199" w14:textId="1A777A73" w:rsidTr="00740A34">
        <w:tc>
          <w:tcPr>
            <w:tcW w:w="1347" w:type="dxa"/>
            <w:shd w:val="clear" w:color="auto" w:fill="auto"/>
            <w:vAlign w:val="bottom"/>
          </w:tcPr>
          <w:p w14:paraId="2B9CAB39" w14:textId="38A9FB2F" w:rsidR="00921E80" w:rsidRPr="008F735E" w:rsidRDefault="00921E80" w:rsidP="00345DEF">
            <w:pPr>
              <w:keepNext/>
              <w:keepLines/>
              <w:tabs>
                <w:tab w:val="left" w:pos="106"/>
              </w:tabs>
              <w:spacing w:before="60" w:after="60"/>
              <w:ind w:left="108" w:hanging="108"/>
              <w:rPr>
                <w:sz w:val="14"/>
                <w:szCs w:val="14"/>
              </w:rPr>
            </w:pPr>
            <w:r>
              <w:rPr>
                <w:sz w:val="14"/>
                <w:szCs w:val="14"/>
              </w:rPr>
              <w:tab/>
              <w:t>Depreciation loading</w:t>
            </w:r>
          </w:p>
        </w:tc>
        <w:tc>
          <w:tcPr>
            <w:tcW w:w="992" w:type="dxa"/>
            <w:shd w:val="clear" w:color="auto" w:fill="auto"/>
            <w:vAlign w:val="bottom"/>
          </w:tcPr>
          <w:p w14:paraId="34616CC5" w14:textId="22C24F51"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19.6%</w:t>
            </w:r>
          </w:p>
        </w:tc>
        <w:tc>
          <w:tcPr>
            <w:tcW w:w="737" w:type="dxa"/>
            <w:shd w:val="clear" w:color="auto" w:fill="auto"/>
            <w:vAlign w:val="bottom"/>
          </w:tcPr>
          <w:p w14:paraId="18968AD9" w14:textId="544C2409"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27.6%</w:t>
            </w:r>
          </w:p>
        </w:tc>
        <w:tc>
          <w:tcPr>
            <w:tcW w:w="681" w:type="dxa"/>
            <w:shd w:val="clear" w:color="auto" w:fill="auto"/>
            <w:vAlign w:val="bottom"/>
          </w:tcPr>
          <w:p w14:paraId="62597308" w14:textId="4E867F11"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22.1%</w:t>
            </w:r>
          </w:p>
        </w:tc>
        <w:tc>
          <w:tcPr>
            <w:tcW w:w="651" w:type="dxa"/>
            <w:shd w:val="clear" w:color="auto" w:fill="auto"/>
            <w:vAlign w:val="bottom"/>
          </w:tcPr>
          <w:p w14:paraId="1C9EEFB2" w14:textId="6C79B7E2"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20.0%</w:t>
            </w:r>
          </w:p>
        </w:tc>
        <w:tc>
          <w:tcPr>
            <w:tcW w:w="666" w:type="dxa"/>
            <w:shd w:val="clear" w:color="auto" w:fill="auto"/>
            <w:vAlign w:val="bottom"/>
          </w:tcPr>
          <w:p w14:paraId="185E47D3" w14:textId="7D7D3C95"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17.6%</w:t>
            </w:r>
          </w:p>
        </w:tc>
        <w:tc>
          <w:tcPr>
            <w:tcW w:w="667" w:type="dxa"/>
            <w:shd w:val="clear" w:color="auto" w:fill="auto"/>
            <w:vAlign w:val="bottom"/>
          </w:tcPr>
          <w:p w14:paraId="73F61A0E" w14:textId="77E17935"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15.6%</w:t>
            </w:r>
          </w:p>
        </w:tc>
        <w:tc>
          <w:tcPr>
            <w:tcW w:w="1134" w:type="dxa"/>
            <w:shd w:val="clear" w:color="auto" w:fill="auto"/>
            <w:vAlign w:val="bottom"/>
          </w:tcPr>
          <w:p w14:paraId="435271F6" w14:textId="6C60F6DD"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11.2%</w:t>
            </w:r>
          </w:p>
        </w:tc>
        <w:tc>
          <w:tcPr>
            <w:tcW w:w="851" w:type="dxa"/>
            <w:shd w:val="clear" w:color="auto" w:fill="auto"/>
            <w:vAlign w:val="bottom"/>
          </w:tcPr>
          <w:p w14:paraId="4CEAD357" w14:textId="0A364332"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27.6%</w:t>
            </w:r>
          </w:p>
        </w:tc>
        <w:tc>
          <w:tcPr>
            <w:tcW w:w="1134" w:type="dxa"/>
            <w:shd w:val="clear" w:color="auto" w:fill="auto"/>
            <w:vAlign w:val="bottom"/>
          </w:tcPr>
          <w:p w14:paraId="67BA9CCD" w14:textId="7FA80635"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-0.3%</w:t>
            </w:r>
          </w:p>
        </w:tc>
        <w:tc>
          <w:tcPr>
            <w:tcW w:w="921" w:type="dxa"/>
            <w:shd w:val="clear" w:color="auto" w:fill="auto"/>
            <w:vAlign w:val="bottom"/>
          </w:tcPr>
          <w:p w14:paraId="7D1E4966" w14:textId="4D3F8FAB"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-23.3%</w:t>
            </w:r>
          </w:p>
        </w:tc>
      </w:tr>
      <w:tr w:rsidR="00921E80" w:rsidRPr="00B80142" w14:paraId="37239D8C" w14:textId="47F5E699" w:rsidTr="00740A34">
        <w:tc>
          <w:tcPr>
            <w:tcW w:w="1347" w:type="dxa"/>
            <w:shd w:val="clear" w:color="auto" w:fill="auto"/>
            <w:vAlign w:val="bottom"/>
          </w:tcPr>
          <w:p w14:paraId="34F9C1A8" w14:textId="6C172C57" w:rsidR="00921E80" w:rsidRPr="008F735E" w:rsidRDefault="00921E80" w:rsidP="00345DEF">
            <w:pPr>
              <w:keepNext/>
              <w:keepLines/>
              <w:tabs>
                <w:tab w:val="left" w:pos="106"/>
              </w:tabs>
              <w:spacing w:before="60" w:after="60"/>
              <w:ind w:left="108" w:hanging="108"/>
              <w:rPr>
                <w:sz w:val="14"/>
                <w:szCs w:val="14"/>
              </w:rPr>
            </w:pPr>
            <w:r>
              <w:rPr>
                <w:sz w:val="14"/>
                <w:szCs w:val="14"/>
              </w:rPr>
              <w:tab/>
              <w:t>Partial expensing</w:t>
            </w:r>
          </w:p>
        </w:tc>
        <w:tc>
          <w:tcPr>
            <w:tcW w:w="992" w:type="dxa"/>
            <w:shd w:val="clear" w:color="auto" w:fill="auto"/>
            <w:vAlign w:val="bottom"/>
          </w:tcPr>
          <w:p w14:paraId="6C8710E9" w14:textId="1B858BE7"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15.1%</w:t>
            </w:r>
          </w:p>
        </w:tc>
        <w:tc>
          <w:tcPr>
            <w:tcW w:w="737" w:type="dxa"/>
            <w:shd w:val="clear" w:color="auto" w:fill="auto"/>
            <w:vAlign w:val="bottom"/>
          </w:tcPr>
          <w:p w14:paraId="14A0B468" w14:textId="69FC622A"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21.1%</w:t>
            </w:r>
          </w:p>
        </w:tc>
        <w:tc>
          <w:tcPr>
            <w:tcW w:w="681" w:type="dxa"/>
            <w:shd w:val="clear" w:color="auto" w:fill="auto"/>
            <w:vAlign w:val="bottom"/>
          </w:tcPr>
          <w:p w14:paraId="7435B3B3" w14:textId="72F768E3"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20.5%</w:t>
            </w:r>
          </w:p>
        </w:tc>
        <w:tc>
          <w:tcPr>
            <w:tcW w:w="651" w:type="dxa"/>
            <w:shd w:val="clear" w:color="auto" w:fill="auto"/>
            <w:vAlign w:val="bottom"/>
          </w:tcPr>
          <w:p w14:paraId="4B3BC387" w14:textId="79A7D031"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17.4%</w:t>
            </w:r>
          </w:p>
        </w:tc>
        <w:tc>
          <w:tcPr>
            <w:tcW w:w="666" w:type="dxa"/>
            <w:shd w:val="clear" w:color="auto" w:fill="auto"/>
            <w:vAlign w:val="bottom"/>
          </w:tcPr>
          <w:p w14:paraId="4EC8E24A" w14:textId="106B992F"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14.1%</w:t>
            </w:r>
          </w:p>
        </w:tc>
        <w:tc>
          <w:tcPr>
            <w:tcW w:w="667" w:type="dxa"/>
            <w:shd w:val="clear" w:color="auto" w:fill="auto"/>
            <w:vAlign w:val="bottom"/>
          </w:tcPr>
          <w:p w14:paraId="0B9E1F55" w14:textId="5CA4265D"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11.4%</w:t>
            </w:r>
          </w:p>
        </w:tc>
        <w:tc>
          <w:tcPr>
            <w:tcW w:w="1134" w:type="dxa"/>
            <w:shd w:val="clear" w:color="auto" w:fill="auto"/>
            <w:vAlign w:val="bottom"/>
          </w:tcPr>
          <w:p w14:paraId="4C24A950" w14:textId="390F53F9"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11.2%</w:t>
            </w:r>
          </w:p>
        </w:tc>
        <w:tc>
          <w:tcPr>
            <w:tcW w:w="851" w:type="dxa"/>
            <w:shd w:val="clear" w:color="auto" w:fill="auto"/>
            <w:vAlign w:val="bottom"/>
          </w:tcPr>
          <w:p w14:paraId="35804D10" w14:textId="778C5169"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27.6%</w:t>
            </w:r>
          </w:p>
        </w:tc>
        <w:tc>
          <w:tcPr>
            <w:tcW w:w="1134" w:type="dxa"/>
            <w:shd w:val="clear" w:color="auto" w:fill="auto"/>
            <w:vAlign w:val="bottom"/>
          </w:tcPr>
          <w:p w14:paraId="161920FA" w14:textId="19DE8A5D"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-0.3%</w:t>
            </w:r>
          </w:p>
        </w:tc>
        <w:tc>
          <w:tcPr>
            <w:tcW w:w="921" w:type="dxa"/>
            <w:shd w:val="clear" w:color="auto" w:fill="auto"/>
            <w:vAlign w:val="bottom"/>
          </w:tcPr>
          <w:p w14:paraId="5D12D935" w14:textId="7BB7744F" w:rsidR="00921E80" w:rsidRPr="00B80142" w:rsidRDefault="00921E80" w:rsidP="00345DEF">
            <w:pPr>
              <w:keepNext/>
              <w:keepLines/>
              <w:tabs>
                <w:tab w:val="decimal" w:pos="256"/>
              </w:tabs>
              <w:spacing w:before="60" w:after="60"/>
              <w:jc w:val="center"/>
              <w:rPr>
                <w:sz w:val="14"/>
                <w:szCs w:val="14"/>
              </w:rPr>
            </w:pPr>
            <w:r w:rsidRPr="00B80142">
              <w:rPr>
                <w:rFonts w:cs="Calibri"/>
                <w:color w:val="000000"/>
                <w:sz w:val="14"/>
                <w:szCs w:val="14"/>
              </w:rPr>
              <w:t>-23.3%</w:t>
            </w:r>
          </w:p>
        </w:tc>
      </w:tr>
    </w:tbl>
    <w:p w14:paraId="5A99FF86" w14:textId="77777777" w:rsidR="001B3AE0" w:rsidRPr="005D720D" w:rsidRDefault="001B3AE0" w:rsidP="00075D72">
      <w:pPr>
        <w:pStyle w:val="NumberedParagraph"/>
      </w:pPr>
      <w:r w:rsidRPr="005D720D">
        <w:t>We draw attention to the following points:</w:t>
      </w:r>
    </w:p>
    <w:p w14:paraId="60EC9F01" w14:textId="63F409E0" w:rsidR="001B3AE0" w:rsidRPr="005D720D" w:rsidRDefault="001B3AE0" w:rsidP="00075D72">
      <w:pPr>
        <w:pStyle w:val="NumberedParagraph-BulletL1"/>
      </w:pPr>
      <w:r w:rsidRPr="005D720D">
        <w:t>As has been discussed elsewhere, the current rules lead to considerable variety in costs of capital</w:t>
      </w:r>
      <w:r w:rsidR="00501E84">
        <w:t>,</w:t>
      </w:r>
      <w:r w:rsidRPr="005D720D">
        <w:t xml:space="preserve"> varying from 4.14% for heavily taxed PME and inventories to 2.43% for assets that can be expensed. EMTRs vary from 27.6% to -23.3%.</w:t>
      </w:r>
    </w:p>
    <w:p w14:paraId="709CD5B5" w14:textId="281E8518" w:rsidR="001B3AE0" w:rsidRPr="005D720D" w:rsidRDefault="001B3AE0" w:rsidP="00075D72">
      <w:pPr>
        <w:pStyle w:val="NumberedParagraph-BulletL1"/>
      </w:pPr>
      <w:r w:rsidRPr="005D720D">
        <w:t xml:space="preserve">Either form of accelerated depreciation would be a way of lowering some of the higher costs of capital and EMTRs. For example, consider assets </w:t>
      </w:r>
      <w:r w:rsidR="00F705C8">
        <w:t>that</w:t>
      </w:r>
      <w:r w:rsidRPr="005D720D">
        <w:t xml:space="preserve"> are provided with a 50% rate of depreciation (such as computers). Depreciation loading would drop the EMTR from 27.0% to 22.1%. Partial expensing would drop the EMTR a bit further to 20.</w:t>
      </w:r>
      <w:r w:rsidR="00A86271">
        <w:t>5</w:t>
      </w:r>
      <w:r w:rsidRPr="005D720D">
        <w:t xml:space="preserve">%. In the absence of inflation, all depreciable and non-depreciable assets would have an EMTR of 18.7%. Thus, either change could be thought of as offsetting some of the upward bias to EMTRs that </w:t>
      </w:r>
      <w:r w:rsidR="00A569DB">
        <w:t>is</w:t>
      </w:r>
      <w:r w:rsidRPr="005D720D">
        <w:t xml:space="preserve"> caused by inflation for these assets.</w:t>
      </w:r>
    </w:p>
    <w:p w14:paraId="4BBF739E" w14:textId="215AB737" w:rsidR="001B3AE0" w:rsidRPr="005D720D" w:rsidRDefault="001B3AE0" w:rsidP="00075D72">
      <w:pPr>
        <w:pStyle w:val="NumberedParagraph-BulletL1"/>
      </w:pPr>
      <w:r w:rsidRPr="005D720D">
        <w:t xml:space="preserve">Depreciation loading would have a smaller effect than partial expensing on assets with lower depreciation rates. For example, an asset with a 2% rate of depreciation has an EMTR of 17.3% under current tax rules. It is significantly less heavily taxed than assets with much faster economic depreciation rates. </w:t>
      </w:r>
      <w:r w:rsidR="00A569DB">
        <w:t>Such an asset’s</w:t>
      </w:r>
      <w:r w:rsidRPr="005D720D">
        <w:t xml:space="preserve"> EMTR falls to 15.</w:t>
      </w:r>
      <w:r w:rsidR="00A86271">
        <w:t>6</w:t>
      </w:r>
      <w:r w:rsidRPr="005D720D">
        <w:t>% under loading or 11.</w:t>
      </w:r>
      <w:r w:rsidR="00A86271">
        <w:t>4</w:t>
      </w:r>
      <w:r w:rsidRPr="005D720D">
        <w:t>% under partial expensing.</w:t>
      </w:r>
    </w:p>
    <w:p w14:paraId="44D79957" w14:textId="61B1D392" w:rsidR="00407FAE" w:rsidRPr="005D720D" w:rsidRDefault="001B3AE0" w:rsidP="001308FE">
      <w:pPr>
        <w:pStyle w:val="NumberedParagraph-BulletL1"/>
      </w:pPr>
      <w:r w:rsidRPr="005D720D">
        <w:t>Neither of the measures would increase tax subsidies to appreciating assets or assets that can be expensed. Nor would they reduce the high EMTR of 27.6% faced by inventories</w:t>
      </w:r>
      <w:r w:rsidR="00144F1C">
        <w:t xml:space="preserve"> although it would always be possible </w:t>
      </w:r>
      <w:r w:rsidR="00004BD5">
        <w:t xml:space="preserve">to consider </w:t>
      </w:r>
      <w:r w:rsidR="00356494">
        <w:t>a separate measure to help reduce EMTRs on inventories</w:t>
      </w:r>
      <w:r w:rsidR="00CB0B35">
        <w:t>.</w:t>
      </w:r>
    </w:p>
    <w:p w14:paraId="043DED93" w14:textId="402AD24C" w:rsidR="001B3AE0" w:rsidRPr="00CB0B35" w:rsidRDefault="001B3AE0" w:rsidP="001308FE">
      <w:pPr>
        <w:pStyle w:val="Heading2"/>
        <w:rPr>
          <w:rFonts w:eastAsia="Calibri"/>
          <w:lang w:eastAsia="en-US"/>
        </w:rPr>
      </w:pPr>
      <w:bookmarkStart w:id="50" w:name="_Toc112857428"/>
      <w:r w:rsidRPr="00CB0B35">
        <w:rPr>
          <w:rFonts w:eastAsia="Calibri"/>
          <w:lang w:eastAsia="en-US"/>
        </w:rPr>
        <w:t>Effects of the two accelerated depreciation schemes on neutrality</w:t>
      </w:r>
      <w:bookmarkEnd w:id="50"/>
    </w:p>
    <w:p w14:paraId="56CFCE2F" w14:textId="3503B8BC" w:rsidR="001B3AE0" w:rsidRPr="005D720D" w:rsidRDefault="001B3AE0" w:rsidP="00075D72">
      <w:pPr>
        <w:pStyle w:val="NumberedParagraph"/>
      </w:pPr>
      <w:r w:rsidRPr="005D720D">
        <w:t xml:space="preserve">Either of the two schemes would reduce EMTRs on depreciating assets that are currently facing high EMTRs. This would reduce disparities in EMTRs between these assets and assets </w:t>
      </w:r>
      <w:r w:rsidR="00D90BAA">
        <w:t>that</w:t>
      </w:r>
      <w:r w:rsidRPr="005D720D">
        <w:t xml:space="preserve"> are taxed less heavily. At the same time, they </w:t>
      </w:r>
      <w:r w:rsidRPr="005D720D">
        <w:lastRenderedPageBreak/>
        <w:t>would introduce a tax bias between these depreciating assets and inventories unless there were also measures to reduce EMTRs on inventories.</w:t>
      </w:r>
    </w:p>
    <w:p w14:paraId="7D25BA3C" w14:textId="3DCB52A3" w:rsidR="001B3AE0" w:rsidRPr="005D720D" w:rsidRDefault="001B3AE0" w:rsidP="00075D72">
      <w:pPr>
        <w:pStyle w:val="NumberedParagraph"/>
      </w:pPr>
      <w:r w:rsidRPr="005D720D">
        <w:t>Of the two schemes, depreciation loading seems more targeted at depreciating assets with high EMTRs. Depreciation loading gives a relatively small benefit to assets that depreciate slowly</w:t>
      </w:r>
      <w:r w:rsidR="009F5DEC">
        <w:t>,</w:t>
      </w:r>
      <w:r w:rsidRPr="005D720D">
        <w:t xml:space="preserve"> while partial expensing provides a significant benefit to all depreciating assets.</w:t>
      </w:r>
      <w:r w:rsidR="00794BB3">
        <w:t xml:space="preserve"> </w:t>
      </w:r>
      <w:r w:rsidR="00F554C5">
        <w:t>One possible argument</w:t>
      </w:r>
      <w:r w:rsidR="00794BB3">
        <w:t xml:space="preserve"> for depreciation loading </w:t>
      </w:r>
      <w:r w:rsidR="00F554C5">
        <w:t xml:space="preserve">rather </w:t>
      </w:r>
      <w:r w:rsidR="002D72DE">
        <w:t xml:space="preserve">than partial expensing </w:t>
      </w:r>
      <w:r w:rsidR="002F0D04">
        <w:t xml:space="preserve">is that </w:t>
      </w:r>
      <w:r w:rsidR="002D72DE">
        <w:t xml:space="preserve">this </w:t>
      </w:r>
      <w:r w:rsidR="002F0D04">
        <w:t xml:space="preserve">would </w:t>
      </w:r>
      <w:r w:rsidR="00FF5001">
        <w:t xml:space="preserve">tend to </w:t>
      </w:r>
      <w:r w:rsidR="002F0D04">
        <w:t>o</w:t>
      </w:r>
      <w:r w:rsidR="00FF2C08">
        <w:t xml:space="preserve">ffset the </w:t>
      </w:r>
      <w:r w:rsidR="00FC543B">
        <w:t>h</w:t>
      </w:r>
      <w:r w:rsidR="00FF2C08">
        <w:t>igh EMTRs faced by</w:t>
      </w:r>
      <w:r w:rsidR="002D72DE">
        <w:t xml:space="preserve"> PME with </w:t>
      </w:r>
      <w:r w:rsidR="00A86935">
        <w:t>high</w:t>
      </w:r>
      <w:r w:rsidR="00AE3C0A">
        <w:t>e</w:t>
      </w:r>
      <w:r w:rsidR="002D72DE">
        <w:t xml:space="preserve">r rates of economic depreciation. </w:t>
      </w:r>
      <w:r w:rsidR="00924002">
        <w:t>Thus, it would tend to counteract some of the infl</w:t>
      </w:r>
      <w:r w:rsidR="005E39E4">
        <w:t>ation biases discussed in chapter 4. As is discussed in chapter 8, a more direct way of counteracting these biases would be to index th</w:t>
      </w:r>
      <w:r w:rsidR="008914AB">
        <w:t xml:space="preserve">e tax system for inflation. </w:t>
      </w:r>
      <w:r w:rsidR="00047E92">
        <w:t>If the tax system were indexed for inflation, partial expensing is likely to be</w:t>
      </w:r>
      <w:r w:rsidR="00884B60">
        <w:t xml:space="preserve"> considerably more neutral than depreciation loading. </w:t>
      </w:r>
      <w:r w:rsidR="002A534C">
        <w:t xml:space="preserve">Whether or not </w:t>
      </w:r>
      <w:r w:rsidR="00E504C9">
        <w:t xml:space="preserve">the tax system is indexed for inflation can </w:t>
      </w:r>
      <w:r w:rsidR="00BA1692">
        <w:t>obviously affect the desirability of different accelerated depreciation options.</w:t>
      </w:r>
    </w:p>
    <w:p w14:paraId="2B6695D8" w14:textId="271089BD" w:rsidR="001B3AE0" w:rsidRPr="005D720D" w:rsidRDefault="001B3AE0" w:rsidP="00075D72">
      <w:pPr>
        <w:pStyle w:val="NumberedParagraph"/>
      </w:pPr>
      <w:r w:rsidRPr="005D720D">
        <w:t xml:space="preserve">The results for depreciation loading for assets </w:t>
      </w:r>
      <w:r w:rsidR="000E3222">
        <w:t>that</w:t>
      </w:r>
      <w:r w:rsidRPr="005D720D">
        <w:t xml:space="preserve"> fully depreciate over a year look anomalous (the EMTR remains 27.6% when EMTRs for other depreciating assets are falling</w:t>
      </w:r>
      <w:r w:rsidR="000E3222">
        <w:t>)</w:t>
      </w:r>
      <w:r w:rsidRPr="005D720D">
        <w:t>. A</w:t>
      </w:r>
      <w:r w:rsidR="00D94BA9">
        <w:t>s has been discussed above, a</w:t>
      </w:r>
      <w:r w:rsidRPr="005D720D">
        <w:t>n alternative might be to allow partial expensing for these particular assets.</w:t>
      </w:r>
    </w:p>
    <w:p w14:paraId="198F57A9" w14:textId="353C466D" w:rsidR="001B3AE0" w:rsidRPr="005D720D" w:rsidRDefault="001B3AE0" w:rsidP="00075D72">
      <w:pPr>
        <w:pStyle w:val="NumberedParagraph"/>
      </w:pPr>
      <w:r w:rsidRPr="005D720D">
        <w:t xml:space="preserve">These are just two types of accelerated depreciation. It may be possible to devise a scheme </w:t>
      </w:r>
      <w:r w:rsidR="000E3222">
        <w:t>that</w:t>
      </w:r>
      <w:r w:rsidRPr="005D720D">
        <w:t xml:space="preserve"> is better targeted at supporting assets with relatively high EMTRs.</w:t>
      </w:r>
    </w:p>
    <w:p w14:paraId="2B22C038" w14:textId="493F1108" w:rsidR="001B3AE0" w:rsidRPr="005D720D" w:rsidRDefault="001B3AE0" w:rsidP="001B3AE0">
      <w:pPr>
        <w:pStyle w:val="Heading2"/>
        <w:rPr>
          <w:rFonts w:eastAsia="Calibri"/>
          <w:lang w:eastAsia="en-US"/>
        </w:rPr>
      </w:pPr>
      <w:bookmarkStart w:id="51" w:name="_Toc112857429"/>
      <w:r w:rsidRPr="005D720D">
        <w:rPr>
          <w:rFonts w:eastAsia="Calibri"/>
          <w:lang w:eastAsia="en-US"/>
        </w:rPr>
        <w:t xml:space="preserve">Design </w:t>
      </w:r>
      <w:r w:rsidR="00455437">
        <w:rPr>
          <w:rFonts w:eastAsia="Calibri"/>
          <w:lang w:eastAsia="en-US"/>
        </w:rPr>
        <w:t>i</w:t>
      </w:r>
      <w:r w:rsidR="00455437" w:rsidRPr="005D720D">
        <w:rPr>
          <w:rFonts w:eastAsia="Calibri"/>
          <w:lang w:eastAsia="en-US"/>
        </w:rPr>
        <w:t>ssues</w:t>
      </w:r>
      <w:bookmarkEnd w:id="51"/>
    </w:p>
    <w:p w14:paraId="6F34E54E" w14:textId="6466830F" w:rsidR="001B3AE0" w:rsidRPr="005D720D" w:rsidRDefault="001B3AE0" w:rsidP="001B3AE0">
      <w:pPr>
        <w:pStyle w:val="Heading3"/>
        <w:rPr>
          <w:rFonts w:eastAsia="Calibri"/>
          <w:lang w:eastAsia="en-US"/>
        </w:rPr>
      </w:pPr>
      <w:r w:rsidRPr="005D720D">
        <w:rPr>
          <w:rFonts w:eastAsia="Calibri"/>
          <w:lang w:eastAsia="en-US"/>
        </w:rPr>
        <w:t>New or all investment</w:t>
      </w:r>
    </w:p>
    <w:p w14:paraId="5B4DCDAE" w14:textId="117DF6B4" w:rsidR="001B3AE0" w:rsidRPr="005D720D" w:rsidRDefault="001B3AE0" w:rsidP="00075D72">
      <w:pPr>
        <w:pStyle w:val="NumberedParagraph"/>
      </w:pPr>
      <w:r w:rsidRPr="005D720D">
        <w:t xml:space="preserve">Accelerated depreciation can be restricted to new assets. This would mean a firm </w:t>
      </w:r>
      <w:r w:rsidR="00870A5F">
        <w:t>that</w:t>
      </w:r>
      <w:r w:rsidRPr="005D720D">
        <w:t xml:space="preserve"> owns depreciable assets on the day the new scheme c</w:t>
      </w:r>
      <w:r w:rsidR="00B4101D">
        <w:t>ame</w:t>
      </w:r>
      <w:r w:rsidRPr="005D720D">
        <w:t xml:space="preserve"> into force would not benefit from a higher depreciation rate on these assets. Also, if it s</w:t>
      </w:r>
      <w:r w:rsidR="00B4101D">
        <w:t>old</w:t>
      </w:r>
      <w:r w:rsidRPr="005D720D">
        <w:t xml:space="preserve"> these assets to a new purchaser, the new purchaser could only claim depreciation at the old depreciation rates.</w:t>
      </w:r>
    </w:p>
    <w:p w14:paraId="52D87F3A" w14:textId="45E8C3DD" w:rsidR="001B3AE0" w:rsidRPr="005D720D" w:rsidRDefault="001B3AE0" w:rsidP="00075D72">
      <w:pPr>
        <w:pStyle w:val="NumberedParagraph"/>
      </w:pPr>
      <w:r w:rsidRPr="005D720D">
        <w:t>New Zealand used to allow a 20% loading for purchases of new machinery and equipment. This provision</w:t>
      </w:r>
      <w:r w:rsidR="00800246">
        <w:t>,</w:t>
      </w:r>
      <w:r w:rsidRPr="005D720D">
        <w:t xml:space="preserve"> which was repealed in 2010</w:t>
      </w:r>
      <w:r w:rsidR="00800246">
        <w:t>,</w:t>
      </w:r>
      <w:r w:rsidRPr="005D720D">
        <w:t xml:space="preserve"> was restricted to purchases of new machinery and equipment.</w:t>
      </w:r>
    </w:p>
    <w:p w14:paraId="5695A6F1" w14:textId="21A94C8E" w:rsidR="001B3AE0" w:rsidRPr="005D720D" w:rsidRDefault="001B3AE0" w:rsidP="00075D72">
      <w:pPr>
        <w:pStyle w:val="NumberedParagraph"/>
      </w:pPr>
      <w:r w:rsidRPr="005D720D">
        <w:t xml:space="preserve">Restricting accelerated depreciation to new assets minimises windfall benefits to firms </w:t>
      </w:r>
      <w:r w:rsidR="00CB3E24">
        <w:t>that</w:t>
      </w:r>
      <w:r w:rsidRPr="005D720D">
        <w:t xml:space="preserve"> have invested in the past. It reduces the fiscal cost of accelerated depreciation. If accelerated depreciation were given to incentivise investment, there would seem to be little reason to allow it on investments </w:t>
      </w:r>
      <w:r w:rsidR="00005D63">
        <w:t>that</w:t>
      </w:r>
      <w:r w:rsidRPr="005D720D">
        <w:t xml:space="preserve"> have already taken place.</w:t>
      </w:r>
    </w:p>
    <w:p w14:paraId="46324158" w14:textId="5E770E98" w:rsidR="001B3AE0" w:rsidRPr="005D720D" w:rsidRDefault="001B3AE0" w:rsidP="00075D72">
      <w:pPr>
        <w:pStyle w:val="NumberedParagraph"/>
      </w:pPr>
      <w:r w:rsidRPr="005D720D">
        <w:t xml:space="preserve">At the same time, restricting accelerated depreciation to new assets would have implications for assets </w:t>
      </w:r>
      <w:r w:rsidR="00802FDF">
        <w:t>that</w:t>
      </w:r>
      <w:r w:rsidRPr="005D720D">
        <w:t xml:space="preserve"> were acquired new after the accelerated depreciation scheme c</w:t>
      </w:r>
      <w:r w:rsidR="008C214A">
        <w:t>ame</w:t>
      </w:r>
      <w:r w:rsidRPr="005D720D">
        <w:t xml:space="preserve"> into force. It would mean that the assets </w:t>
      </w:r>
      <w:r w:rsidR="009725B3">
        <w:t xml:space="preserve">would </w:t>
      </w:r>
      <w:r w:rsidRPr="005D720D">
        <w:t xml:space="preserve">only continue to qualify for accelerated depreciation if they </w:t>
      </w:r>
      <w:r w:rsidR="009725B3">
        <w:t>we</w:t>
      </w:r>
      <w:r w:rsidRPr="005D720D">
        <w:t>re retained by their initial owner. Restricting accelerated depreciation to new investment might create biases. For example, some firms might want to use relatively new trucks or buses only, while other firms may be quite willing to use older trucks or buses. Efficiency may decrease if tax is an obstacle to assets being acquired by those who will use them most productiv</w:t>
      </w:r>
      <w:r>
        <w:t>e</w:t>
      </w:r>
      <w:r w:rsidRPr="005D720D">
        <w:t>ly.</w:t>
      </w:r>
    </w:p>
    <w:p w14:paraId="1101A5FD" w14:textId="1877B4E3" w:rsidR="001B3AE0" w:rsidRPr="005D720D" w:rsidRDefault="001B3AE0" w:rsidP="001B3AE0">
      <w:pPr>
        <w:pStyle w:val="Heading3"/>
        <w:rPr>
          <w:rFonts w:eastAsia="Calibri"/>
          <w:lang w:eastAsia="en-US"/>
        </w:rPr>
      </w:pPr>
      <w:r w:rsidRPr="005D720D">
        <w:rPr>
          <w:rFonts w:eastAsia="Calibri"/>
          <w:lang w:eastAsia="en-US"/>
        </w:rPr>
        <w:t>Treatment of firms in loss</w:t>
      </w:r>
    </w:p>
    <w:p w14:paraId="0749864C" w14:textId="30A9A33A" w:rsidR="001B3AE0" w:rsidRPr="005D720D" w:rsidRDefault="001B3AE0" w:rsidP="00075D72">
      <w:pPr>
        <w:pStyle w:val="NumberedParagraph"/>
      </w:pPr>
      <w:r w:rsidRPr="005D720D">
        <w:t xml:space="preserve">Accelerated depreciation confers a benefit to businesses that have tax liabilities, but it </w:t>
      </w:r>
      <w:r w:rsidR="004D2656">
        <w:t>may confer little or no</w:t>
      </w:r>
      <w:r w:rsidRPr="005D720D">
        <w:t xml:space="preserve"> benefit </w:t>
      </w:r>
      <w:r w:rsidR="004D2656">
        <w:t xml:space="preserve">to </w:t>
      </w:r>
      <w:r w:rsidRPr="005D720D">
        <w:t xml:space="preserve">businesses that are in tax loss. </w:t>
      </w:r>
      <w:r w:rsidR="004D2656">
        <w:t>T</w:t>
      </w:r>
      <w:r w:rsidRPr="005D720D">
        <w:t xml:space="preserve">his can </w:t>
      </w:r>
      <w:r w:rsidRPr="005D720D">
        <w:lastRenderedPageBreak/>
        <w:t xml:space="preserve">be distortionary. </w:t>
      </w:r>
      <w:r w:rsidR="0049762B">
        <w:t>T</w:t>
      </w:r>
      <w:r w:rsidR="00385C3D">
        <w:t xml:space="preserve">he draft LTIB suggested that </w:t>
      </w:r>
      <w:r w:rsidR="004D2656">
        <w:t xml:space="preserve">this bias may be of little concern because it is </w:t>
      </w:r>
      <w:r w:rsidRPr="005D720D">
        <w:t xml:space="preserve">only for firms that are in a taxpaying position that high costs of capital and EMTRs </w:t>
      </w:r>
      <w:r w:rsidR="004D2656">
        <w:t>will arise</w:t>
      </w:r>
      <w:r w:rsidRPr="005D720D">
        <w:t xml:space="preserve">. </w:t>
      </w:r>
      <w:r w:rsidR="009F0508">
        <w:t xml:space="preserve">However, one of the reviewers has pointed out that </w:t>
      </w:r>
      <w:r w:rsidR="00C430BE">
        <w:t>start</w:t>
      </w:r>
      <w:r w:rsidR="004D2656">
        <w:t>-</w:t>
      </w:r>
      <w:r w:rsidR="00C430BE">
        <w:t xml:space="preserve">up companies </w:t>
      </w:r>
      <w:r w:rsidR="004D2656">
        <w:t xml:space="preserve">and other companies </w:t>
      </w:r>
      <w:r w:rsidR="00C430BE">
        <w:t xml:space="preserve">that are temporarily in loss may also sometimes face high EMTRs. </w:t>
      </w:r>
      <w:r w:rsidR="00F96E37">
        <w:t>This is something t</w:t>
      </w:r>
      <w:r w:rsidR="004D2656">
        <w:t>hat could be</w:t>
      </w:r>
      <w:r w:rsidR="00F96E37">
        <w:t xml:space="preserve"> </w:t>
      </w:r>
      <w:r w:rsidR="00E7015B">
        <w:t>explore</w:t>
      </w:r>
      <w:r w:rsidR="004D2656">
        <w:t>d</w:t>
      </w:r>
      <w:r w:rsidR="00E7015B">
        <w:t xml:space="preserve"> further in future work.</w:t>
      </w:r>
    </w:p>
    <w:p w14:paraId="2AB1CB9B" w14:textId="71C2D47E" w:rsidR="001B3AE0" w:rsidRPr="005D720D" w:rsidRDefault="001B3AE0" w:rsidP="001B3AE0">
      <w:pPr>
        <w:pStyle w:val="Heading3"/>
        <w:rPr>
          <w:rFonts w:eastAsia="Calibri"/>
          <w:lang w:eastAsia="en-US"/>
        </w:rPr>
      </w:pPr>
      <w:r w:rsidRPr="005D720D">
        <w:rPr>
          <w:rFonts w:eastAsia="Calibri"/>
          <w:lang w:eastAsia="en-US"/>
        </w:rPr>
        <w:t xml:space="preserve">Asset </w:t>
      </w:r>
      <w:r w:rsidR="00455437">
        <w:rPr>
          <w:rFonts w:eastAsia="Calibri"/>
          <w:lang w:eastAsia="en-US"/>
        </w:rPr>
        <w:t>l</w:t>
      </w:r>
      <w:r w:rsidRPr="005D720D">
        <w:rPr>
          <w:rFonts w:eastAsia="Calibri"/>
          <w:lang w:eastAsia="en-US"/>
        </w:rPr>
        <w:t>imitations</w:t>
      </w:r>
    </w:p>
    <w:p w14:paraId="01DCC36B" w14:textId="74FDEDFE" w:rsidR="001B3AE0" w:rsidRPr="005D720D" w:rsidRDefault="001B3AE0" w:rsidP="00075D72">
      <w:pPr>
        <w:pStyle w:val="NumberedParagraph"/>
      </w:pPr>
      <w:r w:rsidRPr="005D720D">
        <w:t>If a system of accelerated depreciation were put in place, the question of which assets should be included in the scheme</w:t>
      </w:r>
      <w:r w:rsidR="006F6496">
        <w:t xml:space="preserve"> </w:t>
      </w:r>
      <w:r w:rsidR="002762A3">
        <w:t xml:space="preserve">would </w:t>
      </w:r>
      <w:r w:rsidR="006F6496">
        <w:t>arise</w:t>
      </w:r>
      <w:r w:rsidRPr="005D720D">
        <w:t xml:space="preserve">. Depreciation loading is only relevant for assets </w:t>
      </w:r>
      <w:r w:rsidR="002762A3">
        <w:t>that</w:t>
      </w:r>
      <w:r w:rsidRPr="005D720D">
        <w:t xml:space="preserve"> are depreciable for tax purposes. Potentially</w:t>
      </w:r>
      <w:r w:rsidR="00156C22">
        <w:t>,</w:t>
      </w:r>
      <w:r w:rsidRPr="005D720D">
        <w:t xml:space="preserve"> a system of partial expensing could apply not only to depreciable assets</w:t>
      </w:r>
      <w:r w:rsidR="00156C22">
        <w:t>,</w:t>
      </w:r>
      <w:r w:rsidRPr="005D720D">
        <w:t xml:space="preserve"> but also to non-depreciating assets or even appreciating assets. However, table</w:t>
      </w:r>
      <w:r w:rsidR="00102BAE">
        <w:t> </w:t>
      </w:r>
      <w:r>
        <w:t xml:space="preserve">7.1 </w:t>
      </w:r>
      <w:r w:rsidRPr="005D720D">
        <w:t>suggests that non-depreciating and appreciating assets are unlikely to face high EMTRs. As a result, it would seem appropriate for any partial expensing scheme to also be limited to depreciating assets.</w:t>
      </w:r>
    </w:p>
    <w:p w14:paraId="0D4185A3" w14:textId="6E03BC48" w:rsidR="001B3AE0" w:rsidRPr="005D720D" w:rsidRDefault="00E14C1E" w:rsidP="00075D72">
      <w:pPr>
        <w:pStyle w:val="NumberedParagraph"/>
      </w:pPr>
      <w:r>
        <w:t>Before</w:t>
      </w:r>
      <w:r w:rsidR="001B3AE0" w:rsidRPr="005D720D">
        <w:t xml:space="preserve"> 2010, New Zealand applied depreciation loading to machinery and equipment but not buildings. Buildings depreciate relatively slowly and assets that depreciate more slowly tend to face lower costs of capital and EMTRs</w:t>
      </w:r>
      <w:r w:rsidR="00345DEF">
        <w:t xml:space="preserve"> if there is </w:t>
      </w:r>
      <w:proofErr w:type="gramStart"/>
      <w:r w:rsidR="00345DEF">
        <w:t>inflation</w:t>
      </w:r>
      <w:proofErr w:type="gramEnd"/>
      <w:r w:rsidR="00345DEF">
        <w:t xml:space="preserve"> but depreciation provisions do not take this into account</w:t>
      </w:r>
      <w:r w:rsidR="001B3AE0" w:rsidRPr="005D720D">
        <w:t xml:space="preserve">. </w:t>
      </w:r>
      <w:r w:rsidR="00AB673B">
        <w:t>However,</w:t>
      </w:r>
      <w:r w:rsidR="001B3AE0" w:rsidRPr="005D720D">
        <w:t xml:space="preserve"> there would appear to be little reason for distinguishing buildings from other assets </w:t>
      </w:r>
      <w:r w:rsidR="00AB673B">
        <w:t>that</w:t>
      </w:r>
      <w:r w:rsidR="001B3AE0" w:rsidRPr="005D720D">
        <w:t xml:space="preserve"> also depreciate at slow rates.</w:t>
      </w:r>
    </w:p>
    <w:p w14:paraId="0F6EDF2D" w14:textId="3B9EEEEA" w:rsidR="00926982" w:rsidRPr="005D720D" w:rsidRDefault="00926982" w:rsidP="00926982">
      <w:pPr>
        <w:pStyle w:val="Heading3"/>
        <w:rPr>
          <w:rFonts w:eastAsia="Calibri"/>
          <w:lang w:eastAsia="en-US"/>
        </w:rPr>
      </w:pPr>
      <w:r>
        <w:rPr>
          <w:rFonts w:eastAsia="Calibri"/>
          <w:lang w:eastAsia="en-US"/>
        </w:rPr>
        <w:t>Interactions with Pillar 2 reform</w:t>
      </w:r>
    </w:p>
    <w:p w14:paraId="3F0BD548" w14:textId="58E86C08" w:rsidR="003F2E70" w:rsidRDefault="0016156C" w:rsidP="00926982">
      <w:pPr>
        <w:pStyle w:val="NumberedParagraph"/>
      </w:pPr>
      <w:r>
        <w:t>Under the OECD’s Pillar 2 tax reforms,</w:t>
      </w:r>
      <w:r w:rsidR="00984171">
        <w:t xml:space="preserve"> large </w:t>
      </w:r>
      <w:r w:rsidR="005B4EEE">
        <w:t>multinational enterprises operating in New Zealand are likely to become subject to a global minimum tax of 15%.</w:t>
      </w:r>
      <w:r w:rsidR="00985A4D">
        <w:t xml:space="preserve"> This means that if the tax rate in New Zealand falls below 15%</w:t>
      </w:r>
      <w:r w:rsidR="007E61D8">
        <w:t>, there will normally be additional taxes to pay overseas. If this applied to reductions in tax brought about by New Zealand adopting accelerated depreciation provisions</w:t>
      </w:r>
      <w:r w:rsidR="00623533">
        <w:t>,</w:t>
      </w:r>
      <w:r w:rsidR="007E61D8">
        <w:t xml:space="preserve"> this might </w:t>
      </w:r>
      <w:r w:rsidR="00303924">
        <w:t>make accelerated depreciation provisions a cost</w:t>
      </w:r>
      <w:r w:rsidR="00C1673E">
        <w:t>-</w:t>
      </w:r>
      <w:r w:rsidR="00303924">
        <w:t>ineffective way of promoting investment because lower taxes paid in New Zealand might be offset by higher taxes paid abroad. However,</w:t>
      </w:r>
      <w:r w:rsidR="00AE6ABC">
        <w:t xml:space="preserve"> the Pillar 2 rules explicitly exclude </w:t>
      </w:r>
      <w:r w:rsidR="00AB11FF">
        <w:t>timing differences brought about by measures such as accelerated depreciation. Thus, if the company tax rate in New Zealand falls below 15% because of accelerated depreciation measures, this will not trigger additional taxes overseas. Thus,</w:t>
      </w:r>
      <w:r w:rsidR="00780E27">
        <w:t xml:space="preserve"> the Pillar 2 rules would not interfere with the effectiveness of accelerated depreciation as a means of promoting investment.</w:t>
      </w:r>
    </w:p>
    <w:p w14:paraId="108E532B" w14:textId="5166BA69" w:rsidR="00926982" w:rsidRPr="005D720D" w:rsidRDefault="003F2E70" w:rsidP="00926982">
      <w:pPr>
        <w:pStyle w:val="NumberedParagraph"/>
      </w:pPr>
      <w:r>
        <w:t xml:space="preserve">By contrast, if a country were to provide an investment allowance </w:t>
      </w:r>
      <w:r w:rsidR="00DF5949">
        <w:t>that was</w:t>
      </w:r>
      <w:r>
        <w:t xml:space="preserve"> a deduction in addition to </w:t>
      </w:r>
      <w:r w:rsidR="0012227D">
        <w:t>deprecia</w:t>
      </w:r>
      <w:r>
        <w:t xml:space="preserve">tion, this </w:t>
      </w:r>
      <w:r w:rsidR="008F13A0">
        <w:t xml:space="preserve">could trigger additional taxes overseas. </w:t>
      </w:r>
      <w:r w:rsidR="000B37C0">
        <w:t xml:space="preserve">The Pillar 2 changes will make it relatively more attractive to promote investment by accelerated depreciation </w:t>
      </w:r>
      <w:r w:rsidR="00A31A5F">
        <w:t xml:space="preserve">rather </w:t>
      </w:r>
      <w:r w:rsidR="000B37C0">
        <w:t>than by an investment allowance.</w:t>
      </w:r>
    </w:p>
    <w:p w14:paraId="25B086AD" w14:textId="0AE69B73" w:rsidR="001B3AE0" w:rsidRPr="005D720D" w:rsidRDefault="001B3AE0" w:rsidP="00926982">
      <w:pPr>
        <w:pStyle w:val="Heading2"/>
        <w:rPr>
          <w:rFonts w:eastAsia="Calibri"/>
          <w:lang w:eastAsia="en-US"/>
        </w:rPr>
      </w:pPr>
      <w:bookmarkStart w:id="52" w:name="_Toc112857430"/>
      <w:r w:rsidRPr="005D720D">
        <w:rPr>
          <w:rFonts w:eastAsia="Calibri"/>
          <w:lang w:eastAsia="en-US"/>
        </w:rPr>
        <w:t>International experience</w:t>
      </w:r>
      <w:bookmarkEnd w:id="52"/>
    </w:p>
    <w:p w14:paraId="002B57C2" w14:textId="3AF93BDE" w:rsidR="001B3AE0" w:rsidRPr="005D720D" w:rsidRDefault="001B3AE0" w:rsidP="001B3AE0">
      <w:pPr>
        <w:pStyle w:val="Heading3"/>
        <w:rPr>
          <w:rFonts w:eastAsia="Calibri"/>
          <w:lang w:eastAsia="en-US"/>
        </w:rPr>
      </w:pPr>
      <w:r w:rsidRPr="005D720D">
        <w:rPr>
          <w:rFonts w:eastAsia="Calibri"/>
          <w:lang w:eastAsia="en-US"/>
        </w:rPr>
        <w:t>United States</w:t>
      </w:r>
    </w:p>
    <w:p w14:paraId="19D26B8F" w14:textId="25455516" w:rsidR="001B3AE0" w:rsidRPr="005D720D" w:rsidRDefault="001B3AE0" w:rsidP="00075D72">
      <w:pPr>
        <w:pStyle w:val="NumberedParagraph"/>
      </w:pPr>
      <w:r w:rsidRPr="005D720D">
        <w:t>The United States introduced a partial expensing scheme</w:t>
      </w:r>
      <w:r w:rsidR="002F788D">
        <w:t>,</w:t>
      </w:r>
      <w:r w:rsidR="002F788D" w:rsidRPr="005D720D">
        <w:t xml:space="preserve"> which it referred to as “bonus depreciation”</w:t>
      </w:r>
      <w:r w:rsidR="002F788D">
        <w:t>,</w:t>
      </w:r>
      <w:r w:rsidRPr="005D720D">
        <w:t xml:space="preserve"> for certain forms of qualifying expenditure in two tax changes in 2002 and 2003. Under the 2002 change, 30% of qualifying capital expenditure could be expensed</w:t>
      </w:r>
      <w:r w:rsidR="00F04413">
        <w:t>,</w:t>
      </w:r>
      <w:r w:rsidRPr="005D720D">
        <w:t xml:space="preserve"> and this was increased to 50% in the 2003 change. Qualifying assets were investments in new machinery and equipment but not buildings. </w:t>
      </w:r>
      <w:r w:rsidRPr="005D720D" w:rsidDel="003345B7">
        <w:t>This bonus depreciation scheme terminated at the end of 2004</w:t>
      </w:r>
      <w:r w:rsidR="005F08D8">
        <w:t>,</w:t>
      </w:r>
      <w:r w:rsidRPr="005D720D">
        <w:t xml:space="preserve"> but</w:t>
      </w:r>
      <w:r w:rsidRPr="005D720D" w:rsidDel="003345B7">
        <w:t xml:space="preserve"> in 2008</w:t>
      </w:r>
      <w:r w:rsidR="00BB7693">
        <w:t>,</w:t>
      </w:r>
      <w:r w:rsidRPr="005D720D" w:rsidDel="003345B7">
        <w:t xml:space="preserve"> bonus depreciation measures were reintroduced and the fraction of investment that can be expensed has varied</w:t>
      </w:r>
      <w:r w:rsidRPr="005D720D">
        <w:t xml:space="preserve"> since then. Currently</w:t>
      </w:r>
      <w:r w:rsidR="00BB7693">
        <w:t>,</w:t>
      </w:r>
      <w:r w:rsidRPr="005D720D">
        <w:t xml:space="preserve"> </w:t>
      </w:r>
      <w:r w:rsidRPr="005D720D">
        <w:lastRenderedPageBreak/>
        <w:t xml:space="preserve">100% of qualifying expenditure can be expensed. As has been discussed, full expensing will involve negative EMTRs and a tax subsidy for investment </w:t>
      </w:r>
      <w:r w:rsidR="00F26BF5">
        <w:t>that</w:t>
      </w:r>
      <w:r w:rsidRPr="005D720D">
        <w:t xml:space="preserve"> is partially debt financed.</w:t>
      </w:r>
    </w:p>
    <w:p w14:paraId="38750004" w14:textId="6FDDF1B3" w:rsidR="001B3AE0" w:rsidRPr="005D720D" w:rsidRDefault="001B3AE0" w:rsidP="001B3AE0">
      <w:pPr>
        <w:pStyle w:val="Heading3"/>
        <w:rPr>
          <w:rFonts w:eastAsia="Calibri"/>
          <w:lang w:eastAsia="en-US"/>
        </w:rPr>
      </w:pPr>
      <w:r w:rsidRPr="005D720D">
        <w:rPr>
          <w:rFonts w:eastAsia="Calibri"/>
          <w:lang w:eastAsia="en-US"/>
        </w:rPr>
        <w:t>Australia</w:t>
      </w:r>
    </w:p>
    <w:p w14:paraId="7B8E6658" w14:textId="2A23BCB1" w:rsidR="001B3AE0" w:rsidRPr="005D720D" w:rsidRDefault="001B3AE0" w:rsidP="00075D72">
      <w:pPr>
        <w:pStyle w:val="NumberedParagraph"/>
      </w:pPr>
      <w:bookmarkStart w:id="53" w:name="_Hlk107491973"/>
      <w:r w:rsidRPr="005D720D">
        <w:t>Australia introduced a partial expensing scheme as part of its response to C</w:t>
      </w:r>
      <w:r w:rsidR="00F26BF5">
        <w:t>OVID</w:t>
      </w:r>
      <w:r w:rsidRPr="005D720D">
        <w:t>-19. Under the Australian legislation, 50% of the cost of qualifying assets c</w:t>
      </w:r>
      <w:r w:rsidR="001B1C09">
        <w:t>ould</w:t>
      </w:r>
      <w:r w:rsidRPr="005D720D">
        <w:t xml:space="preserve"> be expensed. Qualifying assets include</w:t>
      </w:r>
      <w:r w:rsidR="001B1C09">
        <w:t>d</w:t>
      </w:r>
      <w:r w:rsidRPr="005D720D">
        <w:t xml:space="preserve"> new machinery and equipment but not buildings. </w:t>
      </w:r>
      <w:r w:rsidR="00C35A0F">
        <w:t>T</w:t>
      </w:r>
      <w:r w:rsidRPr="005D720D">
        <w:t>o qualify, assets need</w:t>
      </w:r>
      <w:r w:rsidR="001B1C09">
        <w:t>ed</w:t>
      </w:r>
      <w:r w:rsidRPr="005D720D">
        <w:t xml:space="preserve"> to </w:t>
      </w:r>
      <w:r w:rsidR="00C12944">
        <w:t xml:space="preserve">have </w:t>
      </w:r>
      <w:r w:rsidRPr="005D720D">
        <w:t>be</w:t>
      </w:r>
      <w:r w:rsidR="00C12944">
        <w:t>en</w:t>
      </w:r>
      <w:r w:rsidRPr="005D720D">
        <w:t xml:space="preserve"> first held on or after 12</w:t>
      </w:r>
      <w:r w:rsidR="00602CBD">
        <w:t> </w:t>
      </w:r>
      <w:r w:rsidRPr="005D720D">
        <w:t xml:space="preserve">March 2020 and first used or installed and available for use by 30 June 2021. </w:t>
      </w:r>
      <w:r w:rsidR="00401CCC">
        <w:t>T</w:t>
      </w:r>
      <w:r w:rsidRPr="005D720D">
        <w:t>o qualify for this incentive, firms need</w:t>
      </w:r>
      <w:r w:rsidR="001B1C09">
        <w:t>ed</w:t>
      </w:r>
      <w:r w:rsidRPr="005D720D">
        <w:t xml:space="preserve"> to have a turnover of less than $</w:t>
      </w:r>
      <w:r w:rsidR="00455437" w:rsidRPr="005D720D">
        <w:t>50</w:t>
      </w:r>
      <w:r w:rsidR="00455437">
        <w:t> </w:t>
      </w:r>
      <w:r w:rsidRPr="005D720D">
        <w:t>million. (In addition, Australia offered immediate capital write</w:t>
      </w:r>
      <w:r w:rsidR="00A1581C">
        <w:t>-</w:t>
      </w:r>
      <w:r w:rsidRPr="005D720D">
        <w:t>off to these firms for assets costing less than $150</w:t>
      </w:r>
      <w:r w:rsidR="00F5347F">
        <w:t>,</w:t>
      </w:r>
      <w:r w:rsidRPr="005D720D">
        <w:t>000 acquired between 12 March 2020 and 30</w:t>
      </w:r>
      <w:r w:rsidR="00602CBD">
        <w:t> </w:t>
      </w:r>
      <w:r w:rsidRPr="005D720D">
        <w:t>June 2020</w:t>
      </w:r>
      <w:r w:rsidR="00A734B3">
        <w:t>.</w:t>
      </w:r>
      <w:r w:rsidRPr="005D720D">
        <w:t>)</w:t>
      </w:r>
      <w:r w:rsidR="00DA1A88">
        <w:t xml:space="preserve"> There is </w:t>
      </w:r>
      <w:r w:rsidR="001B1C09">
        <w:t>now</w:t>
      </w:r>
      <w:r w:rsidR="00DA1A88">
        <w:t xml:space="preserve"> a temporary </w:t>
      </w:r>
      <w:r w:rsidR="004A6160">
        <w:t xml:space="preserve">full </w:t>
      </w:r>
      <w:r w:rsidR="00DA1A88">
        <w:t>expensing provision under which firms with turnovers below $5</w:t>
      </w:r>
      <w:r w:rsidR="00541513">
        <w:t xml:space="preserve"> billion can immediately deduct the cost of </w:t>
      </w:r>
      <w:r w:rsidR="001B1C09">
        <w:t xml:space="preserve">eligible </w:t>
      </w:r>
      <w:r w:rsidR="00541513">
        <w:t>new depreciating assets.</w:t>
      </w:r>
      <w:r w:rsidR="008A4DEA">
        <w:t xml:space="preserve"> The eligible new assets must be first hel</w:t>
      </w:r>
      <w:r w:rsidR="005758B0">
        <w:t xml:space="preserve">d and first used or installed ready for use between October 2020 and June 2023. For firms with turnovers </w:t>
      </w:r>
      <w:r w:rsidR="004A6160">
        <w:t>of less than $50 million, tempo</w:t>
      </w:r>
      <w:r w:rsidR="0000424A">
        <w:t>rary full expensing also applies to eligible second-hand depreciating assets.</w:t>
      </w:r>
    </w:p>
    <w:p w14:paraId="20F9443E" w14:textId="77777777" w:rsidR="001B3AE0" w:rsidRPr="005D720D" w:rsidRDefault="001B3AE0" w:rsidP="001B3AE0">
      <w:pPr>
        <w:pStyle w:val="Heading2"/>
        <w:rPr>
          <w:rFonts w:eastAsia="Calibri"/>
          <w:lang w:eastAsia="en-US"/>
        </w:rPr>
      </w:pPr>
      <w:bookmarkStart w:id="54" w:name="_Toc112857431"/>
      <w:bookmarkEnd w:id="53"/>
      <w:r w:rsidRPr="005D720D">
        <w:rPr>
          <w:rFonts w:eastAsia="Calibri"/>
          <w:lang w:eastAsia="en-US"/>
        </w:rPr>
        <w:t>Pros and cons of accelerated depreciation</w:t>
      </w:r>
      <w:bookmarkEnd w:id="54"/>
    </w:p>
    <w:p w14:paraId="15BBC52F" w14:textId="6A7E7E72" w:rsidR="001B3AE0" w:rsidRPr="005D720D" w:rsidRDefault="001B3AE0" w:rsidP="00075D72">
      <w:pPr>
        <w:pStyle w:val="NumberedParagraph"/>
      </w:pPr>
      <w:r w:rsidRPr="005D720D">
        <w:t>Both forms of accelerated depreciation reduce some of the higher costs of capital and EMTRs. They both could be targeted at new investment</w:t>
      </w:r>
      <w:r w:rsidR="009F6F65">
        <w:t>,</w:t>
      </w:r>
      <w:r w:rsidRPr="005D720D">
        <w:t xml:space="preserve"> which would limit windfall gains to those with sunk investments and limit the fiscal costs of the measures. Of the two schemes, depreciation loading would probably be better targeted at reducing costs of capital and EMTRs on the most</w:t>
      </w:r>
      <w:r w:rsidR="00303627">
        <w:t xml:space="preserve"> </w:t>
      </w:r>
      <w:r w:rsidRPr="005D720D">
        <w:t>heavily taxed depreciable assets.</w:t>
      </w:r>
    </w:p>
    <w:p w14:paraId="5F885A90" w14:textId="2AC075B6" w:rsidR="001B3AE0" w:rsidRPr="005D720D" w:rsidRDefault="001B3AE0" w:rsidP="00075D72">
      <w:pPr>
        <w:pStyle w:val="NumberedParagraph"/>
      </w:pPr>
      <w:r w:rsidRPr="005D720D">
        <w:t>An important question is whether accelerated depreciation measures merely reduce high positive EMTRs or go further and produce negative EMTRs. With 20% loading or 20% partial expensing</w:t>
      </w:r>
      <w:r w:rsidR="00AB7B8F">
        <w:t>,</w:t>
      </w:r>
      <w:r w:rsidRPr="005D720D">
        <w:t xml:space="preserve"> accelerated depreciation would appear to be reducing higher EMTRs without making EMTRs negative (at least at average debt levels). However, with high enough levels of depreciation loading or partial expensing, EMTRs can become negative.</w:t>
      </w:r>
    </w:p>
    <w:p w14:paraId="0D0732E3" w14:textId="3D8B685E" w:rsidR="001B3AE0" w:rsidRPr="005D720D" w:rsidRDefault="001B3AE0" w:rsidP="00075D72">
      <w:pPr>
        <w:pStyle w:val="NumberedParagraph"/>
      </w:pPr>
      <w:r w:rsidRPr="005D720D">
        <w:t>For example</w:t>
      </w:r>
      <w:r w:rsidR="00DB050E">
        <w:t>,</w:t>
      </w:r>
      <w:r w:rsidRPr="005D720D">
        <w:t xml:space="preserve"> with full expensing, EMTRs in table </w:t>
      </w:r>
      <w:r>
        <w:t xml:space="preserve">7.1 </w:t>
      </w:r>
      <w:r w:rsidRPr="005D720D">
        <w:t>would fall to -23.3% and investment would be subsidised. It would be attractive at the margin for firms to be acquiring funds at a cost of 3% net of New Zealand taxes and investing these in investments earning only 2.43%. Even though this investment would be adding to capital stock</w:t>
      </w:r>
      <w:r w:rsidR="00B90CE2">
        <w:t>,</w:t>
      </w:r>
      <w:r w:rsidRPr="005D720D">
        <w:t xml:space="preserve"> which would support greater labour productivity, borrowing at 3% to earn 2.43% is likely to be inefficient.</w:t>
      </w:r>
    </w:p>
    <w:p w14:paraId="6837E982" w14:textId="081449B4" w:rsidR="001B3AE0" w:rsidRPr="005D720D" w:rsidRDefault="001B3AE0" w:rsidP="00075D72">
      <w:pPr>
        <w:pStyle w:val="NumberedParagraph"/>
      </w:pPr>
      <w:r w:rsidRPr="005D720D">
        <w:t xml:space="preserve">There is also a question about the effects of accelerated depreciation for </w:t>
      </w:r>
      <w:r>
        <w:t>firms where non-residents are unlikely to be marginal shareholders. In chapter 4</w:t>
      </w:r>
      <w:r w:rsidR="00E86014">
        <w:t>,</w:t>
      </w:r>
      <w:r>
        <w:t xml:space="preserve"> we discussed </w:t>
      </w:r>
      <w:r w:rsidRPr="005D720D">
        <w:t>SMEs owned by domestic residents</w:t>
      </w:r>
      <w:r>
        <w:t xml:space="preserve"> where the individuals would otherwise invest in interest-bearing securities</w:t>
      </w:r>
      <w:r w:rsidRPr="005D720D">
        <w:t>. As discussed in chapter 4 in table</w:t>
      </w:r>
      <w:r w:rsidR="00AF694D">
        <w:t> </w:t>
      </w:r>
      <w:r>
        <w:t>4.</w:t>
      </w:r>
      <w:r w:rsidR="004E2976">
        <w:t>4</w:t>
      </w:r>
      <w:r w:rsidRPr="005D720D">
        <w:t xml:space="preserve">, these </w:t>
      </w:r>
      <w:r w:rsidR="00611210">
        <w:t xml:space="preserve">firms </w:t>
      </w:r>
      <w:r w:rsidRPr="005D720D">
        <w:t>may have incentives to invest at risk-adjusted rates of return that are lower than the interest rate. Negative EMTRs can arise for these firms even if investment is fully equity financed. An unattractive feature of accelerated depreciation measures is that they can increase investment subsidies for such firms.</w:t>
      </w:r>
    </w:p>
    <w:p w14:paraId="4405FF29" w14:textId="272A9FAC" w:rsidR="001B3AE0" w:rsidRDefault="001B3AE0" w:rsidP="00075D72">
      <w:pPr>
        <w:pStyle w:val="NumberedParagraph"/>
      </w:pPr>
      <w:r w:rsidRPr="005D720D">
        <w:t xml:space="preserve">Table </w:t>
      </w:r>
      <w:r>
        <w:t xml:space="preserve">7.2 </w:t>
      </w:r>
      <w:r w:rsidRPr="005D720D">
        <w:t xml:space="preserve">examines costs of capital and EMTRs for </w:t>
      </w:r>
      <w:r>
        <w:t xml:space="preserve">such </w:t>
      </w:r>
      <w:r w:rsidRPr="005D720D">
        <w:t>SMEs owned by domestic residents on a marginal tax rate of 33%</w:t>
      </w:r>
      <w:r>
        <w:t>. It considers the</w:t>
      </w:r>
      <w:r w:rsidRPr="005D720D">
        <w:t xml:space="preserve"> case where these SMEs are fully distributing taxable earnings. As in </w:t>
      </w:r>
      <w:r w:rsidR="00B638F1">
        <w:t>t</w:t>
      </w:r>
      <w:r w:rsidRPr="005D720D">
        <w:t>able 4.</w:t>
      </w:r>
      <w:r w:rsidR="003F04EC">
        <w:t>3</w:t>
      </w:r>
      <w:r w:rsidRPr="005D720D">
        <w:t>, it is assumed that the world real interest rate is 3.0%</w:t>
      </w:r>
      <w:r w:rsidR="007C35E3">
        <w:t xml:space="preserve"> but th</w:t>
      </w:r>
      <w:r w:rsidR="00622150">
        <w:t xml:space="preserve">e domestic </w:t>
      </w:r>
      <w:r w:rsidR="00CE54CF">
        <w:t xml:space="preserve">real </w:t>
      </w:r>
      <w:r w:rsidR="00622150">
        <w:t xml:space="preserve">interest rate </w:t>
      </w:r>
      <w:r w:rsidR="007C35E3">
        <w:t xml:space="preserve">is bid up by AIL to </w:t>
      </w:r>
      <w:r w:rsidR="00622150">
        <w:t>3.10% with 2% inflation.</w:t>
      </w:r>
      <w:r w:rsidRPr="005D720D">
        <w:t xml:space="preserve"> Owners of the SME</w:t>
      </w:r>
      <w:r>
        <w:t>s</w:t>
      </w:r>
      <w:r w:rsidRPr="005D720D">
        <w:t xml:space="preserve"> can borrow or </w:t>
      </w:r>
      <w:r w:rsidRPr="005D720D">
        <w:lastRenderedPageBreak/>
        <w:t xml:space="preserve">lend at this real interest rate. We compare the status quo with </w:t>
      </w:r>
      <w:r w:rsidR="00022727" w:rsidRPr="005D720D">
        <w:t>either</w:t>
      </w:r>
      <w:r w:rsidR="00AF694D">
        <w:t xml:space="preserve"> </w:t>
      </w:r>
      <w:r w:rsidRPr="005D720D">
        <w:t>20% depreciation loading or 20% partial expensing.</w:t>
      </w:r>
    </w:p>
    <w:p w14:paraId="133D1EA0" w14:textId="15882015" w:rsidR="00DD58D8" w:rsidRPr="005D720D" w:rsidRDefault="00DD58D8" w:rsidP="00DD58D8">
      <w:pPr>
        <w:pStyle w:val="Caption"/>
      </w:pPr>
      <w:r>
        <w:t>Table 7.2: Costs of capital and EMTRs for domestic SMEs without foreign marginal shareholders</w:t>
      </w:r>
      <w:r w:rsidR="000605C5">
        <w:t>,</w:t>
      </w:r>
      <w:r>
        <w:t xml:space="preserve"> full distribution, m = 33%, AIL = 2%</w:t>
      </w:r>
    </w:p>
    <w:tbl>
      <w:tblPr>
        <w:tblStyle w:val="TableGrid"/>
        <w:tblW w:w="9781" w:type="dxa"/>
        <w:tblInd w:w="-5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8" w:type="dxa"/>
          <w:right w:w="28" w:type="dxa"/>
        </w:tblCellMar>
        <w:tblLook w:val="04A0" w:firstRow="1" w:lastRow="0" w:firstColumn="1" w:lastColumn="0" w:noHBand="0" w:noVBand="1"/>
      </w:tblPr>
      <w:tblGrid>
        <w:gridCol w:w="1347"/>
        <w:gridCol w:w="992"/>
        <w:gridCol w:w="737"/>
        <w:gridCol w:w="681"/>
        <w:gridCol w:w="651"/>
        <w:gridCol w:w="666"/>
        <w:gridCol w:w="667"/>
        <w:gridCol w:w="1134"/>
        <w:gridCol w:w="851"/>
        <w:gridCol w:w="1134"/>
        <w:gridCol w:w="921"/>
      </w:tblGrid>
      <w:tr w:rsidR="005D47F0" w:rsidRPr="008F735E" w14:paraId="33E4F114" w14:textId="77777777" w:rsidTr="00740A34">
        <w:trPr>
          <w:tblHeader/>
        </w:trPr>
        <w:tc>
          <w:tcPr>
            <w:tcW w:w="1347" w:type="dxa"/>
            <w:shd w:val="clear" w:color="auto" w:fill="232E36"/>
          </w:tcPr>
          <w:p w14:paraId="210F29E4" w14:textId="307B4B17" w:rsidR="001337AC" w:rsidRPr="008F735E" w:rsidRDefault="001337AC" w:rsidP="00492740">
            <w:pPr>
              <w:rPr>
                <w:color w:val="FFFFFF" w:themeColor="background1"/>
                <w:sz w:val="14"/>
                <w:szCs w:val="14"/>
              </w:rPr>
            </w:pPr>
          </w:p>
        </w:tc>
        <w:tc>
          <w:tcPr>
            <w:tcW w:w="992" w:type="dxa"/>
            <w:shd w:val="clear" w:color="auto" w:fill="232E36"/>
          </w:tcPr>
          <w:p w14:paraId="5DC6DD9A" w14:textId="77777777" w:rsidR="000319DE" w:rsidRPr="008F735E" w:rsidRDefault="000319DE"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Commercial and industrial buildings</w:t>
            </w:r>
          </w:p>
        </w:tc>
        <w:tc>
          <w:tcPr>
            <w:tcW w:w="3402" w:type="dxa"/>
            <w:gridSpan w:val="5"/>
            <w:shd w:val="clear" w:color="auto" w:fill="232E36"/>
          </w:tcPr>
          <w:p w14:paraId="31304B9E" w14:textId="77777777" w:rsidR="000319DE" w:rsidRPr="008F735E" w:rsidRDefault="000319DE"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 xml:space="preserve">Plant, </w:t>
            </w:r>
            <w:proofErr w:type="gramStart"/>
            <w:r w:rsidRPr="008F735E">
              <w:rPr>
                <w:b/>
                <w:bCs/>
                <w:color w:val="FFFFFF" w:themeColor="background1"/>
                <w:sz w:val="14"/>
                <w:szCs w:val="14"/>
              </w:rPr>
              <w:t>machinery</w:t>
            </w:r>
            <w:proofErr w:type="gramEnd"/>
            <w:r w:rsidRPr="008F735E">
              <w:rPr>
                <w:b/>
                <w:bCs/>
                <w:color w:val="FFFFFF" w:themeColor="background1"/>
                <w:sz w:val="14"/>
                <w:szCs w:val="14"/>
              </w:rPr>
              <w:t xml:space="preserve"> and equipment</w:t>
            </w:r>
          </w:p>
        </w:tc>
        <w:tc>
          <w:tcPr>
            <w:tcW w:w="1134" w:type="dxa"/>
            <w:shd w:val="clear" w:color="auto" w:fill="232E36"/>
          </w:tcPr>
          <w:p w14:paraId="24D1AABE" w14:textId="77777777" w:rsidR="000319DE" w:rsidRPr="008F735E" w:rsidRDefault="000319DE"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Zero</w:t>
            </w:r>
            <w:r>
              <w:rPr>
                <w:b/>
                <w:bCs/>
                <w:color w:val="FFFFFF" w:themeColor="background1"/>
                <w:sz w:val="14"/>
                <w:szCs w:val="14"/>
              </w:rPr>
              <w:t>-</w:t>
            </w:r>
            <w:r w:rsidRPr="008F735E">
              <w:rPr>
                <w:b/>
                <w:bCs/>
                <w:color w:val="FFFFFF" w:themeColor="background1"/>
                <w:sz w:val="14"/>
                <w:szCs w:val="14"/>
              </w:rPr>
              <w:t>depreciating assets</w:t>
            </w:r>
          </w:p>
        </w:tc>
        <w:tc>
          <w:tcPr>
            <w:tcW w:w="851" w:type="dxa"/>
            <w:shd w:val="clear" w:color="auto" w:fill="232E36"/>
          </w:tcPr>
          <w:p w14:paraId="1A8FF34C" w14:textId="77777777" w:rsidR="000319DE" w:rsidRPr="008F735E" w:rsidRDefault="000319DE"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Inventory</w:t>
            </w:r>
          </w:p>
        </w:tc>
        <w:tc>
          <w:tcPr>
            <w:tcW w:w="1134" w:type="dxa"/>
            <w:shd w:val="clear" w:color="auto" w:fill="232E36"/>
          </w:tcPr>
          <w:p w14:paraId="1F756DE6" w14:textId="77777777" w:rsidR="000319DE" w:rsidRPr="008F735E" w:rsidRDefault="000319DE"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Appreciating assets</w:t>
            </w:r>
          </w:p>
        </w:tc>
        <w:tc>
          <w:tcPr>
            <w:tcW w:w="921" w:type="dxa"/>
            <w:shd w:val="clear" w:color="auto" w:fill="232E36"/>
          </w:tcPr>
          <w:p w14:paraId="7705C860" w14:textId="77777777" w:rsidR="000319DE" w:rsidRPr="008F735E" w:rsidRDefault="000319DE"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Expensing</w:t>
            </w:r>
          </w:p>
        </w:tc>
      </w:tr>
      <w:tr w:rsidR="000319DE" w:rsidRPr="008F735E" w14:paraId="29871F00" w14:textId="77777777" w:rsidTr="00740A34">
        <w:tc>
          <w:tcPr>
            <w:tcW w:w="1347" w:type="dxa"/>
            <w:shd w:val="clear" w:color="auto" w:fill="auto"/>
            <w:vAlign w:val="bottom"/>
          </w:tcPr>
          <w:p w14:paraId="71015CD0" w14:textId="77777777" w:rsidR="000319DE" w:rsidRPr="00A5296E" w:rsidRDefault="000319DE" w:rsidP="00345DEF">
            <w:pPr>
              <w:keepNext/>
              <w:keepLines/>
              <w:tabs>
                <w:tab w:val="left" w:pos="106"/>
              </w:tabs>
              <w:spacing w:before="60" w:after="60"/>
              <w:rPr>
                <w:rStyle w:val="Strong"/>
                <w:b w:val="0"/>
                <w:bCs w:val="0"/>
                <w:sz w:val="14"/>
                <w:szCs w:val="14"/>
              </w:rPr>
            </w:pPr>
            <w:r>
              <w:rPr>
                <w:rStyle w:val="Strong"/>
                <w:sz w:val="14"/>
                <w:szCs w:val="14"/>
              </w:rPr>
              <w:t>d</w:t>
            </w:r>
          </w:p>
        </w:tc>
        <w:tc>
          <w:tcPr>
            <w:tcW w:w="992" w:type="dxa"/>
            <w:vAlign w:val="center"/>
          </w:tcPr>
          <w:p w14:paraId="5C527B84" w14:textId="77777777" w:rsidR="000319DE" w:rsidRPr="008F735E" w:rsidRDefault="000319DE" w:rsidP="00345DEF">
            <w:pPr>
              <w:keepNext/>
              <w:keepLines/>
              <w:tabs>
                <w:tab w:val="decimal" w:pos="256"/>
              </w:tabs>
              <w:spacing w:before="60" w:after="60"/>
              <w:jc w:val="center"/>
              <w:rPr>
                <w:sz w:val="14"/>
                <w:szCs w:val="14"/>
              </w:rPr>
            </w:pPr>
            <w:r w:rsidRPr="008F735E">
              <w:rPr>
                <w:sz w:val="14"/>
                <w:szCs w:val="14"/>
              </w:rPr>
              <w:t>2.69%</w:t>
            </w:r>
          </w:p>
        </w:tc>
        <w:tc>
          <w:tcPr>
            <w:tcW w:w="737" w:type="dxa"/>
            <w:vAlign w:val="center"/>
          </w:tcPr>
          <w:p w14:paraId="63595CC7" w14:textId="77777777" w:rsidR="000319DE" w:rsidRPr="008F735E" w:rsidRDefault="000319DE" w:rsidP="00345DEF">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764938B9" w14:textId="77777777" w:rsidR="000319DE" w:rsidRPr="008F735E" w:rsidRDefault="000319DE" w:rsidP="00345DEF">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721209C4" w14:textId="77777777" w:rsidR="000319DE" w:rsidRPr="008F735E" w:rsidRDefault="000319DE" w:rsidP="00345DEF">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390D8815" w14:textId="77777777" w:rsidR="000319DE" w:rsidRPr="008F735E" w:rsidRDefault="000319DE" w:rsidP="00345DEF">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572A6C69" w14:textId="77777777" w:rsidR="000319DE" w:rsidRPr="008F735E" w:rsidRDefault="000319DE" w:rsidP="00345DEF">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118DEFBC" w14:textId="77777777" w:rsidR="000319DE" w:rsidRPr="008F735E" w:rsidRDefault="000319DE" w:rsidP="00345DEF">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0D32AEE1" w14:textId="77777777" w:rsidR="000319DE" w:rsidRPr="008F735E" w:rsidRDefault="000319DE" w:rsidP="00345DEF">
            <w:pPr>
              <w:keepNext/>
              <w:keepLines/>
              <w:tabs>
                <w:tab w:val="decimal" w:pos="256"/>
              </w:tabs>
              <w:spacing w:before="60" w:after="60"/>
              <w:jc w:val="center"/>
              <w:rPr>
                <w:sz w:val="14"/>
                <w:szCs w:val="14"/>
              </w:rPr>
            </w:pPr>
          </w:p>
        </w:tc>
        <w:tc>
          <w:tcPr>
            <w:tcW w:w="1134" w:type="dxa"/>
            <w:vAlign w:val="center"/>
          </w:tcPr>
          <w:p w14:paraId="6C6BAE53" w14:textId="77777777" w:rsidR="000319DE" w:rsidRPr="008F735E" w:rsidRDefault="000319DE" w:rsidP="00345DEF">
            <w:pPr>
              <w:keepNext/>
              <w:keepLines/>
              <w:tabs>
                <w:tab w:val="decimal" w:pos="256"/>
              </w:tabs>
              <w:spacing w:before="60" w:after="60"/>
              <w:jc w:val="center"/>
              <w:rPr>
                <w:sz w:val="14"/>
                <w:szCs w:val="14"/>
              </w:rPr>
            </w:pPr>
            <w:r w:rsidRPr="008F735E">
              <w:rPr>
                <w:sz w:val="14"/>
                <w:szCs w:val="14"/>
              </w:rPr>
              <w:t>-1.00%</w:t>
            </w:r>
          </w:p>
        </w:tc>
        <w:tc>
          <w:tcPr>
            <w:tcW w:w="921" w:type="dxa"/>
            <w:vAlign w:val="center"/>
          </w:tcPr>
          <w:p w14:paraId="7A0B9604" w14:textId="77777777" w:rsidR="000319DE" w:rsidRPr="008F735E" w:rsidRDefault="000319DE" w:rsidP="00345DEF">
            <w:pPr>
              <w:keepNext/>
              <w:keepLines/>
              <w:tabs>
                <w:tab w:val="decimal" w:pos="256"/>
              </w:tabs>
              <w:spacing w:before="60" w:after="60"/>
              <w:jc w:val="center"/>
              <w:rPr>
                <w:sz w:val="14"/>
                <w:szCs w:val="14"/>
              </w:rPr>
            </w:pPr>
          </w:p>
        </w:tc>
      </w:tr>
      <w:tr w:rsidR="000319DE" w:rsidRPr="008F735E" w14:paraId="3A5E51EF" w14:textId="77777777" w:rsidTr="00740A34">
        <w:tc>
          <w:tcPr>
            <w:tcW w:w="1347" w:type="dxa"/>
            <w:shd w:val="clear" w:color="auto" w:fill="auto"/>
            <w:vAlign w:val="bottom"/>
          </w:tcPr>
          <w:p w14:paraId="3FBD0D1B" w14:textId="77777777" w:rsidR="000319DE" w:rsidRPr="00A5296E" w:rsidRDefault="000319DE" w:rsidP="00345DEF">
            <w:pPr>
              <w:keepNext/>
              <w:keepLines/>
              <w:tabs>
                <w:tab w:val="left" w:pos="106"/>
              </w:tabs>
              <w:spacing w:before="60" w:after="60"/>
              <w:rPr>
                <w:rStyle w:val="Strong"/>
                <w:b w:val="0"/>
                <w:bCs w:val="0"/>
                <w:sz w:val="14"/>
                <w:szCs w:val="14"/>
              </w:rPr>
            </w:pPr>
            <w:r>
              <w:rPr>
                <w:rStyle w:val="Strong"/>
                <w:sz w:val="14"/>
                <w:szCs w:val="14"/>
              </w:rPr>
              <w:t>d*</w:t>
            </w:r>
          </w:p>
        </w:tc>
        <w:tc>
          <w:tcPr>
            <w:tcW w:w="992" w:type="dxa"/>
            <w:vAlign w:val="center"/>
          </w:tcPr>
          <w:p w14:paraId="52AC90EF" w14:textId="77777777" w:rsidR="000319DE" w:rsidRPr="008F735E" w:rsidRDefault="000319DE" w:rsidP="00345DEF">
            <w:pPr>
              <w:keepNext/>
              <w:keepLines/>
              <w:tabs>
                <w:tab w:val="decimal" w:pos="256"/>
              </w:tabs>
              <w:spacing w:before="60" w:after="60"/>
              <w:jc w:val="center"/>
              <w:rPr>
                <w:sz w:val="14"/>
                <w:szCs w:val="14"/>
              </w:rPr>
            </w:pPr>
            <w:r w:rsidRPr="008F735E">
              <w:rPr>
                <w:sz w:val="14"/>
                <w:szCs w:val="14"/>
              </w:rPr>
              <w:t>2</w:t>
            </w:r>
            <w:r>
              <w:rPr>
                <w:sz w:val="14"/>
                <w:szCs w:val="14"/>
              </w:rPr>
              <w:t>.00</w:t>
            </w:r>
            <w:r w:rsidRPr="008F735E">
              <w:rPr>
                <w:sz w:val="14"/>
                <w:szCs w:val="14"/>
              </w:rPr>
              <w:t>%</w:t>
            </w:r>
          </w:p>
        </w:tc>
        <w:tc>
          <w:tcPr>
            <w:tcW w:w="737" w:type="dxa"/>
            <w:vAlign w:val="center"/>
          </w:tcPr>
          <w:p w14:paraId="41410FA5" w14:textId="77777777" w:rsidR="000319DE" w:rsidRPr="008F735E" w:rsidRDefault="000319DE" w:rsidP="00345DEF">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7801F937" w14:textId="77777777" w:rsidR="000319DE" w:rsidRPr="008F735E" w:rsidRDefault="000319DE" w:rsidP="00345DEF">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7EC2AFBC" w14:textId="77777777" w:rsidR="000319DE" w:rsidRPr="008F735E" w:rsidRDefault="000319DE" w:rsidP="00345DEF">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0DDCA9C6" w14:textId="77777777" w:rsidR="000319DE" w:rsidRPr="008F735E" w:rsidRDefault="000319DE" w:rsidP="00345DEF">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6569C8C0" w14:textId="77777777" w:rsidR="000319DE" w:rsidRPr="008F735E" w:rsidRDefault="000319DE" w:rsidP="00345DEF">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264753F4" w14:textId="77777777" w:rsidR="000319DE" w:rsidRPr="008F735E" w:rsidRDefault="000319DE" w:rsidP="00345DEF">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196C8831" w14:textId="77777777" w:rsidR="000319DE" w:rsidRPr="008F735E" w:rsidRDefault="000319DE" w:rsidP="00345DEF">
            <w:pPr>
              <w:keepNext/>
              <w:keepLines/>
              <w:tabs>
                <w:tab w:val="decimal" w:pos="256"/>
              </w:tabs>
              <w:spacing w:before="60" w:after="60"/>
              <w:jc w:val="center"/>
              <w:rPr>
                <w:sz w:val="14"/>
                <w:szCs w:val="14"/>
              </w:rPr>
            </w:pPr>
          </w:p>
        </w:tc>
        <w:tc>
          <w:tcPr>
            <w:tcW w:w="1134" w:type="dxa"/>
            <w:vAlign w:val="center"/>
          </w:tcPr>
          <w:p w14:paraId="73B17D64" w14:textId="77777777" w:rsidR="000319DE" w:rsidRPr="008F735E" w:rsidRDefault="000319DE" w:rsidP="00345DEF">
            <w:pPr>
              <w:keepNext/>
              <w:keepLines/>
              <w:tabs>
                <w:tab w:val="decimal" w:pos="256"/>
              </w:tabs>
              <w:spacing w:before="60" w:after="60"/>
              <w:jc w:val="center"/>
              <w:rPr>
                <w:sz w:val="14"/>
                <w:szCs w:val="14"/>
              </w:rPr>
            </w:pPr>
            <w:r w:rsidRPr="008F735E">
              <w:rPr>
                <w:sz w:val="14"/>
                <w:szCs w:val="14"/>
              </w:rPr>
              <w:t>0.00%</w:t>
            </w:r>
          </w:p>
        </w:tc>
        <w:tc>
          <w:tcPr>
            <w:tcW w:w="921" w:type="dxa"/>
            <w:vAlign w:val="center"/>
          </w:tcPr>
          <w:p w14:paraId="7B244B01" w14:textId="77777777" w:rsidR="000319DE" w:rsidRPr="008F735E" w:rsidRDefault="000319DE" w:rsidP="00345DEF">
            <w:pPr>
              <w:keepNext/>
              <w:keepLines/>
              <w:tabs>
                <w:tab w:val="decimal" w:pos="256"/>
              </w:tabs>
              <w:spacing w:before="60" w:after="60"/>
              <w:jc w:val="center"/>
              <w:rPr>
                <w:sz w:val="14"/>
                <w:szCs w:val="14"/>
              </w:rPr>
            </w:pPr>
          </w:p>
        </w:tc>
      </w:tr>
      <w:tr w:rsidR="000319DE" w:rsidRPr="008F735E" w14:paraId="55FA6E86" w14:textId="77777777" w:rsidTr="00740A34">
        <w:tc>
          <w:tcPr>
            <w:tcW w:w="1347" w:type="dxa"/>
            <w:shd w:val="clear" w:color="auto" w:fill="auto"/>
            <w:vAlign w:val="bottom"/>
          </w:tcPr>
          <w:p w14:paraId="4F7A1F4E" w14:textId="77777777" w:rsidR="000319DE" w:rsidRPr="008F735E" w:rsidRDefault="000319DE" w:rsidP="00345DEF">
            <w:pPr>
              <w:keepNext/>
              <w:keepLines/>
              <w:tabs>
                <w:tab w:val="left" w:pos="106"/>
              </w:tabs>
              <w:spacing w:before="60" w:after="60"/>
              <w:rPr>
                <w:b/>
                <w:bCs/>
                <w:sz w:val="14"/>
                <w:szCs w:val="14"/>
              </w:rPr>
            </w:pPr>
            <w:r w:rsidRPr="008F735E">
              <w:rPr>
                <w:b/>
                <w:bCs/>
                <w:sz w:val="14"/>
                <w:szCs w:val="14"/>
              </w:rPr>
              <w:t>Cost</w:t>
            </w:r>
            <w:r>
              <w:rPr>
                <w:b/>
                <w:bCs/>
                <w:sz w:val="14"/>
                <w:szCs w:val="14"/>
              </w:rPr>
              <w:t>s</w:t>
            </w:r>
            <w:r w:rsidRPr="008F735E">
              <w:rPr>
                <w:b/>
                <w:bCs/>
                <w:sz w:val="14"/>
                <w:szCs w:val="14"/>
              </w:rPr>
              <w:t xml:space="preserve"> of capital</w:t>
            </w:r>
          </w:p>
        </w:tc>
        <w:tc>
          <w:tcPr>
            <w:tcW w:w="992" w:type="dxa"/>
            <w:vAlign w:val="center"/>
          </w:tcPr>
          <w:p w14:paraId="1B0FD93E" w14:textId="77777777" w:rsidR="000319DE" w:rsidRPr="008F735E" w:rsidRDefault="000319DE" w:rsidP="00345DEF">
            <w:pPr>
              <w:keepNext/>
              <w:keepLines/>
              <w:tabs>
                <w:tab w:val="decimal" w:pos="256"/>
              </w:tabs>
              <w:spacing w:before="60" w:after="60"/>
              <w:jc w:val="center"/>
              <w:rPr>
                <w:sz w:val="14"/>
                <w:szCs w:val="14"/>
              </w:rPr>
            </w:pPr>
          </w:p>
        </w:tc>
        <w:tc>
          <w:tcPr>
            <w:tcW w:w="737" w:type="dxa"/>
            <w:vAlign w:val="center"/>
          </w:tcPr>
          <w:p w14:paraId="4A0DD433" w14:textId="77777777" w:rsidR="000319DE" w:rsidRPr="008F735E" w:rsidRDefault="000319DE" w:rsidP="00345DEF">
            <w:pPr>
              <w:keepNext/>
              <w:keepLines/>
              <w:tabs>
                <w:tab w:val="decimal" w:pos="256"/>
              </w:tabs>
              <w:spacing w:before="60" w:after="60"/>
              <w:jc w:val="center"/>
              <w:rPr>
                <w:sz w:val="14"/>
                <w:szCs w:val="14"/>
              </w:rPr>
            </w:pPr>
          </w:p>
        </w:tc>
        <w:tc>
          <w:tcPr>
            <w:tcW w:w="681" w:type="dxa"/>
            <w:vAlign w:val="center"/>
          </w:tcPr>
          <w:p w14:paraId="0F92769B" w14:textId="77777777" w:rsidR="000319DE" w:rsidRPr="008F735E" w:rsidRDefault="000319DE" w:rsidP="00345DEF">
            <w:pPr>
              <w:keepNext/>
              <w:keepLines/>
              <w:tabs>
                <w:tab w:val="decimal" w:pos="256"/>
              </w:tabs>
              <w:spacing w:before="60" w:after="60"/>
              <w:jc w:val="center"/>
              <w:rPr>
                <w:sz w:val="14"/>
                <w:szCs w:val="14"/>
              </w:rPr>
            </w:pPr>
          </w:p>
        </w:tc>
        <w:tc>
          <w:tcPr>
            <w:tcW w:w="651" w:type="dxa"/>
            <w:vAlign w:val="center"/>
          </w:tcPr>
          <w:p w14:paraId="00DCD621" w14:textId="77777777" w:rsidR="000319DE" w:rsidRPr="008F735E" w:rsidRDefault="000319DE" w:rsidP="00345DEF">
            <w:pPr>
              <w:keepNext/>
              <w:keepLines/>
              <w:tabs>
                <w:tab w:val="decimal" w:pos="256"/>
              </w:tabs>
              <w:spacing w:before="60" w:after="60"/>
              <w:jc w:val="center"/>
              <w:rPr>
                <w:sz w:val="14"/>
                <w:szCs w:val="14"/>
              </w:rPr>
            </w:pPr>
          </w:p>
        </w:tc>
        <w:tc>
          <w:tcPr>
            <w:tcW w:w="666" w:type="dxa"/>
            <w:vAlign w:val="center"/>
          </w:tcPr>
          <w:p w14:paraId="330F5DD8" w14:textId="77777777" w:rsidR="000319DE" w:rsidRPr="008F735E" w:rsidRDefault="000319DE" w:rsidP="00345DEF">
            <w:pPr>
              <w:keepNext/>
              <w:keepLines/>
              <w:tabs>
                <w:tab w:val="decimal" w:pos="256"/>
              </w:tabs>
              <w:spacing w:before="60" w:after="60"/>
              <w:jc w:val="center"/>
              <w:rPr>
                <w:sz w:val="14"/>
                <w:szCs w:val="14"/>
              </w:rPr>
            </w:pPr>
          </w:p>
        </w:tc>
        <w:tc>
          <w:tcPr>
            <w:tcW w:w="667" w:type="dxa"/>
            <w:vAlign w:val="center"/>
          </w:tcPr>
          <w:p w14:paraId="6F90079A" w14:textId="77777777" w:rsidR="000319DE" w:rsidRPr="008F735E" w:rsidRDefault="000319DE" w:rsidP="00345DEF">
            <w:pPr>
              <w:keepNext/>
              <w:keepLines/>
              <w:tabs>
                <w:tab w:val="decimal" w:pos="256"/>
              </w:tabs>
              <w:spacing w:before="60" w:after="60"/>
              <w:jc w:val="center"/>
              <w:rPr>
                <w:sz w:val="14"/>
                <w:szCs w:val="14"/>
              </w:rPr>
            </w:pPr>
          </w:p>
        </w:tc>
        <w:tc>
          <w:tcPr>
            <w:tcW w:w="1134" w:type="dxa"/>
            <w:vAlign w:val="center"/>
          </w:tcPr>
          <w:p w14:paraId="03808603" w14:textId="77777777" w:rsidR="000319DE" w:rsidRPr="008F735E" w:rsidRDefault="000319DE" w:rsidP="00345DEF">
            <w:pPr>
              <w:keepNext/>
              <w:keepLines/>
              <w:tabs>
                <w:tab w:val="decimal" w:pos="256"/>
              </w:tabs>
              <w:spacing w:before="60" w:after="60"/>
              <w:jc w:val="center"/>
              <w:rPr>
                <w:sz w:val="14"/>
                <w:szCs w:val="14"/>
              </w:rPr>
            </w:pPr>
          </w:p>
        </w:tc>
        <w:tc>
          <w:tcPr>
            <w:tcW w:w="851" w:type="dxa"/>
            <w:vAlign w:val="center"/>
          </w:tcPr>
          <w:p w14:paraId="74A1E1E6" w14:textId="77777777" w:rsidR="000319DE" w:rsidRPr="008F735E" w:rsidRDefault="000319DE" w:rsidP="00345DEF">
            <w:pPr>
              <w:keepNext/>
              <w:keepLines/>
              <w:tabs>
                <w:tab w:val="decimal" w:pos="256"/>
              </w:tabs>
              <w:spacing w:before="60" w:after="60"/>
              <w:jc w:val="center"/>
              <w:rPr>
                <w:sz w:val="14"/>
                <w:szCs w:val="14"/>
              </w:rPr>
            </w:pPr>
          </w:p>
        </w:tc>
        <w:tc>
          <w:tcPr>
            <w:tcW w:w="1134" w:type="dxa"/>
            <w:vAlign w:val="center"/>
          </w:tcPr>
          <w:p w14:paraId="01643955" w14:textId="77777777" w:rsidR="000319DE" w:rsidRPr="008F735E" w:rsidRDefault="000319DE" w:rsidP="00345DEF">
            <w:pPr>
              <w:keepNext/>
              <w:keepLines/>
              <w:tabs>
                <w:tab w:val="decimal" w:pos="256"/>
              </w:tabs>
              <w:spacing w:before="60" w:after="60"/>
              <w:jc w:val="center"/>
              <w:rPr>
                <w:sz w:val="14"/>
                <w:szCs w:val="14"/>
              </w:rPr>
            </w:pPr>
          </w:p>
        </w:tc>
        <w:tc>
          <w:tcPr>
            <w:tcW w:w="921" w:type="dxa"/>
            <w:vAlign w:val="center"/>
          </w:tcPr>
          <w:p w14:paraId="7CF82042" w14:textId="77777777" w:rsidR="000319DE" w:rsidRPr="008F735E" w:rsidRDefault="000319DE" w:rsidP="00345DEF">
            <w:pPr>
              <w:keepNext/>
              <w:keepLines/>
              <w:tabs>
                <w:tab w:val="decimal" w:pos="256"/>
              </w:tabs>
              <w:spacing w:before="60" w:after="60"/>
              <w:jc w:val="center"/>
              <w:rPr>
                <w:sz w:val="14"/>
                <w:szCs w:val="14"/>
              </w:rPr>
            </w:pPr>
          </w:p>
        </w:tc>
      </w:tr>
      <w:tr w:rsidR="000319DE" w:rsidRPr="0005375A" w14:paraId="74C5FA05" w14:textId="77777777" w:rsidTr="00740A34">
        <w:tc>
          <w:tcPr>
            <w:tcW w:w="1347" w:type="dxa"/>
            <w:shd w:val="clear" w:color="auto" w:fill="auto"/>
            <w:vAlign w:val="bottom"/>
          </w:tcPr>
          <w:p w14:paraId="036EFB4D" w14:textId="77777777" w:rsidR="000319DE" w:rsidRPr="008F735E" w:rsidRDefault="000319DE" w:rsidP="00345DEF">
            <w:pPr>
              <w:keepNext/>
              <w:keepLines/>
              <w:tabs>
                <w:tab w:val="left" w:pos="106"/>
              </w:tabs>
              <w:spacing w:before="60" w:after="60"/>
              <w:ind w:left="108" w:hanging="108"/>
              <w:rPr>
                <w:sz w:val="14"/>
                <w:szCs w:val="14"/>
              </w:rPr>
            </w:pPr>
            <w:r>
              <w:rPr>
                <w:sz w:val="14"/>
                <w:szCs w:val="14"/>
              </w:rPr>
              <w:tab/>
              <w:t>Status quo</w:t>
            </w:r>
          </w:p>
        </w:tc>
        <w:tc>
          <w:tcPr>
            <w:tcW w:w="992" w:type="dxa"/>
            <w:shd w:val="clear" w:color="auto" w:fill="auto"/>
            <w:vAlign w:val="bottom"/>
          </w:tcPr>
          <w:p w14:paraId="53AB6CAC"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2.71%</w:t>
            </w:r>
          </w:p>
        </w:tc>
        <w:tc>
          <w:tcPr>
            <w:tcW w:w="737" w:type="dxa"/>
            <w:shd w:val="clear" w:color="auto" w:fill="auto"/>
            <w:vAlign w:val="bottom"/>
          </w:tcPr>
          <w:p w14:paraId="7274E90F"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3.10%</w:t>
            </w:r>
          </w:p>
        </w:tc>
        <w:tc>
          <w:tcPr>
            <w:tcW w:w="681" w:type="dxa"/>
            <w:shd w:val="clear" w:color="auto" w:fill="auto"/>
            <w:vAlign w:val="bottom"/>
          </w:tcPr>
          <w:p w14:paraId="0A1DD7D8"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3.07%</w:t>
            </w:r>
          </w:p>
        </w:tc>
        <w:tc>
          <w:tcPr>
            <w:tcW w:w="651" w:type="dxa"/>
            <w:shd w:val="clear" w:color="auto" w:fill="auto"/>
            <w:vAlign w:val="bottom"/>
          </w:tcPr>
          <w:p w14:paraId="35EE2275"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2.88%</w:t>
            </w:r>
          </w:p>
        </w:tc>
        <w:tc>
          <w:tcPr>
            <w:tcW w:w="666" w:type="dxa"/>
            <w:shd w:val="clear" w:color="auto" w:fill="auto"/>
            <w:vAlign w:val="bottom"/>
          </w:tcPr>
          <w:p w14:paraId="0BACA3B2"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2.67%</w:t>
            </w:r>
          </w:p>
        </w:tc>
        <w:tc>
          <w:tcPr>
            <w:tcW w:w="667" w:type="dxa"/>
            <w:shd w:val="clear" w:color="auto" w:fill="auto"/>
            <w:vAlign w:val="bottom"/>
          </w:tcPr>
          <w:p w14:paraId="79109830"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2.50%</w:t>
            </w:r>
          </w:p>
        </w:tc>
        <w:tc>
          <w:tcPr>
            <w:tcW w:w="1134" w:type="dxa"/>
            <w:shd w:val="clear" w:color="auto" w:fill="auto"/>
            <w:vAlign w:val="bottom"/>
          </w:tcPr>
          <w:p w14:paraId="0CAB4FF1"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2.13%</w:t>
            </w:r>
          </w:p>
        </w:tc>
        <w:tc>
          <w:tcPr>
            <w:tcW w:w="851" w:type="dxa"/>
            <w:shd w:val="clear" w:color="auto" w:fill="auto"/>
            <w:vAlign w:val="bottom"/>
          </w:tcPr>
          <w:p w14:paraId="2326969C"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3.10%</w:t>
            </w:r>
          </w:p>
        </w:tc>
        <w:tc>
          <w:tcPr>
            <w:tcW w:w="1134" w:type="dxa"/>
            <w:shd w:val="clear" w:color="auto" w:fill="auto"/>
            <w:vAlign w:val="bottom"/>
          </w:tcPr>
          <w:p w14:paraId="1A6CB225"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1.64%</w:t>
            </w:r>
          </w:p>
        </w:tc>
        <w:tc>
          <w:tcPr>
            <w:tcW w:w="921" w:type="dxa"/>
            <w:shd w:val="clear" w:color="auto" w:fill="auto"/>
            <w:vAlign w:val="bottom"/>
          </w:tcPr>
          <w:p w14:paraId="56FAF641"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1.43%</w:t>
            </w:r>
          </w:p>
        </w:tc>
      </w:tr>
      <w:tr w:rsidR="000319DE" w:rsidRPr="0005375A" w14:paraId="1A6E0CB6" w14:textId="77777777" w:rsidTr="00740A34">
        <w:tc>
          <w:tcPr>
            <w:tcW w:w="1347" w:type="dxa"/>
            <w:shd w:val="clear" w:color="auto" w:fill="auto"/>
            <w:vAlign w:val="bottom"/>
          </w:tcPr>
          <w:p w14:paraId="6A158CEC" w14:textId="77777777" w:rsidR="000319DE" w:rsidRPr="008F735E" w:rsidRDefault="000319DE" w:rsidP="00345DEF">
            <w:pPr>
              <w:keepNext/>
              <w:keepLines/>
              <w:tabs>
                <w:tab w:val="left" w:pos="106"/>
              </w:tabs>
              <w:spacing w:before="60" w:after="60"/>
              <w:ind w:left="108" w:hanging="108"/>
              <w:rPr>
                <w:sz w:val="14"/>
                <w:szCs w:val="14"/>
              </w:rPr>
            </w:pPr>
            <w:r>
              <w:rPr>
                <w:sz w:val="14"/>
                <w:szCs w:val="14"/>
              </w:rPr>
              <w:tab/>
              <w:t>Depreciation loading</w:t>
            </w:r>
          </w:p>
        </w:tc>
        <w:tc>
          <w:tcPr>
            <w:tcW w:w="992" w:type="dxa"/>
            <w:shd w:val="clear" w:color="auto" w:fill="auto"/>
            <w:vAlign w:val="bottom"/>
          </w:tcPr>
          <w:p w14:paraId="57CC245B"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2.63%</w:t>
            </w:r>
          </w:p>
        </w:tc>
        <w:tc>
          <w:tcPr>
            <w:tcW w:w="737" w:type="dxa"/>
            <w:shd w:val="clear" w:color="auto" w:fill="auto"/>
            <w:vAlign w:val="bottom"/>
          </w:tcPr>
          <w:p w14:paraId="4D9BA31B"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3.10%</w:t>
            </w:r>
          </w:p>
        </w:tc>
        <w:tc>
          <w:tcPr>
            <w:tcW w:w="681" w:type="dxa"/>
            <w:shd w:val="clear" w:color="auto" w:fill="auto"/>
            <w:vAlign w:val="bottom"/>
          </w:tcPr>
          <w:p w14:paraId="66CD19CC"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2.81%</w:t>
            </w:r>
          </w:p>
        </w:tc>
        <w:tc>
          <w:tcPr>
            <w:tcW w:w="651" w:type="dxa"/>
            <w:shd w:val="clear" w:color="auto" w:fill="auto"/>
            <w:vAlign w:val="bottom"/>
          </w:tcPr>
          <w:p w14:paraId="6563A2E4"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2.69%</w:t>
            </w:r>
          </w:p>
        </w:tc>
        <w:tc>
          <w:tcPr>
            <w:tcW w:w="666" w:type="dxa"/>
            <w:shd w:val="clear" w:color="auto" w:fill="auto"/>
            <w:vAlign w:val="bottom"/>
          </w:tcPr>
          <w:p w14:paraId="3A6CE15D"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2.55%</w:t>
            </w:r>
          </w:p>
        </w:tc>
        <w:tc>
          <w:tcPr>
            <w:tcW w:w="667" w:type="dxa"/>
            <w:shd w:val="clear" w:color="auto" w:fill="auto"/>
            <w:vAlign w:val="bottom"/>
          </w:tcPr>
          <w:p w14:paraId="7E0E9322"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2.43%</w:t>
            </w:r>
          </w:p>
        </w:tc>
        <w:tc>
          <w:tcPr>
            <w:tcW w:w="1134" w:type="dxa"/>
            <w:shd w:val="clear" w:color="auto" w:fill="auto"/>
            <w:vAlign w:val="bottom"/>
          </w:tcPr>
          <w:p w14:paraId="102F8434"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2.13%</w:t>
            </w:r>
          </w:p>
        </w:tc>
        <w:tc>
          <w:tcPr>
            <w:tcW w:w="851" w:type="dxa"/>
            <w:shd w:val="clear" w:color="auto" w:fill="auto"/>
            <w:vAlign w:val="bottom"/>
          </w:tcPr>
          <w:p w14:paraId="09EF7451"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3.10%</w:t>
            </w:r>
          </w:p>
        </w:tc>
        <w:tc>
          <w:tcPr>
            <w:tcW w:w="1134" w:type="dxa"/>
            <w:shd w:val="clear" w:color="auto" w:fill="auto"/>
            <w:vAlign w:val="bottom"/>
          </w:tcPr>
          <w:p w14:paraId="424E0E75"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1.64%</w:t>
            </w:r>
          </w:p>
        </w:tc>
        <w:tc>
          <w:tcPr>
            <w:tcW w:w="921" w:type="dxa"/>
            <w:shd w:val="clear" w:color="auto" w:fill="auto"/>
            <w:vAlign w:val="bottom"/>
          </w:tcPr>
          <w:p w14:paraId="478D7FD6"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1.43%</w:t>
            </w:r>
          </w:p>
        </w:tc>
      </w:tr>
      <w:tr w:rsidR="000319DE" w:rsidRPr="0005375A" w14:paraId="162C4074" w14:textId="77777777" w:rsidTr="00740A34">
        <w:tc>
          <w:tcPr>
            <w:tcW w:w="1347" w:type="dxa"/>
            <w:shd w:val="clear" w:color="auto" w:fill="auto"/>
            <w:vAlign w:val="bottom"/>
          </w:tcPr>
          <w:p w14:paraId="0AEA5F0A" w14:textId="77777777" w:rsidR="000319DE" w:rsidRPr="008F735E" w:rsidRDefault="000319DE" w:rsidP="00345DEF">
            <w:pPr>
              <w:keepNext/>
              <w:keepLines/>
              <w:tabs>
                <w:tab w:val="left" w:pos="106"/>
              </w:tabs>
              <w:spacing w:before="60" w:after="60"/>
              <w:ind w:left="108" w:hanging="108"/>
              <w:rPr>
                <w:sz w:val="14"/>
                <w:szCs w:val="14"/>
              </w:rPr>
            </w:pPr>
            <w:r>
              <w:rPr>
                <w:sz w:val="14"/>
                <w:szCs w:val="14"/>
              </w:rPr>
              <w:tab/>
              <w:t>Partial expensing</w:t>
            </w:r>
          </w:p>
        </w:tc>
        <w:tc>
          <w:tcPr>
            <w:tcW w:w="992" w:type="dxa"/>
            <w:shd w:val="clear" w:color="auto" w:fill="auto"/>
            <w:vAlign w:val="bottom"/>
          </w:tcPr>
          <w:p w14:paraId="5C4CA998"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2.46%</w:t>
            </w:r>
          </w:p>
        </w:tc>
        <w:tc>
          <w:tcPr>
            <w:tcW w:w="737" w:type="dxa"/>
            <w:shd w:val="clear" w:color="auto" w:fill="auto"/>
            <w:vAlign w:val="bottom"/>
          </w:tcPr>
          <w:p w14:paraId="04131772"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2.77%</w:t>
            </w:r>
          </w:p>
        </w:tc>
        <w:tc>
          <w:tcPr>
            <w:tcW w:w="681" w:type="dxa"/>
            <w:shd w:val="clear" w:color="auto" w:fill="auto"/>
            <w:vAlign w:val="bottom"/>
          </w:tcPr>
          <w:p w14:paraId="6B77211D"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2.74%</w:t>
            </w:r>
          </w:p>
        </w:tc>
        <w:tc>
          <w:tcPr>
            <w:tcW w:w="651" w:type="dxa"/>
            <w:shd w:val="clear" w:color="auto" w:fill="auto"/>
            <w:vAlign w:val="bottom"/>
          </w:tcPr>
          <w:p w14:paraId="543E5849"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2.59%</w:t>
            </w:r>
          </w:p>
        </w:tc>
        <w:tc>
          <w:tcPr>
            <w:tcW w:w="666" w:type="dxa"/>
            <w:shd w:val="clear" w:color="auto" w:fill="auto"/>
            <w:vAlign w:val="bottom"/>
          </w:tcPr>
          <w:p w14:paraId="76CDC102"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2.42%</w:t>
            </w:r>
          </w:p>
        </w:tc>
        <w:tc>
          <w:tcPr>
            <w:tcW w:w="667" w:type="dxa"/>
            <w:shd w:val="clear" w:color="auto" w:fill="auto"/>
            <w:vAlign w:val="bottom"/>
          </w:tcPr>
          <w:p w14:paraId="4E72576C"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2.29%</w:t>
            </w:r>
          </w:p>
        </w:tc>
        <w:tc>
          <w:tcPr>
            <w:tcW w:w="1134" w:type="dxa"/>
            <w:shd w:val="clear" w:color="auto" w:fill="auto"/>
            <w:vAlign w:val="bottom"/>
          </w:tcPr>
          <w:p w14:paraId="1390A114"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2.13%</w:t>
            </w:r>
          </w:p>
        </w:tc>
        <w:tc>
          <w:tcPr>
            <w:tcW w:w="851" w:type="dxa"/>
            <w:shd w:val="clear" w:color="auto" w:fill="auto"/>
            <w:vAlign w:val="bottom"/>
          </w:tcPr>
          <w:p w14:paraId="2E8043C0"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3.10%</w:t>
            </w:r>
          </w:p>
        </w:tc>
        <w:tc>
          <w:tcPr>
            <w:tcW w:w="1134" w:type="dxa"/>
            <w:shd w:val="clear" w:color="auto" w:fill="auto"/>
            <w:vAlign w:val="bottom"/>
          </w:tcPr>
          <w:p w14:paraId="09B3DB2B"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1.64%</w:t>
            </w:r>
          </w:p>
        </w:tc>
        <w:tc>
          <w:tcPr>
            <w:tcW w:w="921" w:type="dxa"/>
            <w:shd w:val="clear" w:color="auto" w:fill="auto"/>
            <w:vAlign w:val="bottom"/>
          </w:tcPr>
          <w:p w14:paraId="53EBBFDC"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1.43%</w:t>
            </w:r>
          </w:p>
        </w:tc>
      </w:tr>
      <w:tr w:rsidR="000319DE" w:rsidRPr="0005375A" w14:paraId="1ED5E6FE" w14:textId="77777777" w:rsidTr="00740A34">
        <w:tc>
          <w:tcPr>
            <w:tcW w:w="1347" w:type="dxa"/>
            <w:shd w:val="clear" w:color="auto" w:fill="auto"/>
            <w:vAlign w:val="bottom"/>
          </w:tcPr>
          <w:p w14:paraId="3AB15A56" w14:textId="77777777" w:rsidR="000319DE" w:rsidRPr="008F735E" w:rsidRDefault="000319DE" w:rsidP="00345DEF">
            <w:pPr>
              <w:keepNext/>
              <w:keepLines/>
              <w:tabs>
                <w:tab w:val="left" w:pos="106"/>
              </w:tabs>
              <w:spacing w:before="60" w:after="60"/>
              <w:rPr>
                <w:b/>
                <w:bCs/>
                <w:sz w:val="14"/>
                <w:szCs w:val="14"/>
              </w:rPr>
            </w:pPr>
            <w:r w:rsidRPr="008F735E">
              <w:rPr>
                <w:b/>
                <w:bCs/>
                <w:sz w:val="14"/>
                <w:szCs w:val="14"/>
              </w:rPr>
              <w:t>EMTR</w:t>
            </w:r>
            <w:r>
              <w:rPr>
                <w:b/>
                <w:bCs/>
                <w:sz w:val="14"/>
                <w:szCs w:val="14"/>
              </w:rPr>
              <w:t>s</w:t>
            </w:r>
          </w:p>
        </w:tc>
        <w:tc>
          <w:tcPr>
            <w:tcW w:w="992" w:type="dxa"/>
            <w:shd w:val="clear" w:color="auto" w:fill="auto"/>
            <w:vAlign w:val="bottom"/>
          </w:tcPr>
          <w:p w14:paraId="40E377EC" w14:textId="77777777" w:rsidR="000319DE" w:rsidRPr="0005375A" w:rsidRDefault="000319DE" w:rsidP="00345DEF">
            <w:pPr>
              <w:keepNext/>
              <w:keepLines/>
              <w:tabs>
                <w:tab w:val="decimal" w:pos="256"/>
              </w:tabs>
              <w:spacing w:before="60" w:after="60"/>
              <w:jc w:val="center"/>
              <w:rPr>
                <w:sz w:val="14"/>
                <w:szCs w:val="14"/>
              </w:rPr>
            </w:pPr>
            <w:r w:rsidRPr="0005375A">
              <w:rPr>
                <w:rFonts w:ascii="Calibri" w:hAnsi="Calibri" w:cs="Calibri"/>
                <w:color w:val="000000"/>
                <w:sz w:val="14"/>
                <w:szCs w:val="14"/>
              </w:rPr>
              <w:t> </w:t>
            </w:r>
          </w:p>
        </w:tc>
        <w:tc>
          <w:tcPr>
            <w:tcW w:w="737" w:type="dxa"/>
            <w:shd w:val="clear" w:color="auto" w:fill="auto"/>
            <w:vAlign w:val="bottom"/>
          </w:tcPr>
          <w:p w14:paraId="717C7B0A" w14:textId="77777777" w:rsidR="000319DE" w:rsidRPr="0005375A" w:rsidRDefault="000319DE" w:rsidP="00345DEF">
            <w:pPr>
              <w:keepNext/>
              <w:keepLines/>
              <w:tabs>
                <w:tab w:val="decimal" w:pos="256"/>
              </w:tabs>
              <w:spacing w:before="60" w:after="60"/>
              <w:jc w:val="center"/>
              <w:rPr>
                <w:sz w:val="14"/>
                <w:szCs w:val="14"/>
              </w:rPr>
            </w:pPr>
            <w:r w:rsidRPr="0005375A">
              <w:rPr>
                <w:rFonts w:ascii="Calibri" w:hAnsi="Calibri" w:cs="Calibri"/>
                <w:color w:val="000000"/>
                <w:sz w:val="14"/>
                <w:szCs w:val="14"/>
              </w:rPr>
              <w:t> </w:t>
            </w:r>
          </w:p>
        </w:tc>
        <w:tc>
          <w:tcPr>
            <w:tcW w:w="681" w:type="dxa"/>
            <w:shd w:val="clear" w:color="auto" w:fill="auto"/>
            <w:vAlign w:val="bottom"/>
          </w:tcPr>
          <w:p w14:paraId="4F891476" w14:textId="77777777" w:rsidR="000319DE" w:rsidRPr="0005375A" w:rsidRDefault="000319DE" w:rsidP="00345DEF">
            <w:pPr>
              <w:keepNext/>
              <w:keepLines/>
              <w:tabs>
                <w:tab w:val="decimal" w:pos="256"/>
              </w:tabs>
              <w:spacing w:before="60" w:after="60"/>
              <w:jc w:val="center"/>
              <w:rPr>
                <w:sz w:val="14"/>
                <w:szCs w:val="14"/>
              </w:rPr>
            </w:pPr>
            <w:r w:rsidRPr="0005375A">
              <w:rPr>
                <w:rFonts w:ascii="Calibri" w:hAnsi="Calibri" w:cs="Calibri"/>
                <w:color w:val="000000"/>
                <w:sz w:val="14"/>
                <w:szCs w:val="14"/>
              </w:rPr>
              <w:t> </w:t>
            </w:r>
          </w:p>
        </w:tc>
        <w:tc>
          <w:tcPr>
            <w:tcW w:w="651" w:type="dxa"/>
            <w:shd w:val="clear" w:color="auto" w:fill="auto"/>
            <w:vAlign w:val="bottom"/>
          </w:tcPr>
          <w:p w14:paraId="58E2C703" w14:textId="77777777" w:rsidR="000319DE" w:rsidRPr="0005375A" w:rsidRDefault="000319DE" w:rsidP="00345DEF">
            <w:pPr>
              <w:keepNext/>
              <w:keepLines/>
              <w:tabs>
                <w:tab w:val="decimal" w:pos="256"/>
              </w:tabs>
              <w:spacing w:before="60" w:after="60"/>
              <w:jc w:val="center"/>
              <w:rPr>
                <w:sz w:val="14"/>
                <w:szCs w:val="14"/>
              </w:rPr>
            </w:pPr>
            <w:r w:rsidRPr="0005375A">
              <w:rPr>
                <w:rFonts w:ascii="Calibri" w:hAnsi="Calibri" w:cs="Calibri"/>
                <w:color w:val="000000"/>
                <w:sz w:val="14"/>
                <w:szCs w:val="14"/>
              </w:rPr>
              <w:t> </w:t>
            </w:r>
          </w:p>
        </w:tc>
        <w:tc>
          <w:tcPr>
            <w:tcW w:w="666" w:type="dxa"/>
            <w:shd w:val="clear" w:color="auto" w:fill="auto"/>
            <w:vAlign w:val="bottom"/>
          </w:tcPr>
          <w:p w14:paraId="0EF99742" w14:textId="77777777" w:rsidR="000319DE" w:rsidRPr="0005375A" w:rsidRDefault="000319DE" w:rsidP="00345DEF">
            <w:pPr>
              <w:keepNext/>
              <w:keepLines/>
              <w:tabs>
                <w:tab w:val="decimal" w:pos="256"/>
              </w:tabs>
              <w:spacing w:before="60" w:after="60"/>
              <w:jc w:val="center"/>
              <w:rPr>
                <w:sz w:val="14"/>
                <w:szCs w:val="14"/>
              </w:rPr>
            </w:pPr>
            <w:r w:rsidRPr="0005375A">
              <w:rPr>
                <w:rFonts w:ascii="Calibri" w:hAnsi="Calibri" w:cs="Calibri"/>
                <w:color w:val="000000"/>
                <w:sz w:val="14"/>
                <w:szCs w:val="14"/>
              </w:rPr>
              <w:t> </w:t>
            </w:r>
          </w:p>
        </w:tc>
        <w:tc>
          <w:tcPr>
            <w:tcW w:w="667" w:type="dxa"/>
            <w:shd w:val="clear" w:color="auto" w:fill="auto"/>
            <w:vAlign w:val="bottom"/>
          </w:tcPr>
          <w:p w14:paraId="182C784D" w14:textId="77777777" w:rsidR="000319DE" w:rsidRPr="0005375A" w:rsidRDefault="000319DE" w:rsidP="00345DEF">
            <w:pPr>
              <w:keepNext/>
              <w:keepLines/>
              <w:tabs>
                <w:tab w:val="decimal" w:pos="256"/>
              </w:tabs>
              <w:spacing w:before="60" w:after="60"/>
              <w:jc w:val="center"/>
              <w:rPr>
                <w:sz w:val="14"/>
                <w:szCs w:val="14"/>
              </w:rPr>
            </w:pPr>
            <w:r w:rsidRPr="0005375A">
              <w:rPr>
                <w:rFonts w:ascii="Calibri" w:hAnsi="Calibri" w:cs="Calibri"/>
                <w:color w:val="000000"/>
                <w:sz w:val="14"/>
                <w:szCs w:val="14"/>
              </w:rPr>
              <w:t> </w:t>
            </w:r>
          </w:p>
        </w:tc>
        <w:tc>
          <w:tcPr>
            <w:tcW w:w="1134" w:type="dxa"/>
            <w:shd w:val="clear" w:color="auto" w:fill="auto"/>
            <w:vAlign w:val="bottom"/>
          </w:tcPr>
          <w:p w14:paraId="7D0FD3B9" w14:textId="77777777" w:rsidR="000319DE" w:rsidRPr="0005375A" w:rsidRDefault="000319DE" w:rsidP="00345DEF">
            <w:pPr>
              <w:keepNext/>
              <w:keepLines/>
              <w:tabs>
                <w:tab w:val="decimal" w:pos="256"/>
              </w:tabs>
              <w:spacing w:before="60" w:after="60"/>
              <w:jc w:val="center"/>
              <w:rPr>
                <w:sz w:val="14"/>
                <w:szCs w:val="14"/>
              </w:rPr>
            </w:pPr>
            <w:r w:rsidRPr="0005375A">
              <w:rPr>
                <w:rFonts w:ascii="Calibri" w:hAnsi="Calibri" w:cs="Calibri"/>
                <w:color w:val="000000"/>
                <w:sz w:val="14"/>
                <w:szCs w:val="14"/>
              </w:rPr>
              <w:t> </w:t>
            </w:r>
          </w:p>
        </w:tc>
        <w:tc>
          <w:tcPr>
            <w:tcW w:w="851" w:type="dxa"/>
            <w:shd w:val="clear" w:color="auto" w:fill="auto"/>
            <w:vAlign w:val="bottom"/>
          </w:tcPr>
          <w:p w14:paraId="633A516C" w14:textId="77777777" w:rsidR="000319DE" w:rsidRPr="0005375A" w:rsidRDefault="000319DE" w:rsidP="00345DEF">
            <w:pPr>
              <w:keepNext/>
              <w:keepLines/>
              <w:tabs>
                <w:tab w:val="decimal" w:pos="256"/>
              </w:tabs>
              <w:spacing w:before="60" w:after="60"/>
              <w:jc w:val="center"/>
              <w:rPr>
                <w:sz w:val="14"/>
                <w:szCs w:val="14"/>
              </w:rPr>
            </w:pPr>
            <w:r w:rsidRPr="0005375A">
              <w:rPr>
                <w:rFonts w:ascii="Calibri" w:hAnsi="Calibri" w:cs="Calibri"/>
                <w:color w:val="000000"/>
                <w:sz w:val="14"/>
                <w:szCs w:val="14"/>
              </w:rPr>
              <w:t> </w:t>
            </w:r>
          </w:p>
        </w:tc>
        <w:tc>
          <w:tcPr>
            <w:tcW w:w="1134" w:type="dxa"/>
            <w:shd w:val="clear" w:color="auto" w:fill="auto"/>
            <w:vAlign w:val="bottom"/>
          </w:tcPr>
          <w:p w14:paraId="4F5287C2" w14:textId="77777777" w:rsidR="000319DE" w:rsidRPr="0005375A" w:rsidRDefault="000319DE" w:rsidP="00345DEF">
            <w:pPr>
              <w:keepNext/>
              <w:keepLines/>
              <w:tabs>
                <w:tab w:val="decimal" w:pos="256"/>
              </w:tabs>
              <w:spacing w:before="60" w:after="60"/>
              <w:jc w:val="center"/>
              <w:rPr>
                <w:sz w:val="14"/>
                <w:szCs w:val="14"/>
              </w:rPr>
            </w:pPr>
            <w:r w:rsidRPr="0005375A">
              <w:rPr>
                <w:rFonts w:ascii="Calibri" w:hAnsi="Calibri" w:cs="Calibri"/>
                <w:color w:val="000000"/>
                <w:sz w:val="14"/>
                <w:szCs w:val="14"/>
              </w:rPr>
              <w:t> </w:t>
            </w:r>
          </w:p>
        </w:tc>
        <w:tc>
          <w:tcPr>
            <w:tcW w:w="921" w:type="dxa"/>
            <w:shd w:val="clear" w:color="auto" w:fill="auto"/>
            <w:vAlign w:val="bottom"/>
          </w:tcPr>
          <w:p w14:paraId="2C2EEA0E" w14:textId="77777777" w:rsidR="000319DE" w:rsidRPr="0005375A" w:rsidRDefault="000319DE" w:rsidP="00345DEF">
            <w:pPr>
              <w:keepNext/>
              <w:keepLines/>
              <w:tabs>
                <w:tab w:val="decimal" w:pos="256"/>
              </w:tabs>
              <w:spacing w:before="60" w:after="60"/>
              <w:jc w:val="center"/>
              <w:rPr>
                <w:sz w:val="14"/>
                <w:szCs w:val="14"/>
              </w:rPr>
            </w:pPr>
            <w:r w:rsidRPr="0005375A">
              <w:rPr>
                <w:rFonts w:ascii="Calibri" w:hAnsi="Calibri" w:cs="Calibri"/>
                <w:color w:val="000000"/>
                <w:sz w:val="14"/>
                <w:szCs w:val="14"/>
              </w:rPr>
              <w:t> </w:t>
            </w:r>
          </w:p>
        </w:tc>
      </w:tr>
      <w:tr w:rsidR="000319DE" w:rsidRPr="0005375A" w14:paraId="02707592" w14:textId="77777777" w:rsidTr="00740A34">
        <w:tc>
          <w:tcPr>
            <w:tcW w:w="1347" w:type="dxa"/>
            <w:shd w:val="clear" w:color="auto" w:fill="auto"/>
            <w:vAlign w:val="bottom"/>
          </w:tcPr>
          <w:p w14:paraId="0F0B51D4" w14:textId="77777777" w:rsidR="000319DE" w:rsidRPr="008F735E" w:rsidRDefault="000319DE" w:rsidP="00345DEF">
            <w:pPr>
              <w:keepNext/>
              <w:keepLines/>
              <w:tabs>
                <w:tab w:val="left" w:pos="106"/>
              </w:tabs>
              <w:spacing w:before="60" w:after="60"/>
              <w:rPr>
                <w:sz w:val="14"/>
                <w:szCs w:val="14"/>
              </w:rPr>
            </w:pPr>
            <w:r>
              <w:rPr>
                <w:sz w:val="14"/>
                <w:szCs w:val="14"/>
              </w:rPr>
              <w:tab/>
              <w:t>Status quo</w:t>
            </w:r>
          </w:p>
        </w:tc>
        <w:tc>
          <w:tcPr>
            <w:tcW w:w="992" w:type="dxa"/>
            <w:shd w:val="clear" w:color="auto" w:fill="auto"/>
            <w:vAlign w:val="bottom"/>
          </w:tcPr>
          <w:p w14:paraId="404EE44B"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-10.5%</w:t>
            </w:r>
          </w:p>
        </w:tc>
        <w:tc>
          <w:tcPr>
            <w:tcW w:w="737" w:type="dxa"/>
            <w:shd w:val="clear" w:color="auto" w:fill="auto"/>
            <w:vAlign w:val="bottom"/>
          </w:tcPr>
          <w:p w14:paraId="2D98E684"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3.2%</w:t>
            </w:r>
          </w:p>
        </w:tc>
        <w:tc>
          <w:tcPr>
            <w:tcW w:w="681" w:type="dxa"/>
            <w:shd w:val="clear" w:color="auto" w:fill="auto"/>
            <w:vAlign w:val="bottom"/>
          </w:tcPr>
          <w:p w14:paraId="5DD0248D"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2.2%</w:t>
            </w:r>
          </w:p>
        </w:tc>
        <w:tc>
          <w:tcPr>
            <w:tcW w:w="651" w:type="dxa"/>
            <w:shd w:val="clear" w:color="auto" w:fill="auto"/>
            <w:vAlign w:val="bottom"/>
          </w:tcPr>
          <w:p w14:paraId="151723D2"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-4.3%</w:t>
            </w:r>
          </w:p>
        </w:tc>
        <w:tc>
          <w:tcPr>
            <w:tcW w:w="666" w:type="dxa"/>
            <w:shd w:val="clear" w:color="auto" w:fill="auto"/>
            <w:vAlign w:val="bottom"/>
          </w:tcPr>
          <w:p w14:paraId="33C5E6AA"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-12.4%</w:t>
            </w:r>
          </w:p>
        </w:tc>
        <w:tc>
          <w:tcPr>
            <w:tcW w:w="667" w:type="dxa"/>
            <w:shd w:val="clear" w:color="auto" w:fill="auto"/>
            <w:vAlign w:val="bottom"/>
          </w:tcPr>
          <w:p w14:paraId="4A2EC426"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-20.0%</w:t>
            </w:r>
          </w:p>
        </w:tc>
        <w:tc>
          <w:tcPr>
            <w:tcW w:w="1134" w:type="dxa"/>
            <w:shd w:val="clear" w:color="auto" w:fill="auto"/>
            <w:vAlign w:val="bottom"/>
          </w:tcPr>
          <w:p w14:paraId="7F27CF13"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-40.6%</w:t>
            </w:r>
          </w:p>
        </w:tc>
        <w:tc>
          <w:tcPr>
            <w:tcW w:w="851" w:type="dxa"/>
            <w:shd w:val="clear" w:color="auto" w:fill="auto"/>
            <w:vAlign w:val="bottom"/>
          </w:tcPr>
          <w:p w14:paraId="354013F9"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3.2%</w:t>
            </w:r>
          </w:p>
        </w:tc>
        <w:tc>
          <w:tcPr>
            <w:tcW w:w="1134" w:type="dxa"/>
            <w:shd w:val="clear" w:color="auto" w:fill="auto"/>
            <w:vAlign w:val="bottom"/>
          </w:tcPr>
          <w:p w14:paraId="764B0BE6"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-82.8%</w:t>
            </w:r>
          </w:p>
        </w:tc>
        <w:tc>
          <w:tcPr>
            <w:tcW w:w="921" w:type="dxa"/>
            <w:shd w:val="clear" w:color="auto" w:fill="auto"/>
            <w:vAlign w:val="bottom"/>
          </w:tcPr>
          <w:p w14:paraId="38146B98"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-109.9%</w:t>
            </w:r>
          </w:p>
        </w:tc>
      </w:tr>
      <w:tr w:rsidR="000319DE" w:rsidRPr="0005375A" w14:paraId="604769CF" w14:textId="77777777" w:rsidTr="00740A34">
        <w:tc>
          <w:tcPr>
            <w:tcW w:w="1347" w:type="dxa"/>
            <w:shd w:val="clear" w:color="auto" w:fill="auto"/>
            <w:vAlign w:val="bottom"/>
          </w:tcPr>
          <w:p w14:paraId="2F5B233A" w14:textId="77777777" w:rsidR="000319DE" w:rsidRPr="008F735E" w:rsidRDefault="000319DE" w:rsidP="00345DEF">
            <w:pPr>
              <w:keepNext/>
              <w:keepLines/>
              <w:tabs>
                <w:tab w:val="left" w:pos="106"/>
              </w:tabs>
              <w:spacing w:before="60" w:after="60"/>
              <w:ind w:left="108" w:hanging="108"/>
              <w:rPr>
                <w:sz w:val="14"/>
                <w:szCs w:val="14"/>
              </w:rPr>
            </w:pPr>
            <w:r>
              <w:rPr>
                <w:sz w:val="14"/>
                <w:szCs w:val="14"/>
              </w:rPr>
              <w:tab/>
              <w:t>Depreciation loading</w:t>
            </w:r>
          </w:p>
        </w:tc>
        <w:tc>
          <w:tcPr>
            <w:tcW w:w="992" w:type="dxa"/>
            <w:shd w:val="clear" w:color="auto" w:fill="auto"/>
            <w:vAlign w:val="bottom"/>
          </w:tcPr>
          <w:p w14:paraId="566342F6"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-14.2%</w:t>
            </w:r>
          </w:p>
        </w:tc>
        <w:tc>
          <w:tcPr>
            <w:tcW w:w="737" w:type="dxa"/>
            <w:shd w:val="clear" w:color="auto" w:fill="auto"/>
            <w:vAlign w:val="bottom"/>
          </w:tcPr>
          <w:p w14:paraId="390CAE82"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3.2%</w:t>
            </w:r>
          </w:p>
        </w:tc>
        <w:tc>
          <w:tcPr>
            <w:tcW w:w="681" w:type="dxa"/>
            <w:shd w:val="clear" w:color="auto" w:fill="auto"/>
            <w:vAlign w:val="bottom"/>
          </w:tcPr>
          <w:p w14:paraId="368F9495"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-6.8%</w:t>
            </w:r>
          </w:p>
        </w:tc>
        <w:tc>
          <w:tcPr>
            <w:tcW w:w="651" w:type="dxa"/>
            <w:shd w:val="clear" w:color="auto" w:fill="auto"/>
            <w:vAlign w:val="bottom"/>
          </w:tcPr>
          <w:p w14:paraId="3D43EC6C"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-11.6%</w:t>
            </w:r>
          </w:p>
        </w:tc>
        <w:tc>
          <w:tcPr>
            <w:tcW w:w="666" w:type="dxa"/>
            <w:shd w:val="clear" w:color="auto" w:fill="auto"/>
            <w:vAlign w:val="bottom"/>
          </w:tcPr>
          <w:p w14:paraId="71D1D255"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-17.7%</w:t>
            </w:r>
          </w:p>
        </w:tc>
        <w:tc>
          <w:tcPr>
            <w:tcW w:w="667" w:type="dxa"/>
            <w:shd w:val="clear" w:color="auto" w:fill="auto"/>
            <w:vAlign w:val="bottom"/>
          </w:tcPr>
          <w:p w14:paraId="197F04B0"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-23.6%</w:t>
            </w:r>
          </w:p>
        </w:tc>
        <w:tc>
          <w:tcPr>
            <w:tcW w:w="1134" w:type="dxa"/>
            <w:shd w:val="clear" w:color="auto" w:fill="auto"/>
            <w:vAlign w:val="bottom"/>
          </w:tcPr>
          <w:p w14:paraId="38E38684"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-40.6%</w:t>
            </w:r>
          </w:p>
        </w:tc>
        <w:tc>
          <w:tcPr>
            <w:tcW w:w="851" w:type="dxa"/>
            <w:shd w:val="clear" w:color="auto" w:fill="auto"/>
            <w:vAlign w:val="bottom"/>
          </w:tcPr>
          <w:p w14:paraId="0BAC40BC"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3.2%</w:t>
            </w:r>
          </w:p>
        </w:tc>
        <w:tc>
          <w:tcPr>
            <w:tcW w:w="1134" w:type="dxa"/>
            <w:shd w:val="clear" w:color="auto" w:fill="auto"/>
            <w:vAlign w:val="bottom"/>
          </w:tcPr>
          <w:p w14:paraId="6A3C2A69"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-82.8%</w:t>
            </w:r>
          </w:p>
        </w:tc>
        <w:tc>
          <w:tcPr>
            <w:tcW w:w="921" w:type="dxa"/>
            <w:shd w:val="clear" w:color="auto" w:fill="auto"/>
            <w:vAlign w:val="bottom"/>
          </w:tcPr>
          <w:p w14:paraId="2133EE3D"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-109.9%</w:t>
            </w:r>
          </w:p>
        </w:tc>
      </w:tr>
      <w:tr w:rsidR="000319DE" w:rsidRPr="0005375A" w14:paraId="273F9E00" w14:textId="77777777" w:rsidTr="00740A34">
        <w:tc>
          <w:tcPr>
            <w:tcW w:w="1347" w:type="dxa"/>
            <w:shd w:val="clear" w:color="auto" w:fill="auto"/>
            <w:vAlign w:val="bottom"/>
          </w:tcPr>
          <w:p w14:paraId="2EB30743" w14:textId="77777777" w:rsidR="000319DE" w:rsidRPr="008F735E" w:rsidRDefault="000319DE" w:rsidP="00345DEF">
            <w:pPr>
              <w:keepNext/>
              <w:keepLines/>
              <w:tabs>
                <w:tab w:val="left" w:pos="106"/>
              </w:tabs>
              <w:spacing w:before="60" w:after="60"/>
              <w:ind w:left="108" w:hanging="108"/>
              <w:rPr>
                <w:sz w:val="14"/>
                <w:szCs w:val="14"/>
              </w:rPr>
            </w:pPr>
            <w:r>
              <w:rPr>
                <w:sz w:val="14"/>
                <w:szCs w:val="14"/>
              </w:rPr>
              <w:tab/>
              <w:t>Partial expensing</w:t>
            </w:r>
          </w:p>
        </w:tc>
        <w:tc>
          <w:tcPr>
            <w:tcW w:w="992" w:type="dxa"/>
            <w:shd w:val="clear" w:color="auto" w:fill="auto"/>
            <w:vAlign w:val="bottom"/>
          </w:tcPr>
          <w:p w14:paraId="252A5FBF"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-22.1%</w:t>
            </w:r>
          </w:p>
        </w:tc>
        <w:tc>
          <w:tcPr>
            <w:tcW w:w="737" w:type="dxa"/>
            <w:shd w:val="clear" w:color="auto" w:fill="auto"/>
            <w:vAlign w:val="bottom"/>
          </w:tcPr>
          <w:p w14:paraId="65A7E406"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-8.5%</w:t>
            </w:r>
          </w:p>
        </w:tc>
        <w:tc>
          <w:tcPr>
            <w:tcW w:w="681" w:type="dxa"/>
            <w:shd w:val="clear" w:color="auto" w:fill="auto"/>
            <w:vAlign w:val="bottom"/>
          </w:tcPr>
          <w:p w14:paraId="74E39883"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-9.5%</w:t>
            </w:r>
          </w:p>
        </w:tc>
        <w:tc>
          <w:tcPr>
            <w:tcW w:w="651" w:type="dxa"/>
            <w:shd w:val="clear" w:color="auto" w:fill="auto"/>
            <w:vAlign w:val="bottom"/>
          </w:tcPr>
          <w:p w14:paraId="5A5ECDBA"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-16.0%</w:t>
            </w:r>
          </w:p>
        </w:tc>
        <w:tc>
          <w:tcPr>
            <w:tcW w:w="666" w:type="dxa"/>
            <w:shd w:val="clear" w:color="auto" w:fill="auto"/>
            <w:vAlign w:val="bottom"/>
          </w:tcPr>
          <w:p w14:paraId="02074765"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-23.9%</w:t>
            </w:r>
          </w:p>
        </w:tc>
        <w:tc>
          <w:tcPr>
            <w:tcW w:w="667" w:type="dxa"/>
            <w:shd w:val="clear" w:color="auto" w:fill="auto"/>
            <w:vAlign w:val="bottom"/>
          </w:tcPr>
          <w:p w14:paraId="6C4A939A"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-31.3%</w:t>
            </w:r>
          </w:p>
        </w:tc>
        <w:tc>
          <w:tcPr>
            <w:tcW w:w="1134" w:type="dxa"/>
            <w:shd w:val="clear" w:color="auto" w:fill="auto"/>
            <w:vAlign w:val="bottom"/>
          </w:tcPr>
          <w:p w14:paraId="040D77B5"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-40.6%</w:t>
            </w:r>
          </w:p>
        </w:tc>
        <w:tc>
          <w:tcPr>
            <w:tcW w:w="851" w:type="dxa"/>
            <w:shd w:val="clear" w:color="auto" w:fill="auto"/>
            <w:vAlign w:val="bottom"/>
          </w:tcPr>
          <w:p w14:paraId="13B60F6E"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3.2%</w:t>
            </w:r>
          </w:p>
        </w:tc>
        <w:tc>
          <w:tcPr>
            <w:tcW w:w="1134" w:type="dxa"/>
            <w:shd w:val="clear" w:color="auto" w:fill="auto"/>
            <w:vAlign w:val="bottom"/>
          </w:tcPr>
          <w:p w14:paraId="4A7ABD09"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-82.8%</w:t>
            </w:r>
          </w:p>
        </w:tc>
        <w:tc>
          <w:tcPr>
            <w:tcW w:w="921" w:type="dxa"/>
            <w:shd w:val="clear" w:color="auto" w:fill="auto"/>
            <w:vAlign w:val="bottom"/>
          </w:tcPr>
          <w:p w14:paraId="61B2E672" w14:textId="77777777" w:rsidR="000319DE" w:rsidRPr="0005375A" w:rsidRDefault="000319DE" w:rsidP="00345DEF">
            <w:pPr>
              <w:keepNext/>
              <w:keepLines/>
              <w:tabs>
                <w:tab w:val="decimal" w:pos="256"/>
              </w:tabs>
              <w:spacing w:before="60" w:after="60"/>
              <w:jc w:val="center"/>
              <w:rPr>
                <w:sz w:val="14"/>
                <w:szCs w:val="14"/>
              </w:rPr>
            </w:pPr>
            <w:r w:rsidRPr="0005375A">
              <w:rPr>
                <w:rFonts w:cs="Calibri"/>
                <w:color w:val="000000"/>
                <w:sz w:val="14"/>
                <w:szCs w:val="14"/>
              </w:rPr>
              <w:t>-109.9%</w:t>
            </w:r>
          </w:p>
        </w:tc>
      </w:tr>
    </w:tbl>
    <w:p w14:paraId="362B82AB" w14:textId="77777777" w:rsidR="001B3AE0" w:rsidRPr="009E2BA8" w:rsidRDefault="001B3AE0" w:rsidP="00075D72">
      <w:pPr>
        <w:pStyle w:val="NumberedParagraph"/>
      </w:pPr>
      <w:r w:rsidRPr="009E2BA8">
        <w:t>We draw attention to the following points:</w:t>
      </w:r>
    </w:p>
    <w:p w14:paraId="3E40B862" w14:textId="6207DCF3" w:rsidR="001B3AE0" w:rsidRPr="009E2BA8" w:rsidRDefault="001B3AE0" w:rsidP="00075D72">
      <w:pPr>
        <w:pStyle w:val="NumberedParagraph-BulletL1"/>
      </w:pPr>
      <w:r>
        <w:t>Under current rules (the status quo)</w:t>
      </w:r>
      <w:r w:rsidR="003E5A27">
        <w:t>,</w:t>
      </w:r>
      <w:r w:rsidRPr="009E2BA8">
        <w:t xml:space="preserve"> EMTRs are slightly positive for inventory and PME with fast economic depreciation rates</w:t>
      </w:r>
      <w:r w:rsidR="0015559B">
        <w:t>,</w:t>
      </w:r>
      <w:r w:rsidRPr="009E2BA8">
        <w:t xml:space="preserve"> but for many forms of investment</w:t>
      </w:r>
      <w:r w:rsidR="00BE17C5">
        <w:t>,</w:t>
      </w:r>
      <w:r w:rsidRPr="009E2BA8">
        <w:t xml:space="preserve"> EMTRs are negative.</w:t>
      </w:r>
    </w:p>
    <w:p w14:paraId="6A4DB6DB" w14:textId="190F4791" w:rsidR="009E74BC" w:rsidRPr="009E2BA8" w:rsidRDefault="001B3AE0" w:rsidP="00075D72">
      <w:pPr>
        <w:pStyle w:val="NumberedParagraph-BulletL1"/>
      </w:pPr>
      <w:r w:rsidRPr="009E2BA8">
        <w:t>Allowing depreciation loading or partial expensing can lead to negative EMTRs if the opportunity cost of capital is a heavily taxed income stream.</w:t>
      </w:r>
    </w:p>
    <w:p w14:paraId="7842DE91" w14:textId="7F3B8B62" w:rsidR="001B3AE0" w:rsidRDefault="001B3AE0" w:rsidP="00075D72">
      <w:pPr>
        <w:pStyle w:val="NumberedParagraph-BulletL1"/>
      </w:pPr>
      <w:r w:rsidRPr="009E2BA8">
        <w:t>There will be times when accelerated depreciation schemes are likely to lead to inefficient investment subsidies rather than merely reducing high EMTRs on inbound investment.</w:t>
      </w:r>
    </w:p>
    <w:p w14:paraId="5501647F" w14:textId="6709157D" w:rsidR="00AB2044" w:rsidRPr="005D720D" w:rsidRDefault="00547604" w:rsidP="00AB2044">
      <w:pPr>
        <w:pStyle w:val="Heading2"/>
        <w:rPr>
          <w:rFonts w:eastAsia="Calibri"/>
          <w:lang w:eastAsia="en-US"/>
        </w:rPr>
      </w:pPr>
      <w:bookmarkStart w:id="55" w:name="_Toc112857432"/>
      <w:r>
        <w:rPr>
          <w:rFonts w:eastAsia="Calibri"/>
          <w:lang w:eastAsia="en-US"/>
        </w:rPr>
        <w:t>Views of stakeholders</w:t>
      </w:r>
      <w:bookmarkEnd w:id="55"/>
    </w:p>
    <w:p w14:paraId="41E7A545" w14:textId="3B3388FC" w:rsidR="006C3961" w:rsidRDefault="006C3961" w:rsidP="006C3961">
      <w:pPr>
        <w:pStyle w:val="NumberedParagraph"/>
      </w:pPr>
      <w:r>
        <w:t>Business N</w:t>
      </w:r>
      <w:r w:rsidR="00AA6F8E">
        <w:t>Z</w:t>
      </w:r>
      <w:r>
        <w:t xml:space="preserve"> expressed support for </w:t>
      </w:r>
      <w:r w:rsidR="00661DCB">
        <w:t xml:space="preserve">some form of </w:t>
      </w:r>
      <w:r>
        <w:t xml:space="preserve">accelerated depreciation measures and </w:t>
      </w:r>
      <w:r w:rsidR="009920FE">
        <w:t>comment</w:t>
      </w:r>
      <w:r w:rsidR="0080386B">
        <w:t>ed</w:t>
      </w:r>
      <w:r w:rsidR="009920FE">
        <w:t xml:space="preserve"> that they had argued against the removal of depreciation load</w:t>
      </w:r>
      <w:r w:rsidR="003B6477">
        <w:t>ing</w:t>
      </w:r>
      <w:r w:rsidR="009920FE">
        <w:t xml:space="preserve"> </w:t>
      </w:r>
      <w:r w:rsidR="00E42962">
        <w:t>in the context of the Budget 2010 tax changes.</w:t>
      </w:r>
      <w:r w:rsidR="00FD4CD3">
        <w:t xml:space="preserve"> They </w:t>
      </w:r>
      <w:r w:rsidR="003B6477">
        <w:t>are</w:t>
      </w:r>
      <w:r w:rsidR="00FD4CD3">
        <w:t xml:space="preserve"> open to the idea of restricting th</w:t>
      </w:r>
      <w:r w:rsidR="009367A8">
        <w:t>e</w:t>
      </w:r>
      <w:r w:rsidR="00FD4CD3">
        <w:t xml:space="preserve"> </w:t>
      </w:r>
      <w:r w:rsidR="009367A8">
        <w:t xml:space="preserve">measures </w:t>
      </w:r>
      <w:r w:rsidR="00FD4CD3">
        <w:t>to</w:t>
      </w:r>
      <w:r w:rsidR="009A14F8">
        <w:t xml:space="preserve"> new investment if the aim is to incentivise new investment.</w:t>
      </w:r>
      <w:r w:rsidR="00FD4CD3">
        <w:t xml:space="preserve"> </w:t>
      </w:r>
      <w:r w:rsidR="005C10FE">
        <w:t xml:space="preserve">CTG </w:t>
      </w:r>
      <w:r w:rsidR="00E17FF6">
        <w:t xml:space="preserve">also supports reconsidering depreciation rules and higher depreciation rates. </w:t>
      </w:r>
      <w:r w:rsidR="003C0736">
        <w:t>CA</w:t>
      </w:r>
      <w:r w:rsidR="001A17C1">
        <w:t xml:space="preserve"> ANZ did not support accelerated depreciation </w:t>
      </w:r>
      <w:r w:rsidR="00F37DFD">
        <w:t xml:space="preserve">as they </w:t>
      </w:r>
      <w:r w:rsidR="00CD2085">
        <w:t xml:space="preserve">consider </w:t>
      </w:r>
      <w:r w:rsidR="00F37DFD">
        <w:t>it r</w:t>
      </w:r>
      <w:r w:rsidR="00CD2085">
        <w:t>uns</w:t>
      </w:r>
      <w:r w:rsidR="00F37DFD">
        <w:t xml:space="preserve"> against the overall philosophy of the tax system</w:t>
      </w:r>
      <w:r w:rsidR="001E30B8">
        <w:t>,</w:t>
      </w:r>
      <w:r w:rsidR="00B8749A">
        <w:t xml:space="preserve"> and </w:t>
      </w:r>
      <w:r w:rsidR="001E30B8">
        <w:t xml:space="preserve">they </w:t>
      </w:r>
      <w:r w:rsidR="00B8749A">
        <w:t>suggested it should not be undertaken without wider consultation on the struct</w:t>
      </w:r>
      <w:r w:rsidR="003B6477">
        <w:t>u</w:t>
      </w:r>
      <w:r w:rsidR="00B8749A">
        <w:t xml:space="preserve">re of the tax system as a whole. </w:t>
      </w:r>
      <w:r w:rsidR="001E30B8">
        <w:t>CA ANZ’s</w:t>
      </w:r>
      <w:r w:rsidR="003F6BC1">
        <w:t xml:space="preserve"> preference was to consider a simplified system of depreciation rates instead.</w:t>
      </w:r>
    </w:p>
    <w:p w14:paraId="72F710A3" w14:textId="209F86CA" w:rsidR="001B3AE0" w:rsidRPr="00586800" w:rsidRDefault="001B3AE0" w:rsidP="00325672">
      <w:pPr>
        <w:rPr>
          <w:rFonts w:eastAsia="Calibri"/>
        </w:rPr>
      </w:pPr>
    </w:p>
    <w:p w14:paraId="0B463075" w14:textId="1DCF1D1B" w:rsidR="001B3AE0" w:rsidRPr="004B1C56" w:rsidRDefault="001B3AE0" w:rsidP="006A18A0">
      <w:pPr>
        <w:pStyle w:val="Heading1"/>
        <w:ind w:left="0"/>
        <w:rPr>
          <w:rFonts w:eastAsia="Calibri"/>
          <w:lang w:eastAsia="en-US"/>
        </w:rPr>
      </w:pPr>
      <w:r w:rsidRPr="004B1C56">
        <w:rPr>
          <w:rFonts w:eastAsia="Calibri"/>
          <w:lang w:eastAsia="en-US"/>
        </w:rPr>
        <w:lastRenderedPageBreak/>
        <w:br/>
      </w:r>
      <w:r w:rsidRPr="004B1C56">
        <w:rPr>
          <w:rFonts w:eastAsia="Calibri"/>
          <w:lang w:eastAsia="en-US"/>
        </w:rPr>
        <w:br/>
      </w:r>
      <w:bookmarkStart w:id="56" w:name="_Toc112857433"/>
      <w:r w:rsidRPr="004B1C56">
        <w:rPr>
          <w:rFonts w:eastAsia="Calibri"/>
          <w:lang w:eastAsia="en-US"/>
        </w:rPr>
        <w:t>Indexation</w:t>
      </w:r>
      <w:bookmarkEnd w:id="56"/>
    </w:p>
    <w:tbl>
      <w:tblPr>
        <w:tblStyle w:val="SummaryBox"/>
        <w:tblW w:w="0" w:type="auto"/>
        <w:tblLook w:val="04A0" w:firstRow="1" w:lastRow="0" w:firstColumn="1" w:lastColumn="0" w:noHBand="0" w:noVBand="1"/>
      </w:tblPr>
      <w:tblGrid>
        <w:gridCol w:w="8768"/>
      </w:tblGrid>
      <w:tr w:rsidR="001B3AE0" w:rsidRPr="00221CD8" w14:paraId="19828917" w14:textId="77777777" w:rsidTr="007D07BC">
        <w:tc>
          <w:tcPr>
            <w:tcW w:w="8778" w:type="dxa"/>
          </w:tcPr>
          <w:p w14:paraId="1EBDBA12" w14:textId="77777777" w:rsidR="001B3AE0" w:rsidRPr="00221CD8" w:rsidRDefault="001B3AE0" w:rsidP="00597B6B">
            <w:pPr>
              <w:pStyle w:val="ListBullet"/>
            </w:pPr>
            <w:r w:rsidRPr="00221CD8">
              <w:t>Under the present income tax system, costs of capital and EMTRs for real investment can vary significantly from the statutory rates when there is inflation.</w:t>
            </w:r>
          </w:p>
          <w:p w14:paraId="6F97F58A" w14:textId="7AA1E5B7" w:rsidR="001B3AE0" w:rsidRPr="00221CD8" w:rsidRDefault="001B3AE0" w:rsidP="00597B6B">
            <w:pPr>
              <w:pStyle w:val="ListBullet"/>
            </w:pPr>
            <w:r w:rsidRPr="00221CD8">
              <w:t>This increase can be significant even at low rates of inflation in the middle of the Reserve Bank’s 1% to 3% target range.</w:t>
            </w:r>
          </w:p>
          <w:p w14:paraId="33B3A765" w14:textId="77777777" w:rsidR="001B3AE0" w:rsidRPr="00221CD8" w:rsidRDefault="001B3AE0" w:rsidP="00597B6B">
            <w:pPr>
              <w:pStyle w:val="ListBullet"/>
            </w:pPr>
            <w:r w:rsidRPr="00221CD8">
              <w:t>The effects of inflation are not uniform across different asset classes.</w:t>
            </w:r>
          </w:p>
          <w:p w14:paraId="0E2995B3" w14:textId="77777777" w:rsidR="001B3AE0" w:rsidRPr="00221CD8" w:rsidRDefault="001B3AE0" w:rsidP="00597B6B">
            <w:pPr>
              <w:pStyle w:val="ListBullet"/>
            </w:pPr>
            <w:r w:rsidRPr="00221CD8">
              <w:t>This tends to reduce the neutrality of the tax system.</w:t>
            </w:r>
          </w:p>
          <w:p w14:paraId="6C60BCDB" w14:textId="5D4167EE" w:rsidR="001B3AE0" w:rsidRPr="00221CD8" w:rsidRDefault="001B3AE0" w:rsidP="00597B6B">
            <w:pPr>
              <w:pStyle w:val="ListBullet"/>
            </w:pPr>
            <w:r w:rsidRPr="00221CD8">
              <w:t xml:space="preserve">In principle, these distortions could be addressed by </w:t>
            </w:r>
            <w:r w:rsidR="001F2AFA">
              <w:t xml:space="preserve">comprehensively </w:t>
            </w:r>
            <w:r w:rsidRPr="00221CD8">
              <w:t>indexing the tax base for inflation</w:t>
            </w:r>
            <w:r w:rsidR="001F2AFA">
              <w:t>,</w:t>
            </w:r>
            <w:r w:rsidRPr="00221CD8">
              <w:t xml:space="preserve"> which would include sales of revenue account assets, depreciation, trading stock, and interest.</w:t>
            </w:r>
          </w:p>
          <w:p w14:paraId="563A0CAD" w14:textId="313D0A46" w:rsidR="001B3AE0" w:rsidRPr="00221CD8" w:rsidRDefault="001B3AE0" w:rsidP="00597B6B">
            <w:pPr>
              <w:pStyle w:val="ListBullet"/>
            </w:pPr>
            <w:r w:rsidRPr="00221CD8">
              <w:t>While comprehensive indexation c</w:t>
            </w:r>
            <w:r w:rsidR="00F26092">
              <w:t>ould</w:t>
            </w:r>
            <w:r w:rsidRPr="00221CD8">
              <w:t xml:space="preserve"> eliminate the mismeasurement of income and reduce tax distortions, it could </w:t>
            </w:r>
            <w:r w:rsidR="00F26092">
              <w:t xml:space="preserve">also </w:t>
            </w:r>
            <w:r w:rsidRPr="00221CD8">
              <w:t>be complex and have high compliance and administration costs.</w:t>
            </w:r>
          </w:p>
          <w:p w14:paraId="2B8852CF" w14:textId="68F2EC1F" w:rsidR="008F76FD" w:rsidRDefault="00565BFA" w:rsidP="00597B6B">
            <w:pPr>
              <w:pStyle w:val="ListBullet"/>
            </w:pPr>
            <w:r>
              <w:t>S</w:t>
            </w:r>
            <w:r w:rsidR="00F203E5">
              <w:t xml:space="preserve">everal OECD countries have </w:t>
            </w:r>
            <w:r w:rsidR="004E1B9F">
              <w:t>indexation measures for depreciation</w:t>
            </w:r>
            <w:r w:rsidR="00F61DED">
              <w:t>. Tw</w:t>
            </w:r>
            <w:r w:rsidR="004E1B9F">
              <w:t xml:space="preserve">o countries </w:t>
            </w:r>
            <w:r w:rsidR="009C4F4D">
              <w:t xml:space="preserve">(Mexico and Chile) have broad indexation provisions </w:t>
            </w:r>
            <w:r w:rsidR="009C3E73">
              <w:t>that</w:t>
            </w:r>
            <w:r w:rsidR="009C4F4D">
              <w:t xml:space="preserve"> extend to interest income and expense.</w:t>
            </w:r>
          </w:p>
          <w:p w14:paraId="16982412" w14:textId="41642E85" w:rsidR="001B3AE0" w:rsidRPr="00221CD8" w:rsidRDefault="001B3AE0" w:rsidP="00597B6B">
            <w:pPr>
              <w:pStyle w:val="ListBullet"/>
            </w:pPr>
            <w:r w:rsidRPr="00221CD8">
              <w:t>Indexing depreciation deductions</w:t>
            </w:r>
            <w:r w:rsidR="00015856">
              <w:t>,</w:t>
            </w:r>
            <w:r w:rsidRPr="00221CD8">
              <w:t xml:space="preserve"> or both depreciation deductions and inventories without indexing interest</w:t>
            </w:r>
            <w:r w:rsidR="00015856">
              <w:t>,</w:t>
            </w:r>
            <w:r w:rsidRPr="00221CD8">
              <w:t xml:space="preserve"> might be a way of lowering costs of capital and EMTRs and making these more neutral.</w:t>
            </w:r>
          </w:p>
          <w:p w14:paraId="65AC8FF8" w14:textId="3B597DC8" w:rsidR="001B3AE0" w:rsidRPr="00221CD8" w:rsidRDefault="00015856" w:rsidP="00597B6B">
            <w:pPr>
              <w:pStyle w:val="ListBullet"/>
            </w:pPr>
            <w:r>
              <w:t>However,</w:t>
            </w:r>
            <w:r w:rsidR="001B3AE0" w:rsidRPr="00221CD8">
              <w:t xml:space="preserve"> like accelerated depreciation schemes, this would sometimes lead to investment subsidies.</w:t>
            </w:r>
          </w:p>
          <w:p w14:paraId="281BF73C" w14:textId="733B36D9" w:rsidR="001B3AE0" w:rsidRPr="00221CD8" w:rsidRDefault="001B3AE0" w:rsidP="00597B6B">
            <w:pPr>
              <w:pStyle w:val="ListBullet"/>
            </w:pPr>
            <w:r w:rsidRPr="00221CD8">
              <w:t>The case for indexation measures will depend on compliance and administration costs and how these change over time</w:t>
            </w:r>
            <w:r w:rsidR="001737FC">
              <w:t>,</w:t>
            </w:r>
            <w:r w:rsidRPr="00221CD8">
              <w:t xml:space="preserve"> </w:t>
            </w:r>
            <w:r w:rsidR="00F903C8">
              <w:t>as well as</w:t>
            </w:r>
            <w:r w:rsidRPr="00221CD8">
              <w:t xml:space="preserve"> on future interest and inflation rates.</w:t>
            </w:r>
          </w:p>
          <w:p w14:paraId="53E87FFA" w14:textId="77777777" w:rsidR="001B3AE0" w:rsidRPr="00221CD8" w:rsidRDefault="001B3AE0" w:rsidP="00597B6B">
            <w:pPr>
              <w:pStyle w:val="ListBullet"/>
            </w:pPr>
            <w:r w:rsidRPr="00221CD8">
              <w:t>The case for indexation is strongest when inflation is high relative to real interest rates.</w:t>
            </w:r>
          </w:p>
        </w:tc>
      </w:tr>
    </w:tbl>
    <w:p w14:paraId="3FD20714" w14:textId="77777777" w:rsidR="001B3AE0" w:rsidRPr="00221CD8" w:rsidRDefault="001B3AE0" w:rsidP="001B3AE0">
      <w:pPr>
        <w:pStyle w:val="Heading2"/>
        <w:rPr>
          <w:rFonts w:eastAsia="Calibri"/>
          <w:lang w:eastAsia="en-US"/>
        </w:rPr>
      </w:pPr>
      <w:bookmarkStart w:id="57" w:name="_Toc112857434"/>
      <w:r w:rsidRPr="00221CD8">
        <w:rPr>
          <w:rFonts w:eastAsia="Calibri"/>
          <w:lang w:eastAsia="en-US"/>
        </w:rPr>
        <w:t>Introduction</w:t>
      </w:r>
      <w:bookmarkEnd w:id="57"/>
    </w:p>
    <w:p w14:paraId="77666E4B" w14:textId="33F6615E" w:rsidR="001B3AE0" w:rsidRPr="00221CD8" w:rsidRDefault="001B3AE0" w:rsidP="00075D72">
      <w:pPr>
        <w:pStyle w:val="NumberedParagraph"/>
      </w:pPr>
      <w:r w:rsidRPr="00221CD8">
        <w:t xml:space="preserve">Currently, the New Zealand tax system is not indexed for inflation, so it taxes nominal income and allows deductions for nominal interest expenses. However, some nominal income is compensation for inflation and should not be taxed under an economic definition of income. Under an economic definition, gains in the value of a person’s assets </w:t>
      </w:r>
      <w:r w:rsidR="008541CB">
        <w:t>that</w:t>
      </w:r>
      <w:r w:rsidRPr="00221CD8">
        <w:t xml:space="preserve"> are merely compensating for inflation would not be taxed. However, gains </w:t>
      </w:r>
      <w:r w:rsidR="00AC3536">
        <w:t>that</w:t>
      </w:r>
      <w:r w:rsidRPr="00221CD8">
        <w:t xml:space="preserve"> contribute to an increase in a taxpayer’s real net worth should be taxed.</w:t>
      </w:r>
    </w:p>
    <w:tbl>
      <w:tblPr>
        <w:tblStyle w:val="ExampleBox"/>
        <w:tblW w:w="8170" w:type="dxa"/>
        <w:tblLayout w:type="fixed"/>
        <w:tblLook w:val="04A0" w:firstRow="1" w:lastRow="0" w:firstColumn="1" w:lastColumn="0" w:noHBand="0" w:noVBand="1"/>
      </w:tblPr>
      <w:tblGrid>
        <w:gridCol w:w="8170"/>
      </w:tblGrid>
      <w:tr w:rsidR="001B3AE0" w:rsidRPr="00221CD8" w14:paraId="7AF6616C" w14:textId="77777777" w:rsidTr="008D0B2E">
        <w:tc>
          <w:tcPr>
            <w:tcW w:w="8170" w:type="dxa"/>
          </w:tcPr>
          <w:p w14:paraId="2FA21FE5" w14:textId="77777777" w:rsidR="001B3AE0" w:rsidRPr="0096767B" w:rsidRDefault="001B3AE0" w:rsidP="006B3D7B">
            <w:pPr>
              <w:rPr>
                <w:b/>
                <w:bCs/>
              </w:rPr>
            </w:pPr>
            <w:r w:rsidRPr="0096767B">
              <w:rPr>
                <w:b/>
                <w:bCs/>
              </w:rPr>
              <w:lastRenderedPageBreak/>
              <w:t xml:space="preserve">Example </w:t>
            </w:r>
            <w:r>
              <w:rPr>
                <w:b/>
                <w:bCs/>
              </w:rPr>
              <w:t>8.1</w:t>
            </w:r>
          </w:p>
          <w:p w14:paraId="79AE565A" w14:textId="31711961" w:rsidR="001B3AE0" w:rsidRPr="00221CD8" w:rsidRDefault="00AC3536" w:rsidP="006B3D7B">
            <w:r>
              <w:t>S</w:t>
            </w:r>
            <w:r w:rsidR="001B3AE0" w:rsidRPr="00221CD8">
              <w:t>uppose the average price of goods is initially $10</w:t>
            </w:r>
            <w:r w:rsidR="00383FEB">
              <w:t>,</w:t>
            </w:r>
            <w:r w:rsidR="001B3AE0" w:rsidRPr="00221CD8">
              <w:t xml:space="preserve"> and a person has $10,000</w:t>
            </w:r>
            <w:r w:rsidR="00B70157">
              <w:t>.</w:t>
            </w:r>
            <w:r w:rsidR="001B3AE0" w:rsidRPr="00221CD8">
              <w:t xml:space="preserve"> </w:t>
            </w:r>
            <w:r w:rsidR="00B70157">
              <w:t>T</w:t>
            </w:r>
            <w:r w:rsidR="001B3AE0" w:rsidRPr="00221CD8">
              <w:t>hat person can buy 1,000 goods.</w:t>
            </w:r>
          </w:p>
          <w:p w14:paraId="3033A372" w14:textId="521ED3A2" w:rsidR="001B3AE0" w:rsidRPr="00221CD8" w:rsidRDefault="001B3AE0" w:rsidP="006B3D7B">
            <w:r w:rsidRPr="00221CD8">
              <w:t xml:space="preserve">The person puts the money into a bank account and earns 5.06% interest, and there is </w:t>
            </w:r>
            <w:r w:rsidR="00383FEB">
              <w:t xml:space="preserve">a </w:t>
            </w:r>
            <w:r w:rsidRPr="00221CD8">
              <w:t>2% inflation rate. This is a 3% real interest rate. After one year, the person will have $10,506, but the average price of goods will increase to $10.20. Before accounting for tax, the person’s real worth will have increased by 3% – in the first year, they can buy 1,000 goods and in the following year they can buy 1,030 goods.</w:t>
            </w:r>
          </w:p>
          <w:p w14:paraId="481223DB" w14:textId="5AE77E12" w:rsidR="001B3AE0" w:rsidRPr="00221CD8" w:rsidRDefault="001B3AE0" w:rsidP="006B3D7B">
            <w:r w:rsidRPr="00221CD8">
              <w:t xml:space="preserve">However, New Zealand currently taxes nominal income. If the person’s marginal tax rate is 30%, then the person will have $10,354 in the second year and can only buy 1,015 goods. The </w:t>
            </w:r>
            <w:r w:rsidR="00184AAE">
              <w:t>person</w:t>
            </w:r>
            <w:r w:rsidRPr="00221CD8">
              <w:t xml:space="preserve"> has been taxed at a rate of 50% on their real economic income.</w:t>
            </w:r>
          </w:p>
        </w:tc>
      </w:tr>
    </w:tbl>
    <w:p w14:paraId="59045668" w14:textId="3D9E7CF8" w:rsidR="001B3AE0" w:rsidRPr="00221CD8" w:rsidRDefault="001B3AE0" w:rsidP="00075D72">
      <w:pPr>
        <w:pStyle w:val="NumberedParagraph"/>
      </w:pPr>
      <w:r w:rsidRPr="00221CD8">
        <w:t xml:space="preserve">Taxing nominal gains can increase the effective marginal tax rates (EMTRs) for investment </w:t>
      </w:r>
      <w:r w:rsidR="008C59B9">
        <w:t xml:space="preserve">in </w:t>
      </w:r>
      <w:r w:rsidR="002917DD">
        <w:t>certain</w:t>
      </w:r>
      <w:r w:rsidR="008C59B9">
        <w:t xml:space="preserve"> asset</w:t>
      </w:r>
      <w:r w:rsidR="000658AB">
        <w:t>s</w:t>
      </w:r>
      <w:r w:rsidR="009A2591">
        <w:t xml:space="preserve">. </w:t>
      </w:r>
      <w:r w:rsidR="00562733">
        <w:t>A</w:t>
      </w:r>
      <w:r w:rsidR="002E0A7A">
        <w:t xml:space="preserve">t the same time, businesses can deduct more than their real </w:t>
      </w:r>
      <w:r w:rsidRPr="00221CD8">
        <w:t>interest expenses. When compared to the economic definition of income, the current rules can:</w:t>
      </w:r>
    </w:p>
    <w:p w14:paraId="1673BC75" w14:textId="042D1794" w:rsidR="001B3AE0" w:rsidRPr="00221CD8" w:rsidRDefault="001B3AE0" w:rsidP="00075D72">
      <w:pPr>
        <w:pStyle w:val="NumberedParagraph-BulletL1"/>
      </w:pPr>
      <w:r w:rsidRPr="00221CD8">
        <w:t>overtax taxpayers with income and assets that have an inflationary component, such as trading stock, and depreciable property, and</w:t>
      </w:r>
    </w:p>
    <w:p w14:paraId="7111A4D3" w14:textId="50EE484E" w:rsidR="001B3AE0" w:rsidRPr="00221CD8" w:rsidRDefault="00A4150E" w:rsidP="00075D72">
      <w:pPr>
        <w:pStyle w:val="NumberedParagraph-BulletL1"/>
      </w:pPr>
      <w:r>
        <w:t>allow excessive deductions for</w:t>
      </w:r>
      <w:r w:rsidR="001B3AE0" w:rsidRPr="00221CD8">
        <w:t xml:space="preserve"> taxpayers with interest expenses.</w:t>
      </w:r>
      <w:r w:rsidR="001B3AE0" w:rsidRPr="00221CD8">
        <w:rPr>
          <w:vertAlign w:val="superscript"/>
        </w:rPr>
        <w:footnoteReference w:id="47"/>
      </w:r>
    </w:p>
    <w:p w14:paraId="534F8F03" w14:textId="273D4AE4" w:rsidR="0036651B" w:rsidRDefault="001B3AE0" w:rsidP="00075D72">
      <w:pPr>
        <w:pStyle w:val="NumberedParagraph"/>
      </w:pPr>
      <w:r w:rsidRPr="00221CD8">
        <w:t xml:space="preserve">This can increase costs of capital and EMTRs on investments </w:t>
      </w:r>
      <w:r w:rsidR="00215032">
        <w:t>that</w:t>
      </w:r>
      <w:r w:rsidRPr="00221CD8">
        <w:t xml:space="preserve"> are already taxed quite heavily. This overtaxation can reduce investment in many types of assets and be distortionary between different types of investments. </w:t>
      </w:r>
    </w:p>
    <w:p w14:paraId="4CED2811" w14:textId="1E391DA0" w:rsidR="001B3AE0" w:rsidRPr="00221CD8" w:rsidRDefault="001B3AE0" w:rsidP="00075D72">
      <w:pPr>
        <w:pStyle w:val="NumberedParagraph"/>
      </w:pPr>
      <w:r w:rsidRPr="00221CD8">
        <w:t xml:space="preserve">While it is not the focus of this LTIB, </w:t>
      </w:r>
      <w:r w:rsidR="00D32B56">
        <w:t>taxing nominal gains</w:t>
      </w:r>
      <w:r w:rsidRPr="00221CD8">
        <w:t xml:space="preserve"> can also impose a heavy tax impost on those who are earning interest income</w:t>
      </w:r>
      <w:r w:rsidR="00300C79">
        <w:t>,</w:t>
      </w:r>
      <w:r w:rsidRPr="00221CD8">
        <w:t xml:space="preserve"> which may discourage savings and distort how people choose to save. This can reduce economic efficiency and horizontal equity.</w:t>
      </w:r>
      <w:r w:rsidR="0054183C">
        <w:t xml:space="preserve"> If, in the example, above we only wanted to tax the r</w:t>
      </w:r>
      <w:r w:rsidR="00D43E6E">
        <w:t xml:space="preserve">eal interest that is being earned, we would </w:t>
      </w:r>
      <w:r w:rsidR="00E07179">
        <w:t xml:space="preserve">levy tax </w:t>
      </w:r>
      <w:r w:rsidR="00C40AC3">
        <w:t xml:space="preserve">on </w:t>
      </w:r>
      <w:r w:rsidR="00E07179">
        <w:t>only $306. This is because the first $200 of the $506 of interest income is merely maintaining the purchasing power of money that has been lent.</w:t>
      </w:r>
    </w:p>
    <w:p w14:paraId="4126DFEE" w14:textId="7763906A" w:rsidR="001B3AE0" w:rsidRPr="00221CD8" w:rsidRDefault="001B3AE0" w:rsidP="00075D72">
      <w:pPr>
        <w:pStyle w:val="NumberedParagraph"/>
      </w:pPr>
      <w:r w:rsidRPr="00221CD8">
        <w:t xml:space="preserve">As was seen </w:t>
      </w:r>
      <w:r w:rsidRPr="00592BC3">
        <w:t xml:space="preserve">in chapter </w:t>
      </w:r>
      <w:r w:rsidRPr="0041399F">
        <w:t>4</w:t>
      </w:r>
      <w:r w:rsidRPr="00592BC3">
        <w:t>, at times the curre</w:t>
      </w:r>
      <w:r w:rsidRPr="00221CD8">
        <w:t xml:space="preserve">nt rules can </w:t>
      </w:r>
      <w:r w:rsidRPr="00075D72">
        <w:rPr>
          <w:i/>
        </w:rPr>
        <w:t>lower</w:t>
      </w:r>
      <w:r w:rsidRPr="00221CD8">
        <w:t xml:space="preserve"> costs of capital and EMTRs and promote investment in certain assets</w:t>
      </w:r>
      <w:r w:rsidR="00F24165">
        <w:t>,</w:t>
      </w:r>
      <w:r w:rsidRPr="00221CD8">
        <w:t xml:space="preserve"> especially for heavily geared investments.</w:t>
      </w:r>
    </w:p>
    <w:p w14:paraId="0B697971" w14:textId="77777777" w:rsidR="001B3AE0" w:rsidRPr="00221CD8" w:rsidRDefault="001B3AE0" w:rsidP="001B3AE0">
      <w:pPr>
        <w:pStyle w:val="Heading2"/>
        <w:rPr>
          <w:rFonts w:eastAsia="Calibri"/>
          <w:lang w:eastAsia="en-US"/>
        </w:rPr>
      </w:pPr>
      <w:bookmarkStart w:id="58" w:name="_Toc112857435"/>
      <w:r w:rsidRPr="00221CD8">
        <w:rPr>
          <w:rFonts w:eastAsia="Calibri"/>
          <w:lang w:eastAsia="en-US"/>
        </w:rPr>
        <w:t>How might the tax system be indexed for inflation?</w:t>
      </w:r>
      <w:bookmarkEnd w:id="58"/>
    </w:p>
    <w:p w14:paraId="68649E91" w14:textId="4C64D557" w:rsidR="001B3AE0" w:rsidRPr="00221CD8" w:rsidRDefault="001B3AE0" w:rsidP="00075D72">
      <w:pPr>
        <w:pStyle w:val="NumberedParagraph"/>
      </w:pPr>
      <w:r w:rsidRPr="00221CD8">
        <w:t>This chapter looks at the idea of comprehensively adjusting the income tax base for inflation. To clarify, this is different to the idea of inflation indexing personal income tax thresholds. Even if personal income tax thresholds were indexed for inflation</w:t>
      </w:r>
      <w:r w:rsidR="00122989">
        <w:t>,</w:t>
      </w:r>
      <w:r w:rsidRPr="00221CD8">
        <w:t xml:space="preserve"> or if there were a flat personal tax rate and no personal income tax thresholds to index, there would </w:t>
      </w:r>
      <w:r w:rsidR="00B83336">
        <w:t xml:space="preserve">still </w:t>
      </w:r>
      <w:r w:rsidRPr="00221CD8">
        <w:t xml:space="preserve">be a question of how to take inflation into </w:t>
      </w:r>
      <w:r w:rsidRPr="00221CD8">
        <w:lastRenderedPageBreak/>
        <w:t>account so that people who earn interest or other forms of capital income are not taxed on purely inflationary gains.</w:t>
      </w:r>
    </w:p>
    <w:p w14:paraId="77241B8E" w14:textId="5053DF7B" w:rsidR="001B3AE0" w:rsidRPr="00221CD8" w:rsidRDefault="001B3AE0" w:rsidP="00075D72">
      <w:pPr>
        <w:pStyle w:val="NumberedParagraph"/>
      </w:pPr>
      <w:r w:rsidRPr="00221CD8">
        <w:t xml:space="preserve">One approach to comprehensive indexation was proposed by the 1989 </w:t>
      </w:r>
      <w:r w:rsidRPr="00E8474D">
        <w:rPr>
          <w:rStyle w:val="Emphasis"/>
        </w:rPr>
        <w:t>Consultative Document on the Taxation of Income from Capital</w:t>
      </w:r>
      <w:r w:rsidRPr="00221CD8">
        <w:t>.</w:t>
      </w:r>
      <w:r w:rsidRPr="00221CD8">
        <w:rPr>
          <w:vertAlign w:val="superscript"/>
        </w:rPr>
        <w:footnoteReference w:id="48"/>
      </w:r>
      <w:r w:rsidRPr="00221CD8">
        <w:t xml:space="preserve"> This Consultative Document approach involves four key changes:</w:t>
      </w:r>
    </w:p>
    <w:p w14:paraId="3F421298" w14:textId="41A821ED" w:rsidR="001B3AE0" w:rsidRPr="00221CD8" w:rsidRDefault="001B3AE0" w:rsidP="00075D72">
      <w:pPr>
        <w:pStyle w:val="NumberedParagraph-BulletL1"/>
      </w:pPr>
      <w:r w:rsidRPr="00221CD8">
        <w:t xml:space="preserve">Sale of revenue account capital assets – on sale, the cost base of the asset and improvements </w:t>
      </w:r>
      <w:r w:rsidR="00162CD7">
        <w:t>is</w:t>
      </w:r>
      <w:r w:rsidRPr="00221CD8">
        <w:t xml:space="preserve"> increased by the amount of inflation since incurring these expenses.</w:t>
      </w:r>
    </w:p>
    <w:p w14:paraId="64D01C5F" w14:textId="77777777" w:rsidR="001B3AE0" w:rsidRPr="00221CD8" w:rsidRDefault="001B3AE0" w:rsidP="00075D72">
      <w:pPr>
        <w:pStyle w:val="NumberedParagraph-BulletL1"/>
      </w:pPr>
      <w:r w:rsidRPr="00221CD8">
        <w:t>Inventories or trading stock – the ‘opening value’ of trading stock is increased by an inflationary component based on the average value of stock through the year.</w:t>
      </w:r>
    </w:p>
    <w:p w14:paraId="1EDD4979" w14:textId="77777777" w:rsidR="001B3AE0" w:rsidRPr="00221CD8" w:rsidRDefault="001B3AE0" w:rsidP="00075D72">
      <w:pPr>
        <w:pStyle w:val="NumberedParagraph-BulletL1"/>
      </w:pPr>
      <w:r w:rsidRPr="00221CD8">
        <w:t>Depreciation – the cost base of depreciable assets is increased every year by inflation.</w:t>
      </w:r>
    </w:p>
    <w:p w14:paraId="2A585C15" w14:textId="599D98D9" w:rsidR="001B3AE0" w:rsidRPr="00221CD8" w:rsidRDefault="001B3AE0" w:rsidP="00075D72">
      <w:pPr>
        <w:pStyle w:val="NumberedParagraph-BulletL1"/>
      </w:pPr>
      <w:r w:rsidRPr="00221CD8">
        <w:t>Financial arrangements – the inflationary component of interest received is non-assessable and the inflationary component of interest paid is non-deductible. Other adjustments would be required for more complex financial arrangements</w:t>
      </w:r>
      <w:r w:rsidR="00220DE4">
        <w:t>,</w:t>
      </w:r>
      <w:r w:rsidRPr="00221CD8">
        <w:t xml:space="preserve"> such as derivatives and arrangements in foreign currency.</w:t>
      </w:r>
    </w:p>
    <w:p w14:paraId="1AD16327" w14:textId="77777777" w:rsidR="001B3AE0" w:rsidRPr="00221CD8" w:rsidRDefault="001B3AE0" w:rsidP="001B3AE0">
      <w:pPr>
        <w:pStyle w:val="Heading2"/>
        <w:rPr>
          <w:rFonts w:eastAsia="Calibri"/>
          <w:lang w:eastAsia="en-US"/>
        </w:rPr>
      </w:pPr>
      <w:bookmarkStart w:id="59" w:name="_Toc112857436"/>
      <w:r w:rsidRPr="00221CD8">
        <w:rPr>
          <w:rFonts w:eastAsia="Calibri"/>
          <w:lang w:eastAsia="en-US"/>
        </w:rPr>
        <w:t>Impacts on costs of capital</w:t>
      </w:r>
      <w:bookmarkEnd w:id="59"/>
    </w:p>
    <w:p w14:paraId="6DD59A9E" w14:textId="7FF90FAC" w:rsidR="001B3AE0" w:rsidRPr="00221CD8" w:rsidRDefault="001B3AE0" w:rsidP="00075D72">
      <w:pPr>
        <w:pStyle w:val="NumberedParagraph"/>
      </w:pPr>
      <w:r w:rsidRPr="00915A79">
        <w:t>In chapter 4</w:t>
      </w:r>
      <w:r w:rsidR="009277A4">
        <w:t>,</w:t>
      </w:r>
      <w:r w:rsidRPr="00915A79">
        <w:t xml:space="preserve"> we discu</w:t>
      </w:r>
      <w:r w:rsidRPr="00221CD8">
        <w:t xml:space="preserve">ssed how inflation and the mismeasurement of income could affect costs of capital and </w:t>
      </w:r>
      <w:r w:rsidR="006C4422">
        <w:t>EMTRs</w:t>
      </w:r>
      <w:r w:rsidRPr="00221CD8">
        <w:t>.</w:t>
      </w:r>
    </w:p>
    <w:p w14:paraId="36999C3B" w14:textId="029255CD" w:rsidR="001B3AE0" w:rsidRPr="00221CD8" w:rsidRDefault="001B3AE0" w:rsidP="00075D72">
      <w:pPr>
        <w:pStyle w:val="NumberedParagraph"/>
      </w:pPr>
      <w:r w:rsidRPr="00221CD8">
        <w:t xml:space="preserve">Costs of capital are estimated in table </w:t>
      </w:r>
      <w:r>
        <w:t>8.1</w:t>
      </w:r>
      <w:r w:rsidRPr="00221CD8">
        <w:t>. As in previous chapters</w:t>
      </w:r>
      <w:r w:rsidR="006C4422">
        <w:t>,</w:t>
      </w:r>
      <w:r w:rsidRPr="00221CD8">
        <w:t xml:space="preserve"> we consider</w:t>
      </w:r>
      <w:r w:rsidRPr="00221CD8" w:rsidDel="00F66FE6">
        <w:t xml:space="preserve"> </w:t>
      </w:r>
      <w:r w:rsidRPr="00221CD8">
        <w:t xml:space="preserve">a domestic company with marginal foreign portfolio shareholders, using the OECD company tax model modified to take account of </w:t>
      </w:r>
      <w:r w:rsidR="00997B24">
        <w:t>approved issuer levy (</w:t>
      </w:r>
      <w:r w:rsidRPr="00221CD8">
        <w:t>AIL</w:t>
      </w:r>
      <w:r w:rsidR="00997B24">
        <w:t>)</w:t>
      </w:r>
      <w:r w:rsidRPr="00221CD8">
        <w:t>.</w:t>
      </w:r>
      <w:r w:rsidRPr="00221CD8">
        <w:rPr>
          <w:vertAlign w:val="superscript"/>
        </w:rPr>
        <w:footnoteReference w:id="49"/>
      </w:r>
      <w:r w:rsidRPr="00221CD8">
        <w:t xml:space="preserve"> We assume that foreign shareholders demand a real return of 3% on their funds net of any domestic taxes, as do foreign lenders. Because of </w:t>
      </w:r>
      <w:r w:rsidR="00AD58A9">
        <w:t>AIL</w:t>
      </w:r>
      <w:r w:rsidRPr="00221CD8">
        <w:t>, the domestic real interest rate is bid up to 3.</w:t>
      </w:r>
      <w:r w:rsidR="003B640D">
        <w:t xml:space="preserve">06% if the tax system (including interest) is comprehensively indexed for inflation or </w:t>
      </w:r>
      <w:r w:rsidRPr="00221CD8">
        <w:t>3.10%</w:t>
      </w:r>
      <w:r w:rsidR="003B640D">
        <w:t xml:space="preserve"> if interest is not indexed</w:t>
      </w:r>
      <w:r w:rsidRPr="00221CD8">
        <w:t xml:space="preserve">. We assume that firms are 43% debt financed and the depreciation deductions for plant, </w:t>
      </w:r>
      <w:proofErr w:type="gramStart"/>
      <w:r w:rsidRPr="00221CD8">
        <w:t>machinery</w:t>
      </w:r>
      <w:proofErr w:type="gramEnd"/>
      <w:r w:rsidRPr="00221CD8">
        <w:t xml:space="preserve"> and equipment (PME) are set to mirror how assets would depreciate in the absence of inflation.</w:t>
      </w:r>
    </w:p>
    <w:p w14:paraId="3E0B4E96" w14:textId="062DBBB3" w:rsidR="001B3AE0" w:rsidRPr="00221CD8" w:rsidRDefault="001B3AE0" w:rsidP="00075D72">
      <w:pPr>
        <w:pStyle w:val="NumberedParagraph"/>
      </w:pPr>
      <w:r w:rsidRPr="00221CD8">
        <w:t>Rows 3</w:t>
      </w:r>
      <w:r w:rsidR="00CC2D79">
        <w:t>–</w:t>
      </w:r>
      <w:r w:rsidRPr="00221CD8">
        <w:t>5 report costs of capital and rows 6</w:t>
      </w:r>
      <w:r w:rsidR="00CC2D79">
        <w:t>–</w:t>
      </w:r>
      <w:r w:rsidRPr="00221CD8">
        <w:t>8 report EMTRs. We consider three possible tax treatments:</w:t>
      </w:r>
    </w:p>
    <w:p w14:paraId="52D2B173" w14:textId="77777777" w:rsidR="001B3AE0" w:rsidRPr="00221CD8" w:rsidRDefault="001B3AE0" w:rsidP="00075D72">
      <w:pPr>
        <w:pStyle w:val="NumberedParagraph-BulletL1"/>
      </w:pPr>
      <w:r w:rsidRPr="00221CD8">
        <w:t>the status quo</w:t>
      </w:r>
    </w:p>
    <w:p w14:paraId="77EE6443" w14:textId="09DF2353" w:rsidR="001B3AE0" w:rsidRPr="00221CD8" w:rsidRDefault="001B3AE0" w:rsidP="00075D72">
      <w:pPr>
        <w:pStyle w:val="NumberedParagraph-BulletL1"/>
      </w:pPr>
      <w:r w:rsidRPr="00221CD8">
        <w:t xml:space="preserve">full indexation of depreciation allowances, </w:t>
      </w:r>
      <w:proofErr w:type="gramStart"/>
      <w:r w:rsidRPr="00221CD8">
        <w:t>inventories</w:t>
      </w:r>
      <w:proofErr w:type="gramEnd"/>
      <w:r w:rsidRPr="00221CD8">
        <w:t xml:space="preserve"> and interest payments</w:t>
      </w:r>
      <w:r w:rsidR="00CC2D79">
        <w:t>, and</w:t>
      </w:r>
    </w:p>
    <w:p w14:paraId="0F89563A" w14:textId="77777777" w:rsidR="001B3AE0" w:rsidRPr="00221CD8" w:rsidRDefault="001B3AE0" w:rsidP="00075D72">
      <w:pPr>
        <w:pStyle w:val="NumberedParagraph-BulletL1"/>
      </w:pPr>
      <w:r w:rsidRPr="00221CD8">
        <w:lastRenderedPageBreak/>
        <w:t>indexation of depreciation allowances and inventories but not interest.</w:t>
      </w:r>
    </w:p>
    <w:p w14:paraId="200D597D" w14:textId="2FA64A1D" w:rsidR="00B90807" w:rsidRPr="00253BF7" w:rsidRDefault="001B3AE0" w:rsidP="00020CF1">
      <w:pPr>
        <w:pStyle w:val="Caption"/>
        <w:keepLines/>
        <w:ind w:left="-567" w:right="-426"/>
        <w:rPr>
          <w:rFonts w:eastAsia="Calibri"/>
          <w:bCs/>
        </w:rPr>
      </w:pPr>
      <w:r w:rsidRPr="00221CD8">
        <w:rPr>
          <w:rFonts w:eastAsia="Calibri"/>
        </w:rPr>
        <w:t xml:space="preserve">Table </w:t>
      </w:r>
      <w:r>
        <w:rPr>
          <w:rFonts w:eastAsia="Calibri"/>
        </w:rPr>
        <w:t xml:space="preserve">8.1: </w:t>
      </w:r>
      <w:r w:rsidRPr="00221CD8">
        <w:rPr>
          <w:rFonts w:eastAsia="Calibri"/>
        </w:rPr>
        <w:t>Costs of capital and EMTRs OECD company tax model</w:t>
      </w:r>
      <w:r w:rsidRPr="00221CD8">
        <w:rPr>
          <w:rFonts w:eastAsia="Calibri"/>
        </w:rPr>
        <w:br/>
      </w:r>
      <w:r w:rsidR="005E454A">
        <w:rPr>
          <w:rFonts w:eastAsia="Calibri"/>
        </w:rPr>
        <w:t>debt</w:t>
      </w:r>
      <w:r w:rsidRPr="00221CD8">
        <w:rPr>
          <w:rFonts w:eastAsia="Calibri"/>
        </w:rPr>
        <w:t xml:space="preserve"> = 43%, r</w:t>
      </w:r>
      <w:r w:rsidR="00317890">
        <w:rPr>
          <w:rFonts w:eastAsia="Calibri"/>
        </w:rPr>
        <w:t>*</w:t>
      </w:r>
      <w:r w:rsidRPr="00221CD8">
        <w:rPr>
          <w:rFonts w:eastAsia="Calibri"/>
        </w:rPr>
        <w:t xml:space="preserve"> = 3%, inflation = 2%, AIL = 2%</w:t>
      </w:r>
      <w:r w:rsidR="006C3DCE">
        <w:rPr>
          <w:rFonts w:eastAsia="Calibri"/>
        </w:rPr>
        <w:br/>
      </w:r>
      <w:r w:rsidR="00FC3775">
        <w:rPr>
          <w:rFonts w:eastAsia="Calibri"/>
          <w:bCs/>
        </w:rPr>
        <w:t>Indexation options</w:t>
      </w:r>
    </w:p>
    <w:tbl>
      <w:tblPr>
        <w:tblStyle w:val="TableGrid"/>
        <w:tblW w:w="9781" w:type="dxa"/>
        <w:tblInd w:w="-5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8" w:type="dxa"/>
          <w:right w:w="28" w:type="dxa"/>
        </w:tblCellMar>
        <w:tblLook w:val="04A0" w:firstRow="1" w:lastRow="0" w:firstColumn="1" w:lastColumn="0" w:noHBand="0" w:noVBand="1"/>
      </w:tblPr>
      <w:tblGrid>
        <w:gridCol w:w="1347"/>
        <w:gridCol w:w="992"/>
        <w:gridCol w:w="737"/>
        <w:gridCol w:w="681"/>
        <w:gridCol w:w="651"/>
        <w:gridCol w:w="666"/>
        <w:gridCol w:w="667"/>
        <w:gridCol w:w="1134"/>
        <w:gridCol w:w="851"/>
        <w:gridCol w:w="1134"/>
        <w:gridCol w:w="921"/>
      </w:tblGrid>
      <w:tr w:rsidR="005D47F0" w:rsidRPr="008F735E" w14:paraId="521EB8A5" w14:textId="77777777" w:rsidTr="00740A34">
        <w:trPr>
          <w:tblHeader/>
        </w:trPr>
        <w:tc>
          <w:tcPr>
            <w:tcW w:w="1347" w:type="dxa"/>
            <w:shd w:val="clear" w:color="auto" w:fill="232E36"/>
          </w:tcPr>
          <w:p w14:paraId="26209F11" w14:textId="77777777" w:rsidR="005E572D" w:rsidRPr="008F735E" w:rsidRDefault="005E572D" w:rsidP="00345DEF">
            <w:pPr>
              <w:keepNext/>
              <w:keepLines/>
              <w:spacing w:before="120" w:after="120"/>
              <w:rPr>
                <w:color w:val="FFFFFF" w:themeColor="background1"/>
                <w:sz w:val="14"/>
                <w:szCs w:val="14"/>
              </w:rPr>
            </w:pPr>
          </w:p>
        </w:tc>
        <w:tc>
          <w:tcPr>
            <w:tcW w:w="992" w:type="dxa"/>
            <w:shd w:val="clear" w:color="auto" w:fill="232E36"/>
          </w:tcPr>
          <w:p w14:paraId="4C8320C6" w14:textId="77777777" w:rsidR="005E572D" w:rsidRPr="008F735E" w:rsidRDefault="005E572D"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Commercial and industrial buildings</w:t>
            </w:r>
          </w:p>
        </w:tc>
        <w:tc>
          <w:tcPr>
            <w:tcW w:w="3402" w:type="dxa"/>
            <w:gridSpan w:val="5"/>
            <w:shd w:val="clear" w:color="auto" w:fill="232E36"/>
          </w:tcPr>
          <w:p w14:paraId="5D8D1E59" w14:textId="77777777" w:rsidR="005E572D" w:rsidRPr="008F735E" w:rsidRDefault="005E572D"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 xml:space="preserve">Plant, </w:t>
            </w:r>
            <w:proofErr w:type="gramStart"/>
            <w:r w:rsidRPr="008F735E">
              <w:rPr>
                <w:b/>
                <w:bCs/>
                <w:color w:val="FFFFFF" w:themeColor="background1"/>
                <w:sz w:val="14"/>
                <w:szCs w:val="14"/>
              </w:rPr>
              <w:t>machinery</w:t>
            </w:r>
            <w:proofErr w:type="gramEnd"/>
            <w:r w:rsidRPr="008F735E">
              <w:rPr>
                <w:b/>
                <w:bCs/>
                <w:color w:val="FFFFFF" w:themeColor="background1"/>
                <w:sz w:val="14"/>
                <w:szCs w:val="14"/>
              </w:rPr>
              <w:t xml:space="preserve"> and equipment</w:t>
            </w:r>
          </w:p>
        </w:tc>
        <w:tc>
          <w:tcPr>
            <w:tcW w:w="1134" w:type="dxa"/>
            <w:shd w:val="clear" w:color="auto" w:fill="232E36"/>
          </w:tcPr>
          <w:p w14:paraId="09D2350C" w14:textId="77777777" w:rsidR="005E572D" w:rsidRPr="008F735E" w:rsidRDefault="005E572D"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Zero</w:t>
            </w:r>
            <w:r>
              <w:rPr>
                <w:b/>
                <w:bCs/>
                <w:color w:val="FFFFFF" w:themeColor="background1"/>
                <w:sz w:val="14"/>
                <w:szCs w:val="14"/>
              </w:rPr>
              <w:t>-</w:t>
            </w:r>
            <w:r w:rsidRPr="008F735E">
              <w:rPr>
                <w:b/>
                <w:bCs/>
                <w:color w:val="FFFFFF" w:themeColor="background1"/>
                <w:sz w:val="14"/>
                <w:szCs w:val="14"/>
              </w:rPr>
              <w:t>depreciating assets</w:t>
            </w:r>
          </w:p>
        </w:tc>
        <w:tc>
          <w:tcPr>
            <w:tcW w:w="851" w:type="dxa"/>
            <w:shd w:val="clear" w:color="auto" w:fill="232E36"/>
          </w:tcPr>
          <w:p w14:paraId="6049B25F" w14:textId="77777777" w:rsidR="005E572D" w:rsidRPr="008F735E" w:rsidRDefault="005E572D"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Inventory</w:t>
            </w:r>
          </w:p>
        </w:tc>
        <w:tc>
          <w:tcPr>
            <w:tcW w:w="1134" w:type="dxa"/>
            <w:shd w:val="clear" w:color="auto" w:fill="232E36"/>
          </w:tcPr>
          <w:p w14:paraId="064CDC61" w14:textId="77777777" w:rsidR="005E572D" w:rsidRPr="008F735E" w:rsidRDefault="005E572D"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Appreciating assets</w:t>
            </w:r>
          </w:p>
        </w:tc>
        <w:tc>
          <w:tcPr>
            <w:tcW w:w="921" w:type="dxa"/>
            <w:shd w:val="clear" w:color="auto" w:fill="232E36"/>
          </w:tcPr>
          <w:p w14:paraId="4DAF1E00" w14:textId="77777777" w:rsidR="005E572D" w:rsidRPr="008F735E" w:rsidRDefault="005E572D"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Expensing</w:t>
            </w:r>
          </w:p>
        </w:tc>
      </w:tr>
      <w:tr w:rsidR="005E572D" w:rsidRPr="008F735E" w14:paraId="47166565" w14:textId="77777777" w:rsidTr="00740A34">
        <w:tc>
          <w:tcPr>
            <w:tcW w:w="1347" w:type="dxa"/>
            <w:shd w:val="clear" w:color="auto" w:fill="auto"/>
            <w:vAlign w:val="bottom"/>
          </w:tcPr>
          <w:p w14:paraId="7F9E7930" w14:textId="77777777" w:rsidR="005E572D" w:rsidRPr="00F4121B" w:rsidRDefault="005E572D" w:rsidP="00345DEF">
            <w:pPr>
              <w:keepNext/>
              <w:keepLines/>
              <w:tabs>
                <w:tab w:val="left" w:pos="106"/>
              </w:tabs>
              <w:spacing w:before="60" w:after="60"/>
              <w:rPr>
                <w:rStyle w:val="Strong"/>
                <w:b w:val="0"/>
                <w:bCs w:val="0"/>
                <w:sz w:val="14"/>
                <w:szCs w:val="14"/>
              </w:rPr>
            </w:pPr>
            <w:r>
              <w:rPr>
                <w:rStyle w:val="Strong"/>
                <w:sz w:val="14"/>
                <w:szCs w:val="14"/>
              </w:rPr>
              <w:t>d</w:t>
            </w:r>
          </w:p>
        </w:tc>
        <w:tc>
          <w:tcPr>
            <w:tcW w:w="992" w:type="dxa"/>
            <w:vAlign w:val="center"/>
          </w:tcPr>
          <w:p w14:paraId="7D9C322D" w14:textId="77777777" w:rsidR="005E572D" w:rsidRPr="008F735E" w:rsidRDefault="005E572D" w:rsidP="00345DEF">
            <w:pPr>
              <w:keepNext/>
              <w:keepLines/>
              <w:tabs>
                <w:tab w:val="decimal" w:pos="256"/>
              </w:tabs>
              <w:spacing w:before="60" w:after="60"/>
              <w:jc w:val="center"/>
              <w:rPr>
                <w:sz w:val="14"/>
                <w:szCs w:val="14"/>
              </w:rPr>
            </w:pPr>
            <w:r w:rsidRPr="008F735E">
              <w:rPr>
                <w:sz w:val="14"/>
                <w:szCs w:val="14"/>
              </w:rPr>
              <w:t>2.69%</w:t>
            </w:r>
          </w:p>
        </w:tc>
        <w:tc>
          <w:tcPr>
            <w:tcW w:w="737" w:type="dxa"/>
            <w:vAlign w:val="center"/>
          </w:tcPr>
          <w:p w14:paraId="6C3DDF68" w14:textId="77777777" w:rsidR="005E572D" w:rsidRPr="008F735E" w:rsidRDefault="005E572D" w:rsidP="00345DEF">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1CB08AC0" w14:textId="77777777" w:rsidR="005E572D" w:rsidRPr="008F735E" w:rsidRDefault="005E572D" w:rsidP="00345DEF">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3BC7A5DE" w14:textId="77777777" w:rsidR="005E572D" w:rsidRPr="008F735E" w:rsidRDefault="005E572D" w:rsidP="00345DEF">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7532FF60" w14:textId="77777777" w:rsidR="005E572D" w:rsidRPr="008F735E" w:rsidRDefault="005E572D" w:rsidP="00345DEF">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407BFBE3" w14:textId="77777777" w:rsidR="005E572D" w:rsidRPr="008F735E" w:rsidRDefault="005E572D" w:rsidP="00345DEF">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6F7B1099" w14:textId="77777777" w:rsidR="005E572D" w:rsidRPr="008F735E" w:rsidRDefault="005E572D" w:rsidP="00345DEF">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5F38B551" w14:textId="77777777" w:rsidR="005E572D" w:rsidRPr="008F735E" w:rsidRDefault="005E572D" w:rsidP="00345DEF">
            <w:pPr>
              <w:keepNext/>
              <w:keepLines/>
              <w:tabs>
                <w:tab w:val="decimal" w:pos="256"/>
              </w:tabs>
              <w:spacing w:before="60" w:after="60"/>
              <w:jc w:val="center"/>
              <w:rPr>
                <w:sz w:val="14"/>
                <w:szCs w:val="14"/>
              </w:rPr>
            </w:pPr>
          </w:p>
        </w:tc>
        <w:tc>
          <w:tcPr>
            <w:tcW w:w="1134" w:type="dxa"/>
            <w:vAlign w:val="center"/>
          </w:tcPr>
          <w:p w14:paraId="1D90C875" w14:textId="77777777" w:rsidR="005E572D" w:rsidRPr="008F735E" w:rsidRDefault="005E572D" w:rsidP="00345DEF">
            <w:pPr>
              <w:keepNext/>
              <w:keepLines/>
              <w:tabs>
                <w:tab w:val="decimal" w:pos="256"/>
              </w:tabs>
              <w:spacing w:before="60" w:after="60"/>
              <w:jc w:val="center"/>
              <w:rPr>
                <w:sz w:val="14"/>
                <w:szCs w:val="14"/>
              </w:rPr>
            </w:pPr>
            <w:r w:rsidRPr="008F735E">
              <w:rPr>
                <w:sz w:val="14"/>
                <w:szCs w:val="14"/>
              </w:rPr>
              <w:t>-1.00%</w:t>
            </w:r>
          </w:p>
        </w:tc>
        <w:tc>
          <w:tcPr>
            <w:tcW w:w="921" w:type="dxa"/>
            <w:vAlign w:val="center"/>
          </w:tcPr>
          <w:p w14:paraId="5666F6C9" w14:textId="77777777" w:rsidR="005E572D" w:rsidRPr="008F735E" w:rsidRDefault="005E572D" w:rsidP="00345DEF">
            <w:pPr>
              <w:keepNext/>
              <w:keepLines/>
              <w:tabs>
                <w:tab w:val="decimal" w:pos="256"/>
              </w:tabs>
              <w:spacing w:before="60" w:after="60"/>
              <w:jc w:val="center"/>
              <w:rPr>
                <w:sz w:val="14"/>
                <w:szCs w:val="14"/>
              </w:rPr>
            </w:pPr>
          </w:p>
        </w:tc>
      </w:tr>
      <w:tr w:rsidR="005E572D" w:rsidRPr="008F735E" w14:paraId="405A8FDF" w14:textId="77777777" w:rsidTr="00740A34">
        <w:tc>
          <w:tcPr>
            <w:tcW w:w="1347" w:type="dxa"/>
            <w:shd w:val="clear" w:color="auto" w:fill="auto"/>
            <w:vAlign w:val="bottom"/>
          </w:tcPr>
          <w:p w14:paraId="413CAE81" w14:textId="77777777" w:rsidR="005E572D" w:rsidRPr="00F4121B" w:rsidRDefault="005E572D" w:rsidP="00345DEF">
            <w:pPr>
              <w:keepNext/>
              <w:keepLines/>
              <w:tabs>
                <w:tab w:val="left" w:pos="106"/>
              </w:tabs>
              <w:spacing w:before="60" w:after="60"/>
              <w:rPr>
                <w:rStyle w:val="Strong"/>
                <w:b w:val="0"/>
                <w:bCs w:val="0"/>
                <w:sz w:val="14"/>
                <w:szCs w:val="14"/>
              </w:rPr>
            </w:pPr>
            <w:r>
              <w:rPr>
                <w:rStyle w:val="Strong"/>
                <w:sz w:val="14"/>
                <w:szCs w:val="14"/>
              </w:rPr>
              <w:t>d*</w:t>
            </w:r>
          </w:p>
        </w:tc>
        <w:tc>
          <w:tcPr>
            <w:tcW w:w="992" w:type="dxa"/>
            <w:vAlign w:val="center"/>
          </w:tcPr>
          <w:p w14:paraId="4FFF6A65" w14:textId="77777777" w:rsidR="005E572D" w:rsidRPr="008F735E" w:rsidRDefault="005E572D" w:rsidP="00345DEF">
            <w:pPr>
              <w:keepNext/>
              <w:keepLines/>
              <w:tabs>
                <w:tab w:val="decimal" w:pos="256"/>
              </w:tabs>
              <w:spacing w:before="60" w:after="60"/>
              <w:jc w:val="center"/>
              <w:rPr>
                <w:sz w:val="14"/>
                <w:szCs w:val="14"/>
              </w:rPr>
            </w:pPr>
            <w:r w:rsidRPr="008F735E">
              <w:rPr>
                <w:sz w:val="14"/>
                <w:szCs w:val="14"/>
              </w:rPr>
              <w:t>2.00%</w:t>
            </w:r>
          </w:p>
        </w:tc>
        <w:tc>
          <w:tcPr>
            <w:tcW w:w="737" w:type="dxa"/>
            <w:vAlign w:val="center"/>
          </w:tcPr>
          <w:p w14:paraId="14A1953D" w14:textId="77777777" w:rsidR="005E572D" w:rsidRPr="008F735E" w:rsidRDefault="005E572D" w:rsidP="00345DEF">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15E6F1E5" w14:textId="77777777" w:rsidR="005E572D" w:rsidRPr="008F735E" w:rsidRDefault="005E572D" w:rsidP="00345DEF">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57DAA286" w14:textId="77777777" w:rsidR="005E572D" w:rsidRPr="008F735E" w:rsidRDefault="005E572D" w:rsidP="00345DEF">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7999E1B1" w14:textId="77777777" w:rsidR="005E572D" w:rsidRPr="008F735E" w:rsidRDefault="005E572D" w:rsidP="00345DEF">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1F743C89" w14:textId="77777777" w:rsidR="005E572D" w:rsidRPr="008F735E" w:rsidRDefault="005E572D" w:rsidP="00345DEF">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494329B6" w14:textId="77777777" w:rsidR="005E572D" w:rsidRPr="008F735E" w:rsidRDefault="005E572D" w:rsidP="00345DEF">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30A41212" w14:textId="77777777" w:rsidR="005E572D" w:rsidRPr="008F735E" w:rsidRDefault="005E572D" w:rsidP="00345DEF">
            <w:pPr>
              <w:keepNext/>
              <w:keepLines/>
              <w:tabs>
                <w:tab w:val="decimal" w:pos="256"/>
              </w:tabs>
              <w:spacing w:before="60" w:after="60"/>
              <w:jc w:val="center"/>
              <w:rPr>
                <w:sz w:val="14"/>
                <w:szCs w:val="14"/>
              </w:rPr>
            </w:pPr>
          </w:p>
        </w:tc>
        <w:tc>
          <w:tcPr>
            <w:tcW w:w="1134" w:type="dxa"/>
            <w:vAlign w:val="center"/>
          </w:tcPr>
          <w:p w14:paraId="2156060C" w14:textId="77777777" w:rsidR="005E572D" w:rsidRPr="008F735E" w:rsidRDefault="005E572D" w:rsidP="00345DEF">
            <w:pPr>
              <w:keepNext/>
              <w:keepLines/>
              <w:tabs>
                <w:tab w:val="decimal" w:pos="256"/>
              </w:tabs>
              <w:spacing w:before="60" w:after="60"/>
              <w:jc w:val="center"/>
              <w:rPr>
                <w:sz w:val="14"/>
                <w:szCs w:val="14"/>
              </w:rPr>
            </w:pPr>
            <w:r w:rsidRPr="008F735E">
              <w:rPr>
                <w:sz w:val="14"/>
                <w:szCs w:val="14"/>
              </w:rPr>
              <w:t>0.00%</w:t>
            </w:r>
          </w:p>
        </w:tc>
        <w:tc>
          <w:tcPr>
            <w:tcW w:w="921" w:type="dxa"/>
            <w:vAlign w:val="center"/>
          </w:tcPr>
          <w:p w14:paraId="7C32B51A" w14:textId="77777777" w:rsidR="005E572D" w:rsidRPr="008F735E" w:rsidRDefault="005E572D" w:rsidP="00345DEF">
            <w:pPr>
              <w:keepNext/>
              <w:keepLines/>
              <w:tabs>
                <w:tab w:val="decimal" w:pos="256"/>
              </w:tabs>
              <w:spacing w:before="60" w:after="60"/>
              <w:jc w:val="center"/>
              <w:rPr>
                <w:sz w:val="14"/>
                <w:szCs w:val="14"/>
              </w:rPr>
            </w:pPr>
          </w:p>
        </w:tc>
      </w:tr>
      <w:tr w:rsidR="005E572D" w:rsidRPr="008F735E" w14:paraId="5C67EB2A" w14:textId="77777777" w:rsidTr="00740A34">
        <w:tc>
          <w:tcPr>
            <w:tcW w:w="1347" w:type="dxa"/>
            <w:shd w:val="clear" w:color="auto" w:fill="auto"/>
            <w:vAlign w:val="bottom"/>
          </w:tcPr>
          <w:p w14:paraId="6D4E275D" w14:textId="77777777" w:rsidR="005E572D" w:rsidRPr="008F735E" w:rsidRDefault="005E572D" w:rsidP="00345DEF">
            <w:pPr>
              <w:keepNext/>
              <w:keepLines/>
              <w:tabs>
                <w:tab w:val="left" w:pos="106"/>
              </w:tabs>
              <w:spacing w:before="60" w:after="60"/>
              <w:rPr>
                <w:b/>
                <w:bCs/>
                <w:sz w:val="14"/>
                <w:szCs w:val="14"/>
              </w:rPr>
            </w:pPr>
            <w:r w:rsidRPr="008F735E">
              <w:rPr>
                <w:b/>
                <w:bCs/>
                <w:sz w:val="14"/>
                <w:szCs w:val="14"/>
              </w:rPr>
              <w:t>Cost</w:t>
            </w:r>
            <w:r>
              <w:rPr>
                <w:b/>
                <w:bCs/>
                <w:sz w:val="14"/>
                <w:szCs w:val="14"/>
              </w:rPr>
              <w:t>s</w:t>
            </w:r>
            <w:r w:rsidRPr="008F735E">
              <w:rPr>
                <w:b/>
                <w:bCs/>
                <w:sz w:val="14"/>
                <w:szCs w:val="14"/>
              </w:rPr>
              <w:t xml:space="preserve"> of capital</w:t>
            </w:r>
          </w:p>
        </w:tc>
        <w:tc>
          <w:tcPr>
            <w:tcW w:w="992" w:type="dxa"/>
            <w:vAlign w:val="center"/>
          </w:tcPr>
          <w:p w14:paraId="6A491451" w14:textId="77777777" w:rsidR="005E572D" w:rsidRPr="008F735E" w:rsidRDefault="005E572D" w:rsidP="00345DEF">
            <w:pPr>
              <w:keepNext/>
              <w:keepLines/>
              <w:tabs>
                <w:tab w:val="decimal" w:pos="256"/>
              </w:tabs>
              <w:spacing w:before="60" w:after="60"/>
              <w:jc w:val="center"/>
              <w:rPr>
                <w:sz w:val="14"/>
                <w:szCs w:val="14"/>
              </w:rPr>
            </w:pPr>
          </w:p>
        </w:tc>
        <w:tc>
          <w:tcPr>
            <w:tcW w:w="737" w:type="dxa"/>
            <w:vAlign w:val="center"/>
          </w:tcPr>
          <w:p w14:paraId="109D593F" w14:textId="77777777" w:rsidR="005E572D" w:rsidRPr="008F735E" w:rsidRDefault="005E572D" w:rsidP="00345DEF">
            <w:pPr>
              <w:keepNext/>
              <w:keepLines/>
              <w:tabs>
                <w:tab w:val="decimal" w:pos="256"/>
              </w:tabs>
              <w:spacing w:before="60" w:after="60"/>
              <w:jc w:val="center"/>
              <w:rPr>
                <w:sz w:val="14"/>
                <w:szCs w:val="14"/>
              </w:rPr>
            </w:pPr>
          </w:p>
        </w:tc>
        <w:tc>
          <w:tcPr>
            <w:tcW w:w="681" w:type="dxa"/>
            <w:vAlign w:val="center"/>
          </w:tcPr>
          <w:p w14:paraId="7F7575FD" w14:textId="77777777" w:rsidR="005E572D" w:rsidRPr="008F735E" w:rsidRDefault="005E572D" w:rsidP="00345DEF">
            <w:pPr>
              <w:keepNext/>
              <w:keepLines/>
              <w:tabs>
                <w:tab w:val="decimal" w:pos="256"/>
              </w:tabs>
              <w:spacing w:before="60" w:after="60"/>
              <w:jc w:val="center"/>
              <w:rPr>
                <w:sz w:val="14"/>
                <w:szCs w:val="14"/>
              </w:rPr>
            </w:pPr>
          </w:p>
        </w:tc>
        <w:tc>
          <w:tcPr>
            <w:tcW w:w="651" w:type="dxa"/>
            <w:vAlign w:val="center"/>
          </w:tcPr>
          <w:p w14:paraId="583C5C47" w14:textId="77777777" w:rsidR="005E572D" w:rsidRPr="008F735E" w:rsidRDefault="005E572D" w:rsidP="00345DEF">
            <w:pPr>
              <w:keepNext/>
              <w:keepLines/>
              <w:tabs>
                <w:tab w:val="decimal" w:pos="256"/>
              </w:tabs>
              <w:spacing w:before="60" w:after="60"/>
              <w:jc w:val="center"/>
              <w:rPr>
                <w:sz w:val="14"/>
                <w:szCs w:val="14"/>
              </w:rPr>
            </w:pPr>
          </w:p>
        </w:tc>
        <w:tc>
          <w:tcPr>
            <w:tcW w:w="666" w:type="dxa"/>
            <w:vAlign w:val="center"/>
          </w:tcPr>
          <w:p w14:paraId="1EACE2E4" w14:textId="77777777" w:rsidR="005E572D" w:rsidRPr="008F735E" w:rsidRDefault="005E572D" w:rsidP="00345DEF">
            <w:pPr>
              <w:keepNext/>
              <w:keepLines/>
              <w:tabs>
                <w:tab w:val="decimal" w:pos="256"/>
              </w:tabs>
              <w:spacing w:before="60" w:after="60"/>
              <w:jc w:val="center"/>
              <w:rPr>
                <w:sz w:val="14"/>
                <w:szCs w:val="14"/>
              </w:rPr>
            </w:pPr>
          </w:p>
        </w:tc>
        <w:tc>
          <w:tcPr>
            <w:tcW w:w="667" w:type="dxa"/>
            <w:vAlign w:val="center"/>
          </w:tcPr>
          <w:p w14:paraId="69890929" w14:textId="77777777" w:rsidR="005E572D" w:rsidRPr="008F735E" w:rsidRDefault="005E572D" w:rsidP="00345DEF">
            <w:pPr>
              <w:keepNext/>
              <w:keepLines/>
              <w:tabs>
                <w:tab w:val="decimal" w:pos="256"/>
              </w:tabs>
              <w:spacing w:before="60" w:after="60"/>
              <w:jc w:val="center"/>
              <w:rPr>
                <w:sz w:val="14"/>
                <w:szCs w:val="14"/>
              </w:rPr>
            </w:pPr>
          </w:p>
        </w:tc>
        <w:tc>
          <w:tcPr>
            <w:tcW w:w="1134" w:type="dxa"/>
            <w:vAlign w:val="center"/>
          </w:tcPr>
          <w:p w14:paraId="49315CE9" w14:textId="77777777" w:rsidR="005E572D" w:rsidRPr="008F735E" w:rsidRDefault="005E572D" w:rsidP="00345DEF">
            <w:pPr>
              <w:keepNext/>
              <w:keepLines/>
              <w:tabs>
                <w:tab w:val="decimal" w:pos="256"/>
              </w:tabs>
              <w:spacing w:before="60" w:after="60"/>
              <w:jc w:val="center"/>
              <w:rPr>
                <w:sz w:val="14"/>
                <w:szCs w:val="14"/>
              </w:rPr>
            </w:pPr>
          </w:p>
        </w:tc>
        <w:tc>
          <w:tcPr>
            <w:tcW w:w="851" w:type="dxa"/>
            <w:vAlign w:val="center"/>
          </w:tcPr>
          <w:p w14:paraId="05C62985" w14:textId="77777777" w:rsidR="005E572D" w:rsidRPr="008F735E" w:rsidRDefault="005E572D" w:rsidP="00345DEF">
            <w:pPr>
              <w:keepNext/>
              <w:keepLines/>
              <w:tabs>
                <w:tab w:val="decimal" w:pos="256"/>
              </w:tabs>
              <w:spacing w:before="60" w:after="60"/>
              <w:jc w:val="center"/>
              <w:rPr>
                <w:sz w:val="14"/>
                <w:szCs w:val="14"/>
              </w:rPr>
            </w:pPr>
          </w:p>
        </w:tc>
        <w:tc>
          <w:tcPr>
            <w:tcW w:w="1134" w:type="dxa"/>
            <w:vAlign w:val="center"/>
          </w:tcPr>
          <w:p w14:paraId="1E3382C0" w14:textId="77777777" w:rsidR="005E572D" w:rsidRPr="008F735E" w:rsidRDefault="005E572D" w:rsidP="00345DEF">
            <w:pPr>
              <w:keepNext/>
              <w:keepLines/>
              <w:tabs>
                <w:tab w:val="decimal" w:pos="256"/>
              </w:tabs>
              <w:spacing w:before="60" w:after="60"/>
              <w:jc w:val="center"/>
              <w:rPr>
                <w:sz w:val="14"/>
                <w:szCs w:val="14"/>
              </w:rPr>
            </w:pPr>
          </w:p>
        </w:tc>
        <w:tc>
          <w:tcPr>
            <w:tcW w:w="921" w:type="dxa"/>
            <w:vAlign w:val="center"/>
          </w:tcPr>
          <w:p w14:paraId="392BB267" w14:textId="77777777" w:rsidR="005E572D" w:rsidRPr="008F735E" w:rsidRDefault="005E572D" w:rsidP="00345DEF">
            <w:pPr>
              <w:keepNext/>
              <w:keepLines/>
              <w:tabs>
                <w:tab w:val="decimal" w:pos="256"/>
              </w:tabs>
              <w:spacing w:before="60" w:after="60"/>
              <w:jc w:val="center"/>
              <w:rPr>
                <w:sz w:val="14"/>
                <w:szCs w:val="14"/>
              </w:rPr>
            </w:pPr>
          </w:p>
        </w:tc>
      </w:tr>
      <w:tr w:rsidR="005E572D" w:rsidRPr="00010E92" w14:paraId="35F47871" w14:textId="77777777" w:rsidTr="00740A34">
        <w:tc>
          <w:tcPr>
            <w:tcW w:w="1347" w:type="dxa"/>
            <w:shd w:val="clear" w:color="auto" w:fill="auto"/>
            <w:vAlign w:val="bottom"/>
          </w:tcPr>
          <w:p w14:paraId="19B58A9E" w14:textId="77777777" w:rsidR="005E572D" w:rsidRPr="008F735E" w:rsidRDefault="005E572D" w:rsidP="00345DEF">
            <w:pPr>
              <w:keepNext/>
              <w:keepLines/>
              <w:tabs>
                <w:tab w:val="left" w:pos="106"/>
              </w:tabs>
              <w:spacing w:before="60" w:after="60"/>
              <w:rPr>
                <w:sz w:val="14"/>
                <w:szCs w:val="14"/>
              </w:rPr>
            </w:pPr>
            <w:r w:rsidRPr="008F735E">
              <w:rPr>
                <w:sz w:val="14"/>
                <w:szCs w:val="14"/>
              </w:rPr>
              <w:tab/>
            </w:r>
            <w:r>
              <w:rPr>
                <w:sz w:val="14"/>
                <w:szCs w:val="14"/>
              </w:rPr>
              <w:t>Status quo</w:t>
            </w:r>
          </w:p>
        </w:tc>
        <w:tc>
          <w:tcPr>
            <w:tcW w:w="992" w:type="dxa"/>
            <w:shd w:val="clear" w:color="auto" w:fill="auto"/>
            <w:vAlign w:val="bottom"/>
          </w:tcPr>
          <w:p w14:paraId="64939980"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3.81%</w:t>
            </w:r>
          </w:p>
        </w:tc>
        <w:tc>
          <w:tcPr>
            <w:tcW w:w="737" w:type="dxa"/>
            <w:shd w:val="clear" w:color="auto" w:fill="auto"/>
            <w:vAlign w:val="bottom"/>
          </w:tcPr>
          <w:p w14:paraId="0D74B5FE"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4.14%</w:t>
            </w:r>
          </w:p>
        </w:tc>
        <w:tc>
          <w:tcPr>
            <w:tcW w:w="681" w:type="dxa"/>
            <w:shd w:val="clear" w:color="auto" w:fill="auto"/>
            <w:vAlign w:val="bottom"/>
          </w:tcPr>
          <w:p w14:paraId="517699BA"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4.11%</w:t>
            </w:r>
          </w:p>
        </w:tc>
        <w:tc>
          <w:tcPr>
            <w:tcW w:w="651" w:type="dxa"/>
            <w:shd w:val="clear" w:color="auto" w:fill="auto"/>
            <w:vAlign w:val="bottom"/>
          </w:tcPr>
          <w:p w14:paraId="4DF46736"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3.93%</w:t>
            </w:r>
          </w:p>
        </w:tc>
        <w:tc>
          <w:tcPr>
            <w:tcW w:w="666" w:type="dxa"/>
            <w:shd w:val="clear" w:color="auto" w:fill="auto"/>
            <w:vAlign w:val="bottom"/>
          </w:tcPr>
          <w:p w14:paraId="34285903"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3.76%</w:t>
            </w:r>
          </w:p>
        </w:tc>
        <w:tc>
          <w:tcPr>
            <w:tcW w:w="667" w:type="dxa"/>
            <w:shd w:val="clear" w:color="auto" w:fill="auto"/>
            <w:vAlign w:val="bottom"/>
          </w:tcPr>
          <w:p w14:paraId="0AEB8C21"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3.63%</w:t>
            </w:r>
          </w:p>
        </w:tc>
        <w:tc>
          <w:tcPr>
            <w:tcW w:w="1134" w:type="dxa"/>
            <w:shd w:val="clear" w:color="auto" w:fill="auto"/>
            <w:vAlign w:val="bottom"/>
          </w:tcPr>
          <w:p w14:paraId="096B7EC5"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3.38%</w:t>
            </w:r>
          </w:p>
        </w:tc>
        <w:tc>
          <w:tcPr>
            <w:tcW w:w="851" w:type="dxa"/>
            <w:shd w:val="clear" w:color="auto" w:fill="auto"/>
            <w:vAlign w:val="bottom"/>
          </w:tcPr>
          <w:p w14:paraId="7BEB088E"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4.14%</w:t>
            </w:r>
          </w:p>
        </w:tc>
        <w:tc>
          <w:tcPr>
            <w:tcW w:w="1134" w:type="dxa"/>
            <w:shd w:val="clear" w:color="auto" w:fill="auto"/>
            <w:vAlign w:val="bottom"/>
          </w:tcPr>
          <w:p w14:paraId="02B42A3F"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2.99%</w:t>
            </w:r>
          </w:p>
        </w:tc>
        <w:tc>
          <w:tcPr>
            <w:tcW w:w="921" w:type="dxa"/>
            <w:shd w:val="clear" w:color="auto" w:fill="auto"/>
            <w:vAlign w:val="bottom"/>
          </w:tcPr>
          <w:p w14:paraId="54C573B3"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2.43%</w:t>
            </w:r>
          </w:p>
        </w:tc>
      </w:tr>
      <w:tr w:rsidR="005E572D" w:rsidRPr="00010E92" w14:paraId="5B18552A" w14:textId="77777777" w:rsidTr="00740A34">
        <w:tc>
          <w:tcPr>
            <w:tcW w:w="1347" w:type="dxa"/>
            <w:shd w:val="clear" w:color="auto" w:fill="auto"/>
            <w:vAlign w:val="bottom"/>
          </w:tcPr>
          <w:p w14:paraId="7EBD4C6E" w14:textId="77777777" w:rsidR="005E572D" w:rsidRPr="008F735E" w:rsidRDefault="005E572D" w:rsidP="00345DEF">
            <w:pPr>
              <w:keepNext/>
              <w:keepLines/>
              <w:tabs>
                <w:tab w:val="left" w:pos="106"/>
              </w:tabs>
              <w:spacing w:before="60" w:after="60"/>
              <w:rPr>
                <w:sz w:val="14"/>
                <w:szCs w:val="14"/>
              </w:rPr>
            </w:pPr>
            <w:r w:rsidRPr="008F735E">
              <w:rPr>
                <w:sz w:val="14"/>
                <w:szCs w:val="14"/>
              </w:rPr>
              <w:tab/>
            </w:r>
            <w:r>
              <w:rPr>
                <w:sz w:val="14"/>
                <w:szCs w:val="14"/>
              </w:rPr>
              <w:t>Fully index</w:t>
            </w:r>
          </w:p>
        </w:tc>
        <w:tc>
          <w:tcPr>
            <w:tcW w:w="992" w:type="dxa"/>
            <w:shd w:val="clear" w:color="auto" w:fill="auto"/>
            <w:vAlign w:val="bottom"/>
          </w:tcPr>
          <w:p w14:paraId="3F2A1FCE"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3.84%</w:t>
            </w:r>
          </w:p>
        </w:tc>
        <w:tc>
          <w:tcPr>
            <w:tcW w:w="737" w:type="dxa"/>
            <w:shd w:val="clear" w:color="auto" w:fill="auto"/>
            <w:vAlign w:val="bottom"/>
          </w:tcPr>
          <w:p w14:paraId="4E1307D0"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3.69%</w:t>
            </w:r>
          </w:p>
        </w:tc>
        <w:tc>
          <w:tcPr>
            <w:tcW w:w="681" w:type="dxa"/>
            <w:shd w:val="clear" w:color="auto" w:fill="auto"/>
            <w:vAlign w:val="bottom"/>
          </w:tcPr>
          <w:p w14:paraId="4B1F9891"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3.69%</w:t>
            </w:r>
          </w:p>
        </w:tc>
        <w:tc>
          <w:tcPr>
            <w:tcW w:w="651" w:type="dxa"/>
            <w:shd w:val="clear" w:color="auto" w:fill="auto"/>
            <w:vAlign w:val="bottom"/>
          </w:tcPr>
          <w:p w14:paraId="162CE2FF"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3.69%</w:t>
            </w:r>
          </w:p>
        </w:tc>
        <w:tc>
          <w:tcPr>
            <w:tcW w:w="666" w:type="dxa"/>
            <w:shd w:val="clear" w:color="auto" w:fill="auto"/>
            <w:vAlign w:val="bottom"/>
          </w:tcPr>
          <w:p w14:paraId="530D0ED4"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3.69%</w:t>
            </w:r>
          </w:p>
        </w:tc>
        <w:tc>
          <w:tcPr>
            <w:tcW w:w="667" w:type="dxa"/>
            <w:shd w:val="clear" w:color="auto" w:fill="auto"/>
            <w:vAlign w:val="bottom"/>
          </w:tcPr>
          <w:p w14:paraId="36FEABB7"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3.69%</w:t>
            </w:r>
          </w:p>
        </w:tc>
        <w:tc>
          <w:tcPr>
            <w:tcW w:w="1134" w:type="dxa"/>
            <w:shd w:val="clear" w:color="auto" w:fill="auto"/>
            <w:vAlign w:val="bottom"/>
          </w:tcPr>
          <w:p w14:paraId="630E5702"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3.69%</w:t>
            </w:r>
          </w:p>
        </w:tc>
        <w:tc>
          <w:tcPr>
            <w:tcW w:w="851" w:type="dxa"/>
            <w:shd w:val="clear" w:color="auto" w:fill="auto"/>
            <w:vAlign w:val="bottom"/>
          </w:tcPr>
          <w:p w14:paraId="382CC52A"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3.69%</w:t>
            </w:r>
          </w:p>
        </w:tc>
        <w:tc>
          <w:tcPr>
            <w:tcW w:w="1134" w:type="dxa"/>
            <w:shd w:val="clear" w:color="auto" w:fill="auto"/>
            <w:vAlign w:val="bottom"/>
          </w:tcPr>
          <w:p w14:paraId="2894A324"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3.30%</w:t>
            </w:r>
          </w:p>
        </w:tc>
        <w:tc>
          <w:tcPr>
            <w:tcW w:w="921" w:type="dxa"/>
            <w:shd w:val="clear" w:color="auto" w:fill="auto"/>
            <w:vAlign w:val="bottom"/>
          </w:tcPr>
          <w:p w14:paraId="69436F79"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2.66%</w:t>
            </w:r>
          </w:p>
        </w:tc>
      </w:tr>
      <w:tr w:rsidR="005E572D" w:rsidRPr="00010E92" w14:paraId="6ECA5EA7" w14:textId="77777777" w:rsidTr="00740A34">
        <w:tc>
          <w:tcPr>
            <w:tcW w:w="1347" w:type="dxa"/>
            <w:shd w:val="clear" w:color="auto" w:fill="auto"/>
            <w:vAlign w:val="bottom"/>
          </w:tcPr>
          <w:p w14:paraId="4F880ECA" w14:textId="77777777" w:rsidR="005E572D" w:rsidRPr="008F735E" w:rsidRDefault="005E572D" w:rsidP="00345DEF">
            <w:pPr>
              <w:keepNext/>
              <w:keepLines/>
              <w:tabs>
                <w:tab w:val="left" w:pos="106"/>
              </w:tabs>
              <w:spacing w:before="60" w:after="60"/>
              <w:ind w:left="108" w:hanging="108"/>
              <w:rPr>
                <w:sz w:val="14"/>
                <w:szCs w:val="14"/>
              </w:rPr>
            </w:pPr>
            <w:r w:rsidRPr="008F735E">
              <w:rPr>
                <w:sz w:val="14"/>
                <w:szCs w:val="14"/>
              </w:rPr>
              <w:tab/>
            </w:r>
            <w:r>
              <w:rPr>
                <w:sz w:val="14"/>
                <w:szCs w:val="14"/>
              </w:rPr>
              <w:t xml:space="preserve">Index depreciation and  </w:t>
            </w:r>
            <w:r w:rsidRPr="00EB67D1">
              <w:rPr>
                <w:sz w:val="14"/>
                <w:szCs w:val="14"/>
              </w:rPr>
              <w:t>inventory</w:t>
            </w:r>
          </w:p>
        </w:tc>
        <w:tc>
          <w:tcPr>
            <w:tcW w:w="992" w:type="dxa"/>
            <w:shd w:val="clear" w:color="auto" w:fill="auto"/>
            <w:vAlign w:val="bottom"/>
          </w:tcPr>
          <w:p w14:paraId="31AC2FC1"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3.53%</w:t>
            </w:r>
          </w:p>
        </w:tc>
        <w:tc>
          <w:tcPr>
            <w:tcW w:w="737" w:type="dxa"/>
            <w:shd w:val="clear" w:color="auto" w:fill="auto"/>
            <w:vAlign w:val="bottom"/>
          </w:tcPr>
          <w:p w14:paraId="35B0C6D2"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3.38%</w:t>
            </w:r>
          </w:p>
        </w:tc>
        <w:tc>
          <w:tcPr>
            <w:tcW w:w="681" w:type="dxa"/>
            <w:shd w:val="clear" w:color="auto" w:fill="auto"/>
            <w:vAlign w:val="bottom"/>
          </w:tcPr>
          <w:p w14:paraId="59C8399C"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3.38%</w:t>
            </w:r>
          </w:p>
        </w:tc>
        <w:tc>
          <w:tcPr>
            <w:tcW w:w="651" w:type="dxa"/>
            <w:shd w:val="clear" w:color="auto" w:fill="auto"/>
            <w:vAlign w:val="bottom"/>
          </w:tcPr>
          <w:p w14:paraId="7156EEE9"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3.38%</w:t>
            </w:r>
          </w:p>
        </w:tc>
        <w:tc>
          <w:tcPr>
            <w:tcW w:w="666" w:type="dxa"/>
            <w:shd w:val="clear" w:color="auto" w:fill="auto"/>
            <w:vAlign w:val="bottom"/>
          </w:tcPr>
          <w:p w14:paraId="2F18474C"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3.38%</w:t>
            </w:r>
          </w:p>
        </w:tc>
        <w:tc>
          <w:tcPr>
            <w:tcW w:w="667" w:type="dxa"/>
            <w:shd w:val="clear" w:color="auto" w:fill="auto"/>
            <w:vAlign w:val="bottom"/>
          </w:tcPr>
          <w:p w14:paraId="517402C1"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3.38%</w:t>
            </w:r>
          </w:p>
        </w:tc>
        <w:tc>
          <w:tcPr>
            <w:tcW w:w="1134" w:type="dxa"/>
            <w:shd w:val="clear" w:color="auto" w:fill="auto"/>
            <w:vAlign w:val="bottom"/>
          </w:tcPr>
          <w:p w14:paraId="6A9A7F47"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3.38%</w:t>
            </w:r>
          </w:p>
        </w:tc>
        <w:tc>
          <w:tcPr>
            <w:tcW w:w="851" w:type="dxa"/>
            <w:shd w:val="clear" w:color="auto" w:fill="auto"/>
            <w:vAlign w:val="bottom"/>
          </w:tcPr>
          <w:p w14:paraId="4411A67A"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3.38%</w:t>
            </w:r>
          </w:p>
        </w:tc>
        <w:tc>
          <w:tcPr>
            <w:tcW w:w="1134" w:type="dxa"/>
            <w:shd w:val="clear" w:color="auto" w:fill="auto"/>
            <w:vAlign w:val="bottom"/>
          </w:tcPr>
          <w:p w14:paraId="742C6E6F"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2.99%</w:t>
            </w:r>
          </w:p>
        </w:tc>
        <w:tc>
          <w:tcPr>
            <w:tcW w:w="921" w:type="dxa"/>
            <w:shd w:val="clear" w:color="auto" w:fill="auto"/>
            <w:vAlign w:val="bottom"/>
          </w:tcPr>
          <w:p w14:paraId="6795898A"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2.43%</w:t>
            </w:r>
          </w:p>
        </w:tc>
      </w:tr>
      <w:tr w:rsidR="005E572D" w:rsidRPr="00010E92" w14:paraId="0E6D75A5" w14:textId="77777777" w:rsidTr="00740A34">
        <w:tc>
          <w:tcPr>
            <w:tcW w:w="1347" w:type="dxa"/>
            <w:shd w:val="clear" w:color="auto" w:fill="auto"/>
            <w:vAlign w:val="bottom"/>
          </w:tcPr>
          <w:p w14:paraId="649E1F9B" w14:textId="77777777" w:rsidR="005E572D" w:rsidRPr="008F735E" w:rsidRDefault="005E572D" w:rsidP="00345DEF">
            <w:pPr>
              <w:keepNext/>
              <w:keepLines/>
              <w:tabs>
                <w:tab w:val="left" w:pos="106"/>
              </w:tabs>
              <w:spacing w:before="60" w:after="60"/>
              <w:rPr>
                <w:b/>
                <w:bCs/>
                <w:sz w:val="14"/>
                <w:szCs w:val="14"/>
              </w:rPr>
            </w:pPr>
            <w:r w:rsidRPr="008F735E">
              <w:rPr>
                <w:b/>
                <w:bCs/>
                <w:sz w:val="14"/>
                <w:szCs w:val="14"/>
              </w:rPr>
              <w:t>EMTR</w:t>
            </w:r>
            <w:r>
              <w:rPr>
                <w:b/>
                <w:bCs/>
                <w:sz w:val="14"/>
                <w:szCs w:val="14"/>
              </w:rPr>
              <w:t>s</w:t>
            </w:r>
          </w:p>
        </w:tc>
        <w:tc>
          <w:tcPr>
            <w:tcW w:w="992" w:type="dxa"/>
            <w:shd w:val="clear" w:color="auto" w:fill="auto"/>
            <w:vAlign w:val="bottom"/>
          </w:tcPr>
          <w:p w14:paraId="212F6FBA"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 </w:t>
            </w:r>
          </w:p>
        </w:tc>
        <w:tc>
          <w:tcPr>
            <w:tcW w:w="737" w:type="dxa"/>
            <w:shd w:val="clear" w:color="auto" w:fill="auto"/>
            <w:vAlign w:val="bottom"/>
          </w:tcPr>
          <w:p w14:paraId="33DDF40F"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 </w:t>
            </w:r>
          </w:p>
        </w:tc>
        <w:tc>
          <w:tcPr>
            <w:tcW w:w="681" w:type="dxa"/>
            <w:shd w:val="clear" w:color="auto" w:fill="auto"/>
            <w:vAlign w:val="bottom"/>
          </w:tcPr>
          <w:p w14:paraId="64E8B3D8"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 </w:t>
            </w:r>
          </w:p>
        </w:tc>
        <w:tc>
          <w:tcPr>
            <w:tcW w:w="651" w:type="dxa"/>
            <w:shd w:val="clear" w:color="auto" w:fill="auto"/>
            <w:vAlign w:val="bottom"/>
          </w:tcPr>
          <w:p w14:paraId="4E4861D9"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 </w:t>
            </w:r>
          </w:p>
        </w:tc>
        <w:tc>
          <w:tcPr>
            <w:tcW w:w="666" w:type="dxa"/>
            <w:shd w:val="clear" w:color="auto" w:fill="auto"/>
            <w:vAlign w:val="bottom"/>
          </w:tcPr>
          <w:p w14:paraId="49DEAFC0"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 </w:t>
            </w:r>
          </w:p>
        </w:tc>
        <w:tc>
          <w:tcPr>
            <w:tcW w:w="667" w:type="dxa"/>
            <w:shd w:val="clear" w:color="auto" w:fill="auto"/>
            <w:vAlign w:val="bottom"/>
          </w:tcPr>
          <w:p w14:paraId="7F09447E"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 </w:t>
            </w:r>
          </w:p>
        </w:tc>
        <w:tc>
          <w:tcPr>
            <w:tcW w:w="1134" w:type="dxa"/>
            <w:shd w:val="clear" w:color="auto" w:fill="auto"/>
            <w:vAlign w:val="bottom"/>
          </w:tcPr>
          <w:p w14:paraId="21959D9F"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 </w:t>
            </w:r>
          </w:p>
        </w:tc>
        <w:tc>
          <w:tcPr>
            <w:tcW w:w="851" w:type="dxa"/>
            <w:shd w:val="clear" w:color="auto" w:fill="auto"/>
            <w:vAlign w:val="bottom"/>
          </w:tcPr>
          <w:p w14:paraId="03CC9C61"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 </w:t>
            </w:r>
          </w:p>
        </w:tc>
        <w:tc>
          <w:tcPr>
            <w:tcW w:w="1134" w:type="dxa"/>
            <w:shd w:val="clear" w:color="auto" w:fill="auto"/>
            <w:vAlign w:val="bottom"/>
          </w:tcPr>
          <w:p w14:paraId="5B97F0E1"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 </w:t>
            </w:r>
          </w:p>
        </w:tc>
        <w:tc>
          <w:tcPr>
            <w:tcW w:w="921" w:type="dxa"/>
            <w:shd w:val="clear" w:color="auto" w:fill="auto"/>
            <w:vAlign w:val="bottom"/>
          </w:tcPr>
          <w:p w14:paraId="6F00D80E"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 </w:t>
            </w:r>
          </w:p>
        </w:tc>
      </w:tr>
      <w:tr w:rsidR="005E572D" w:rsidRPr="00010E92" w14:paraId="0619FE58" w14:textId="77777777" w:rsidTr="00740A34">
        <w:tc>
          <w:tcPr>
            <w:tcW w:w="1347" w:type="dxa"/>
            <w:shd w:val="clear" w:color="auto" w:fill="auto"/>
            <w:vAlign w:val="bottom"/>
          </w:tcPr>
          <w:p w14:paraId="1846E56E" w14:textId="77777777" w:rsidR="005E572D" w:rsidRPr="008F735E" w:rsidRDefault="005E572D" w:rsidP="00345DEF">
            <w:pPr>
              <w:keepNext/>
              <w:keepLines/>
              <w:tabs>
                <w:tab w:val="left" w:pos="106"/>
              </w:tabs>
              <w:spacing w:before="60" w:after="60"/>
              <w:rPr>
                <w:sz w:val="14"/>
                <w:szCs w:val="14"/>
              </w:rPr>
            </w:pPr>
            <w:r w:rsidRPr="008F735E">
              <w:rPr>
                <w:sz w:val="14"/>
                <w:szCs w:val="14"/>
              </w:rPr>
              <w:tab/>
            </w:r>
            <w:r>
              <w:rPr>
                <w:sz w:val="14"/>
                <w:szCs w:val="14"/>
              </w:rPr>
              <w:t>Status quo</w:t>
            </w:r>
          </w:p>
        </w:tc>
        <w:tc>
          <w:tcPr>
            <w:tcW w:w="992" w:type="dxa"/>
            <w:shd w:val="clear" w:color="auto" w:fill="auto"/>
            <w:vAlign w:val="bottom"/>
          </w:tcPr>
          <w:p w14:paraId="72DC600F"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21.3%</w:t>
            </w:r>
          </w:p>
        </w:tc>
        <w:tc>
          <w:tcPr>
            <w:tcW w:w="737" w:type="dxa"/>
            <w:shd w:val="clear" w:color="auto" w:fill="auto"/>
            <w:vAlign w:val="bottom"/>
          </w:tcPr>
          <w:p w14:paraId="0B5E1B02"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27.6%</w:t>
            </w:r>
          </w:p>
        </w:tc>
        <w:tc>
          <w:tcPr>
            <w:tcW w:w="681" w:type="dxa"/>
            <w:shd w:val="clear" w:color="auto" w:fill="auto"/>
            <w:vAlign w:val="bottom"/>
          </w:tcPr>
          <w:p w14:paraId="343EE36F"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27.0%</w:t>
            </w:r>
          </w:p>
        </w:tc>
        <w:tc>
          <w:tcPr>
            <w:tcW w:w="651" w:type="dxa"/>
            <w:shd w:val="clear" w:color="auto" w:fill="auto"/>
            <w:vAlign w:val="bottom"/>
          </w:tcPr>
          <w:p w14:paraId="6BA7ECA4"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23.7%</w:t>
            </w:r>
          </w:p>
        </w:tc>
        <w:tc>
          <w:tcPr>
            <w:tcW w:w="666" w:type="dxa"/>
            <w:shd w:val="clear" w:color="auto" w:fill="auto"/>
            <w:vAlign w:val="bottom"/>
          </w:tcPr>
          <w:p w14:paraId="242E4F2F"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20.1%</w:t>
            </w:r>
          </w:p>
        </w:tc>
        <w:tc>
          <w:tcPr>
            <w:tcW w:w="667" w:type="dxa"/>
            <w:shd w:val="clear" w:color="auto" w:fill="auto"/>
            <w:vAlign w:val="bottom"/>
          </w:tcPr>
          <w:p w14:paraId="1FA07E71"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17.3%</w:t>
            </w:r>
          </w:p>
        </w:tc>
        <w:tc>
          <w:tcPr>
            <w:tcW w:w="1134" w:type="dxa"/>
            <w:shd w:val="clear" w:color="auto" w:fill="auto"/>
            <w:vAlign w:val="bottom"/>
          </w:tcPr>
          <w:p w14:paraId="6B1F69A6"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11.2%</w:t>
            </w:r>
          </w:p>
        </w:tc>
        <w:tc>
          <w:tcPr>
            <w:tcW w:w="851" w:type="dxa"/>
            <w:shd w:val="clear" w:color="auto" w:fill="auto"/>
            <w:vAlign w:val="bottom"/>
          </w:tcPr>
          <w:p w14:paraId="2F24F2C7"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27.6%</w:t>
            </w:r>
          </w:p>
        </w:tc>
        <w:tc>
          <w:tcPr>
            <w:tcW w:w="1134" w:type="dxa"/>
            <w:shd w:val="clear" w:color="auto" w:fill="auto"/>
            <w:vAlign w:val="bottom"/>
          </w:tcPr>
          <w:p w14:paraId="37827E4E"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-0.3%</w:t>
            </w:r>
          </w:p>
        </w:tc>
        <w:tc>
          <w:tcPr>
            <w:tcW w:w="921" w:type="dxa"/>
            <w:shd w:val="clear" w:color="auto" w:fill="auto"/>
            <w:vAlign w:val="bottom"/>
          </w:tcPr>
          <w:p w14:paraId="24345127"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-23.3%</w:t>
            </w:r>
          </w:p>
        </w:tc>
      </w:tr>
      <w:tr w:rsidR="005E572D" w:rsidRPr="00010E92" w14:paraId="20DEC66D" w14:textId="77777777" w:rsidTr="00740A34">
        <w:tc>
          <w:tcPr>
            <w:tcW w:w="1347" w:type="dxa"/>
            <w:shd w:val="clear" w:color="auto" w:fill="auto"/>
            <w:vAlign w:val="bottom"/>
          </w:tcPr>
          <w:p w14:paraId="2E3F19C9" w14:textId="77777777" w:rsidR="005E572D" w:rsidRPr="008F735E" w:rsidRDefault="005E572D" w:rsidP="00345DEF">
            <w:pPr>
              <w:keepNext/>
              <w:keepLines/>
              <w:tabs>
                <w:tab w:val="left" w:pos="106"/>
              </w:tabs>
              <w:spacing w:before="60" w:after="60"/>
              <w:rPr>
                <w:sz w:val="14"/>
                <w:szCs w:val="14"/>
              </w:rPr>
            </w:pPr>
            <w:r w:rsidRPr="008F735E">
              <w:rPr>
                <w:sz w:val="14"/>
                <w:szCs w:val="14"/>
              </w:rPr>
              <w:tab/>
            </w:r>
            <w:r>
              <w:rPr>
                <w:sz w:val="14"/>
                <w:szCs w:val="14"/>
              </w:rPr>
              <w:t>Fully index</w:t>
            </w:r>
          </w:p>
        </w:tc>
        <w:tc>
          <w:tcPr>
            <w:tcW w:w="992" w:type="dxa"/>
            <w:shd w:val="clear" w:color="auto" w:fill="auto"/>
            <w:vAlign w:val="bottom"/>
          </w:tcPr>
          <w:p w14:paraId="45CD071D"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22.0%</w:t>
            </w:r>
          </w:p>
        </w:tc>
        <w:tc>
          <w:tcPr>
            <w:tcW w:w="737" w:type="dxa"/>
            <w:shd w:val="clear" w:color="auto" w:fill="auto"/>
            <w:vAlign w:val="bottom"/>
          </w:tcPr>
          <w:p w14:paraId="6596CE3B"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18.7%</w:t>
            </w:r>
          </w:p>
        </w:tc>
        <w:tc>
          <w:tcPr>
            <w:tcW w:w="681" w:type="dxa"/>
            <w:shd w:val="clear" w:color="auto" w:fill="auto"/>
            <w:vAlign w:val="bottom"/>
          </w:tcPr>
          <w:p w14:paraId="6572A072"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18.7%</w:t>
            </w:r>
          </w:p>
        </w:tc>
        <w:tc>
          <w:tcPr>
            <w:tcW w:w="651" w:type="dxa"/>
            <w:shd w:val="clear" w:color="auto" w:fill="auto"/>
            <w:vAlign w:val="bottom"/>
          </w:tcPr>
          <w:p w14:paraId="79822EA5"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18.7%</w:t>
            </w:r>
          </w:p>
        </w:tc>
        <w:tc>
          <w:tcPr>
            <w:tcW w:w="666" w:type="dxa"/>
            <w:shd w:val="clear" w:color="auto" w:fill="auto"/>
            <w:vAlign w:val="bottom"/>
          </w:tcPr>
          <w:p w14:paraId="12446C1A"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18.7%</w:t>
            </w:r>
          </w:p>
        </w:tc>
        <w:tc>
          <w:tcPr>
            <w:tcW w:w="667" w:type="dxa"/>
            <w:shd w:val="clear" w:color="auto" w:fill="auto"/>
            <w:vAlign w:val="bottom"/>
          </w:tcPr>
          <w:p w14:paraId="65F3D42B"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18.7%</w:t>
            </w:r>
          </w:p>
        </w:tc>
        <w:tc>
          <w:tcPr>
            <w:tcW w:w="1134" w:type="dxa"/>
            <w:shd w:val="clear" w:color="auto" w:fill="auto"/>
            <w:vAlign w:val="bottom"/>
          </w:tcPr>
          <w:p w14:paraId="561F74B3"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18.7%</w:t>
            </w:r>
          </w:p>
        </w:tc>
        <w:tc>
          <w:tcPr>
            <w:tcW w:w="851" w:type="dxa"/>
            <w:shd w:val="clear" w:color="auto" w:fill="auto"/>
            <w:vAlign w:val="bottom"/>
          </w:tcPr>
          <w:p w14:paraId="0FCCD344"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18.7%</w:t>
            </w:r>
          </w:p>
        </w:tc>
        <w:tc>
          <w:tcPr>
            <w:tcW w:w="1134" w:type="dxa"/>
            <w:shd w:val="clear" w:color="auto" w:fill="auto"/>
            <w:vAlign w:val="bottom"/>
          </w:tcPr>
          <w:p w14:paraId="3FD1A22F"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9.1%</w:t>
            </w:r>
          </w:p>
        </w:tc>
        <w:tc>
          <w:tcPr>
            <w:tcW w:w="921" w:type="dxa"/>
            <w:shd w:val="clear" w:color="auto" w:fill="auto"/>
            <w:vAlign w:val="bottom"/>
          </w:tcPr>
          <w:p w14:paraId="6847ADAD"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-12.9%</w:t>
            </w:r>
          </w:p>
        </w:tc>
      </w:tr>
      <w:tr w:rsidR="005E572D" w:rsidRPr="00010E92" w14:paraId="7D044115" w14:textId="77777777" w:rsidTr="00740A34">
        <w:tc>
          <w:tcPr>
            <w:tcW w:w="1347" w:type="dxa"/>
            <w:shd w:val="clear" w:color="auto" w:fill="auto"/>
            <w:vAlign w:val="bottom"/>
          </w:tcPr>
          <w:p w14:paraId="1D6F11C0" w14:textId="77777777" w:rsidR="005E572D" w:rsidRPr="008F735E" w:rsidRDefault="005E572D" w:rsidP="00345DEF">
            <w:pPr>
              <w:keepNext/>
              <w:keepLines/>
              <w:tabs>
                <w:tab w:val="left" w:pos="106"/>
              </w:tabs>
              <w:spacing w:before="60" w:after="60"/>
              <w:ind w:left="108" w:hanging="108"/>
              <w:rPr>
                <w:sz w:val="14"/>
                <w:szCs w:val="14"/>
              </w:rPr>
            </w:pPr>
            <w:r w:rsidRPr="008F735E">
              <w:rPr>
                <w:sz w:val="14"/>
                <w:szCs w:val="14"/>
              </w:rPr>
              <w:tab/>
            </w:r>
            <w:r>
              <w:rPr>
                <w:sz w:val="14"/>
                <w:szCs w:val="14"/>
              </w:rPr>
              <w:t xml:space="preserve">Index depreciation and </w:t>
            </w:r>
            <w:r w:rsidRPr="00EB67D1">
              <w:rPr>
                <w:sz w:val="14"/>
                <w:szCs w:val="14"/>
              </w:rPr>
              <w:t>inventor</w:t>
            </w:r>
            <w:r>
              <w:rPr>
                <w:sz w:val="14"/>
                <w:szCs w:val="14"/>
              </w:rPr>
              <w:t>y</w:t>
            </w:r>
          </w:p>
        </w:tc>
        <w:tc>
          <w:tcPr>
            <w:tcW w:w="992" w:type="dxa"/>
            <w:shd w:val="clear" w:color="auto" w:fill="auto"/>
            <w:vAlign w:val="bottom"/>
          </w:tcPr>
          <w:p w14:paraId="4908B789"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14.9%</w:t>
            </w:r>
          </w:p>
        </w:tc>
        <w:tc>
          <w:tcPr>
            <w:tcW w:w="737" w:type="dxa"/>
            <w:shd w:val="clear" w:color="auto" w:fill="auto"/>
            <w:vAlign w:val="bottom"/>
          </w:tcPr>
          <w:p w14:paraId="6E75D2DE"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11.2%</w:t>
            </w:r>
          </w:p>
        </w:tc>
        <w:tc>
          <w:tcPr>
            <w:tcW w:w="681" w:type="dxa"/>
            <w:shd w:val="clear" w:color="auto" w:fill="auto"/>
            <w:vAlign w:val="bottom"/>
          </w:tcPr>
          <w:p w14:paraId="39276F28"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11.2%</w:t>
            </w:r>
          </w:p>
        </w:tc>
        <w:tc>
          <w:tcPr>
            <w:tcW w:w="651" w:type="dxa"/>
            <w:shd w:val="clear" w:color="auto" w:fill="auto"/>
            <w:vAlign w:val="bottom"/>
          </w:tcPr>
          <w:p w14:paraId="38E02993"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11.2%</w:t>
            </w:r>
          </w:p>
        </w:tc>
        <w:tc>
          <w:tcPr>
            <w:tcW w:w="666" w:type="dxa"/>
            <w:shd w:val="clear" w:color="auto" w:fill="auto"/>
            <w:vAlign w:val="bottom"/>
          </w:tcPr>
          <w:p w14:paraId="0AA7B04A"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11.2%</w:t>
            </w:r>
          </w:p>
        </w:tc>
        <w:tc>
          <w:tcPr>
            <w:tcW w:w="667" w:type="dxa"/>
            <w:shd w:val="clear" w:color="auto" w:fill="auto"/>
            <w:vAlign w:val="bottom"/>
          </w:tcPr>
          <w:p w14:paraId="5E22D016"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11.2%</w:t>
            </w:r>
          </w:p>
        </w:tc>
        <w:tc>
          <w:tcPr>
            <w:tcW w:w="1134" w:type="dxa"/>
            <w:shd w:val="clear" w:color="auto" w:fill="auto"/>
            <w:vAlign w:val="bottom"/>
          </w:tcPr>
          <w:p w14:paraId="7895C796"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11.2%</w:t>
            </w:r>
          </w:p>
        </w:tc>
        <w:tc>
          <w:tcPr>
            <w:tcW w:w="851" w:type="dxa"/>
            <w:shd w:val="clear" w:color="auto" w:fill="auto"/>
            <w:vAlign w:val="bottom"/>
          </w:tcPr>
          <w:p w14:paraId="2516BF67"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11.2%</w:t>
            </w:r>
          </w:p>
        </w:tc>
        <w:tc>
          <w:tcPr>
            <w:tcW w:w="1134" w:type="dxa"/>
            <w:shd w:val="clear" w:color="auto" w:fill="auto"/>
            <w:vAlign w:val="bottom"/>
          </w:tcPr>
          <w:p w14:paraId="74B99A45"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-0.3%</w:t>
            </w:r>
          </w:p>
        </w:tc>
        <w:tc>
          <w:tcPr>
            <w:tcW w:w="921" w:type="dxa"/>
            <w:shd w:val="clear" w:color="auto" w:fill="auto"/>
            <w:vAlign w:val="bottom"/>
          </w:tcPr>
          <w:p w14:paraId="0F6050B1" w14:textId="77777777" w:rsidR="005E572D" w:rsidRPr="00010E92" w:rsidRDefault="005E572D" w:rsidP="00345DEF">
            <w:pPr>
              <w:keepNext/>
              <w:keepLines/>
              <w:tabs>
                <w:tab w:val="decimal" w:pos="256"/>
              </w:tabs>
              <w:spacing w:before="60" w:after="60"/>
              <w:jc w:val="center"/>
              <w:rPr>
                <w:sz w:val="14"/>
                <w:szCs w:val="14"/>
              </w:rPr>
            </w:pPr>
            <w:r w:rsidRPr="00010E92">
              <w:rPr>
                <w:rFonts w:cs="Calibri"/>
                <w:color w:val="000000"/>
                <w:sz w:val="14"/>
                <w:szCs w:val="14"/>
              </w:rPr>
              <w:t>-23.3%</w:t>
            </w:r>
          </w:p>
        </w:tc>
      </w:tr>
    </w:tbl>
    <w:p w14:paraId="7832E5CE" w14:textId="77777777" w:rsidR="001B3AE0" w:rsidRPr="0009166B" w:rsidRDefault="001B3AE0" w:rsidP="00075D72">
      <w:pPr>
        <w:pStyle w:val="NumberedParagraph"/>
      </w:pPr>
      <w:r w:rsidRPr="0009166B">
        <w:t>We draw attention to the following points:</w:t>
      </w:r>
    </w:p>
    <w:p w14:paraId="53A70938" w14:textId="3228981F" w:rsidR="001B3AE0" w:rsidRPr="0009166B" w:rsidRDefault="001B3AE0" w:rsidP="00075D72">
      <w:pPr>
        <w:pStyle w:val="NumberedParagraph-BulletL1"/>
      </w:pPr>
      <w:r w:rsidRPr="0009166B">
        <w:t xml:space="preserve">As was </w:t>
      </w:r>
      <w:r w:rsidRPr="00915A79">
        <w:t xml:space="preserve">discussed in chapter </w:t>
      </w:r>
      <w:r w:rsidRPr="0059107C">
        <w:t>4</w:t>
      </w:r>
      <w:r w:rsidRPr="00915A79">
        <w:t>, the current</w:t>
      </w:r>
      <w:r w:rsidRPr="0009166B">
        <w:t xml:space="preserve"> tax rules can result in costs of capital and EMTRs that vary significantly — from an EMTR of 27.6% for very short-lived PME and inventories to </w:t>
      </w:r>
      <w:r w:rsidR="00EE6388">
        <w:t xml:space="preserve">an EMTR of </w:t>
      </w:r>
      <w:r w:rsidRPr="0009166B">
        <w:t>-23.3% for assets that can be expensed.</w:t>
      </w:r>
    </w:p>
    <w:p w14:paraId="4A198D13" w14:textId="77777777" w:rsidR="001B3AE0" w:rsidRPr="0009166B" w:rsidRDefault="001B3AE0" w:rsidP="00075D72">
      <w:pPr>
        <w:pStyle w:val="NumberedParagraph-BulletL1"/>
      </w:pPr>
      <w:r w:rsidRPr="0009166B">
        <w:t>Comprehensive indexation would be a way of reducing higher EMTRs and making these more neutral.</w:t>
      </w:r>
    </w:p>
    <w:p w14:paraId="5145E2AD" w14:textId="77777777" w:rsidR="001B3AE0" w:rsidRPr="0009166B" w:rsidRDefault="001B3AE0" w:rsidP="00075D72">
      <w:pPr>
        <w:pStyle w:val="NumberedParagraph-BulletL2"/>
      </w:pPr>
      <w:r w:rsidRPr="0009166B">
        <w:t>EMTRs for short-lived PME and inventories would fall from 27.6% to 18.7%. Rather than taxes pushing up the hurdle rate of return by 1.14 percentage points from 3.0% to 4.14%, they would only be pushing up the hurdle rate of return by 0.69 percentage points.</w:t>
      </w:r>
    </w:p>
    <w:p w14:paraId="0115D959" w14:textId="2C86CD15" w:rsidR="001B3AE0" w:rsidRPr="0009166B" w:rsidRDefault="001B3AE0" w:rsidP="00075D72">
      <w:pPr>
        <w:pStyle w:val="NumberedParagraph-BulletL2"/>
      </w:pPr>
      <w:r w:rsidRPr="0009166B">
        <w:t>Under our assumptions, the EMTRs for all types of PME, zero</w:t>
      </w:r>
      <w:r w:rsidR="00191E06">
        <w:t>-</w:t>
      </w:r>
      <w:r w:rsidRPr="0009166B">
        <w:t>depreciation assets and inventory would be the same (although differences would arise in practice because tax depreciation rates will never reflect economic depreciation rates perfectly).</w:t>
      </w:r>
    </w:p>
    <w:p w14:paraId="3E3FDE49" w14:textId="204B9E59" w:rsidR="001B3AE0" w:rsidRPr="0009166B" w:rsidRDefault="001B3AE0" w:rsidP="00075D72">
      <w:pPr>
        <w:pStyle w:val="NumberedParagraph-BulletL2"/>
      </w:pPr>
      <w:r w:rsidRPr="0009166B">
        <w:t>The negative EMTRs for assets that can be expensed would become less negative (changing from -23.3% to -12.9%</w:t>
      </w:r>
      <w:r w:rsidR="0090403A">
        <w:t>),</w:t>
      </w:r>
      <w:r w:rsidRPr="0009166B">
        <w:t xml:space="preserve"> which means that the tax subsidy for these investments would be reduced, promoting tax neutrality.</w:t>
      </w:r>
    </w:p>
    <w:p w14:paraId="333F5DC7" w14:textId="745163DD" w:rsidR="001B3AE0" w:rsidRDefault="001B3AE0" w:rsidP="00075D72">
      <w:pPr>
        <w:pStyle w:val="NumberedParagraph-BulletL2"/>
      </w:pPr>
      <w:r w:rsidRPr="0009166B">
        <w:t>An anomaly would be the tax treatment of commercial and industrial buildings, and there would be a case for considering a higher tax depreciation rate for these buildings if we had a fully indexed tax system</w:t>
      </w:r>
      <w:r w:rsidR="003B640D">
        <w:t xml:space="preserve"> (at least if the BEA estimate of 2.69% reflects economic depreciation for these </w:t>
      </w:r>
      <w:r w:rsidR="00AE77C8">
        <w:t>building</w:t>
      </w:r>
      <w:r w:rsidR="003B640D">
        <w:t>s in New Zealand)</w:t>
      </w:r>
      <w:r w:rsidRPr="0009166B">
        <w:t>.</w:t>
      </w:r>
    </w:p>
    <w:p w14:paraId="076E72D1" w14:textId="4F43729F" w:rsidR="00A05195" w:rsidRPr="0009166B" w:rsidRDefault="00EA4222" w:rsidP="00075D72">
      <w:pPr>
        <w:pStyle w:val="NumberedParagraph-BulletL2"/>
      </w:pPr>
      <w:r>
        <w:t xml:space="preserve">This would be a way of reducing EMTRs for most assets in a way </w:t>
      </w:r>
      <w:r w:rsidR="00C07C96">
        <w:t>that</w:t>
      </w:r>
      <w:r>
        <w:t xml:space="preserve"> increases neutrality at the same time.</w:t>
      </w:r>
    </w:p>
    <w:p w14:paraId="20FD76A2" w14:textId="2E97D60D" w:rsidR="001B3AE0" w:rsidRDefault="001B3AE0" w:rsidP="00075D72">
      <w:pPr>
        <w:pStyle w:val="NumberedParagraph-BulletL1"/>
      </w:pPr>
      <w:r w:rsidRPr="002F1B57">
        <w:lastRenderedPageBreak/>
        <w:t xml:space="preserve">Only indexing depreciation allowances and inventories might be a way of reducing costs of capital and EMTRs and </w:t>
      </w:r>
      <w:r w:rsidRPr="002B5395">
        <w:t>making them more neutral.</w:t>
      </w:r>
    </w:p>
    <w:p w14:paraId="36BCE870" w14:textId="7AD8649B" w:rsidR="001B3AE0" w:rsidRPr="002B5395" w:rsidRDefault="001B3AE0" w:rsidP="00075D72">
      <w:pPr>
        <w:pStyle w:val="NumberedParagraph-BulletL1"/>
      </w:pPr>
      <w:r w:rsidRPr="002F1B57">
        <w:t xml:space="preserve">While not reported in the table, </w:t>
      </w:r>
      <w:r w:rsidR="006D2090">
        <w:t xml:space="preserve">only </w:t>
      </w:r>
      <w:r w:rsidR="00F96DEF">
        <w:t>indexing depreciation all</w:t>
      </w:r>
      <w:r w:rsidR="006D2090">
        <w:t>owances and inventories</w:t>
      </w:r>
      <w:r w:rsidRPr="002F1B57">
        <w:t xml:space="preserve"> could sometimes lead to inefficient tax subsidies. This can be true for domestic companies with marginal foreign shareholders </w:t>
      </w:r>
      <w:r w:rsidR="00D15311">
        <w:t>that</w:t>
      </w:r>
      <w:r w:rsidRPr="002F1B57">
        <w:t xml:space="preserve"> are sufficiently debt fin</w:t>
      </w:r>
      <w:r w:rsidRPr="00E342AC">
        <w:t>anced. It can also be true for domestic SMEs where New Zealand residents are marginal shareholders. The analysis</w:t>
      </w:r>
      <w:r w:rsidRPr="0009166B">
        <w:t xml:space="preserve"> parallels the discussion in </w:t>
      </w:r>
      <w:r w:rsidR="00972DBE">
        <w:t>t</w:t>
      </w:r>
      <w:r w:rsidRPr="0009166B">
        <w:t xml:space="preserve">able </w:t>
      </w:r>
      <w:r>
        <w:t>7.2</w:t>
      </w:r>
      <w:r w:rsidRPr="0009166B">
        <w:t xml:space="preserve"> above</w:t>
      </w:r>
      <w:r w:rsidR="00203A76">
        <w:t>,</w:t>
      </w:r>
      <w:r w:rsidRPr="0009166B">
        <w:t xml:space="preserve"> which considered the effects of accelerated depreciation measures.</w:t>
      </w:r>
    </w:p>
    <w:p w14:paraId="082DE463" w14:textId="77777777" w:rsidR="001B3AE0" w:rsidRPr="0009166B" w:rsidRDefault="001B3AE0" w:rsidP="001B3AE0">
      <w:pPr>
        <w:pStyle w:val="Heading2"/>
        <w:rPr>
          <w:rFonts w:eastAsia="Calibri"/>
          <w:lang w:eastAsia="en-US"/>
        </w:rPr>
      </w:pPr>
      <w:bookmarkStart w:id="60" w:name="_Toc112857437"/>
      <w:r w:rsidRPr="0009166B">
        <w:rPr>
          <w:rFonts w:eastAsia="Calibri"/>
          <w:lang w:eastAsia="en-US"/>
        </w:rPr>
        <w:t>Pros and cons of comprehensive indexation</w:t>
      </w:r>
      <w:bookmarkEnd w:id="60"/>
    </w:p>
    <w:p w14:paraId="639F5951" w14:textId="2E8BF0C3" w:rsidR="001B3AE0" w:rsidRPr="0009166B" w:rsidRDefault="001B3AE0" w:rsidP="00075D72">
      <w:pPr>
        <w:pStyle w:val="NumberedParagraph"/>
      </w:pPr>
      <w:r w:rsidRPr="0009166B">
        <w:t xml:space="preserve">Comprehensive indexation of the tax system for inflation </w:t>
      </w:r>
      <w:r w:rsidR="009B2DB2">
        <w:t xml:space="preserve">is a way of </w:t>
      </w:r>
      <w:r w:rsidR="002C645C">
        <w:t>reducing higher EMTRs markedly. At the same time</w:t>
      </w:r>
      <w:r w:rsidR="009E78B3">
        <w:t>,</w:t>
      </w:r>
      <w:r w:rsidR="002C645C">
        <w:t xml:space="preserve"> it is increasing neutrality and </w:t>
      </w:r>
      <w:r w:rsidRPr="0009166B">
        <w:t>would reduce tax distortions and improve economic efficiency and horizontal equity. The EMTRs on different investments would be more consistent. Table</w:t>
      </w:r>
      <w:r>
        <w:t xml:space="preserve"> 8.1</w:t>
      </w:r>
      <w:r w:rsidRPr="0009166B">
        <w:t xml:space="preserve"> shows how the range of EMTRs would narrow for firms with an average level of debt finance (that is</w:t>
      </w:r>
      <w:r w:rsidR="001A29BB">
        <w:t>,</w:t>
      </w:r>
      <w:r w:rsidRPr="0009166B">
        <w:t xml:space="preserve"> 43% debt finance). While it is not directly reported in table </w:t>
      </w:r>
      <w:r>
        <w:t>8.1</w:t>
      </w:r>
      <w:r w:rsidR="001A29BB">
        <w:t>,</w:t>
      </w:r>
      <w:r w:rsidRPr="0009166B">
        <w:t xml:space="preserve"> it is evident that full indexation would also reduce biases between debt and equity finance by limiting interest deductions to only real interest expense.</w:t>
      </w:r>
    </w:p>
    <w:p w14:paraId="733270D5" w14:textId="5A989268" w:rsidR="001B3AE0" w:rsidRPr="0009166B" w:rsidRDefault="001B3AE0" w:rsidP="00075D72">
      <w:pPr>
        <w:pStyle w:val="NumberedParagraph"/>
      </w:pPr>
      <w:r w:rsidRPr="0009166B">
        <w:t xml:space="preserve">Indexation would get to the heart of the problem of removing biases in measuring the tax base </w:t>
      </w:r>
      <w:r w:rsidR="00870D53">
        <w:t>that</w:t>
      </w:r>
      <w:r w:rsidRPr="0009166B">
        <w:t xml:space="preserve"> are caused by inflation. In this regard, indexation could be better at mitigating the tax effects of inflation than other more ad hoc measures, which can introduce further biases into the tax system.</w:t>
      </w:r>
    </w:p>
    <w:p w14:paraId="711F979B" w14:textId="4EC021CD" w:rsidR="001B3AE0" w:rsidRDefault="006254EC" w:rsidP="00075D72">
      <w:pPr>
        <w:pStyle w:val="NumberedParagraph"/>
      </w:pPr>
      <w:r>
        <w:t>C</w:t>
      </w:r>
      <w:r w:rsidR="001B3AE0" w:rsidRPr="0009166B">
        <w:t xml:space="preserve">omprehensively indexing the tax system for inflation using the Consultative Document approach would require adjustments to the rules for capital assets, trading stock, depreciation, and interest and financial arrangements (as </w:t>
      </w:r>
      <w:r w:rsidR="00B716FF">
        <w:t xml:space="preserve">set </w:t>
      </w:r>
      <w:r w:rsidR="001B3AE0" w:rsidRPr="0009166B">
        <w:t xml:space="preserve">out above). </w:t>
      </w:r>
      <w:r w:rsidR="006A26E5">
        <w:t>Several countries have inflation adjustments for depreciation deductions</w:t>
      </w:r>
      <w:r w:rsidR="00D46253">
        <w:t>,</w:t>
      </w:r>
      <w:r w:rsidR="00BF7E4F">
        <w:t xml:space="preserve"> including Chile, Costa Rica, Iceland, </w:t>
      </w:r>
      <w:r w:rsidR="00A317AD">
        <w:t xml:space="preserve">Mexico, the </w:t>
      </w:r>
      <w:proofErr w:type="gramStart"/>
      <w:r w:rsidR="00A317AD">
        <w:t>Netherlands</w:t>
      </w:r>
      <w:proofErr w:type="gramEnd"/>
      <w:r w:rsidR="00B266DF">
        <w:t xml:space="preserve"> and Turkey</w:t>
      </w:r>
      <w:r w:rsidR="00770460">
        <w:t>.</w:t>
      </w:r>
      <w:r w:rsidR="0051775E" w:rsidRPr="0009166B">
        <w:rPr>
          <w:vertAlign w:val="superscript"/>
        </w:rPr>
        <w:footnoteReference w:id="50"/>
      </w:r>
      <w:r w:rsidR="00733195">
        <w:t xml:space="preserve"> </w:t>
      </w:r>
      <w:r w:rsidR="00A94AB9">
        <w:t>Australia used to index capital gains for inflation</w:t>
      </w:r>
      <w:r w:rsidR="00F43291">
        <w:t>.</w:t>
      </w:r>
      <w:r w:rsidR="00A94AB9">
        <w:t xml:space="preserve"> </w:t>
      </w:r>
      <w:r w:rsidR="00F43291">
        <w:t>I</w:t>
      </w:r>
      <w:r w:rsidR="00A94AB9">
        <w:t xml:space="preserve">nflation adjustments for inventories are </w:t>
      </w:r>
      <w:r w:rsidR="004A03EB">
        <w:t xml:space="preserve">also </w:t>
      </w:r>
      <w:r w:rsidR="00A94AB9">
        <w:t xml:space="preserve">feasible. </w:t>
      </w:r>
      <w:r w:rsidR="009C4F11">
        <w:t>A simpler alternative</w:t>
      </w:r>
      <w:r w:rsidR="004A03EB">
        <w:t>,</w:t>
      </w:r>
      <w:r w:rsidR="009C4F11">
        <w:t xml:space="preserve"> which effectively allows a</w:t>
      </w:r>
      <w:r w:rsidR="00B206F4">
        <w:t xml:space="preserve"> form of</w:t>
      </w:r>
      <w:r w:rsidR="009C4F11">
        <w:t xml:space="preserve"> inflation adjustment for firms with a constant level of stock </w:t>
      </w:r>
      <w:r w:rsidR="00B206F4">
        <w:t>through time</w:t>
      </w:r>
      <w:r w:rsidR="004A03EB">
        <w:t>,</w:t>
      </w:r>
      <w:r w:rsidR="00B206F4">
        <w:t xml:space="preserve"> is to allow inventory to be valued on a last-in</w:t>
      </w:r>
      <w:r w:rsidR="006636F1">
        <w:t>,</w:t>
      </w:r>
      <w:r w:rsidR="00B206F4">
        <w:t xml:space="preserve"> first</w:t>
      </w:r>
      <w:r w:rsidR="00DD7094">
        <w:t>-out (LIFO</w:t>
      </w:r>
      <w:r w:rsidR="00340037">
        <w:t>)</w:t>
      </w:r>
      <w:r w:rsidR="00DD7094">
        <w:t xml:space="preserve"> basis. </w:t>
      </w:r>
      <w:r w:rsidR="00C34496">
        <w:t>I</w:t>
      </w:r>
      <w:r w:rsidR="00662808">
        <w:t xml:space="preserve">nflation adjustments for </w:t>
      </w:r>
      <w:r w:rsidR="001B3AE0" w:rsidRPr="0009166B">
        <w:t xml:space="preserve">interest income and expense from financial arrangements </w:t>
      </w:r>
      <w:r w:rsidR="00385BDF">
        <w:t>would be</w:t>
      </w:r>
      <w:r w:rsidR="001B3AE0" w:rsidRPr="0009166B">
        <w:t xml:space="preserve"> the most complex</w:t>
      </w:r>
      <w:r w:rsidR="00385BDF">
        <w:t>,</w:t>
      </w:r>
      <w:r w:rsidR="001B3AE0" w:rsidRPr="0009166B">
        <w:t xml:space="preserve"> particularly for financial arrangements involving foreign currency or derivatives. Where taxpayers have financial transactions with New Zealand financial institutions, complexities could normally be removed for most taxpayers by the financial institutions advising on the real component of interest income and interest expense. </w:t>
      </w:r>
      <w:r w:rsidR="00C43BC9">
        <w:t xml:space="preserve">However, calculations would be more complex if the </w:t>
      </w:r>
      <w:r w:rsidR="00256129">
        <w:t xml:space="preserve">financial arrangements </w:t>
      </w:r>
      <w:r w:rsidR="00C43BC9">
        <w:t>do not involve New Zealand financial institutions.</w:t>
      </w:r>
    </w:p>
    <w:p w14:paraId="7CF81C9B" w14:textId="3A6F6B09" w:rsidR="0041002F" w:rsidRPr="0009166B" w:rsidRDefault="0041002F" w:rsidP="00075D72">
      <w:pPr>
        <w:pStyle w:val="NumberedParagraph"/>
      </w:pPr>
      <w:r>
        <w:t>While the focus in the LTIB is on</w:t>
      </w:r>
      <w:r w:rsidR="00846128">
        <w:t xml:space="preserve"> costs of capital and EMTRs</w:t>
      </w:r>
      <w:r w:rsidR="00CD3FAB">
        <w:t>,</w:t>
      </w:r>
      <w:r w:rsidR="00846128">
        <w:t xml:space="preserve"> a major </w:t>
      </w:r>
      <w:r w:rsidR="003847EB">
        <w:t>potenti</w:t>
      </w:r>
      <w:r w:rsidR="00CD3FAB">
        <w:t>a</w:t>
      </w:r>
      <w:r w:rsidR="003847EB">
        <w:t xml:space="preserve">l </w:t>
      </w:r>
      <w:r w:rsidR="00846128">
        <w:t>benefit of comprehensive indexation would be the</w:t>
      </w:r>
      <w:r w:rsidR="003847EB">
        <w:t xml:space="preserve"> lower and more neutral tax treatment of interest income which is currently taxed quite heavily and other forms of saving that are often taxed less heavily.</w:t>
      </w:r>
    </w:p>
    <w:p w14:paraId="64081BCE" w14:textId="3BDD8B0B" w:rsidR="001B3AE0" w:rsidRPr="0009166B" w:rsidRDefault="001B3AE0" w:rsidP="00075D72">
      <w:pPr>
        <w:pStyle w:val="NumberedParagraph"/>
      </w:pPr>
      <w:r w:rsidRPr="0009166B">
        <w:t xml:space="preserve">The main issues with indexing are its complexity, which can lead to high compliance and administrative costs. </w:t>
      </w:r>
      <w:r w:rsidR="00C43BC9">
        <w:t>In the draft LTIB</w:t>
      </w:r>
      <w:r w:rsidR="00256129">
        <w:t>,</w:t>
      </w:r>
      <w:r w:rsidR="00C43BC9">
        <w:t xml:space="preserve"> we incorrectly stated that n</w:t>
      </w:r>
      <w:r w:rsidRPr="0009166B">
        <w:t xml:space="preserve">o OECD country currently comprehensively inflation indexes their tax system. </w:t>
      </w:r>
      <w:r w:rsidR="00EE1F44">
        <w:t>W</w:t>
      </w:r>
      <w:r w:rsidR="00C43BC9">
        <w:t xml:space="preserve">e have </w:t>
      </w:r>
      <w:r w:rsidR="00EE1F44">
        <w:t xml:space="preserve">since </w:t>
      </w:r>
      <w:r w:rsidR="00C43BC9">
        <w:t xml:space="preserve">discovered that both </w:t>
      </w:r>
      <w:r w:rsidR="008F499F">
        <w:t xml:space="preserve">Chile and Mexico have broad </w:t>
      </w:r>
      <w:r w:rsidR="008F499F">
        <w:lastRenderedPageBreak/>
        <w:t xml:space="preserve">indexation provisions </w:t>
      </w:r>
      <w:r w:rsidR="00EE1F44">
        <w:t>that</w:t>
      </w:r>
      <w:r w:rsidR="008F499F">
        <w:t xml:space="preserve"> extend to interest. </w:t>
      </w:r>
      <w:r w:rsidR="00923CC8">
        <w:t>A</w:t>
      </w:r>
      <w:r w:rsidRPr="0009166B">
        <w:t xml:space="preserve">dvances in technology and the widespread uptake of accounting software </w:t>
      </w:r>
      <w:r w:rsidR="00923CC8">
        <w:t>are likely to be making</w:t>
      </w:r>
      <w:r w:rsidRPr="0009166B">
        <w:t xml:space="preserve"> comprehensive indexation more feasible</w:t>
      </w:r>
      <w:r w:rsidR="00BE408B">
        <w:t xml:space="preserve"> over time</w:t>
      </w:r>
      <w:r w:rsidRPr="0009166B">
        <w:t>.</w:t>
      </w:r>
    </w:p>
    <w:p w14:paraId="261F897A" w14:textId="77777777" w:rsidR="001B3AE0" w:rsidRPr="0009166B" w:rsidRDefault="001B3AE0" w:rsidP="001B3AE0">
      <w:pPr>
        <w:pStyle w:val="Heading2"/>
        <w:rPr>
          <w:rFonts w:eastAsia="Calibri"/>
          <w:lang w:eastAsia="en-US"/>
        </w:rPr>
      </w:pPr>
      <w:bookmarkStart w:id="61" w:name="_Toc112857438"/>
      <w:r w:rsidRPr="0009166B">
        <w:rPr>
          <w:rFonts w:eastAsia="Calibri"/>
          <w:lang w:eastAsia="en-US"/>
        </w:rPr>
        <w:t>Pros and cons of partial indexation</w:t>
      </w:r>
      <w:bookmarkEnd w:id="61"/>
    </w:p>
    <w:p w14:paraId="22E9C66B" w14:textId="3D2BE91B" w:rsidR="001B3AE0" w:rsidRPr="0009166B" w:rsidRDefault="001B3AE0" w:rsidP="00075D72">
      <w:pPr>
        <w:pStyle w:val="NumberedParagraph"/>
      </w:pPr>
      <w:r w:rsidRPr="0009166B">
        <w:t xml:space="preserve">An alternative approach to comprehensive indexation is partial indexation, which reduces the complexities involved. Partial indexation involves adjusting particular items of income or </w:t>
      </w:r>
      <w:r w:rsidR="00B2201F">
        <w:t>expense</w:t>
      </w:r>
      <w:r w:rsidRPr="0009166B">
        <w:t xml:space="preserve"> for inflation. Partial indexation measures adopted by various other countries include:</w:t>
      </w:r>
    </w:p>
    <w:p w14:paraId="7D6DBA14" w14:textId="3006A33D" w:rsidR="001B3AE0" w:rsidRPr="0009166B" w:rsidRDefault="00D82727" w:rsidP="00075D72">
      <w:pPr>
        <w:pStyle w:val="NumberedParagraph-BulletL1"/>
      </w:pPr>
      <w:r>
        <w:t>e</w:t>
      </w:r>
      <w:r w:rsidR="001B3AE0" w:rsidRPr="0009166B">
        <w:t>xplicit indexation of the basis of depreciable property and of revenue account property in calculating capital gains</w:t>
      </w:r>
      <w:r>
        <w:t>, and</w:t>
      </w:r>
    </w:p>
    <w:p w14:paraId="75888ED8" w14:textId="6DDDD795" w:rsidR="001B3AE0" w:rsidRPr="0009166B" w:rsidRDefault="004F1947" w:rsidP="00075D72">
      <w:pPr>
        <w:pStyle w:val="NumberedParagraph-BulletL1"/>
      </w:pPr>
      <w:r>
        <w:t>o</w:t>
      </w:r>
      <w:r w:rsidR="001B3AE0" w:rsidRPr="0009166B">
        <w:t>nly taxing a portion of interest (for example, 60%) as a rough proxy for indexation.</w:t>
      </w:r>
    </w:p>
    <w:p w14:paraId="12DCDECC" w14:textId="0C579324" w:rsidR="001B3AE0" w:rsidRPr="0009166B" w:rsidRDefault="00B03D12" w:rsidP="00075D72">
      <w:pPr>
        <w:pStyle w:val="NumberedParagraph"/>
      </w:pPr>
      <w:r>
        <w:t>Either i</w:t>
      </w:r>
      <w:r w:rsidR="001B3AE0" w:rsidRPr="0009166B">
        <w:t>nflation indexing depreciation deductions and sales of revenue account property or inflation indexing both these and inventories might be ways of both reducing higher EMTRs and making EMTRs more consistent and neutral. It would not reduce tax biases between debt and equity investment in companies with non-resident shareholders</w:t>
      </w:r>
      <w:r w:rsidR="004D0D26">
        <w:t>,</w:t>
      </w:r>
      <w:r w:rsidR="001B3AE0" w:rsidRPr="0009166B">
        <w:t xml:space="preserve"> and </w:t>
      </w:r>
      <w:r w:rsidR="00A74487">
        <w:t xml:space="preserve">at times, </w:t>
      </w:r>
      <w:r w:rsidR="001B3AE0" w:rsidRPr="0009166B">
        <w:t xml:space="preserve">it would lead to investment subsidies. </w:t>
      </w:r>
      <w:r w:rsidR="001B3AE0" w:rsidRPr="00053ED8">
        <w:t>At the same time</w:t>
      </w:r>
      <w:r w:rsidR="004D0D26">
        <w:t>,</w:t>
      </w:r>
      <w:r w:rsidR="001B3AE0" w:rsidRPr="00053ED8">
        <w:t xml:space="preserve"> it might be a more neutral way of promoting investment in depreciable asset</w:t>
      </w:r>
      <w:r w:rsidR="004D0D26">
        <w:t>s</w:t>
      </w:r>
      <w:r w:rsidR="001B3AE0" w:rsidRPr="00053ED8">
        <w:t xml:space="preserve"> </w:t>
      </w:r>
      <w:r w:rsidR="001B3AE0" w:rsidRPr="00AC5FA0">
        <w:t xml:space="preserve">than the accelerated depreciation schemes examined in </w:t>
      </w:r>
      <w:r w:rsidR="001B3AE0" w:rsidRPr="0059107C">
        <w:t>chapter 7</w:t>
      </w:r>
      <w:r w:rsidR="001B3AE0" w:rsidRPr="00053ED8">
        <w:t>. As</w:t>
      </w:r>
      <w:r w:rsidR="001B3AE0" w:rsidRPr="0009166B">
        <w:t xml:space="preserve"> with accelerated depreciation measures, it would be less prone to reduce the progressivity and integrity of the personal tax system</w:t>
      </w:r>
      <w:r w:rsidR="00981D87" w:rsidRPr="0009166B">
        <w:t xml:space="preserve"> than a company tax rate cut</w:t>
      </w:r>
      <w:r w:rsidR="001B3AE0" w:rsidRPr="0009166B">
        <w:t>.</w:t>
      </w:r>
    </w:p>
    <w:p w14:paraId="3E5BE1FF" w14:textId="77777777" w:rsidR="001B3AE0" w:rsidRPr="0009166B" w:rsidRDefault="001B3AE0" w:rsidP="001B3AE0">
      <w:pPr>
        <w:pStyle w:val="Heading2"/>
        <w:rPr>
          <w:rFonts w:eastAsia="Calibri"/>
          <w:lang w:eastAsia="en-US"/>
        </w:rPr>
      </w:pPr>
      <w:bookmarkStart w:id="62" w:name="_Toc112857439"/>
      <w:r w:rsidRPr="0009166B">
        <w:rPr>
          <w:rFonts w:eastAsia="Calibri"/>
          <w:lang w:eastAsia="en-US"/>
        </w:rPr>
        <w:t>The appropriate index</w:t>
      </w:r>
      <w:bookmarkEnd w:id="62"/>
    </w:p>
    <w:p w14:paraId="65F9BBB7" w14:textId="187ECC46" w:rsidR="001B3AE0" w:rsidRPr="0009166B" w:rsidRDefault="001B3AE0" w:rsidP="00075D72">
      <w:pPr>
        <w:pStyle w:val="NumberedParagraph"/>
      </w:pPr>
      <w:r w:rsidRPr="0009166B">
        <w:t>If the tax system were to be indexed for inflation, the most appropriate price index to use</w:t>
      </w:r>
      <w:r w:rsidR="0031503D">
        <w:t xml:space="preserve"> would seem </w:t>
      </w:r>
      <w:r w:rsidR="00041BDF">
        <w:t>to be a general price index, such as the consumers price index (CPI)</w:t>
      </w:r>
      <w:r w:rsidRPr="0009166B">
        <w:t>. Ultimately</w:t>
      </w:r>
      <w:r w:rsidR="00F61653">
        <w:t>,</w:t>
      </w:r>
      <w:r w:rsidRPr="0009166B">
        <w:t xml:space="preserve"> all income is income of individuals and using the CPI would avoid overstating or understating the true incomes that individuals receive.</w:t>
      </w:r>
    </w:p>
    <w:p w14:paraId="027D4EEE" w14:textId="6FC3B381" w:rsidR="001B3AE0" w:rsidRDefault="001B3AE0" w:rsidP="00345DEF">
      <w:pPr>
        <w:pStyle w:val="NumberedParagraph"/>
      </w:pPr>
      <w:r w:rsidRPr="0009166B">
        <w:t>The Reserve Bank’s target range for CPI inflation is 1</w:t>
      </w:r>
      <w:r w:rsidR="006349D5">
        <w:t>–</w:t>
      </w:r>
      <w:r w:rsidRPr="0009166B">
        <w:t>3%. Therefore, one option might be to index the income tax base by 2% inflation, which would be in the centre of the range.</w:t>
      </w:r>
      <w:r w:rsidR="00547979">
        <w:t xml:space="preserve"> Using a </w:t>
      </w:r>
      <w:r w:rsidR="00A21395">
        <w:t xml:space="preserve">proxy inflation rate like 2% would allow banks and </w:t>
      </w:r>
      <w:r w:rsidR="00D35F12">
        <w:t xml:space="preserve">other </w:t>
      </w:r>
      <w:r w:rsidR="00A21395">
        <w:t>financial institutions to know the appropriate i</w:t>
      </w:r>
      <w:r w:rsidR="00D325F3">
        <w:t>ndexation</w:t>
      </w:r>
      <w:r w:rsidR="00A21395">
        <w:t xml:space="preserve"> rate in advance</w:t>
      </w:r>
      <w:r w:rsidR="000E260A">
        <w:t>.</w:t>
      </w:r>
      <w:r w:rsidR="00A21395">
        <w:t xml:space="preserve"> </w:t>
      </w:r>
      <w:r w:rsidR="000E260A">
        <w:t>This</w:t>
      </w:r>
      <w:r w:rsidR="00A21395">
        <w:t xml:space="preserve"> would help them withhold appropriate levels of tax on interest income. An</w:t>
      </w:r>
      <w:r w:rsidR="002D0D84">
        <w:t xml:space="preserve"> alternative might be to allow adjustments based on </w:t>
      </w:r>
      <w:r w:rsidR="00737304">
        <w:t xml:space="preserve">the </w:t>
      </w:r>
      <w:r w:rsidR="002D0D84">
        <w:t xml:space="preserve">actual inflation figure but </w:t>
      </w:r>
      <w:r w:rsidR="0027156D">
        <w:t xml:space="preserve">with a </w:t>
      </w:r>
      <w:r w:rsidR="00737304">
        <w:t>three</w:t>
      </w:r>
      <w:r w:rsidR="0027156D">
        <w:t>-month lag</w:t>
      </w:r>
      <w:r w:rsidR="00737304">
        <w:t>,</w:t>
      </w:r>
      <w:r w:rsidR="0027156D">
        <w:t xml:space="preserve"> so the inflation rate used </w:t>
      </w:r>
      <w:r w:rsidR="0053628A">
        <w:t>for indexing taxes reflects inflation in the previous quarter.</w:t>
      </w:r>
    </w:p>
    <w:p w14:paraId="4C61CEB2" w14:textId="7B96E183" w:rsidR="00DF4561" w:rsidRPr="0009166B" w:rsidRDefault="00DF4561" w:rsidP="00DF4561">
      <w:pPr>
        <w:pStyle w:val="Heading2"/>
        <w:rPr>
          <w:rFonts w:eastAsia="Calibri"/>
          <w:lang w:eastAsia="en-US"/>
        </w:rPr>
      </w:pPr>
      <w:bookmarkStart w:id="63" w:name="_Toc112857440"/>
      <w:r>
        <w:rPr>
          <w:rFonts w:eastAsia="Calibri"/>
          <w:lang w:eastAsia="en-US"/>
        </w:rPr>
        <w:t>Views of stakeholders</w:t>
      </w:r>
      <w:bookmarkEnd w:id="63"/>
    </w:p>
    <w:p w14:paraId="39D0C8BE" w14:textId="613A1346" w:rsidR="00A53764" w:rsidRDefault="00A53764" w:rsidP="00DF4561">
      <w:pPr>
        <w:pStyle w:val="NumberedParagraph"/>
        <w:numPr>
          <w:ilvl w:val="1"/>
          <w:numId w:val="58"/>
        </w:numPr>
      </w:pPr>
      <w:r>
        <w:t>Stakeholders are likely to have been misled by the incorrect statement in the draft LTIB that no OECD countries have comprehensive indexation provisions.</w:t>
      </w:r>
      <w:r w:rsidR="001800D5">
        <w:t xml:space="preserve"> This was given as a reason for doubting the practicality of this option at present.</w:t>
      </w:r>
    </w:p>
    <w:p w14:paraId="53E21971" w14:textId="705EB96B" w:rsidR="004326B9" w:rsidRDefault="0065020C" w:rsidP="00DF4561">
      <w:pPr>
        <w:pStyle w:val="NumberedParagraph"/>
      </w:pPr>
      <w:r>
        <w:t>Business NZ</w:t>
      </w:r>
      <w:r w:rsidR="004151EA">
        <w:t xml:space="preserve"> considered that indexation was an option to consider in the future </w:t>
      </w:r>
      <w:r w:rsidR="00A53764">
        <w:t xml:space="preserve">only </w:t>
      </w:r>
      <w:r w:rsidR="000E7F09">
        <w:t>when the relevant digital technology is at a sufficient level for this to occur.</w:t>
      </w:r>
    </w:p>
    <w:p w14:paraId="5F436A5D" w14:textId="55D83E41" w:rsidR="00DF4561" w:rsidRDefault="004326B9" w:rsidP="00DF4561">
      <w:pPr>
        <w:pStyle w:val="NumberedParagraph"/>
      </w:pPr>
      <w:r>
        <w:t>CTG</w:t>
      </w:r>
      <w:r w:rsidR="004014E5">
        <w:t xml:space="preserve"> comment</w:t>
      </w:r>
      <w:r w:rsidR="000B7A82">
        <w:t>ed</w:t>
      </w:r>
      <w:r w:rsidR="004014E5">
        <w:t xml:space="preserve"> that comprehensive indexation of the </w:t>
      </w:r>
      <w:r w:rsidR="00EB2AC9">
        <w:t xml:space="preserve">tax base has been explored in the past and found to be impractical and that indexation of interest seems particularly problematic. </w:t>
      </w:r>
      <w:r w:rsidR="007C342C">
        <w:t xml:space="preserve">The CTG </w:t>
      </w:r>
      <w:r w:rsidR="0083463C">
        <w:t>identified</w:t>
      </w:r>
      <w:r w:rsidR="00B237C6">
        <w:t xml:space="preserve"> that the rules might mean </w:t>
      </w:r>
      <w:r w:rsidR="00B237C6">
        <w:lastRenderedPageBreak/>
        <w:t>borrowers are taxed when real interest rates turn negative</w:t>
      </w:r>
      <w:r w:rsidR="00D91496">
        <w:t>,</w:t>
      </w:r>
      <w:r w:rsidR="00B237C6">
        <w:t xml:space="preserve"> but</w:t>
      </w:r>
      <w:r w:rsidR="001128A7">
        <w:t xml:space="preserve"> they also</w:t>
      </w:r>
      <w:r w:rsidR="00923D4E">
        <w:t xml:space="preserve"> acknowledged</w:t>
      </w:r>
      <w:r w:rsidR="00B237C6">
        <w:t xml:space="preserve"> there may be viable alternative</w:t>
      </w:r>
      <w:r w:rsidR="00346642">
        <w:t>s</w:t>
      </w:r>
      <w:r w:rsidR="00B237C6">
        <w:t xml:space="preserve"> that could be thought through </w:t>
      </w:r>
      <w:r w:rsidR="00346642">
        <w:t>that</w:t>
      </w:r>
      <w:r w:rsidR="00B237C6">
        <w:t xml:space="preserve"> would address this </w:t>
      </w:r>
      <w:r w:rsidR="00346642">
        <w:t>problem</w:t>
      </w:r>
      <w:r w:rsidR="00B237C6">
        <w:t>.</w:t>
      </w:r>
      <w:r w:rsidR="0090114B">
        <w:t xml:space="preserve"> </w:t>
      </w:r>
      <w:r w:rsidR="00C00778">
        <w:t>CTG suggests, however, that partial indexation measures could usefully be considered.</w:t>
      </w:r>
    </w:p>
    <w:p w14:paraId="2328F4F7" w14:textId="2A2F344F" w:rsidR="00B024F7" w:rsidRPr="0009166B" w:rsidRDefault="00B024F7" w:rsidP="00DF4561">
      <w:pPr>
        <w:pStyle w:val="NumberedParagraph"/>
      </w:pPr>
      <w:r>
        <w:t>CA ANZ argue</w:t>
      </w:r>
      <w:r w:rsidR="004C784C">
        <w:t>d</w:t>
      </w:r>
      <w:r>
        <w:t xml:space="preserve"> agai</w:t>
      </w:r>
      <w:r w:rsidR="0018584E">
        <w:t>n</w:t>
      </w:r>
      <w:r>
        <w:t xml:space="preserve">st </w:t>
      </w:r>
      <w:r w:rsidR="0018584E">
        <w:t>comprehensive indexation because this is likely to lead to further complexity</w:t>
      </w:r>
      <w:r w:rsidR="005A1C39">
        <w:t>.</w:t>
      </w:r>
    </w:p>
    <w:p w14:paraId="496454FE" w14:textId="77777777" w:rsidR="001B3AE0" w:rsidRPr="004B1C56" w:rsidRDefault="001B3AE0" w:rsidP="00202EA4">
      <w:pPr>
        <w:pStyle w:val="Heading1"/>
        <w:ind w:left="0"/>
        <w:rPr>
          <w:rFonts w:eastAsia="Calibri"/>
          <w:lang w:eastAsia="en-US"/>
        </w:rPr>
      </w:pPr>
      <w:r w:rsidRPr="004B1C56">
        <w:rPr>
          <w:rFonts w:eastAsia="Calibri"/>
          <w:lang w:eastAsia="en-US"/>
        </w:rPr>
        <w:lastRenderedPageBreak/>
        <w:br/>
      </w:r>
      <w:r w:rsidRPr="004B1C56">
        <w:rPr>
          <w:rFonts w:eastAsia="Calibri"/>
          <w:lang w:eastAsia="en-US"/>
        </w:rPr>
        <w:br/>
      </w:r>
      <w:bookmarkStart w:id="64" w:name="_Toc112857441"/>
      <w:r w:rsidRPr="004B1C56">
        <w:rPr>
          <w:rFonts w:eastAsia="Calibri"/>
          <w:lang w:eastAsia="en-US"/>
        </w:rPr>
        <w:t>Thin capitalisation</w:t>
      </w:r>
      <w:bookmarkEnd w:id="64"/>
    </w:p>
    <w:tbl>
      <w:tblPr>
        <w:tblStyle w:val="SummaryBox"/>
        <w:tblW w:w="0" w:type="auto"/>
        <w:tblLayout w:type="fixed"/>
        <w:tblLook w:val="04A0" w:firstRow="1" w:lastRow="0" w:firstColumn="1" w:lastColumn="0" w:noHBand="0" w:noVBand="1"/>
      </w:tblPr>
      <w:tblGrid>
        <w:gridCol w:w="8778"/>
      </w:tblGrid>
      <w:tr w:rsidR="001B3AE0" w:rsidRPr="006E0C97" w14:paraId="1D68DD37" w14:textId="77777777" w:rsidTr="00325672">
        <w:tc>
          <w:tcPr>
            <w:tcW w:w="8778" w:type="dxa"/>
          </w:tcPr>
          <w:p w14:paraId="291D6559" w14:textId="77777777" w:rsidR="001B3AE0" w:rsidRPr="006E0C97" w:rsidRDefault="001B3AE0" w:rsidP="00597B6B">
            <w:pPr>
              <w:pStyle w:val="ListBullet"/>
            </w:pPr>
            <w:r w:rsidRPr="006E0C97">
              <w:t xml:space="preserve">The deductibility of interest but not dividends </w:t>
            </w:r>
            <w:proofErr w:type="gramStart"/>
            <w:r w:rsidRPr="006E0C97">
              <w:t>creates</w:t>
            </w:r>
            <w:proofErr w:type="gramEnd"/>
            <w:r w:rsidRPr="006E0C97">
              <w:t xml:space="preserve"> incentives for multinational entities to use debt to finance investment into New Zealand subsidiaries, at least if investment is from countries with lower company tax rates.</w:t>
            </w:r>
          </w:p>
          <w:p w14:paraId="67C5CF56" w14:textId="77777777" w:rsidR="001B3AE0" w:rsidRPr="006E0C97" w:rsidRDefault="001B3AE0" w:rsidP="00597B6B">
            <w:pPr>
              <w:pStyle w:val="ListBullet"/>
            </w:pPr>
            <w:r w:rsidRPr="006E0C97">
              <w:t>To combat base erosion and profit shifting by multinationals, most countries (including New Zealand) have introduced thin capitalisation rules, where a deduction for the cost of debt above a debt percentage is denied.</w:t>
            </w:r>
          </w:p>
          <w:p w14:paraId="2AB00570" w14:textId="77777777" w:rsidR="001B3AE0" w:rsidRPr="006E0C97" w:rsidRDefault="001B3AE0" w:rsidP="00597B6B">
            <w:pPr>
              <w:pStyle w:val="ListBullet"/>
            </w:pPr>
            <w:r w:rsidRPr="006E0C97">
              <w:t>However, thin capitalisation rules can push up costs of capital and EMTRs.</w:t>
            </w:r>
          </w:p>
          <w:p w14:paraId="3DCD6271" w14:textId="77777777" w:rsidR="001B3AE0" w:rsidRPr="006E0C97" w:rsidRDefault="001B3AE0" w:rsidP="00597B6B">
            <w:pPr>
              <w:pStyle w:val="ListBullet"/>
            </w:pPr>
            <w:r w:rsidRPr="006E0C97">
              <w:t>There is international evidence suggesting that thin capitalisation rules can have significant negative impacts on foreign direct investment and increase the tax rate elasticity of investments.</w:t>
            </w:r>
          </w:p>
          <w:p w14:paraId="0B467134" w14:textId="798D66B6" w:rsidR="001B3AE0" w:rsidRPr="006E0C97" w:rsidRDefault="001B3AE0" w:rsidP="00597B6B">
            <w:pPr>
              <w:pStyle w:val="ListBullet"/>
            </w:pPr>
            <w:r w:rsidRPr="006E0C97">
              <w:t xml:space="preserve">An increased safe harbour threshold would be a way of reducing costs of capital and EMTRs and promoting inbound </w:t>
            </w:r>
            <w:r w:rsidR="00D6672B">
              <w:t xml:space="preserve">foreign direct </w:t>
            </w:r>
            <w:r w:rsidRPr="006E0C97">
              <w:t>investment.</w:t>
            </w:r>
          </w:p>
          <w:p w14:paraId="28719DCD" w14:textId="77777777" w:rsidR="001B3AE0" w:rsidRPr="006E0C97" w:rsidRDefault="001B3AE0" w:rsidP="00597B6B">
            <w:pPr>
              <w:pStyle w:val="ListBullet"/>
            </w:pPr>
            <w:r w:rsidRPr="006E0C97">
              <w:t>It would do so without sacrificing tax on economic rents and without making it harder to levy progressive personal income taxes.</w:t>
            </w:r>
          </w:p>
          <w:p w14:paraId="29BF8702" w14:textId="77777777" w:rsidR="001B3AE0" w:rsidRPr="006E0C97" w:rsidRDefault="001B3AE0" w:rsidP="00597B6B">
            <w:pPr>
              <w:pStyle w:val="ListBullet"/>
            </w:pPr>
            <w:r w:rsidRPr="006E0C97">
              <w:t>However, the changes are likely to promote inbound investment for only a minority of firms and not for firms facing the highest EMTRs at present.</w:t>
            </w:r>
          </w:p>
          <w:p w14:paraId="33AB20C8" w14:textId="2194F821" w:rsidR="001B3AE0" w:rsidRPr="006E0C97" w:rsidRDefault="001B3AE0" w:rsidP="00597B6B">
            <w:pPr>
              <w:pStyle w:val="ListBullet"/>
            </w:pPr>
            <w:r w:rsidRPr="006E0C97">
              <w:t>Additional debt levels may trigger higher taxes overseas</w:t>
            </w:r>
            <w:r w:rsidR="002467DC">
              <w:t>,</w:t>
            </w:r>
            <w:r w:rsidRPr="006E0C97">
              <w:t xml:space="preserve"> making a higher thin capitalisation threshold an expensive way of promoting inbound investment.</w:t>
            </w:r>
          </w:p>
          <w:p w14:paraId="47157651" w14:textId="77777777" w:rsidR="001B3AE0" w:rsidRPr="006E0C97" w:rsidRDefault="001B3AE0" w:rsidP="00597B6B">
            <w:pPr>
              <w:pStyle w:val="ListBullet"/>
            </w:pPr>
            <w:r w:rsidRPr="006E0C97">
              <w:t>A high threshold could result in inbound investment subsidies.</w:t>
            </w:r>
          </w:p>
        </w:tc>
      </w:tr>
    </w:tbl>
    <w:p w14:paraId="5AFB4E03" w14:textId="77777777" w:rsidR="001B3AE0" w:rsidRPr="006E0C97" w:rsidRDefault="001B3AE0" w:rsidP="001B3AE0">
      <w:pPr>
        <w:pStyle w:val="Heading2"/>
        <w:rPr>
          <w:rFonts w:eastAsia="Calibri"/>
          <w:lang w:eastAsia="en-US"/>
        </w:rPr>
      </w:pPr>
      <w:bookmarkStart w:id="65" w:name="_Toc112857442"/>
      <w:r w:rsidRPr="006E0C97">
        <w:rPr>
          <w:rFonts w:eastAsia="Calibri"/>
          <w:lang w:eastAsia="en-US"/>
        </w:rPr>
        <w:t>Introduction</w:t>
      </w:r>
      <w:bookmarkEnd w:id="65"/>
    </w:p>
    <w:p w14:paraId="75ECAA6B" w14:textId="2D9C6535" w:rsidR="001B3AE0" w:rsidRPr="006E0C97" w:rsidRDefault="001B3AE0" w:rsidP="00075D72">
      <w:pPr>
        <w:pStyle w:val="NumberedParagraph"/>
      </w:pPr>
      <w:r w:rsidRPr="006E0C97">
        <w:t>Current tax settings allow taxpayers a deduction for interest but not for dividends paid. This is not a major issue when considering investment decisions for companies owned solely by New Zealand residents, as New Zealand’s imputation tax credit regime effectively makes the corporate income tax a withholding tax and reduces debt/equity biases for such firms.</w:t>
      </w:r>
      <w:r w:rsidRPr="006E0C97">
        <w:rPr>
          <w:vertAlign w:val="superscript"/>
        </w:rPr>
        <w:footnoteReference w:id="51"/>
      </w:r>
      <w:r w:rsidRPr="006E0C97">
        <w:t xml:space="preserve"> However, multinationals investing into New Zealand may often be able to lower their worldwide tax liability by increasing debt levels in New Zealand. This will be the case if the multinational is based in a country with a lower company tax rate than New Zealand. Interest paid to the foreign parent will reduce tax paid in New Zealand by more than it increases tax paid abroad.</w:t>
      </w:r>
    </w:p>
    <w:p w14:paraId="1352C934" w14:textId="202A8C24" w:rsidR="001B3AE0" w:rsidRPr="006E0C97" w:rsidRDefault="001B3AE0" w:rsidP="00075D72">
      <w:pPr>
        <w:pStyle w:val="NumberedParagraph"/>
      </w:pPr>
      <w:r w:rsidRPr="006E0C97">
        <w:t xml:space="preserve">The distinction between debt and equity is largely arbitrary in related-party situations. This is because the overall risk to a parent company is not generally </w:t>
      </w:r>
      <w:r w:rsidRPr="006E0C97">
        <w:lastRenderedPageBreak/>
        <w:t>affected by choices between these two methods of financing the operation of subsidiaries when the funding is being advanced by related parties. Multinational entities may sometimes be able to reduce their worldwide tax liability by having a subsidiary borrow from the parent, or another subsidiary, and then pay part of their return to the parent as deductible interest rather than as a non-deductible dividend. Alternatively, the corporate group could lower the amount of tax it pays in a jurisdiction by having a subsidiary in that jurisdiction take on a disproportionately large share of borrowing from third parties.</w:t>
      </w:r>
    </w:p>
    <w:p w14:paraId="3F156E44" w14:textId="172F5B54" w:rsidR="001B3AE0" w:rsidRPr="006E0C97" w:rsidRDefault="001B3AE0" w:rsidP="00075D72">
      <w:pPr>
        <w:pStyle w:val="NumberedParagraph"/>
      </w:pPr>
      <w:r w:rsidRPr="006E0C97">
        <w:t>New Zealand currently has a relatively high corporate income tax rate when compared to other OECD countries</w:t>
      </w:r>
      <w:r w:rsidR="00B85BAF">
        <w:t>.</w:t>
      </w:r>
      <w:r w:rsidRPr="006E0C97">
        <w:t xml:space="preserve"> </w:t>
      </w:r>
      <w:r w:rsidR="00B85BAF">
        <w:t>Therefore,</w:t>
      </w:r>
      <w:r w:rsidRPr="006E0C97">
        <w:t xml:space="preserve"> there could often be a tax advantage in a multinational enterpris</w:t>
      </w:r>
      <w:r w:rsidR="009D64B3">
        <w:t>e</w:t>
      </w:r>
      <w:r w:rsidRPr="006E0C97">
        <w:t xml:space="preserve"> using a much higher proportion of debt to finance its New Zealand operations than is true for the worldwide enterprise.</w:t>
      </w:r>
    </w:p>
    <w:p w14:paraId="343409AF" w14:textId="77777777" w:rsidR="001B3AE0" w:rsidRPr="006E0C97" w:rsidRDefault="001B3AE0" w:rsidP="001B3AE0">
      <w:pPr>
        <w:pStyle w:val="Heading2"/>
        <w:rPr>
          <w:rFonts w:eastAsia="Calibri"/>
          <w:lang w:eastAsia="en-US"/>
        </w:rPr>
      </w:pPr>
      <w:bookmarkStart w:id="66" w:name="_Toc112857443"/>
      <w:r w:rsidRPr="006E0C97">
        <w:rPr>
          <w:rFonts w:eastAsia="Calibri"/>
          <w:lang w:eastAsia="en-US"/>
        </w:rPr>
        <w:t>Thin capitalisation rules</w:t>
      </w:r>
      <w:bookmarkEnd w:id="66"/>
    </w:p>
    <w:p w14:paraId="4B645664" w14:textId="5EDE0ABA" w:rsidR="001B3AE0" w:rsidRPr="006E0C97" w:rsidRDefault="001B3AE0" w:rsidP="00075D72">
      <w:pPr>
        <w:pStyle w:val="NumberedParagraph"/>
      </w:pPr>
      <w:r w:rsidRPr="006E0C97">
        <w:t xml:space="preserve">To address excessive profit shifting, many countries have </w:t>
      </w:r>
      <w:r w:rsidR="00E5681E">
        <w:t>‘</w:t>
      </w:r>
      <w:r w:rsidRPr="006E0C97">
        <w:t>thin capitalisation</w:t>
      </w:r>
      <w:r w:rsidR="00E5681E">
        <w:t>’</w:t>
      </w:r>
      <w:r w:rsidRPr="006E0C97">
        <w:t xml:space="preserve"> rules, including New Zealand. New Zealand’s thin capitalisation rules aim to limit the amount of interest deductions against the New Zealand tax base and apply to in</w:t>
      </w:r>
      <w:r w:rsidR="00A56891">
        <w:t>bound</w:t>
      </w:r>
      <w:r w:rsidRPr="006E0C97">
        <w:t xml:space="preserve"> investment by a non-resident.</w:t>
      </w:r>
    </w:p>
    <w:p w14:paraId="63530FAB" w14:textId="77777777" w:rsidR="001B3AE0" w:rsidRPr="006E0C97" w:rsidRDefault="001B3AE0" w:rsidP="00075D72">
      <w:pPr>
        <w:pStyle w:val="NumberedParagraph"/>
      </w:pPr>
      <w:r w:rsidRPr="006E0C97">
        <w:t>If the debt level of a corporate group or other taxpayer exceeds prescribed levels, the thin capitalisation rules deem the excess debt to be an item of income, effectively denying interest deductions. This can occur if both:</w:t>
      </w:r>
    </w:p>
    <w:p w14:paraId="048D0F0E" w14:textId="41534450" w:rsidR="001B3AE0" w:rsidRPr="006E0C97" w:rsidRDefault="001B3AE0" w:rsidP="00075D72">
      <w:pPr>
        <w:pStyle w:val="NumberedParagraph-BulletL1"/>
      </w:pPr>
      <w:r w:rsidRPr="006E0C97">
        <w:t>the New Zealand group’s debt percentage</w:t>
      </w:r>
      <w:r w:rsidRPr="006E0C97">
        <w:rPr>
          <w:vertAlign w:val="superscript"/>
        </w:rPr>
        <w:footnoteReference w:id="52"/>
      </w:r>
      <w:r w:rsidRPr="006E0C97">
        <w:t xml:space="preserve"> is greater than the </w:t>
      </w:r>
      <w:r w:rsidR="00A214A5">
        <w:t>‘</w:t>
      </w:r>
      <w:r w:rsidRPr="006E0C97">
        <w:t>safe harbour</w:t>
      </w:r>
      <w:r w:rsidR="00A214A5">
        <w:t>’</w:t>
      </w:r>
      <w:r w:rsidRPr="006E0C97">
        <w:t xml:space="preserve"> of 60%,</w:t>
      </w:r>
      <w:r w:rsidRPr="006E0C97">
        <w:rPr>
          <w:vertAlign w:val="superscript"/>
        </w:rPr>
        <w:footnoteReference w:id="53"/>
      </w:r>
      <w:r w:rsidRPr="006E0C97">
        <w:t xml:space="preserve"> and</w:t>
      </w:r>
    </w:p>
    <w:p w14:paraId="32875032" w14:textId="77777777" w:rsidR="001B3AE0" w:rsidRPr="006E0C97" w:rsidRDefault="001B3AE0" w:rsidP="00075D72">
      <w:pPr>
        <w:pStyle w:val="NumberedParagraph-BulletL1"/>
      </w:pPr>
      <w:r w:rsidRPr="006E0C97">
        <w:t>the New Zealand group’s debt percentage is greater than 110% of the group’s worldwide debt percentage.</w:t>
      </w:r>
      <w:r w:rsidRPr="006E0C97">
        <w:rPr>
          <w:vertAlign w:val="superscript"/>
        </w:rPr>
        <w:footnoteReference w:id="54"/>
      </w:r>
    </w:p>
    <w:p w14:paraId="0C1C6C47" w14:textId="77777777" w:rsidR="001B3AE0" w:rsidRPr="006E0C97" w:rsidRDefault="001B3AE0" w:rsidP="00075D72">
      <w:pPr>
        <w:pStyle w:val="NumberedParagraph"/>
      </w:pPr>
      <w:r w:rsidRPr="006E0C97">
        <w:t>The rules apply to foreign-controlled companies but not to domestic companies. They disallow interest deductions if the debt percentage of the New Zealand group exceeds 110% of the worldwide group’s debt percentage. However, if the New Zealand debt percentage does not exceed the ‘safe harbour’ ratio of 60%, then the worldwide comparison is not needed, and all the interest may be deducted. This means that deductions for interest on debt-financed investments is unaffected until this 60% threshold is exceeded.</w:t>
      </w:r>
    </w:p>
    <w:p w14:paraId="397298AA" w14:textId="6FF671B2" w:rsidR="001B3AE0" w:rsidRPr="006E0C97" w:rsidRDefault="001B3AE0" w:rsidP="00075D72">
      <w:pPr>
        <w:pStyle w:val="NumberedParagraph"/>
      </w:pPr>
      <w:r w:rsidRPr="006E0C97">
        <w:t xml:space="preserve">It should be noted that a case might be made for allowing New Zealand subsidiaries of foreign parents to have higher levels of debt than the worldwide group company. This can reduce costs of capital and help ensure that marginal inbound investment is not subject to high EMTRs. As was discussed in </w:t>
      </w:r>
      <w:r w:rsidR="00184159" w:rsidRPr="006E0C97">
        <w:t>chapter</w:t>
      </w:r>
      <w:r w:rsidR="00184159">
        <w:t> </w:t>
      </w:r>
      <w:r w:rsidRPr="006E0C97">
        <w:t>2, standard economic models would suggest that there is a presumption against high EMTRs on marginal inbound investment. As will be discussed in chapter 10, some countries have introduced an allowance for corporate equity</w:t>
      </w:r>
      <w:r w:rsidR="00B45911">
        <w:t>,</w:t>
      </w:r>
      <w:r w:rsidRPr="006E0C97">
        <w:t xml:space="preserve"> and this has some similarities to allowing firms to </w:t>
      </w:r>
      <w:r w:rsidR="00AE77C8">
        <w:t>fully deduct interest even if investments are</w:t>
      </w:r>
      <w:r w:rsidRPr="006E0C97">
        <w:t xml:space="preserve"> fully debt financed. At the same time</w:t>
      </w:r>
      <w:r w:rsidR="00EE013C">
        <w:t>,</w:t>
      </w:r>
      <w:r w:rsidRPr="006E0C97">
        <w:t xml:space="preserve"> we have </w:t>
      </w:r>
      <w:r w:rsidRPr="006E0C97">
        <w:lastRenderedPageBreak/>
        <w:t>seen that</w:t>
      </w:r>
      <w:r w:rsidR="00A91E8B">
        <w:t>,</w:t>
      </w:r>
      <w:r w:rsidRPr="006E0C97">
        <w:t xml:space="preserve"> with high levels of debt financing</w:t>
      </w:r>
      <w:r w:rsidR="00ED61AD">
        <w:t>,</w:t>
      </w:r>
      <w:r w:rsidRPr="006E0C97">
        <w:t xml:space="preserve"> EMTRs may often be negative. In th</w:t>
      </w:r>
      <w:r w:rsidR="00DA2AB8">
        <w:t>at</w:t>
      </w:r>
      <w:r w:rsidRPr="006E0C97">
        <w:t xml:space="preserve"> case</w:t>
      </w:r>
      <w:r w:rsidR="00EE013C">
        <w:t>,</w:t>
      </w:r>
      <w:r w:rsidRPr="006E0C97">
        <w:t xml:space="preserve"> investment can be subsidised</w:t>
      </w:r>
      <w:r w:rsidR="00DA2AB8">
        <w:t>,</w:t>
      </w:r>
      <w:r w:rsidRPr="006E0C97">
        <w:t xml:space="preserve"> and this can be inefficient.</w:t>
      </w:r>
    </w:p>
    <w:p w14:paraId="7C57866C" w14:textId="77777777" w:rsidR="001B3AE0" w:rsidRPr="006E0C97" w:rsidRDefault="001B3AE0" w:rsidP="001B3AE0">
      <w:pPr>
        <w:pStyle w:val="Heading2"/>
        <w:rPr>
          <w:rFonts w:eastAsia="Calibri"/>
          <w:lang w:eastAsia="en-US"/>
        </w:rPr>
      </w:pPr>
      <w:bookmarkStart w:id="67" w:name="_Toc112857444"/>
      <w:r w:rsidRPr="006E0C97">
        <w:rPr>
          <w:rFonts w:eastAsia="Calibri"/>
          <w:lang w:eastAsia="en-US"/>
        </w:rPr>
        <w:t>International evidence on thin capitalisation rules and investment</w:t>
      </w:r>
      <w:bookmarkEnd w:id="67"/>
    </w:p>
    <w:p w14:paraId="44CCE72D" w14:textId="77777777" w:rsidR="001B3AE0" w:rsidRPr="006A333F" w:rsidRDefault="001B3AE0" w:rsidP="00075D72">
      <w:pPr>
        <w:pStyle w:val="NumberedParagraph"/>
      </w:pPr>
      <w:r w:rsidRPr="006E0C97">
        <w:t xml:space="preserve">Two international studies have investigated the effects of introducing, or tightening, thin capitalisation rules on investments. They have estimated it has a negative effect on employment and investment by multinational corporations, especially in high-tax host countries. This suggests that thin capitalisation rules may normally add to costs of capital and EMTR concerns in ways that we have not been able to model in our </w:t>
      </w:r>
      <w:r w:rsidRPr="00B36BEF">
        <w:t>work in chapter </w:t>
      </w:r>
      <w:r w:rsidRPr="0059107C">
        <w:t>4</w:t>
      </w:r>
      <w:r w:rsidRPr="00B36BEF">
        <w:t>.</w:t>
      </w:r>
    </w:p>
    <w:p w14:paraId="03CD92A0" w14:textId="442AB90F" w:rsidR="001B3AE0" w:rsidRPr="006E0C97" w:rsidRDefault="001B3AE0" w:rsidP="00075D72">
      <w:pPr>
        <w:pStyle w:val="NumberedParagraph"/>
      </w:pPr>
      <w:r w:rsidRPr="006E0C97">
        <w:t>De Mooij and Liu (2021) estimated that introducing thin capitalisation rules reduces the investment of multinational affiliates by an average of 20% where the average corporate income tax rate is 27%. The size of this effect depends on the corporate income tax rate and is larger at higher rates.</w:t>
      </w:r>
    </w:p>
    <w:p w14:paraId="007EBF79" w14:textId="5B530959" w:rsidR="001B3AE0" w:rsidRPr="006E0C97" w:rsidRDefault="001B3AE0" w:rsidP="00075D72">
      <w:pPr>
        <w:pStyle w:val="NumberedParagraph"/>
      </w:pPr>
      <w:r w:rsidRPr="006E0C97">
        <w:t>Similarly, Buettner et al (2014) estimated that introducing thin capitalisation rules</w:t>
      </w:r>
      <w:r w:rsidR="00531AFD">
        <w:t>,</w:t>
      </w:r>
      <w:r w:rsidRPr="006E0C97">
        <w:t xml:space="preserve"> or making them tighter</w:t>
      </w:r>
      <w:r w:rsidR="00531AFD">
        <w:t>,</w:t>
      </w:r>
      <w:r w:rsidRPr="006E0C97">
        <w:t xml:space="preserve"> can significantly reduce the level of foreign direct investment in high-tax countries. In addition, they estimated that foreign direct investment is about twice as sensitive to shifts in tax rates if typical thin capitalisation rules apply than if there are no restrictions. Concerns about excessive taxes on marginal inbound investment become larger the greater the responsiveness of investment to tax rates</w:t>
      </w:r>
      <w:r w:rsidR="00B057F8">
        <w:t xml:space="preserve"> is</w:t>
      </w:r>
      <w:r w:rsidRPr="006E0C97">
        <w:t>.</w:t>
      </w:r>
    </w:p>
    <w:p w14:paraId="1984330A" w14:textId="12A18739" w:rsidR="001B3AE0" w:rsidRPr="006E0C97" w:rsidRDefault="001B3AE0" w:rsidP="00075D72">
      <w:pPr>
        <w:pStyle w:val="NumberedParagraph"/>
      </w:pPr>
      <w:r w:rsidRPr="006E0C97">
        <w:t>This international analysis suggests that tight thin</w:t>
      </w:r>
      <w:r w:rsidR="00DE1C22">
        <w:t xml:space="preserve"> </w:t>
      </w:r>
      <w:r w:rsidRPr="006E0C97">
        <w:t>capitalisation rules may have a material impact on inbound investment. One potential way of reducing costs of capital and EMTRs would be to increase the thin</w:t>
      </w:r>
      <w:r w:rsidR="00DE1C22">
        <w:t xml:space="preserve"> </w:t>
      </w:r>
      <w:r w:rsidRPr="006E0C97">
        <w:t>capitalisation 60% safe harbour threshold. This would, however, increase the scope for multinationals to have much higher levels of debt in New Zealand than is true of the worldwide entity to shift tax payments out of New Zealand. Alternatively, if tight thin capitalisation rules are required to protect the tax base from profit shifting, there may be a greater case for considering whether concerns about high costs of capital and EMTRs on inbound marginal investment should be addressed in other ways. A variety of different possible ways of addressing cost of capital concerns are being canvassed in this briefing.</w:t>
      </w:r>
    </w:p>
    <w:p w14:paraId="7FA6D54E" w14:textId="77777777" w:rsidR="001B3AE0" w:rsidRPr="006E0C97" w:rsidRDefault="001B3AE0" w:rsidP="001B3AE0">
      <w:pPr>
        <w:pStyle w:val="Heading2"/>
        <w:rPr>
          <w:rFonts w:eastAsia="Calibri"/>
          <w:lang w:eastAsia="en-US"/>
        </w:rPr>
      </w:pPr>
      <w:bookmarkStart w:id="68" w:name="_Toc112857445"/>
      <w:r w:rsidRPr="006E0C97">
        <w:rPr>
          <w:rFonts w:eastAsia="Calibri"/>
          <w:lang w:eastAsia="en-US"/>
        </w:rPr>
        <w:t>Impact on costs of capital and EMTRs</w:t>
      </w:r>
      <w:bookmarkEnd w:id="68"/>
    </w:p>
    <w:p w14:paraId="3E521266" w14:textId="097D39F7" w:rsidR="001B3AE0" w:rsidRPr="006E0C97" w:rsidRDefault="001B3AE0" w:rsidP="00075D72">
      <w:pPr>
        <w:pStyle w:val="NumberedParagraph"/>
      </w:pPr>
      <w:r w:rsidRPr="006E0C97">
        <w:t>Increasing the 60% thin</w:t>
      </w:r>
      <w:r w:rsidR="005D4D22">
        <w:t xml:space="preserve"> </w:t>
      </w:r>
      <w:r w:rsidRPr="006E0C97">
        <w:t xml:space="preserve">capitalisation safe harbour threshold would </w:t>
      </w:r>
      <w:r w:rsidR="00AE77C8">
        <w:t xml:space="preserve">lead to </w:t>
      </w:r>
      <w:r w:rsidRPr="006E0C97">
        <w:t>increase</w:t>
      </w:r>
      <w:r w:rsidR="00AE77C8">
        <w:t>d</w:t>
      </w:r>
      <w:r w:rsidRPr="006E0C97">
        <w:t xml:space="preserve"> debt levels for some foreign-controlled companies. This would reduce costs of capital and EMTRs for these firms. This would have no implications for the debt levels of domestic firms</w:t>
      </w:r>
      <w:r w:rsidR="0031447A">
        <w:t>,</w:t>
      </w:r>
      <w:r w:rsidRPr="006E0C97">
        <w:t xml:space="preserve"> which are not subject to the rules.</w:t>
      </w:r>
    </w:p>
    <w:p w14:paraId="6D98BB6D" w14:textId="0A86B77E" w:rsidR="001B3AE0" w:rsidRPr="006E0C97" w:rsidRDefault="001B3AE0" w:rsidP="00075D72">
      <w:pPr>
        <w:pStyle w:val="NumberedParagraph"/>
      </w:pPr>
      <w:r w:rsidRPr="006E0C97">
        <w:t>In chapter 4</w:t>
      </w:r>
      <w:r w:rsidR="00232921">
        <w:t>,</w:t>
      </w:r>
      <w:r w:rsidRPr="006E0C97">
        <w:t xml:space="preserve"> we analysed EMTRs for foreign-controlled firms that are required to pay </w:t>
      </w:r>
      <w:r w:rsidR="003F2D68">
        <w:t>non-resident withholding tax (</w:t>
      </w:r>
      <w:r w:rsidRPr="006E0C97">
        <w:t>NRWT</w:t>
      </w:r>
      <w:r w:rsidR="003F2D68">
        <w:t>)</w:t>
      </w:r>
      <w:r w:rsidRPr="006E0C97">
        <w:t xml:space="preserve"> on interest payments to foreign parent companies. NRWT is normally levied at a rate of 10%</w:t>
      </w:r>
      <w:r w:rsidR="003F2D68">
        <w:t>,</w:t>
      </w:r>
      <w:r w:rsidRPr="006E0C97">
        <w:t xml:space="preserve"> which is considerably higher than the 2% rate of </w:t>
      </w:r>
      <w:r w:rsidR="003F2D68">
        <w:t>approved issuer levy (</w:t>
      </w:r>
      <w:r w:rsidRPr="006E0C97">
        <w:t>AIL</w:t>
      </w:r>
      <w:r w:rsidR="003F2D68">
        <w:t>)</w:t>
      </w:r>
      <w:r w:rsidRPr="006E0C97">
        <w:t>.</w:t>
      </w:r>
    </w:p>
    <w:p w14:paraId="175B45C7" w14:textId="3A4E712F" w:rsidR="001B3AE0" w:rsidRPr="006E0C97" w:rsidRDefault="001B3AE0" w:rsidP="00075D72">
      <w:pPr>
        <w:pStyle w:val="NumberedParagraph"/>
      </w:pPr>
      <w:r w:rsidRPr="006E0C97">
        <w:t>Whether payments of NRWT increase costs of capital depends on whether this NRWT is creditable against income tax paid in other countries. In this chapter</w:t>
      </w:r>
      <w:r w:rsidR="005051ED">
        <w:t>,</w:t>
      </w:r>
      <w:r w:rsidRPr="006E0C97">
        <w:t xml:space="preserve"> we focus on the case where NRWT is not creditable</w:t>
      </w:r>
      <w:r w:rsidR="005051ED">
        <w:t>,</w:t>
      </w:r>
      <w:r w:rsidRPr="006E0C97">
        <w:t xml:space="preserve"> which means that NRWT payments will tend to increase costs of capital. This can be thought of as a </w:t>
      </w:r>
      <w:proofErr w:type="gramStart"/>
      <w:r w:rsidRPr="006E0C97">
        <w:t>worst case</w:t>
      </w:r>
      <w:proofErr w:type="gramEnd"/>
      <w:r w:rsidRPr="006E0C97">
        <w:t xml:space="preserve"> scenario. Domestic taxes will be pushing up costs of capital </w:t>
      </w:r>
      <w:r w:rsidR="00C0281E">
        <w:t>and this</w:t>
      </w:r>
      <w:r w:rsidR="00A276EC">
        <w:t xml:space="preserve"> </w:t>
      </w:r>
      <w:r w:rsidRPr="006E0C97">
        <w:t xml:space="preserve">would </w:t>
      </w:r>
      <w:r w:rsidR="00A276EC">
        <w:t xml:space="preserve">not </w:t>
      </w:r>
      <w:r w:rsidRPr="006E0C97">
        <w:t>be the case if NRWT were creditable.</w:t>
      </w:r>
    </w:p>
    <w:p w14:paraId="23909C77" w14:textId="271E2CF3" w:rsidR="001B3AE0" w:rsidRPr="006E0C97" w:rsidRDefault="001B3AE0" w:rsidP="00075D72">
      <w:pPr>
        <w:pStyle w:val="NumberedParagraph"/>
      </w:pPr>
      <w:r w:rsidRPr="006E0C97">
        <w:t xml:space="preserve">In table </w:t>
      </w:r>
      <w:r>
        <w:t xml:space="preserve">9.1 </w:t>
      </w:r>
      <w:r w:rsidRPr="006E0C97">
        <w:t>we show EMTRs for firms investing in our various assets. First</w:t>
      </w:r>
      <w:r w:rsidR="003D5323">
        <w:t>,</w:t>
      </w:r>
      <w:r w:rsidRPr="006E0C97">
        <w:t xml:space="preserve"> we show EMTRs for a domestic company with marginal foreign </w:t>
      </w:r>
      <w:r w:rsidR="000F4C62">
        <w:t xml:space="preserve">portfolio </w:t>
      </w:r>
      <w:r w:rsidRPr="006E0C97">
        <w:lastRenderedPageBreak/>
        <w:t xml:space="preserve">shareholders with the average debt level of 43%. </w:t>
      </w:r>
      <w:r w:rsidR="001E547A">
        <w:t>Second,</w:t>
      </w:r>
      <w:r w:rsidRPr="006E0C97">
        <w:t xml:space="preserve"> we show EMTRs for foreign-controlled companies at different debt levels. We assume that 37.3% of debt is related</w:t>
      </w:r>
      <w:r w:rsidR="00C03544">
        <w:t>-</w:t>
      </w:r>
      <w:r w:rsidRPr="006E0C97">
        <w:t>party debt</w:t>
      </w:r>
      <w:r w:rsidR="00C03544">
        <w:t>,</w:t>
      </w:r>
      <w:r w:rsidRPr="006E0C97">
        <w:t xml:space="preserve"> which was the a</w:t>
      </w:r>
      <w:r w:rsidRPr="00F53383">
        <w:t xml:space="preserve">verage level from the data reported in </w:t>
      </w:r>
      <w:r w:rsidR="00FC3127" w:rsidRPr="00F53383">
        <w:t xml:space="preserve">appendix 2 of the </w:t>
      </w:r>
      <w:proofErr w:type="gramStart"/>
      <w:r w:rsidR="009B7299" w:rsidRPr="00F53383">
        <w:rPr>
          <w:i/>
          <w:iCs/>
        </w:rPr>
        <w:t>T</w:t>
      </w:r>
      <w:r w:rsidR="00FC3127" w:rsidRPr="00F53383">
        <w:rPr>
          <w:i/>
          <w:iCs/>
        </w:rPr>
        <w:t>echnical</w:t>
      </w:r>
      <w:proofErr w:type="gramEnd"/>
      <w:r w:rsidR="00FC3127" w:rsidRPr="00F53383">
        <w:rPr>
          <w:i/>
          <w:iCs/>
        </w:rPr>
        <w:t xml:space="preserve"> appendices</w:t>
      </w:r>
      <w:r w:rsidRPr="006E0C97">
        <w:t>. We consider debt levels of 0%, 43%, 60%, 75% and 100% for foreign-controlled firms</w:t>
      </w:r>
      <w:r w:rsidR="00C03544">
        <w:t>,</w:t>
      </w:r>
      <w:r w:rsidRPr="006E0C97">
        <w:t xml:space="preserve"> assuming interest is fully deductible in all cases. This shows what would happen if thin capitalisation rules were relaxed and this allowed foreign</w:t>
      </w:r>
      <w:r w:rsidR="00812A05">
        <w:t>-</w:t>
      </w:r>
      <w:r w:rsidRPr="006E0C97">
        <w:t>controlled firms to take up these various debt levels.</w:t>
      </w:r>
    </w:p>
    <w:p w14:paraId="7DCF4B68" w14:textId="152A70A0" w:rsidR="001B3AE0" w:rsidRDefault="001B3AE0" w:rsidP="00DB1797">
      <w:pPr>
        <w:pStyle w:val="Caption"/>
        <w:ind w:left="-567" w:right="-568"/>
        <w:rPr>
          <w:rFonts w:eastAsia="Calibri"/>
          <w:lang w:eastAsia="en-US"/>
        </w:rPr>
      </w:pPr>
      <w:r w:rsidRPr="006E0C97">
        <w:rPr>
          <w:rFonts w:eastAsia="Calibri"/>
          <w:lang w:eastAsia="en-US"/>
        </w:rPr>
        <w:t xml:space="preserve">Table </w:t>
      </w:r>
      <w:r>
        <w:rPr>
          <w:rFonts w:eastAsia="Calibri"/>
          <w:lang w:eastAsia="en-US"/>
        </w:rPr>
        <w:t xml:space="preserve">9.1: </w:t>
      </w:r>
      <w:r w:rsidRPr="006E0C97">
        <w:rPr>
          <w:rFonts w:eastAsia="Calibri"/>
          <w:lang w:eastAsia="en-US"/>
        </w:rPr>
        <w:t>EMTRs for domestic companies</w:t>
      </w:r>
      <w:r w:rsidR="00937AF8">
        <w:rPr>
          <w:rFonts w:eastAsia="Calibri"/>
          <w:lang w:eastAsia="en-US"/>
        </w:rPr>
        <w:t xml:space="preserve"> with marginal foreign portfolio shareholders</w:t>
      </w:r>
      <w:r w:rsidRPr="006E0C97">
        <w:rPr>
          <w:rFonts w:eastAsia="Calibri"/>
          <w:lang w:eastAsia="en-US"/>
        </w:rPr>
        <w:t xml:space="preserve"> and for foreign-controlled</w:t>
      </w:r>
      <w:r>
        <w:rPr>
          <w:rFonts w:eastAsia="Calibri"/>
          <w:lang w:eastAsia="en-US"/>
        </w:rPr>
        <w:t xml:space="preserve"> </w:t>
      </w:r>
      <w:r w:rsidRPr="006E0C97">
        <w:rPr>
          <w:rFonts w:eastAsia="Calibri"/>
          <w:lang w:eastAsia="en-US"/>
        </w:rPr>
        <w:t xml:space="preserve">companies with </w:t>
      </w:r>
      <w:r w:rsidR="00937AF8">
        <w:rPr>
          <w:rFonts w:eastAsia="Calibri"/>
          <w:lang w:eastAsia="en-US"/>
        </w:rPr>
        <w:t>varying</w:t>
      </w:r>
      <w:r w:rsidRPr="006E0C97">
        <w:rPr>
          <w:rFonts w:eastAsia="Calibri"/>
          <w:lang w:eastAsia="en-US"/>
        </w:rPr>
        <w:t xml:space="preserve"> levels of debt</w:t>
      </w:r>
    </w:p>
    <w:tbl>
      <w:tblPr>
        <w:tblStyle w:val="TableGrid"/>
        <w:tblW w:w="9781" w:type="dxa"/>
        <w:tblInd w:w="-5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8" w:type="dxa"/>
          <w:right w:w="28" w:type="dxa"/>
        </w:tblCellMar>
        <w:tblLook w:val="04A0" w:firstRow="1" w:lastRow="0" w:firstColumn="1" w:lastColumn="0" w:noHBand="0" w:noVBand="1"/>
      </w:tblPr>
      <w:tblGrid>
        <w:gridCol w:w="1347"/>
        <w:gridCol w:w="992"/>
        <w:gridCol w:w="737"/>
        <w:gridCol w:w="681"/>
        <w:gridCol w:w="651"/>
        <w:gridCol w:w="666"/>
        <w:gridCol w:w="667"/>
        <w:gridCol w:w="1134"/>
        <w:gridCol w:w="851"/>
        <w:gridCol w:w="1134"/>
        <w:gridCol w:w="921"/>
      </w:tblGrid>
      <w:tr w:rsidR="005D47F0" w:rsidRPr="008F735E" w14:paraId="4C9AC304" w14:textId="77777777" w:rsidTr="00740A34">
        <w:trPr>
          <w:tblHeader/>
        </w:trPr>
        <w:tc>
          <w:tcPr>
            <w:tcW w:w="1347" w:type="dxa"/>
            <w:shd w:val="clear" w:color="auto" w:fill="232E36"/>
          </w:tcPr>
          <w:p w14:paraId="3148A1A6" w14:textId="77777777" w:rsidR="0000357F" w:rsidRPr="008F735E" w:rsidRDefault="0000357F" w:rsidP="00345DEF">
            <w:pPr>
              <w:keepNext/>
              <w:keepLines/>
              <w:spacing w:before="120" w:after="120"/>
              <w:rPr>
                <w:color w:val="FFFFFF" w:themeColor="background1"/>
                <w:sz w:val="14"/>
                <w:szCs w:val="14"/>
              </w:rPr>
            </w:pPr>
          </w:p>
        </w:tc>
        <w:tc>
          <w:tcPr>
            <w:tcW w:w="992" w:type="dxa"/>
            <w:shd w:val="clear" w:color="auto" w:fill="232E36"/>
          </w:tcPr>
          <w:p w14:paraId="4A6E3832" w14:textId="77777777" w:rsidR="0000357F" w:rsidRPr="008F735E" w:rsidRDefault="0000357F"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Commercial and industrial buildings</w:t>
            </w:r>
          </w:p>
        </w:tc>
        <w:tc>
          <w:tcPr>
            <w:tcW w:w="3402" w:type="dxa"/>
            <w:gridSpan w:val="5"/>
            <w:shd w:val="clear" w:color="auto" w:fill="232E36"/>
          </w:tcPr>
          <w:p w14:paraId="016EAD4F" w14:textId="77777777" w:rsidR="0000357F" w:rsidRPr="008F735E" w:rsidRDefault="0000357F"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 xml:space="preserve">Plant, </w:t>
            </w:r>
            <w:proofErr w:type="gramStart"/>
            <w:r w:rsidRPr="008F735E">
              <w:rPr>
                <w:b/>
                <w:bCs/>
                <w:color w:val="FFFFFF" w:themeColor="background1"/>
                <w:sz w:val="14"/>
                <w:szCs w:val="14"/>
              </w:rPr>
              <w:t>machinery</w:t>
            </w:r>
            <w:proofErr w:type="gramEnd"/>
            <w:r w:rsidRPr="008F735E">
              <w:rPr>
                <w:b/>
                <w:bCs/>
                <w:color w:val="FFFFFF" w:themeColor="background1"/>
                <w:sz w:val="14"/>
                <w:szCs w:val="14"/>
              </w:rPr>
              <w:t xml:space="preserve"> and equipment</w:t>
            </w:r>
          </w:p>
        </w:tc>
        <w:tc>
          <w:tcPr>
            <w:tcW w:w="1134" w:type="dxa"/>
            <w:shd w:val="clear" w:color="auto" w:fill="232E36"/>
          </w:tcPr>
          <w:p w14:paraId="0DFB6CB2" w14:textId="77777777" w:rsidR="0000357F" w:rsidRPr="008F735E" w:rsidRDefault="0000357F"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Zero</w:t>
            </w:r>
            <w:r>
              <w:rPr>
                <w:b/>
                <w:bCs/>
                <w:color w:val="FFFFFF" w:themeColor="background1"/>
                <w:sz w:val="14"/>
                <w:szCs w:val="14"/>
              </w:rPr>
              <w:t>-</w:t>
            </w:r>
            <w:r w:rsidRPr="008F735E">
              <w:rPr>
                <w:b/>
                <w:bCs/>
                <w:color w:val="FFFFFF" w:themeColor="background1"/>
                <w:sz w:val="14"/>
                <w:szCs w:val="14"/>
              </w:rPr>
              <w:t>depreciating assets</w:t>
            </w:r>
          </w:p>
        </w:tc>
        <w:tc>
          <w:tcPr>
            <w:tcW w:w="851" w:type="dxa"/>
            <w:shd w:val="clear" w:color="auto" w:fill="232E36"/>
          </w:tcPr>
          <w:p w14:paraId="0185969A" w14:textId="77777777" w:rsidR="0000357F" w:rsidRPr="008F735E" w:rsidRDefault="0000357F"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Inventory</w:t>
            </w:r>
          </w:p>
        </w:tc>
        <w:tc>
          <w:tcPr>
            <w:tcW w:w="1134" w:type="dxa"/>
            <w:shd w:val="clear" w:color="auto" w:fill="232E36"/>
          </w:tcPr>
          <w:p w14:paraId="7CEF37D1" w14:textId="77777777" w:rsidR="0000357F" w:rsidRPr="008F735E" w:rsidRDefault="0000357F"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Appreciating assets</w:t>
            </w:r>
          </w:p>
        </w:tc>
        <w:tc>
          <w:tcPr>
            <w:tcW w:w="921" w:type="dxa"/>
            <w:shd w:val="clear" w:color="auto" w:fill="232E36"/>
          </w:tcPr>
          <w:p w14:paraId="003D5962" w14:textId="77777777" w:rsidR="0000357F" w:rsidRPr="008F735E" w:rsidRDefault="0000357F" w:rsidP="00345DEF">
            <w:pPr>
              <w:keepNext/>
              <w:keepLines/>
              <w:spacing w:before="120" w:after="120"/>
              <w:jc w:val="center"/>
              <w:rPr>
                <w:b/>
                <w:bCs/>
                <w:color w:val="FFFFFF" w:themeColor="background1"/>
                <w:sz w:val="14"/>
                <w:szCs w:val="14"/>
              </w:rPr>
            </w:pPr>
            <w:r w:rsidRPr="008F735E">
              <w:rPr>
                <w:b/>
                <w:bCs/>
                <w:color w:val="FFFFFF" w:themeColor="background1"/>
                <w:sz w:val="14"/>
                <w:szCs w:val="14"/>
              </w:rPr>
              <w:t>Expensing</w:t>
            </w:r>
          </w:p>
        </w:tc>
      </w:tr>
      <w:tr w:rsidR="0000357F" w:rsidRPr="008F735E" w14:paraId="1D07512F" w14:textId="77777777" w:rsidTr="00740A34">
        <w:tc>
          <w:tcPr>
            <w:tcW w:w="1347" w:type="dxa"/>
            <w:shd w:val="clear" w:color="auto" w:fill="auto"/>
            <w:vAlign w:val="bottom"/>
          </w:tcPr>
          <w:p w14:paraId="6838560E" w14:textId="77777777" w:rsidR="0000357F" w:rsidRPr="00EE531B" w:rsidRDefault="0000357F" w:rsidP="00345DEF">
            <w:pPr>
              <w:keepNext/>
              <w:keepLines/>
              <w:tabs>
                <w:tab w:val="left" w:pos="106"/>
              </w:tabs>
              <w:spacing w:before="60" w:after="60"/>
              <w:rPr>
                <w:rStyle w:val="Strong"/>
                <w:b w:val="0"/>
                <w:bCs w:val="0"/>
                <w:sz w:val="14"/>
                <w:szCs w:val="14"/>
              </w:rPr>
            </w:pPr>
            <w:r>
              <w:rPr>
                <w:rStyle w:val="Strong"/>
                <w:sz w:val="14"/>
                <w:szCs w:val="14"/>
              </w:rPr>
              <w:t>d</w:t>
            </w:r>
          </w:p>
        </w:tc>
        <w:tc>
          <w:tcPr>
            <w:tcW w:w="992" w:type="dxa"/>
            <w:vAlign w:val="center"/>
          </w:tcPr>
          <w:p w14:paraId="544A4B00" w14:textId="77777777" w:rsidR="0000357F" w:rsidRPr="008F735E" w:rsidRDefault="0000357F" w:rsidP="00345DEF">
            <w:pPr>
              <w:keepNext/>
              <w:keepLines/>
              <w:tabs>
                <w:tab w:val="decimal" w:pos="256"/>
              </w:tabs>
              <w:spacing w:before="60" w:after="60"/>
              <w:jc w:val="center"/>
              <w:rPr>
                <w:sz w:val="14"/>
                <w:szCs w:val="14"/>
              </w:rPr>
            </w:pPr>
            <w:r w:rsidRPr="008F735E">
              <w:rPr>
                <w:sz w:val="14"/>
                <w:szCs w:val="14"/>
              </w:rPr>
              <w:t>2.69%</w:t>
            </w:r>
          </w:p>
        </w:tc>
        <w:tc>
          <w:tcPr>
            <w:tcW w:w="737" w:type="dxa"/>
            <w:vAlign w:val="center"/>
          </w:tcPr>
          <w:p w14:paraId="412C18C4" w14:textId="77777777" w:rsidR="0000357F" w:rsidRPr="008F735E" w:rsidRDefault="0000357F" w:rsidP="00345DEF">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53BEE1E8" w14:textId="77777777" w:rsidR="0000357F" w:rsidRPr="008F735E" w:rsidRDefault="0000357F" w:rsidP="00345DEF">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5CED5ECA" w14:textId="77777777" w:rsidR="0000357F" w:rsidRPr="008F735E" w:rsidRDefault="0000357F" w:rsidP="00345DEF">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195A5F99" w14:textId="77777777" w:rsidR="0000357F" w:rsidRPr="008F735E" w:rsidRDefault="0000357F" w:rsidP="00345DEF">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3B123FDB" w14:textId="77777777" w:rsidR="0000357F" w:rsidRPr="008F735E" w:rsidRDefault="0000357F" w:rsidP="00345DEF">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46289524" w14:textId="77777777" w:rsidR="0000357F" w:rsidRPr="008F735E" w:rsidRDefault="0000357F" w:rsidP="00345DEF">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1DEE6517" w14:textId="77777777" w:rsidR="0000357F" w:rsidRPr="008F735E" w:rsidRDefault="0000357F" w:rsidP="00345DEF">
            <w:pPr>
              <w:keepNext/>
              <w:keepLines/>
              <w:tabs>
                <w:tab w:val="decimal" w:pos="256"/>
              </w:tabs>
              <w:spacing w:before="60" w:after="60"/>
              <w:jc w:val="center"/>
              <w:rPr>
                <w:sz w:val="14"/>
                <w:szCs w:val="14"/>
              </w:rPr>
            </w:pPr>
          </w:p>
        </w:tc>
        <w:tc>
          <w:tcPr>
            <w:tcW w:w="1134" w:type="dxa"/>
            <w:vAlign w:val="center"/>
          </w:tcPr>
          <w:p w14:paraId="5DA8E31E" w14:textId="77777777" w:rsidR="0000357F" w:rsidRPr="008F735E" w:rsidRDefault="0000357F" w:rsidP="00345DEF">
            <w:pPr>
              <w:keepNext/>
              <w:keepLines/>
              <w:tabs>
                <w:tab w:val="decimal" w:pos="256"/>
              </w:tabs>
              <w:spacing w:before="60" w:after="60"/>
              <w:jc w:val="center"/>
              <w:rPr>
                <w:sz w:val="14"/>
                <w:szCs w:val="14"/>
              </w:rPr>
            </w:pPr>
            <w:r w:rsidRPr="008F735E">
              <w:rPr>
                <w:sz w:val="14"/>
                <w:szCs w:val="14"/>
              </w:rPr>
              <w:t>-1.00%</w:t>
            </w:r>
          </w:p>
        </w:tc>
        <w:tc>
          <w:tcPr>
            <w:tcW w:w="921" w:type="dxa"/>
            <w:vAlign w:val="center"/>
          </w:tcPr>
          <w:p w14:paraId="331DE5D8" w14:textId="77777777" w:rsidR="0000357F" w:rsidRPr="008F735E" w:rsidRDefault="0000357F" w:rsidP="00345DEF">
            <w:pPr>
              <w:keepNext/>
              <w:keepLines/>
              <w:tabs>
                <w:tab w:val="decimal" w:pos="256"/>
              </w:tabs>
              <w:spacing w:before="60" w:after="60"/>
              <w:jc w:val="center"/>
              <w:rPr>
                <w:sz w:val="14"/>
                <w:szCs w:val="14"/>
              </w:rPr>
            </w:pPr>
          </w:p>
        </w:tc>
      </w:tr>
      <w:tr w:rsidR="0000357F" w:rsidRPr="008F735E" w14:paraId="0283C287" w14:textId="77777777" w:rsidTr="00740A34">
        <w:tc>
          <w:tcPr>
            <w:tcW w:w="1347" w:type="dxa"/>
            <w:shd w:val="clear" w:color="auto" w:fill="auto"/>
            <w:vAlign w:val="bottom"/>
          </w:tcPr>
          <w:p w14:paraId="3CC23704" w14:textId="77777777" w:rsidR="0000357F" w:rsidRPr="00EE531B" w:rsidRDefault="0000357F" w:rsidP="00345DEF">
            <w:pPr>
              <w:keepNext/>
              <w:keepLines/>
              <w:tabs>
                <w:tab w:val="left" w:pos="106"/>
              </w:tabs>
              <w:spacing w:before="60" w:after="60"/>
              <w:rPr>
                <w:rStyle w:val="Strong"/>
                <w:b w:val="0"/>
                <w:bCs w:val="0"/>
                <w:sz w:val="14"/>
                <w:szCs w:val="14"/>
              </w:rPr>
            </w:pPr>
            <w:r>
              <w:rPr>
                <w:rStyle w:val="Strong"/>
                <w:sz w:val="14"/>
                <w:szCs w:val="14"/>
              </w:rPr>
              <w:t>d*</w:t>
            </w:r>
          </w:p>
        </w:tc>
        <w:tc>
          <w:tcPr>
            <w:tcW w:w="992" w:type="dxa"/>
            <w:vAlign w:val="center"/>
          </w:tcPr>
          <w:p w14:paraId="01C55E1D" w14:textId="77777777" w:rsidR="0000357F" w:rsidRPr="008F735E" w:rsidRDefault="0000357F" w:rsidP="00345DEF">
            <w:pPr>
              <w:keepNext/>
              <w:keepLines/>
              <w:tabs>
                <w:tab w:val="decimal" w:pos="256"/>
              </w:tabs>
              <w:spacing w:before="60" w:after="60"/>
              <w:jc w:val="center"/>
              <w:rPr>
                <w:sz w:val="14"/>
                <w:szCs w:val="14"/>
              </w:rPr>
            </w:pPr>
            <w:r w:rsidRPr="008F735E">
              <w:rPr>
                <w:sz w:val="14"/>
                <w:szCs w:val="14"/>
              </w:rPr>
              <w:t>2.00%</w:t>
            </w:r>
          </w:p>
        </w:tc>
        <w:tc>
          <w:tcPr>
            <w:tcW w:w="737" w:type="dxa"/>
            <w:vAlign w:val="center"/>
          </w:tcPr>
          <w:p w14:paraId="0BB820DB" w14:textId="77777777" w:rsidR="0000357F" w:rsidRPr="008F735E" w:rsidRDefault="0000357F" w:rsidP="00345DEF">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31D12C61" w14:textId="77777777" w:rsidR="0000357F" w:rsidRPr="008F735E" w:rsidRDefault="0000357F" w:rsidP="00345DEF">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40A06643" w14:textId="77777777" w:rsidR="0000357F" w:rsidRPr="008F735E" w:rsidRDefault="0000357F" w:rsidP="00345DEF">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647FEB8C" w14:textId="77777777" w:rsidR="0000357F" w:rsidRPr="008F735E" w:rsidRDefault="0000357F" w:rsidP="00345DEF">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1A7C3BDE" w14:textId="77777777" w:rsidR="0000357F" w:rsidRPr="008F735E" w:rsidRDefault="0000357F" w:rsidP="00345DEF">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2B117D9B" w14:textId="77777777" w:rsidR="0000357F" w:rsidRPr="008F735E" w:rsidRDefault="0000357F" w:rsidP="00345DEF">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590C617F" w14:textId="77777777" w:rsidR="0000357F" w:rsidRPr="008F735E" w:rsidRDefault="0000357F" w:rsidP="00345DEF">
            <w:pPr>
              <w:keepNext/>
              <w:keepLines/>
              <w:tabs>
                <w:tab w:val="decimal" w:pos="256"/>
              </w:tabs>
              <w:spacing w:before="60" w:after="60"/>
              <w:jc w:val="center"/>
              <w:rPr>
                <w:sz w:val="14"/>
                <w:szCs w:val="14"/>
              </w:rPr>
            </w:pPr>
          </w:p>
        </w:tc>
        <w:tc>
          <w:tcPr>
            <w:tcW w:w="1134" w:type="dxa"/>
            <w:vAlign w:val="center"/>
          </w:tcPr>
          <w:p w14:paraId="4B053C33" w14:textId="77777777" w:rsidR="0000357F" w:rsidRPr="008F735E" w:rsidRDefault="0000357F" w:rsidP="00345DEF">
            <w:pPr>
              <w:keepNext/>
              <w:keepLines/>
              <w:tabs>
                <w:tab w:val="decimal" w:pos="256"/>
              </w:tabs>
              <w:spacing w:before="60" w:after="60"/>
              <w:jc w:val="center"/>
              <w:rPr>
                <w:sz w:val="14"/>
                <w:szCs w:val="14"/>
              </w:rPr>
            </w:pPr>
            <w:r w:rsidRPr="008F735E">
              <w:rPr>
                <w:sz w:val="14"/>
                <w:szCs w:val="14"/>
              </w:rPr>
              <w:t>0.00%</w:t>
            </w:r>
          </w:p>
        </w:tc>
        <w:tc>
          <w:tcPr>
            <w:tcW w:w="921" w:type="dxa"/>
            <w:vAlign w:val="center"/>
          </w:tcPr>
          <w:p w14:paraId="22E33C0F" w14:textId="77777777" w:rsidR="0000357F" w:rsidRPr="008F735E" w:rsidRDefault="0000357F" w:rsidP="00345DEF">
            <w:pPr>
              <w:keepNext/>
              <w:keepLines/>
              <w:tabs>
                <w:tab w:val="decimal" w:pos="256"/>
              </w:tabs>
              <w:spacing w:before="60" w:after="60"/>
              <w:jc w:val="center"/>
              <w:rPr>
                <w:sz w:val="14"/>
                <w:szCs w:val="14"/>
              </w:rPr>
            </w:pPr>
          </w:p>
        </w:tc>
      </w:tr>
      <w:tr w:rsidR="0000357F" w:rsidRPr="008F735E" w14:paraId="1A21D66A" w14:textId="77777777" w:rsidTr="00740A34">
        <w:tc>
          <w:tcPr>
            <w:tcW w:w="1347" w:type="dxa"/>
            <w:shd w:val="clear" w:color="auto" w:fill="auto"/>
            <w:vAlign w:val="bottom"/>
          </w:tcPr>
          <w:p w14:paraId="13CA5591" w14:textId="77777777" w:rsidR="0000357F" w:rsidRPr="008F735E" w:rsidRDefault="0000357F" w:rsidP="00345DEF">
            <w:pPr>
              <w:keepNext/>
              <w:keepLines/>
              <w:tabs>
                <w:tab w:val="left" w:pos="106"/>
              </w:tabs>
              <w:spacing w:before="60" w:after="60"/>
              <w:rPr>
                <w:b/>
                <w:bCs/>
                <w:sz w:val="14"/>
                <w:szCs w:val="14"/>
              </w:rPr>
            </w:pPr>
            <w:r>
              <w:rPr>
                <w:b/>
                <w:bCs/>
                <w:sz w:val="14"/>
                <w:szCs w:val="14"/>
              </w:rPr>
              <w:t>Domestic companies</w:t>
            </w:r>
          </w:p>
        </w:tc>
        <w:tc>
          <w:tcPr>
            <w:tcW w:w="992" w:type="dxa"/>
            <w:vAlign w:val="center"/>
          </w:tcPr>
          <w:p w14:paraId="544148B6" w14:textId="77777777" w:rsidR="0000357F" w:rsidRPr="008F735E" w:rsidRDefault="0000357F" w:rsidP="00345DEF">
            <w:pPr>
              <w:keepNext/>
              <w:keepLines/>
              <w:tabs>
                <w:tab w:val="decimal" w:pos="256"/>
              </w:tabs>
              <w:spacing w:before="60" w:after="60"/>
              <w:jc w:val="center"/>
              <w:rPr>
                <w:sz w:val="14"/>
                <w:szCs w:val="14"/>
              </w:rPr>
            </w:pPr>
          </w:p>
        </w:tc>
        <w:tc>
          <w:tcPr>
            <w:tcW w:w="737" w:type="dxa"/>
            <w:vAlign w:val="center"/>
          </w:tcPr>
          <w:p w14:paraId="678F3EF6" w14:textId="77777777" w:rsidR="0000357F" w:rsidRPr="008F735E" w:rsidRDefault="0000357F" w:rsidP="00345DEF">
            <w:pPr>
              <w:keepNext/>
              <w:keepLines/>
              <w:tabs>
                <w:tab w:val="decimal" w:pos="256"/>
              </w:tabs>
              <w:spacing w:before="60" w:after="60"/>
              <w:jc w:val="center"/>
              <w:rPr>
                <w:sz w:val="14"/>
                <w:szCs w:val="14"/>
              </w:rPr>
            </w:pPr>
          </w:p>
        </w:tc>
        <w:tc>
          <w:tcPr>
            <w:tcW w:w="681" w:type="dxa"/>
            <w:vAlign w:val="center"/>
          </w:tcPr>
          <w:p w14:paraId="7D6F6331" w14:textId="77777777" w:rsidR="0000357F" w:rsidRPr="008F735E" w:rsidRDefault="0000357F" w:rsidP="00345DEF">
            <w:pPr>
              <w:keepNext/>
              <w:keepLines/>
              <w:tabs>
                <w:tab w:val="decimal" w:pos="256"/>
              </w:tabs>
              <w:spacing w:before="60" w:after="60"/>
              <w:jc w:val="center"/>
              <w:rPr>
                <w:sz w:val="14"/>
                <w:szCs w:val="14"/>
              </w:rPr>
            </w:pPr>
          </w:p>
        </w:tc>
        <w:tc>
          <w:tcPr>
            <w:tcW w:w="651" w:type="dxa"/>
            <w:vAlign w:val="center"/>
          </w:tcPr>
          <w:p w14:paraId="353D4A5C" w14:textId="77777777" w:rsidR="0000357F" w:rsidRPr="008F735E" w:rsidRDefault="0000357F" w:rsidP="00345DEF">
            <w:pPr>
              <w:keepNext/>
              <w:keepLines/>
              <w:tabs>
                <w:tab w:val="decimal" w:pos="256"/>
              </w:tabs>
              <w:spacing w:before="60" w:after="60"/>
              <w:jc w:val="center"/>
              <w:rPr>
                <w:sz w:val="14"/>
                <w:szCs w:val="14"/>
              </w:rPr>
            </w:pPr>
          </w:p>
        </w:tc>
        <w:tc>
          <w:tcPr>
            <w:tcW w:w="666" w:type="dxa"/>
            <w:vAlign w:val="center"/>
          </w:tcPr>
          <w:p w14:paraId="0B5A7322" w14:textId="77777777" w:rsidR="0000357F" w:rsidRPr="008F735E" w:rsidRDefault="0000357F" w:rsidP="00345DEF">
            <w:pPr>
              <w:keepNext/>
              <w:keepLines/>
              <w:tabs>
                <w:tab w:val="decimal" w:pos="256"/>
              </w:tabs>
              <w:spacing w:before="60" w:after="60"/>
              <w:jc w:val="center"/>
              <w:rPr>
                <w:sz w:val="14"/>
                <w:szCs w:val="14"/>
              </w:rPr>
            </w:pPr>
          </w:p>
        </w:tc>
        <w:tc>
          <w:tcPr>
            <w:tcW w:w="667" w:type="dxa"/>
            <w:vAlign w:val="center"/>
          </w:tcPr>
          <w:p w14:paraId="27FF8C4F" w14:textId="77777777" w:rsidR="0000357F" w:rsidRPr="008F735E" w:rsidRDefault="0000357F" w:rsidP="00345DEF">
            <w:pPr>
              <w:keepNext/>
              <w:keepLines/>
              <w:tabs>
                <w:tab w:val="decimal" w:pos="256"/>
              </w:tabs>
              <w:spacing w:before="60" w:after="60"/>
              <w:jc w:val="center"/>
              <w:rPr>
                <w:sz w:val="14"/>
                <w:szCs w:val="14"/>
              </w:rPr>
            </w:pPr>
          </w:p>
        </w:tc>
        <w:tc>
          <w:tcPr>
            <w:tcW w:w="1134" w:type="dxa"/>
            <w:vAlign w:val="center"/>
          </w:tcPr>
          <w:p w14:paraId="11B68BF1" w14:textId="77777777" w:rsidR="0000357F" w:rsidRPr="008F735E" w:rsidRDefault="0000357F" w:rsidP="00345DEF">
            <w:pPr>
              <w:keepNext/>
              <w:keepLines/>
              <w:tabs>
                <w:tab w:val="decimal" w:pos="256"/>
              </w:tabs>
              <w:spacing w:before="60" w:after="60"/>
              <w:jc w:val="center"/>
              <w:rPr>
                <w:sz w:val="14"/>
                <w:szCs w:val="14"/>
              </w:rPr>
            </w:pPr>
          </w:p>
        </w:tc>
        <w:tc>
          <w:tcPr>
            <w:tcW w:w="851" w:type="dxa"/>
            <w:vAlign w:val="center"/>
          </w:tcPr>
          <w:p w14:paraId="23235CD7" w14:textId="77777777" w:rsidR="0000357F" w:rsidRPr="008F735E" w:rsidRDefault="0000357F" w:rsidP="00345DEF">
            <w:pPr>
              <w:keepNext/>
              <w:keepLines/>
              <w:tabs>
                <w:tab w:val="decimal" w:pos="256"/>
              </w:tabs>
              <w:spacing w:before="60" w:after="60"/>
              <w:jc w:val="center"/>
              <w:rPr>
                <w:sz w:val="14"/>
                <w:szCs w:val="14"/>
              </w:rPr>
            </w:pPr>
          </w:p>
        </w:tc>
        <w:tc>
          <w:tcPr>
            <w:tcW w:w="1134" w:type="dxa"/>
            <w:vAlign w:val="center"/>
          </w:tcPr>
          <w:p w14:paraId="1EAD781A" w14:textId="77777777" w:rsidR="0000357F" w:rsidRPr="008F735E" w:rsidRDefault="0000357F" w:rsidP="00345DEF">
            <w:pPr>
              <w:keepNext/>
              <w:keepLines/>
              <w:tabs>
                <w:tab w:val="decimal" w:pos="256"/>
              </w:tabs>
              <w:spacing w:before="60" w:after="60"/>
              <w:jc w:val="center"/>
              <w:rPr>
                <w:sz w:val="14"/>
                <w:szCs w:val="14"/>
              </w:rPr>
            </w:pPr>
          </w:p>
        </w:tc>
        <w:tc>
          <w:tcPr>
            <w:tcW w:w="921" w:type="dxa"/>
            <w:vAlign w:val="center"/>
          </w:tcPr>
          <w:p w14:paraId="7FE548AB" w14:textId="77777777" w:rsidR="0000357F" w:rsidRPr="008F735E" w:rsidRDefault="0000357F" w:rsidP="00345DEF">
            <w:pPr>
              <w:keepNext/>
              <w:keepLines/>
              <w:tabs>
                <w:tab w:val="decimal" w:pos="256"/>
              </w:tabs>
              <w:spacing w:before="60" w:after="60"/>
              <w:jc w:val="center"/>
              <w:rPr>
                <w:sz w:val="14"/>
                <w:szCs w:val="14"/>
              </w:rPr>
            </w:pPr>
          </w:p>
        </w:tc>
      </w:tr>
      <w:tr w:rsidR="0000357F" w:rsidRPr="00B7061B" w14:paraId="32A0D0FA" w14:textId="77777777" w:rsidTr="00740A34">
        <w:tc>
          <w:tcPr>
            <w:tcW w:w="1347" w:type="dxa"/>
            <w:shd w:val="clear" w:color="auto" w:fill="auto"/>
            <w:vAlign w:val="bottom"/>
          </w:tcPr>
          <w:p w14:paraId="1F2B5197" w14:textId="77777777" w:rsidR="0000357F" w:rsidRPr="008F735E" w:rsidRDefault="0000357F" w:rsidP="00345DEF">
            <w:pPr>
              <w:keepNext/>
              <w:keepLines/>
              <w:tabs>
                <w:tab w:val="left" w:pos="106"/>
              </w:tabs>
              <w:spacing w:before="60" w:after="60"/>
              <w:rPr>
                <w:sz w:val="14"/>
                <w:szCs w:val="14"/>
              </w:rPr>
            </w:pPr>
            <w:r w:rsidRPr="008F735E">
              <w:rPr>
                <w:sz w:val="14"/>
                <w:szCs w:val="14"/>
              </w:rPr>
              <w:tab/>
            </w:r>
            <w:r>
              <w:rPr>
                <w:sz w:val="14"/>
                <w:szCs w:val="14"/>
              </w:rPr>
              <w:t>b= 43%</w:t>
            </w:r>
          </w:p>
        </w:tc>
        <w:tc>
          <w:tcPr>
            <w:tcW w:w="992" w:type="dxa"/>
            <w:shd w:val="clear" w:color="auto" w:fill="auto"/>
            <w:vAlign w:val="bottom"/>
          </w:tcPr>
          <w:p w14:paraId="5BE5C05B"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21.3%</w:t>
            </w:r>
          </w:p>
        </w:tc>
        <w:tc>
          <w:tcPr>
            <w:tcW w:w="737" w:type="dxa"/>
            <w:shd w:val="clear" w:color="auto" w:fill="auto"/>
            <w:vAlign w:val="bottom"/>
          </w:tcPr>
          <w:p w14:paraId="18114D3C"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27.6%</w:t>
            </w:r>
          </w:p>
        </w:tc>
        <w:tc>
          <w:tcPr>
            <w:tcW w:w="681" w:type="dxa"/>
            <w:shd w:val="clear" w:color="auto" w:fill="auto"/>
            <w:vAlign w:val="bottom"/>
          </w:tcPr>
          <w:p w14:paraId="6ACCB908"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27.0%</w:t>
            </w:r>
          </w:p>
        </w:tc>
        <w:tc>
          <w:tcPr>
            <w:tcW w:w="651" w:type="dxa"/>
            <w:shd w:val="clear" w:color="auto" w:fill="auto"/>
            <w:vAlign w:val="bottom"/>
          </w:tcPr>
          <w:p w14:paraId="4AE357A0"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23.7%</w:t>
            </w:r>
          </w:p>
        </w:tc>
        <w:tc>
          <w:tcPr>
            <w:tcW w:w="666" w:type="dxa"/>
            <w:shd w:val="clear" w:color="auto" w:fill="auto"/>
            <w:vAlign w:val="bottom"/>
          </w:tcPr>
          <w:p w14:paraId="0EA56860"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20.1%</w:t>
            </w:r>
          </w:p>
        </w:tc>
        <w:tc>
          <w:tcPr>
            <w:tcW w:w="667" w:type="dxa"/>
            <w:shd w:val="clear" w:color="auto" w:fill="auto"/>
            <w:vAlign w:val="bottom"/>
          </w:tcPr>
          <w:p w14:paraId="7AA1D6C8"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17.3%</w:t>
            </w:r>
          </w:p>
        </w:tc>
        <w:tc>
          <w:tcPr>
            <w:tcW w:w="1134" w:type="dxa"/>
            <w:shd w:val="clear" w:color="auto" w:fill="auto"/>
            <w:vAlign w:val="bottom"/>
          </w:tcPr>
          <w:p w14:paraId="2DB9A16E"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11.2%</w:t>
            </w:r>
          </w:p>
        </w:tc>
        <w:tc>
          <w:tcPr>
            <w:tcW w:w="851" w:type="dxa"/>
            <w:shd w:val="clear" w:color="auto" w:fill="auto"/>
            <w:vAlign w:val="bottom"/>
          </w:tcPr>
          <w:p w14:paraId="4572CCA8"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27.6%</w:t>
            </w:r>
          </w:p>
        </w:tc>
        <w:tc>
          <w:tcPr>
            <w:tcW w:w="1134" w:type="dxa"/>
            <w:shd w:val="clear" w:color="auto" w:fill="auto"/>
            <w:vAlign w:val="bottom"/>
          </w:tcPr>
          <w:p w14:paraId="60221EBF"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-0.3%</w:t>
            </w:r>
          </w:p>
        </w:tc>
        <w:tc>
          <w:tcPr>
            <w:tcW w:w="921" w:type="dxa"/>
            <w:shd w:val="clear" w:color="auto" w:fill="auto"/>
            <w:vAlign w:val="bottom"/>
          </w:tcPr>
          <w:p w14:paraId="18027DCD"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-23.3%</w:t>
            </w:r>
          </w:p>
        </w:tc>
      </w:tr>
      <w:tr w:rsidR="0000357F" w:rsidRPr="00B7061B" w14:paraId="726732F0" w14:textId="77777777" w:rsidTr="00740A34">
        <w:tc>
          <w:tcPr>
            <w:tcW w:w="1347" w:type="dxa"/>
            <w:shd w:val="clear" w:color="auto" w:fill="auto"/>
            <w:vAlign w:val="bottom"/>
          </w:tcPr>
          <w:p w14:paraId="5E7DE6CD" w14:textId="77777777" w:rsidR="0000357F" w:rsidRPr="008F735E" w:rsidRDefault="0000357F" w:rsidP="00345DEF">
            <w:pPr>
              <w:keepNext/>
              <w:keepLines/>
              <w:tabs>
                <w:tab w:val="left" w:pos="106"/>
              </w:tabs>
              <w:spacing w:before="60" w:after="60"/>
              <w:rPr>
                <w:b/>
                <w:bCs/>
                <w:sz w:val="14"/>
                <w:szCs w:val="14"/>
              </w:rPr>
            </w:pPr>
            <w:r>
              <w:rPr>
                <w:b/>
                <w:bCs/>
                <w:sz w:val="14"/>
                <w:szCs w:val="14"/>
              </w:rPr>
              <w:t>Foreign-controlled companies</w:t>
            </w:r>
          </w:p>
        </w:tc>
        <w:tc>
          <w:tcPr>
            <w:tcW w:w="992" w:type="dxa"/>
            <w:shd w:val="clear" w:color="auto" w:fill="auto"/>
            <w:vAlign w:val="bottom"/>
          </w:tcPr>
          <w:p w14:paraId="1F0C3A77"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 </w:t>
            </w:r>
          </w:p>
        </w:tc>
        <w:tc>
          <w:tcPr>
            <w:tcW w:w="737" w:type="dxa"/>
            <w:shd w:val="clear" w:color="auto" w:fill="auto"/>
            <w:vAlign w:val="bottom"/>
          </w:tcPr>
          <w:p w14:paraId="332BA19A"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 </w:t>
            </w:r>
          </w:p>
        </w:tc>
        <w:tc>
          <w:tcPr>
            <w:tcW w:w="681" w:type="dxa"/>
            <w:shd w:val="clear" w:color="auto" w:fill="auto"/>
            <w:vAlign w:val="bottom"/>
          </w:tcPr>
          <w:p w14:paraId="2BE35788"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 </w:t>
            </w:r>
          </w:p>
        </w:tc>
        <w:tc>
          <w:tcPr>
            <w:tcW w:w="651" w:type="dxa"/>
            <w:shd w:val="clear" w:color="auto" w:fill="auto"/>
            <w:vAlign w:val="bottom"/>
          </w:tcPr>
          <w:p w14:paraId="4BA1B3ED"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 </w:t>
            </w:r>
          </w:p>
        </w:tc>
        <w:tc>
          <w:tcPr>
            <w:tcW w:w="666" w:type="dxa"/>
            <w:shd w:val="clear" w:color="auto" w:fill="auto"/>
            <w:vAlign w:val="bottom"/>
          </w:tcPr>
          <w:p w14:paraId="15807BCB"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 </w:t>
            </w:r>
          </w:p>
        </w:tc>
        <w:tc>
          <w:tcPr>
            <w:tcW w:w="667" w:type="dxa"/>
            <w:shd w:val="clear" w:color="auto" w:fill="auto"/>
            <w:vAlign w:val="bottom"/>
          </w:tcPr>
          <w:p w14:paraId="7D19D569"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 </w:t>
            </w:r>
          </w:p>
        </w:tc>
        <w:tc>
          <w:tcPr>
            <w:tcW w:w="1134" w:type="dxa"/>
            <w:shd w:val="clear" w:color="auto" w:fill="auto"/>
            <w:vAlign w:val="bottom"/>
          </w:tcPr>
          <w:p w14:paraId="631D25F6"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 </w:t>
            </w:r>
          </w:p>
        </w:tc>
        <w:tc>
          <w:tcPr>
            <w:tcW w:w="851" w:type="dxa"/>
            <w:shd w:val="clear" w:color="auto" w:fill="auto"/>
            <w:vAlign w:val="bottom"/>
          </w:tcPr>
          <w:p w14:paraId="70464247"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 </w:t>
            </w:r>
          </w:p>
        </w:tc>
        <w:tc>
          <w:tcPr>
            <w:tcW w:w="1134" w:type="dxa"/>
            <w:shd w:val="clear" w:color="auto" w:fill="auto"/>
            <w:vAlign w:val="bottom"/>
          </w:tcPr>
          <w:p w14:paraId="52699DEB"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 </w:t>
            </w:r>
          </w:p>
        </w:tc>
        <w:tc>
          <w:tcPr>
            <w:tcW w:w="921" w:type="dxa"/>
            <w:shd w:val="clear" w:color="auto" w:fill="auto"/>
            <w:vAlign w:val="bottom"/>
          </w:tcPr>
          <w:p w14:paraId="38DC3197"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 </w:t>
            </w:r>
          </w:p>
        </w:tc>
      </w:tr>
      <w:tr w:rsidR="0000357F" w:rsidRPr="00B7061B" w14:paraId="268DB4A0" w14:textId="77777777" w:rsidTr="00740A34">
        <w:tc>
          <w:tcPr>
            <w:tcW w:w="1347" w:type="dxa"/>
            <w:shd w:val="clear" w:color="auto" w:fill="auto"/>
          </w:tcPr>
          <w:p w14:paraId="7C1A0D28" w14:textId="77777777" w:rsidR="0000357F" w:rsidRPr="008F735E" w:rsidRDefault="0000357F" w:rsidP="00345DEF">
            <w:pPr>
              <w:keepNext/>
              <w:keepLines/>
              <w:tabs>
                <w:tab w:val="left" w:pos="106"/>
              </w:tabs>
              <w:spacing w:before="60" w:after="60"/>
              <w:rPr>
                <w:sz w:val="14"/>
                <w:szCs w:val="14"/>
              </w:rPr>
            </w:pPr>
            <w:r w:rsidRPr="008F735E">
              <w:rPr>
                <w:sz w:val="14"/>
                <w:szCs w:val="14"/>
              </w:rPr>
              <w:tab/>
            </w:r>
            <w:r>
              <w:rPr>
                <w:sz w:val="14"/>
                <w:szCs w:val="14"/>
              </w:rPr>
              <w:t>b= 0%</w:t>
            </w:r>
          </w:p>
        </w:tc>
        <w:tc>
          <w:tcPr>
            <w:tcW w:w="992" w:type="dxa"/>
            <w:shd w:val="clear" w:color="auto" w:fill="auto"/>
            <w:vAlign w:val="bottom"/>
          </w:tcPr>
          <w:p w14:paraId="0E77ADFF"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34.6%</w:t>
            </w:r>
          </w:p>
        </w:tc>
        <w:tc>
          <w:tcPr>
            <w:tcW w:w="737" w:type="dxa"/>
            <w:shd w:val="clear" w:color="auto" w:fill="auto"/>
            <w:vAlign w:val="bottom"/>
          </w:tcPr>
          <w:p w14:paraId="205AC9DC"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39.1%</w:t>
            </w:r>
          </w:p>
        </w:tc>
        <w:tc>
          <w:tcPr>
            <w:tcW w:w="681" w:type="dxa"/>
            <w:shd w:val="clear" w:color="auto" w:fill="auto"/>
            <w:vAlign w:val="bottom"/>
          </w:tcPr>
          <w:p w14:paraId="55FEB591"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38.7%</w:t>
            </w:r>
          </w:p>
        </w:tc>
        <w:tc>
          <w:tcPr>
            <w:tcW w:w="651" w:type="dxa"/>
            <w:shd w:val="clear" w:color="auto" w:fill="auto"/>
            <w:vAlign w:val="bottom"/>
          </w:tcPr>
          <w:p w14:paraId="278861CE"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36.2%</w:t>
            </w:r>
          </w:p>
        </w:tc>
        <w:tc>
          <w:tcPr>
            <w:tcW w:w="666" w:type="dxa"/>
            <w:shd w:val="clear" w:color="auto" w:fill="auto"/>
            <w:vAlign w:val="bottom"/>
          </w:tcPr>
          <w:p w14:paraId="361CE56B"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33.6%</w:t>
            </w:r>
          </w:p>
        </w:tc>
        <w:tc>
          <w:tcPr>
            <w:tcW w:w="667" w:type="dxa"/>
            <w:shd w:val="clear" w:color="auto" w:fill="auto"/>
            <w:vAlign w:val="bottom"/>
          </w:tcPr>
          <w:p w14:paraId="0D99FB96"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31.7%</w:t>
            </w:r>
          </w:p>
        </w:tc>
        <w:tc>
          <w:tcPr>
            <w:tcW w:w="1134" w:type="dxa"/>
            <w:shd w:val="clear" w:color="auto" w:fill="auto"/>
            <w:vAlign w:val="bottom"/>
          </w:tcPr>
          <w:p w14:paraId="6755686E"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28.0%</w:t>
            </w:r>
          </w:p>
        </w:tc>
        <w:tc>
          <w:tcPr>
            <w:tcW w:w="851" w:type="dxa"/>
            <w:shd w:val="clear" w:color="auto" w:fill="auto"/>
            <w:vAlign w:val="bottom"/>
          </w:tcPr>
          <w:p w14:paraId="529433FA"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39.1%</w:t>
            </w:r>
          </w:p>
        </w:tc>
        <w:tc>
          <w:tcPr>
            <w:tcW w:w="1134" w:type="dxa"/>
            <w:shd w:val="clear" w:color="auto" w:fill="auto"/>
            <w:vAlign w:val="bottom"/>
          </w:tcPr>
          <w:p w14:paraId="1A9AECDE"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20.6%</w:t>
            </w:r>
          </w:p>
        </w:tc>
        <w:tc>
          <w:tcPr>
            <w:tcW w:w="921" w:type="dxa"/>
            <w:shd w:val="clear" w:color="auto" w:fill="auto"/>
            <w:vAlign w:val="bottom"/>
          </w:tcPr>
          <w:p w14:paraId="447DBB78"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0.0%</w:t>
            </w:r>
          </w:p>
        </w:tc>
      </w:tr>
      <w:tr w:rsidR="0000357F" w:rsidRPr="00B7061B" w14:paraId="0DE18D61" w14:textId="77777777" w:rsidTr="00740A34">
        <w:tc>
          <w:tcPr>
            <w:tcW w:w="1347" w:type="dxa"/>
            <w:shd w:val="clear" w:color="auto" w:fill="auto"/>
          </w:tcPr>
          <w:p w14:paraId="25572349" w14:textId="77777777" w:rsidR="0000357F" w:rsidRPr="008F735E" w:rsidRDefault="0000357F" w:rsidP="00345DEF">
            <w:pPr>
              <w:keepNext/>
              <w:keepLines/>
              <w:tabs>
                <w:tab w:val="left" w:pos="106"/>
              </w:tabs>
              <w:spacing w:before="60" w:after="60"/>
              <w:rPr>
                <w:sz w:val="14"/>
                <w:szCs w:val="14"/>
              </w:rPr>
            </w:pPr>
            <w:r w:rsidRPr="008F735E">
              <w:rPr>
                <w:sz w:val="14"/>
                <w:szCs w:val="14"/>
              </w:rPr>
              <w:tab/>
            </w:r>
            <w:r>
              <w:rPr>
                <w:sz w:val="14"/>
                <w:szCs w:val="14"/>
              </w:rPr>
              <w:t>b= 43%</w:t>
            </w:r>
          </w:p>
        </w:tc>
        <w:tc>
          <w:tcPr>
            <w:tcW w:w="992" w:type="dxa"/>
            <w:shd w:val="clear" w:color="auto" w:fill="auto"/>
            <w:vAlign w:val="bottom"/>
          </w:tcPr>
          <w:p w14:paraId="1AF17419"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22.7%</w:t>
            </w:r>
          </w:p>
        </w:tc>
        <w:tc>
          <w:tcPr>
            <w:tcW w:w="737" w:type="dxa"/>
            <w:shd w:val="clear" w:color="auto" w:fill="auto"/>
            <w:vAlign w:val="bottom"/>
          </w:tcPr>
          <w:p w14:paraId="3BFFAEFC"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28.8%</w:t>
            </w:r>
          </w:p>
        </w:tc>
        <w:tc>
          <w:tcPr>
            <w:tcW w:w="681" w:type="dxa"/>
            <w:shd w:val="clear" w:color="auto" w:fill="auto"/>
            <w:vAlign w:val="bottom"/>
          </w:tcPr>
          <w:p w14:paraId="5AE8D376"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28.3%</w:t>
            </w:r>
          </w:p>
        </w:tc>
        <w:tc>
          <w:tcPr>
            <w:tcW w:w="651" w:type="dxa"/>
            <w:shd w:val="clear" w:color="auto" w:fill="auto"/>
            <w:vAlign w:val="bottom"/>
          </w:tcPr>
          <w:p w14:paraId="31052E82"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25.0%</w:t>
            </w:r>
          </w:p>
        </w:tc>
        <w:tc>
          <w:tcPr>
            <w:tcW w:w="666" w:type="dxa"/>
            <w:shd w:val="clear" w:color="auto" w:fill="auto"/>
            <w:vAlign w:val="bottom"/>
          </w:tcPr>
          <w:p w14:paraId="2ED6067F"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21.6%</w:t>
            </w:r>
          </w:p>
        </w:tc>
        <w:tc>
          <w:tcPr>
            <w:tcW w:w="667" w:type="dxa"/>
            <w:shd w:val="clear" w:color="auto" w:fill="auto"/>
            <w:vAlign w:val="bottom"/>
          </w:tcPr>
          <w:p w14:paraId="63C404BC"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18.8%</w:t>
            </w:r>
          </w:p>
        </w:tc>
        <w:tc>
          <w:tcPr>
            <w:tcW w:w="1134" w:type="dxa"/>
            <w:shd w:val="clear" w:color="auto" w:fill="auto"/>
            <w:vAlign w:val="bottom"/>
          </w:tcPr>
          <w:p w14:paraId="71F68EE3"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13.1%</w:t>
            </w:r>
          </w:p>
        </w:tc>
        <w:tc>
          <w:tcPr>
            <w:tcW w:w="851" w:type="dxa"/>
            <w:shd w:val="clear" w:color="auto" w:fill="auto"/>
            <w:vAlign w:val="bottom"/>
          </w:tcPr>
          <w:p w14:paraId="1AD49E91"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28.8%</w:t>
            </w:r>
          </w:p>
        </w:tc>
        <w:tc>
          <w:tcPr>
            <w:tcW w:w="1134" w:type="dxa"/>
            <w:shd w:val="clear" w:color="auto" w:fill="auto"/>
            <w:vAlign w:val="bottom"/>
          </w:tcPr>
          <w:p w14:paraId="69D3DD24"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2.1%</w:t>
            </w:r>
          </w:p>
        </w:tc>
        <w:tc>
          <w:tcPr>
            <w:tcW w:w="921" w:type="dxa"/>
            <w:shd w:val="clear" w:color="auto" w:fill="auto"/>
            <w:vAlign w:val="bottom"/>
          </w:tcPr>
          <w:p w14:paraId="7FD79E51"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-20.7%</w:t>
            </w:r>
          </w:p>
        </w:tc>
      </w:tr>
      <w:tr w:rsidR="0000357F" w:rsidRPr="00B7061B" w14:paraId="020884DD" w14:textId="77777777" w:rsidTr="00740A34">
        <w:tc>
          <w:tcPr>
            <w:tcW w:w="1347" w:type="dxa"/>
            <w:shd w:val="clear" w:color="auto" w:fill="auto"/>
          </w:tcPr>
          <w:p w14:paraId="20F970C5" w14:textId="77777777" w:rsidR="0000357F" w:rsidRPr="008F735E" w:rsidRDefault="0000357F" w:rsidP="00345DEF">
            <w:pPr>
              <w:keepNext/>
              <w:keepLines/>
              <w:tabs>
                <w:tab w:val="left" w:pos="106"/>
              </w:tabs>
              <w:spacing w:before="60" w:after="60"/>
              <w:ind w:left="108" w:hanging="108"/>
              <w:rPr>
                <w:sz w:val="14"/>
                <w:szCs w:val="14"/>
              </w:rPr>
            </w:pPr>
            <w:r w:rsidRPr="008F735E">
              <w:rPr>
                <w:sz w:val="14"/>
                <w:szCs w:val="14"/>
              </w:rPr>
              <w:tab/>
            </w:r>
            <w:r>
              <w:rPr>
                <w:sz w:val="14"/>
                <w:szCs w:val="14"/>
              </w:rPr>
              <w:t>b= 60%</w:t>
            </w:r>
          </w:p>
        </w:tc>
        <w:tc>
          <w:tcPr>
            <w:tcW w:w="992" w:type="dxa"/>
            <w:shd w:val="clear" w:color="auto" w:fill="auto"/>
            <w:vAlign w:val="bottom"/>
          </w:tcPr>
          <w:p w14:paraId="1C6807B1"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16.8%</w:t>
            </w:r>
          </w:p>
        </w:tc>
        <w:tc>
          <w:tcPr>
            <w:tcW w:w="737" w:type="dxa"/>
            <w:shd w:val="clear" w:color="auto" w:fill="auto"/>
            <w:vAlign w:val="bottom"/>
          </w:tcPr>
          <w:p w14:paraId="5DFBC7C6"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23.7%</w:t>
            </w:r>
          </w:p>
        </w:tc>
        <w:tc>
          <w:tcPr>
            <w:tcW w:w="681" w:type="dxa"/>
            <w:shd w:val="clear" w:color="auto" w:fill="auto"/>
            <w:vAlign w:val="bottom"/>
          </w:tcPr>
          <w:p w14:paraId="1F2BD2CB"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23.1%</w:t>
            </w:r>
          </w:p>
        </w:tc>
        <w:tc>
          <w:tcPr>
            <w:tcW w:w="651" w:type="dxa"/>
            <w:shd w:val="clear" w:color="auto" w:fill="auto"/>
            <w:vAlign w:val="bottom"/>
          </w:tcPr>
          <w:p w14:paraId="6F4283BE"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19.5%</w:t>
            </w:r>
          </w:p>
        </w:tc>
        <w:tc>
          <w:tcPr>
            <w:tcW w:w="666" w:type="dxa"/>
            <w:shd w:val="clear" w:color="auto" w:fill="auto"/>
            <w:vAlign w:val="bottom"/>
          </w:tcPr>
          <w:p w14:paraId="65C51398"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15.5%</w:t>
            </w:r>
          </w:p>
        </w:tc>
        <w:tc>
          <w:tcPr>
            <w:tcW w:w="667" w:type="dxa"/>
            <w:shd w:val="clear" w:color="auto" w:fill="auto"/>
            <w:vAlign w:val="bottom"/>
          </w:tcPr>
          <w:p w14:paraId="548DACEC"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12.3%</w:t>
            </w:r>
          </w:p>
        </w:tc>
        <w:tc>
          <w:tcPr>
            <w:tcW w:w="1134" w:type="dxa"/>
            <w:shd w:val="clear" w:color="auto" w:fill="auto"/>
            <w:vAlign w:val="bottom"/>
          </w:tcPr>
          <w:p w14:paraId="5A2FB97E"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5.4%</w:t>
            </w:r>
          </w:p>
        </w:tc>
        <w:tc>
          <w:tcPr>
            <w:tcW w:w="851" w:type="dxa"/>
            <w:shd w:val="clear" w:color="auto" w:fill="auto"/>
            <w:vAlign w:val="bottom"/>
          </w:tcPr>
          <w:p w14:paraId="73EBF5DB"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23.7%</w:t>
            </w:r>
          </w:p>
        </w:tc>
        <w:tc>
          <w:tcPr>
            <w:tcW w:w="1134" w:type="dxa"/>
            <w:shd w:val="clear" w:color="auto" w:fill="auto"/>
            <w:vAlign w:val="bottom"/>
          </w:tcPr>
          <w:p w14:paraId="3E43BFA8"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-7.9%</w:t>
            </w:r>
          </w:p>
        </w:tc>
        <w:tc>
          <w:tcPr>
            <w:tcW w:w="921" w:type="dxa"/>
            <w:shd w:val="clear" w:color="auto" w:fill="auto"/>
            <w:vAlign w:val="bottom"/>
          </w:tcPr>
          <w:p w14:paraId="481C557D"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-31.4%</w:t>
            </w:r>
          </w:p>
        </w:tc>
      </w:tr>
      <w:tr w:rsidR="0000357F" w:rsidRPr="00B7061B" w14:paraId="12D3C00B" w14:textId="77777777" w:rsidTr="00740A34">
        <w:tc>
          <w:tcPr>
            <w:tcW w:w="1347" w:type="dxa"/>
            <w:shd w:val="clear" w:color="auto" w:fill="auto"/>
          </w:tcPr>
          <w:p w14:paraId="1BDDCDB5" w14:textId="77777777" w:rsidR="0000357F" w:rsidRPr="008F735E" w:rsidRDefault="0000357F" w:rsidP="00345DEF">
            <w:pPr>
              <w:keepNext/>
              <w:keepLines/>
              <w:tabs>
                <w:tab w:val="left" w:pos="106"/>
              </w:tabs>
              <w:spacing w:before="60" w:after="60"/>
              <w:ind w:left="108" w:hanging="108"/>
              <w:rPr>
                <w:sz w:val="14"/>
                <w:szCs w:val="14"/>
              </w:rPr>
            </w:pPr>
            <w:r w:rsidRPr="008F735E">
              <w:rPr>
                <w:sz w:val="14"/>
                <w:szCs w:val="14"/>
              </w:rPr>
              <w:tab/>
            </w:r>
            <w:r>
              <w:rPr>
                <w:sz w:val="14"/>
                <w:szCs w:val="14"/>
              </w:rPr>
              <w:t>b= 75%</w:t>
            </w:r>
          </w:p>
        </w:tc>
        <w:tc>
          <w:tcPr>
            <w:tcW w:w="992" w:type="dxa"/>
            <w:shd w:val="clear" w:color="auto" w:fill="auto"/>
            <w:vAlign w:val="bottom"/>
          </w:tcPr>
          <w:p w14:paraId="27294DCF"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6.5%</w:t>
            </w:r>
          </w:p>
        </w:tc>
        <w:tc>
          <w:tcPr>
            <w:tcW w:w="737" w:type="dxa"/>
            <w:shd w:val="clear" w:color="auto" w:fill="auto"/>
            <w:vAlign w:val="bottom"/>
          </w:tcPr>
          <w:p w14:paraId="769AB964"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15.0%</w:t>
            </w:r>
          </w:p>
        </w:tc>
        <w:tc>
          <w:tcPr>
            <w:tcW w:w="681" w:type="dxa"/>
            <w:shd w:val="clear" w:color="auto" w:fill="auto"/>
            <w:vAlign w:val="bottom"/>
          </w:tcPr>
          <w:p w14:paraId="28C71E33"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14.3%</w:t>
            </w:r>
          </w:p>
        </w:tc>
        <w:tc>
          <w:tcPr>
            <w:tcW w:w="651" w:type="dxa"/>
            <w:shd w:val="clear" w:color="auto" w:fill="auto"/>
            <w:vAlign w:val="bottom"/>
          </w:tcPr>
          <w:p w14:paraId="79DE6184"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10.0%</w:t>
            </w:r>
          </w:p>
        </w:tc>
        <w:tc>
          <w:tcPr>
            <w:tcW w:w="666" w:type="dxa"/>
            <w:shd w:val="clear" w:color="auto" w:fill="auto"/>
            <w:vAlign w:val="bottom"/>
          </w:tcPr>
          <w:p w14:paraId="635000BC"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5.1%</w:t>
            </w:r>
          </w:p>
        </w:tc>
        <w:tc>
          <w:tcPr>
            <w:tcW w:w="667" w:type="dxa"/>
            <w:shd w:val="clear" w:color="auto" w:fill="auto"/>
            <w:vAlign w:val="bottom"/>
          </w:tcPr>
          <w:p w14:paraId="0F3908D6"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1.0%</w:t>
            </w:r>
          </w:p>
        </w:tc>
        <w:tc>
          <w:tcPr>
            <w:tcW w:w="1134" w:type="dxa"/>
            <w:shd w:val="clear" w:color="auto" w:fill="auto"/>
            <w:vAlign w:val="bottom"/>
          </w:tcPr>
          <w:p w14:paraId="1A14B9BC"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-8.4%</w:t>
            </w:r>
          </w:p>
        </w:tc>
        <w:tc>
          <w:tcPr>
            <w:tcW w:w="851" w:type="dxa"/>
            <w:shd w:val="clear" w:color="auto" w:fill="auto"/>
            <w:vAlign w:val="bottom"/>
          </w:tcPr>
          <w:p w14:paraId="2826196C"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15.0%</w:t>
            </w:r>
          </w:p>
        </w:tc>
        <w:tc>
          <w:tcPr>
            <w:tcW w:w="1134" w:type="dxa"/>
            <w:shd w:val="clear" w:color="auto" w:fill="auto"/>
            <w:vAlign w:val="bottom"/>
          </w:tcPr>
          <w:p w14:paraId="58A9F995"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-26.2%</w:t>
            </w:r>
          </w:p>
        </w:tc>
        <w:tc>
          <w:tcPr>
            <w:tcW w:w="921" w:type="dxa"/>
            <w:shd w:val="clear" w:color="auto" w:fill="auto"/>
            <w:vAlign w:val="bottom"/>
          </w:tcPr>
          <w:p w14:paraId="0BD8AF8F"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-50.6%</w:t>
            </w:r>
          </w:p>
        </w:tc>
      </w:tr>
      <w:tr w:rsidR="0000357F" w:rsidRPr="00B7061B" w14:paraId="0519CB1F" w14:textId="77777777" w:rsidTr="00740A34">
        <w:tc>
          <w:tcPr>
            <w:tcW w:w="1347" w:type="dxa"/>
            <w:shd w:val="clear" w:color="auto" w:fill="auto"/>
          </w:tcPr>
          <w:p w14:paraId="607B1739" w14:textId="77777777" w:rsidR="0000357F" w:rsidRPr="008F735E" w:rsidRDefault="0000357F" w:rsidP="00345DEF">
            <w:pPr>
              <w:keepNext/>
              <w:keepLines/>
              <w:tabs>
                <w:tab w:val="left" w:pos="106"/>
              </w:tabs>
              <w:spacing w:before="60" w:after="60"/>
              <w:ind w:left="108" w:hanging="108"/>
              <w:rPr>
                <w:sz w:val="14"/>
                <w:szCs w:val="14"/>
              </w:rPr>
            </w:pPr>
            <w:r w:rsidRPr="008F735E">
              <w:rPr>
                <w:sz w:val="14"/>
                <w:szCs w:val="14"/>
              </w:rPr>
              <w:tab/>
            </w:r>
            <w:r>
              <w:rPr>
                <w:sz w:val="14"/>
                <w:szCs w:val="14"/>
              </w:rPr>
              <w:t>b= 100%</w:t>
            </w:r>
          </w:p>
        </w:tc>
        <w:tc>
          <w:tcPr>
            <w:tcW w:w="992" w:type="dxa"/>
            <w:shd w:val="clear" w:color="auto" w:fill="auto"/>
            <w:vAlign w:val="bottom"/>
          </w:tcPr>
          <w:p w14:paraId="6D36CC82"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-9.0%</w:t>
            </w:r>
          </w:p>
        </w:tc>
        <w:tc>
          <w:tcPr>
            <w:tcW w:w="737" w:type="dxa"/>
            <w:shd w:val="clear" w:color="auto" w:fill="auto"/>
            <w:vAlign w:val="bottom"/>
          </w:tcPr>
          <w:p w14:paraId="6A507928"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2.0%</w:t>
            </w:r>
          </w:p>
        </w:tc>
        <w:tc>
          <w:tcPr>
            <w:tcW w:w="681" w:type="dxa"/>
            <w:shd w:val="clear" w:color="auto" w:fill="auto"/>
            <w:vAlign w:val="bottom"/>
          </w:tcPr>
          <w:p w14:paraId="2C44DCF5"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1.2%</w:t>
            </w:r>
          </w:p>
        </w:tc>
        <w:tc>
          <w:tcPr>
            <w:tcW w:w="651" w:type="dxa"/>
            <w:shd w:val="clear" w:color="auto" w:fill="auto"/>
            <w:vAlign w:val="bottom"/>
          </w:tcPr>
          <w:p w14:paraId="68DD6C48"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-4.3%</w:t>
            </w:r>
          </w:p>
        </w:tc>
        <w:tc>
          <w:tcPr>
            <w:tcW w:w="666" w:type="dxa"/>
            <w:shd w:val="clear" w:color="auto" w:fill="auto"/>
            <w:vAlign w:val="bottom"/>
          </w:tcPr>
          <w:p w14:paraId="118FF8BA"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-10.7%</w:t>
            </w:r>
          </w:p>
        </w:tc>
        <w:tc>
          <w:tcPr>
            <w:tcW w:w="667" w:type="dxa"/>
            <w:shd w:val="clear" w:color="auto" w:fill="auto"/>
            <w:vAlign w:val="bottom"/>
          </w:tcPr>
          <w:p w14:paraId="5B45A0A1"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-16.4%</w:t>
            </w:r>
          </w:p>
        </w:tc>
        <w:tc>
          <w:tcPr>
            <w:tcW w:w="1134" w:type="dxa"/>
            <w:shd w:val="clear" w:color="auto" w:fill="auto"/>
            <w:vAlign w:val="bottom"/>
          </w:tcPr>
          <w:p w14:paraId="19302F03"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-30.5%</w:t>
            </w:r>
          </w:p>
        </w:tc>
        <w:tc>
          <w:tcPr>
            <w:tcW w:w="851" w:type="dxa"/>
            <w:shd w:val="clear" w:color="auto" w:fill="auto"/>
            <w:vAlign w:val="bottom"/>
          </w:tcPr>
          <w:p w14:paraId="6888367E"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2.0%</w:t>
            </w:r>
          </w:p>
        </w:tc>
        <w:tc>
          <w:tcPr>
            <w:tcW w:w="1134" w:type="dxa"/>
            <w:shd w:val="clear" w:color="auto" w:fill="auto"/>
            <w:vAlign w:val="bottom"/>
          </w:tcPr>
          <w:p w14:paraId="4C9F66A6"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-57.0%</w:t>
            </w:r>
          </w:p>
        </w:tc>
        <w:tc>
          <w:tcPr>
            <w:tcW w:w="921" w:type="dxa"/>
            <w:shd w:val="clear" w:color="auto" w:fill="auto"/>
            <w:vAlign w:val="bottom"/>
          </w:tcPr>
          <w:p w14:paraId="1A31D735" w14:textId="77777777" w:rsidR="0000357F" w:rsidRPr="00B7061B" w:rsidRDefault="0000357F" w:rsidP="00345DEF">
            <w:pPr>
              <w:keepNext/>
              <w:keepLines/>
              <w:tabs>
                <w:tab w:val="decimal" w:pos="256"/>
              </w:tabs>
              <w:spacing w:before="60" w:after="60"/>
              <w:jc w:val="center"/>
              <w:rPr>
                <w:sz w:val="14"/>
                <w:szCs w:val="14"/>
              </w:rPr>
            </w:pPr>
            <w:r w:rsidRPr="00B7061B">
              <w:rPr>
                <w:rFonts w:cs="Calibri"/>
                <w:color w:val="000000"/>
                <w:sz w:val="14"/>
                <w:szCs w:val="14"/>
              </w:rPr>
              <w:t>-81.2%</w:t>
            </w:r>
          </w:p>
        </w:tc>
      </w:tr>
    </w:tbl>
    <w:p w14:paraId="00EB7873" w14:textId="77777777" w:rsidR="001B3AE0" w:rsidRPr="000A289A" w:rsidRDefault="001B3AE0" w:rsidP="00075D72">
      <w:pPr>
        <w:pStyle w:val="NumberedParagraph"/>
      </w:pPr>
      <w:r w:rsidRPr="000A289A">
        <w:t>We draw attention to the following points:</w:t>
      </w:r>
    </w:p>
    <w:p w14:paraId="64787C29" w14:textId="77777777" w:rsidR="001B3AE0" w:rsidRPr="000A289A" w:rsidRDefault="001B3AE0" w:rsidP="00075D72">
      <w:pPr>
        <w:pStyle w:val="NumberedParagraph-BulletL1"/>
      </w:pPr>
      <w:r w:rsidRPr="000A289A">
        <w:t>EMTRs for domestic companies with marginal foreign shareholders that are 43% debt financed vary between 27.6% and -23.3%. This is consistent with data that has been provided in earlier chapters.</w:t>
      </w:r>
    </w:p>
    <w:p w14:paraId="7D402D6C" w14:textId="0128B825" w:rsidR="001B3AE0" w:rsidRPr="000A289A" w:rsidRDefault="001B3AE0" w:rsidP="00075D72">
      <w:pPr>
        <w:pStyle w:val="NumberedParagraph-BulletL1"/>
      </w:pPr>
      <w:r w:rsidRPr="000A289A">
        <w:t xml:space="preserve">For foreign-controlled companies </w:t>
      </w:r>
      <w:r w:rsidR="002214A9">
        <w:t>that</w:t>
      </w:r>
      <w:r w:rsidRPr="000A289A">
        <w:t xml:space="preserve"> are 43% debt financed, EMTRs vary between 2</w:t>
      </w:r>
      <w:r w:rsidR="00380470">
        <w:t>8.8</w:t>
      </w:r>
      <w:r w:rsidRPr="000A289A">
        <w:t>% and -</w:t>
      </w:r>
      <w:r w:rsidR="00312139">
        <w:t>20.7</w:t>
      </w:r>
      <w:r w:rsidRPr="000A289A">
        <w:t>%. They are slightly higher than for domestic companies because interest payments to related parties in foreign</w:t>
      </w:r>
      <w:r w:rsidR="00453A2D">
        <w:t>-</w:t>
      </w:r>
      <w:r w:rsidRPr="000A289A">
        <w:t>controlled companies are subject to NRWT rather than AIL.</w:t>
      </w:r>
    </w:p>
    <w:p w14:paraId="221B8F8F" w14:textId="742D13C5" w:rsidR="001B3AE0" w:rsidRPr="000A289A" w:rsidRDefault="00E11C4A" w:rsidP="00075D72">
      <w:pPr>
        <w:pStyle w:val="NumberedParagraph-BulletL1"/>
      </w:pPr>
      <w:r>
        <w:t xml:space="preserve">As is discussed in appendix 2 of the </w:t>
      </w:r>
      <w:proofErr w:type="gramStart"/>
      <w:r w:rsidR="00F53383">
        <w:rPr>
          <w:i/>
          <w:iCs/>
        </w:rPr>
        <w:t>T</w:t>
      </w:r>
      <w:r w:rsidR="00C83917">
        <w:rPr>
          <w:i/>
          <w:iCs/>
        </w:rPr>
        <w:t>echnical</w:t>
      </w:r>
      <w:proofErr w:type="gramEnd"/>
      <w:r w:rsidR="00C83917">
        <w:rPr>
          <w:i/>
          <w:iCs/>
        </w:rPr>
        <w:t xml:space="preserve"> appendices</w:t>
      </w:r>
      <w:r w:rsidR="00C83917">
        <w:t xml:space="preserve">, </w:t>
      </w:r>
      <w:r w:rsidR="001B3AE0" w:rsidRPr="000A289A">
        <w:t>many foreign-controlled companies ha</w:t>
      </w:r>
      <w:r w:rsidR="002C0DAF">
        <w:t>ve</w:t>
      </w:r>
      <w:r w:rsidR="001B3AE0" w:rsidRPr="000A289A">
        <w:t xml:space="preserve"> no debt. These would have EMTRs varying between 39.1% and 0.0%.</w:t>
      </w:r>
    </w:p>
    <w:p w14:paraId="165F163A" w14:textId="68C650AB" w:rsidR="001B3AE0" w:rsidRPr="000A289A" w:rsidRDefault="002C0DAF" w:rsidP="00075D72">
      <w:pPr>
        <w:pStyle w:val="NumberedParagraph-BulletL1"/>
      </w:pPr>
      <w:r>
        <w:t xml:space="preserve">As is also discussed in appendix 2 of the </w:t>
      </w:r>
      <w:proofErr w:type="gramStart"/>
      <w:r w:rsidR="00A246A0">
        <w:rPr>
          <w:i/>
          <w:iCs/>
        </w:rPr>
        <w:t>T</w:t>
      </w:r>
      <w:r>
        <w:rPr>
          <w:i/>
          <w:iCs/>
        </w:rPr>
        <w:t>echnical</w:t>
      </w:r>
      <w:proofErr w:type="gramEnd"/>
      <w:r>
        <w:rPr>
          <w:i/>
          <w:iCs/>
        </w:rPr>
        <w:t xml:space="preserve"> appendices</w:t>
      </w:r>
      <w:r w:rsidR="00C83FD3">
        <w:t>, there is</w:t>
      </w:r>
      <w:r w:rsidR="001B3AE0" w:rsidRPr="000A289A">
        <w:t xml:space="preserve"> limited evidence of foreign-controlled companies being clustered at the 60% thin capitalisation threshold. However, for firms that are, EMTRs would vary between 2</w:t>
      </w:r>
      <w:r w:rsidR="00312139">
        <w:t>3.7</w:t>
      </w:r>
      <w:r w:rsidR="001B3AE0" w:rsidRPr="000A289A">
        <w:t xml:space="preserve">% and </w:t>
      </w:r>
      <w:r w:rsidR="00EF5FA3">
        <w:noBreakHyphen/>
      </w:r>
      <w:r w:rsidR="00312139">
        <w:t>31.4</w:t>
      </w:r>
      <w:r w:rsidR="001B3AE0" w:rsidRPr="000A289A">
        <w:t>%. These are the firms that would benefit from a higher thin capitalisation threshold.</w:t>
      </w:r>
    </w:p>
    <w:p w14:paraId="58E4682A" w14:textId="0EF2B562" w:rsidR="001B3AE0" w:rsidRPr="000A289A" w:rsidRDefault="001B3AE0" w:rsidP="00075D72">
      <w:pPr>
        <w:pStyle w:val="NumberedParagraph-BulletL1"/>
      </w:pPr>
      <w:r w:rsidRPr="000A289A">
        <w:t>Relaxing the thin capitalisation threshold to 75% would mean that firms that move to this new threshold would have EMTRs varying between 1</w:t>
      </w:r>
      <w:r w:rsidR="00E277DC">
        <w:t>5.0</w:t>
      </w:r>
      <w:r w:rsidRPr="000A289A">
        <w:t>% and -</w:t>
      </w:r>
      <w:r w:rsidR="00E277DC">
        <w:t>50.6</w:t>
      </w:r>
      <w:r w:rsidRPr="000A289A">
        <w:t>%.</w:t>
      </w:r>
    </w:p>
    <w:p w14:paraId="4D7CFCD5" w14:textId="7CE2D98E" w:rsidR="001B3AE0" w:rsidRPr="000A289A" w:rsidRDefault="001B3AE0" w:rsidP="00075D72">
      <w:pPr>
        <w:pStyle w:val="NumberedParagraph-BulletL1"/>
      </w:pPr>
      <w:r w:rsidRPr="000A289A">
        <w:t>Abandoning thin capitalisation rules completely would mean that foreign-controlled firms becoming fully debt</w:t>
      </w:r>
      <w:r w:rsidR="00C8448F">
        <w:t xml:space="preserve"> </w:t>
      </w:r>
      <w:r w:rsidRPr="000A289A">
        <w:t xml:space="preserve">financed would have EMTRs varying between </w:t>
      </w:r>
      <w:r w:rsidR="00D66BFE">
        <w:t>2.0</w:t>
      </w:r>
      <w:r w:rsidRPr="000A289A">
        <w:t>% and -</w:t>
      </w:r>
      <w:r w:rsidR="00D66BFE">
        <w:t>81.2</w:t>
      </w:r>
      <w:r w:rsidRPr="000A289A">
        <w:t>%.</w:t>
      </w:r>
    </w:p>
    <w:p w14:paraId="4EFC4E98" w14:textId="1C23EE87" w:rsidR="001B3AE0" w:rsidRPr="000A289A" w:rsidRDefault="001B3AE0" w:rsidP="00075D72">
      <w:pPr>
        <w:pStyle w:val="NumberedParagraph-BulletL1"/>
      </w:pPr>
      <w:r w:rsidRPr="000A289A">
        <w:lastRenderedPageBreak/>
        <w:t xml:space="preserve">Relaxing or eliminating the thin capitalisation threshold would reduce EMTRs and costs of capital for foreign-controlled firms that want to take on more debt to benefit from interest deductibility but are constrained by the current threshold. </w:t>
      </w:r>
      <w:r w:rsidR="00C40BE3">
        <w:t>However,</w:t>
      </w:r>
      <w:r w:rsidRPr="000A289A">
        <w:t xml:space="preserve"> these are not firms that face the highest EMTRs at present.</w:t>
      </w:r>
    </w:p>
    <w:p w14:paraId="10C9EDEF" w14:textId="460B237C" w:rsidR="00D66BFE" w:rsidRPr="000A289A" w:rsidRDefault="00D66BFE" w:rsidP="00075D72">
      <w:pPr>
        <w:pStyle w:val="NumberedParagraph-BulletL1"/>
      </w:pPr>
      <w:r>
        <w:t>Complet</w:t>
      </w:r>
      <w:r w:rsidR="008A3DC5">
        <w:t xml:space="preserve">ely eliminating the thin capitalisation threshold </w:t>
      </w:r>
      <w:r w:rsidR="0055021C">
        <w:t>c</w:t>
      </w:r>
      <w:r w:rsidR="008A3DC5">
        <w:t>ould lead to very negative EMTRs for certain asset if</w:t>
      </w:r>
      <w:r w:rsidR="00C63A2F">
        <w:t xml:space="preserve"> foreign controlled companies choose to </w:t>
      </w:r>
      <w:r w:rsidR="0055021C">
        <w:t>finance investment with very high levels of debt.</w:t>
      </w:r>
    </w:p>
    <w:p w14:paraId="4060078B" w14:textId="2554C0E7" w:rsidR="001B3AE0" w:rsidRPr="000A289A" w:rsidRDefault="001B3AE0" w:rsidP="001B3AE0">
      <w:pPr>
        <w:pStyle w:val="Heading2"/>
        <w:rPr>
          <w:rFonts w:eastAsia="Calibri"/>
          <w:lang w:eastAsia="en-US"/>
        </w:rPr>
      </w:pPr>
      <w:bookmarkStart w:id="69" w:name="_Toc112857446"/>
      <w:r w:rsidRPr="000A289A">
        <w:rPr>
          <w:rFonts w:eastAsia="Calibri"/>
          <w:lang w:eastAsia="en-US"/>
        </w:rPr>
        <w:t>Increasing the safe</w:t>
      </w:r>
      <w:r w:rsidR="000567C4">
        <w:rPr>
          <w:rFonts w:eastAsia="Calibri"/>
          <w:lang w:eastAsia="en-US"/>
        </w:rPr>
        <w:t xml:space="preserve"> </w:t>
      </w:r>
      <w:r w:rsidRPr="000A289A">
        <w:rPr>
          <w:rFonts w:eastAsia="Calibri"/>
          <w:lang w:eastAsia="en-US"/>
        </w:rPr>
        <w:t>harbour threshold: policy considerations</w:t>
      </w:r>
      <w:bookmarkEnd w:id="69"/>
    </w:p>
    <w:p w14:paraId="3F0E2FAB" w14:textId="3F79130B" w:rsidR="001B3AE0" w:rsidRPr="000A289A" w:rsidRDefault="001B3AE0" w:rsidP="00075D72">
      <w:pPr>
        <w:pStyle w:val="NumberedParagraph"/>
      </w:pPr>
      <w:r w:rsidRPr="000A289A">
        <w:t>There are pros and cons in increasing the safe</w:t>
      </w:r>
      <w:r w:rsidR="000567C4">
        <w:t xml:space="preserve"> </w:t>
      </w:r>
      <w:r w:rsidRPr="000A289A">
        <w:t>harbour threshold.</w:t>
      </w:r>
    </w:p>
    <w:p w14:paraId="1E479A99" w14:textId="77777777" w:rsidR="001B3AE0" w:rsidRPr="000A289A" w:rsidRDefault="001B3AE0" w:rsidP="001B3AE0">
      <w:pPr>
        <w:pStyle w:val="Heading3"/>
        <w:rPr>
          <w:rFonts w:eastAsia="Calibri"/>
          <w:lang w:eastAsia="en-US"/>
        </w:rPr>
      </w:pPr>
      <w:r w:rsidRPr="000A289A">
        <w:rPr>
          <w:rFonts w:eastAsia="Calibri"/>
          <w:lang w:eastAsia="en-US"/>
        </w:rPr>
        <w:t>Pros</w:t>
      </w:r>
    </w:p>
    <w:p w14:paraId="3C02B381" w14:textId="25C10AF5" w:rsidR="001B3AE0" w:rsidRPr="000A289A" w:rsidRDefault="001B3AE0" w:rsidP="00075D72">
      <w:pPr>
        <w:pStyle w:val="NumberedParagraph"/>
      </w:pPr>
      <w:r w:rsidRPr="000A289A">
        <w:t xml:space="preserve">Removing the thin capitalisation rules entirely or increasing the safe harbour threshold would be ways of reducing costs of capital and EMTRs for some firms. This is likely to promote foreign direct investment. The international evidence suggests that the effects on inbound investment may be significant. It would have </w:t>
      </w:r>
      <w:r w:rsidR="00FF4D8B">
        <w:t>several</w:t>
      </w:r>
      <w:r w:rsidRPr="000A289A">
        <w:t xml:space="preserve"> potential advantages relative to other ways of reducing costs of capital and EMTRs.</w:t>
      </w:r>
    </w:p>
    <w:p w14:paraId="4EAD201F" w14:textId="73E2FBC4" w:rsidR="001B3AE0" w:rsidRPr="000A289A" w:rsidRDefault="001B3AE0" w:rsidP="00075D72">
      <w:pPr>
        <w:pStyle w:val="NumberedParagraph"/>
      </w:pPr>
      <w:r w:rsidRPr="000A289A">
        <w:t>An attraction of increasing the thin capitalisation safe harbour threshold is that it would not mean forgoing tax on economic rents. So long as interest is not being deducted at inflated rates, economic rents would continue to be taxed. Also</w:t>
      </w:r>
      <w:r w:rsidR="0015489A">
        <w:t>,</w:t>
      </w:r>
      <w:r w:rsidRPr="000A289A">
        <w:t xml:space="preserve"> unlike cutting the company tax rate</w:t>
      </w:r>
      <w:r w:rsidR="0015489A">
        <w:t>,</w:t>
      </w:r>
      <w:r w:rsidRPr="000A289A">
        <w:t xml:space="preserve"> it would not make it more difficult to maintain a progressive personal income tax structure if that is a key objective for future governments. A higher threshold would only be of benefit to foreign-controlled firms</w:t>
      </w:r>
      <w:r w:rsidR="006668D4">
        <w:t>,</w:t>
      </w:r>
      <w:r w:rsidRPr="000A289A">
        <w:t xml:space="preserve"> so </w:t>
      </w:r>
      <w:r w:rsidR="006668D4">
        <w:t xml:space="preserve">it </w:t>
      </w:r>
      <w:r w:rsidRPr="000A289A">
        <w:t>would not undermine the role of the company tax in supporting personal income taxation.</w:t>
      </w:r>
    </w:p>
    <w:p w14:paraId="62B6314E" w14:textId="0925D46F" w:rsidR="001B3AE0" w:rsidRPr="000A289A" w:rsidRDefault="001B3AE0" w:rsidP="00075D72">
      <w:pPr>
        <w:pStyle w:val="NumberedParagraph"/>
      </w:pPr>
      <w:r w:rsidRPr="000A289A">
        <w:t>If there were an intention to lower taxes on inbound foreign direct investment without reducing taxes on inbound investment more broadly, increasing the threshold might be particularly attractive. This is because it would be targeted at investment by foreign-controlled firms. However, this is only likely to be justified if it were thought that foreign direct investment brought in important spillover benefits or other wellbeing benefits not associated with other forms of inbound investment. In chapter 2</w:t>
      </w:r>
      <w:r w:rsidR="00575A43">
        <w:t>,</w:t>
      </w:r>
      <w:r w:rsidRPr="000A289A">
        <w:t xml:space="preserve"> we questioned whether there was strong evidence of important productivity spillovers from foreign direct investment</w:t>
      </w:r>
      <w:r w:rsidR="002632D9">
        <w:t xml:space="preserve"> and whether these were likely to be bigger than the </w:t>
      </w:r>
      <w:r w:rsidR="00403B13">
        <w:t xml:space="preserve">productivity </w:t>
      </w:r>
      <w:r w:rsidR="002632D9">
        <w:t>spillover</w:t>
      </w:r>
      <w:r w:rsidR="00403B13">
        <w:t>s from investment by domestic firms</w:t>
      </w:r>
      <w:r w:rsidRPr="000A289A">
        <w:t>.</w:t>
      </w:r>
    </w:p>
    <w:p w14:paraId="028E7AB2" w14:textId="77777777" w:rsidR="001B3AE0" w:rsidRPr="000A289A" w:rsidRDefault="001B3AE0" w:rsidP="001B3AE0">
      <w:pPr>
        <w:pStyle w:val="Heading3"/>
        <w:rPr>
          <w:rFonts w:eastAsia="Calibri"/>
          <w:lang w:eastAsia="en-US"/>
        </w:rPr>
      </w:pPr>
      <w:r w:rsidRPr="000A289A">
        <w:rPr>
          <w:rFonts w:eastAsia="Calibri"/>
          <w:lang w:eastAsia="en-US"/>
        </w:rPr>
        <w:t>Cons</w:t>
      </w:r>
    </w:p>
    <w:p w14:paraId="2F05ADB8" w14:textId="77777777" w:rsidR="001B3AE0" w:rsidRPr="000A289A" w:rsidRDefault="001B3AE0" w:rsidP="00075D72">
      <w:pPr>
        <w:pStyle w:val="NumberedParagraph"/>
      </w:pPr>
      <w:r w:rsidRPr="000A289A">
        <w:t>Increasing the safe harbour would be reducing the effectiveness of the rules as a base-maintenance measure. Many would question whether it is fair to provide multinationals with greater scope to stream profits out of New Zealand and reduce their worldwide tax payments in the process.</w:t>
      </w:r>
    </w:p>
    <w:p w14:paraId="07E64863" w14:textId="0142752F" w:rsidR="001B3AE0" w:rsidRPr="000A289A" w:rsidRDefault="001B3AE0" w:rsidP="00075D72">
      <w:pPr>
        <w:pStyle w:val="NumberedParagraph"/>
      </w:pPr>
      <w:r w:rsidRPr="000A289A">
        <w:t>Increasing the safe harbour would only benefit some firms. It would benefit foreign-controlled companies that are close to the thin capitalisation border and would like to take on more debt but are stopped from doing so by the thin capitalisation rules. However, these firms are already likely to be facing relatively low EMTRs and costs of capital. As table</w:t>
      </w:r>
      <w:r>
        <w:t xml:space="preserve"> 9.1</w:t>
      </w:r>
      <w:r w:rsidRPr="000A289A">
        <w:t xml:space="preserve"> above points out</w:t>
      </w:r>
      <w:r w:rsidR="0043751E">
        <w:t>,</w:t>
      </w:r>
      <w:r w:rsidRPr="000A289A">
        <w:t xml:space="preserve"> EMTRs and costs of capital for these firms are likely to be significantly lower than for either foreign-controlled firms with low levels of debt or for domestic firms. This is likely to reduce</w:t>
      </w:r>
      <w:r w:rsidR="002646C1">
        <w:t>,</w:t>
      </w:r>
      <w:r w:rsidRPr="000A289A">
        <w:t xml:space="preserve"> rather than increase</w:t>
      </w:r>
      <w:r w:rsidR="002646C1">
        <w:t>,</w:t>
      </w:r>
      <w:r w:rsidRPr="000A289A">
        <w:t xml:space="preserve"> the neutrality of inbound investment. Productivity is likely to be supported more by tax measures that reduce costs </w:t>
      </w:r>
      <w:r w:rsidRPr="000A289A">
        <w:lastRenderedPageBreak/>
        <w:t xml:space="preserve">of capital </w:t>
      </w:r>
      <w:r w:rsidR="0055021C">
        <w:t xml:space="preserve">and EMTRs </w:t>
      </w:r>
      <w:r w:rsidR="00915C89">
        <w:t xml:space="preserve">most when these are relatively high </w:t>
      </w:r>
      <w:r w:rsidR="004D302C">
        <w:t>r</w:t>
      </w:r>
      <w:r w:rsidR="00887EF7">
        <w:t>ather</w:t>
      </w:r>
      <w:r w:rsidRPr="000A289A">
        <w:t xml:space="preserve"> than </w:t>
      </w:r>
      <w:r w:rsidR="00887EF7">
        <w:t>when they are</w:t>
      </w:r>
      <w:r w:rsidRPr="000A289A">
        <w:t xml:space="preserve"> relatively low to start with.</w:t>
      </w:r>
      <w:r w:rsidR="00E30D74">
        <w:t xml:space="preserve"> If future governments wish to reduce EMTRs, the</w:t>
      </w:r>
      <w:r w:rsidR="009513E7">
        <w:t>re is a</w:t>
      </w:r>
      <w:r w:rsidR="00E30D74">
        <w:t xml:space="preserve"> question </w:t>
      </w:r>
      <w:r w:rsidR="00B62A53">
        <w:t xml:space="preserve">of </w:t>
      </w:r>
      <w:r w:rsidR="00E30D74">
        <w:t>whether this is likely to be the most efficient and effective way of doing so.</w:t>
      </w:r>
    </w:p>
    <w:p w14:paraId="2873AE98" w14:textId="324F531E" w:rsidR="001B3AE0" w:rsidRPr="000A289A" w:rsidRDefault="001B3AE0" w:rsidP="00075D72">
      <w:pPr>
        <w:pStyle w:val="NumberedParagraph"/>
      </w:pPr>
      <w:r w:rsidRPr="000A289A">
        <w:t xml:space="preserve">An increase in the safe harbour may only affect a relatively small number of firms. </w:t>
      </w:r>
      <w:r w:rsidR="00EA224B">
        <w:t>T</w:t>
      </w:r>
      <w:r w:rsidRPr="000A289A">
        <w:t xml:space="preserve">here </w:t>
      </w:r>
      <w:r w:rsidR="00BB39EC">
        <w:t>is</w:t>
      </w:r>
      <w:r w:rsidRPr="000A289A">
        <w:t xml:space="preserve"> limited evidence of firms being clustered close to the thin capitalisation safe harbour threshold (see table </w:t>
      </w:r>
      <w:r>
        <w:t>9.2</w:t>
      </w:r>
      <w:r w:rsidRPr="000A289A">
        <w:t>). An increase in the threshold is unlikely to have any effect on costs of capital and EMTRs for the large numbers of foreign</w:t>
      </w:r>
      <w:r w:rsidR="00EC7A39">
        <w:t>-</w:t>
      </w:r>
      <w:r w:rsidRPr="000A289A">
        <w:t xml:space="preserve">controlled firms that are well below it. Of course, not only would this reduce the effectiveness of the measure as a way of promoting investment, </w:t>
      </w:r>
      <w:r w:rsidR="00D65638">
        <w:t xml:space="preserve">but </w:t>
      </w:r>
      <w:r w:rsidRPr="000A289A">
        <w:t>it would also be likely to reduce the fiscal cost.</w:t>
      </w:r>
    </w:p>
    <w:p w14:paraId="78FDD2A2" w14:textId="28347ED7" w:rsidR="001B3AE0" w:rsidRPr="000A289A" w:rsidRDefault="001B3AE0" w:rsidP="008D0B2E">
      <w:pPr>
        <w:pStyle w:val="Caption"/>
        <w:keepLines/>
        <w:ind w:left="-709"/>
        <w:rPr>
          <w:rFonts w:eastAsia="Calibri"/>
          <w:lang w:eastAsia="en-US"/>
        </w:rPr>
      </w:pPr>
      <w:r w:rsidRPr="000A289A">
        <w:rPr>
          <w:rFonts w:eastAsia="Calibri"/>
          <w:lang w:eastAsia="en-US"/>
        </w:rPr>
        <w:t xml:space="preserve">Table </w:t>
      </w:r>
      <w:r>
        <w:rPr>
          <w:rFonts w:eastAsia="Calibri"/>
          <w:lang w:eastAsia="en-US"/>
        </w:rPr>
        <w:t>9.2</w:t>
      </w:r>
      <w:r w:rsidRPr="000A289A">
        <w:rPr>
          <w:rFonts w:eastAsia="Calibri"/>
          <w:lang w:eastAsia="en-US"/>
        </w:rPr>
        <w:t>:</w:t>
      </w:r>
      <w:r>
        <w:rPr>
          <w:rFonts w:eastAsia="Calibri"/>
          <w:lang w:eastAsia="en-US"/>
        </w:rPr>
        <w:t xml:space="preserve"> </w:t>
      </w:r>
      <w:r w:rsidRPr="000A289A">
        <w:rPr>
          <w:rFonts w:eastAsia="Calibri"/>
          <w:lang w:eastAsia="en-US"/>
        </w:rPr>
        <w:t>Debt/(debt+equity) ratios for IQ firms</w:t>
      </w:r>
      <w:r w:rsidRPr="000A289A">
        <w:rPr>
          <w:rFonts w:eastAsia="Calibri"/>
          <w:vertAlign w:val="superscript"/>
          <w:lang w:eastAsia="en-US"/>
        </w:rPr>
        <w:footnoteReference w:id="55"/>
      </w:r>
    </w:p>
    <w:tbl>
      <w:tblPr>
        <w:tblStyle w:val="TableGrid"/>
        <w:tblW w:w="9570" w:type="dxa"/>
        <w:tblInd w:w="-7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63"/>
        <w:gridCol w:w="1063"/>
        <w:gridCol w:w="1064"/>
        <w:gridCol w:w="1063"/>
        <w:gridCol w:w="1063"/>
        <w:gridCol w:w="1064"/>
        <w:gridCol w:w="1063"/>
        <w:gridCol w:w="1063"/>
        <w:gridCol w:w="1064"/>
      </w:tblGrid>
      <w:tr w:rsidR="00D7059B" w:rsidRPr="0016448E" w14:paraId="0A0CD8D3" w14:textId="77777777" w:rsidTr="00740A34">
        <w:trPr>
          <w:tblHeader/>
        </w:trPr>
        <w:tc>
          <w:tcPr>
            <w:tcW w:w="1063" w:type="dxa"/>
            <w:shd w:val="clear" w:color="auto" w:fill="232E36"/>
          </w:tcPr>
          <w:p w14:paraId="405B3CDE" w14:textId="77777777" w:rsidR="0016448E" w:rsidRPr="0016448E" w:rsidRDefault="0016448E" w:rsidP="0016448E">
            <w:pPr>
              <w:keepNext/>
              <w:keepLines/>
              <w:tabs>
                <w:tab w:val="left" w:pos="174"/>
              </w:tabs>
              <w:spacing w:before="120" w:after="120"/>
              <w:jc w:val="center"/>
              <w:rPr>
                <w:b/>
                <w:bCs/>
                <w:color w:val="FFFFFF" w:themeColor="background1"/>
                <w:sz w:val="16"/>
                <w:szCs w:val="16"/>
              </w:rPr>
            </w:pPr>
            <w:r w:rsidRPr="0016448E">
              <w:rPr>
                <w:b/>
                <w:bCs/>
                <w:color w:val="FFFFFF" w:themeColor="background1"/>
                <w:sz w:val="16"/>
                <w:szCs w:val="16"/>
              </w:rPr>
              <w:t>Debt / (Debt + Equity)</w:t>
            </w:r>
          </w:p>
        </w:tc>
        <w:tc>
          <w:tcPr>
            <w:tcW w:w="1063" w:type="dxa"/>
            <w:shd w:val="clear" w:color="auto" w:fill="232E36"/>
          </w:tcPr>
          <w:p w14:paraId="073AF458" w14:textId="77777777" w:rsidR="0016448E" w:rsidRPr="0016448E" w:rsidRDefault="0016448E" w:rsidP="0016448E">
            <w:pPr>
              <w:keepNext/>
              <w:keepLines/>
              <w:tabs>
                <w:tab w:val="left" w:pos="174"/>
              </w:tabs>
              <w:spacing w:before="120" w:after="120"/>
              <w:jc w:val="center"/>
              <w:rPr>
                <w:b/>
                <w:bCs/>
                <w:color w:val="FFFFFF" w:themeColor="background1"/>
                <w:sz w:val="16"/>
                <w:szCs w:val="16"/>
              </w:rPr>
            </w:pPr>
            <w:r w:rsidRPr="0016448E">
              <w:rPr>
                <w:b/>
                <w:bCs/>
                <w:color w:val="FFFFFF" w:themeColor="background1"/>
                <w:sz w:val="16"/>
                <w:szCs w:val="16"/>
              </w:rPr>
              <w:t>Numbers</w:t>
            </w:r>
          </w:p>
        </w:tc>
        <w:tc>
          <w:tcPr>
            <w:tcW w:w="1064" w:type="dxa"/>
            <w:shd w:val="clear" w:color="auto" w:fill="232E36"/>
          </w:tcPr>
          <w:p w14:paraId="7BBC8E1C" w14:textId="77777777" w:rsidR="0016448E" w:rsidRPr="0016448E" w:rsidRDefault="0016448E" w:rsidP="0016448E">
            <w:pPr>
              <w:keepNext/>
              <w:keepLines/>
              <w:tabs>
                <w:tab w:val="left" w:pos="174"/>
              </w:tabs>
              <w:spacing w:before="120" w:after="120"/>
              <w:jc w:val="center"/>
              <w:rPr>
                <w:b/>
                <w:bCs/>
                <w:color w:val="FFFFFF" w:themeColor="background1"/>
                <w:sz w:val="16"/>
                <w:szCs w:val="16"/>
              </w:rPr>
            </w:pPr>
            <w:r w:rsidRPr="0016448E">
              <w:rPr>
                <w:b/>
                <w:bCs/>
                <w:color w:val="FFFFFF" w:themeColor="background1"/>
                <w:sz w:val="16"/>
                <w:szCs w:val="16"/>
              </w:rPr>
              <w:t xml:space="preserve">% </w:t>
            </w:r>
            <w:proofErr w:type="gramStart"/>
            <w:r w:rsidRPr="0016448E">
              <w:rPr>
                <w:b/>
                <w:bCs/>
                <w:color w:val="FFFFFF" w:themeColor="background1"/>
                <w:sz w:val="16"/>
                <w:szCs w:val="16"/>
              </w:rPr>
              <w:t>of</w:t>
            </w:r>
            <w:proofErr w:type="gramEnd"/>
            <w:r w:rsidRPr="0016448E">
              <w:rPr>
                <w:b/>
                <w:bCs/>
                <w:color w:val="FFFFFF" w:themeColor="background1"/>
                <w:sz w:val="16"/>
                <w:szCs w:val="16"/>
              </w:rPr>
              <w:t xml:space="preserve"> total groups</w:t>
            </w:r>
          </w:p>
        </w:tc>
        <w:tc>
          <w:tcPr>
            <w:tcW w:w="1063" w:type="dxa"/>
            <w:shd w:val="clear" w:color="auto" w:fill="232E36"/>
            <w:tcMar>
              <w:left w:w="57" w:type="dxa"/>
              <w:right w:w="57" w:type="dxa"/>
            </w:tcMar>
          </w:tcPr>
          <w:p w14:paraId="0BA4C694" w14:textId="77777777" w:rsidR="0016448E" w:rsidRPr="0016448E" w:rsidRDefault="0016448E" w:rsidP="0016448E">
            <w:pPr>
              <w:keepNext/>
              <w:keepLines/>
              <w:tabs>
                <w:tab w:val="left" w:pos="174"/>
              </w:tabs>
              <w:spacing w:before="120" w:after="120"/>
              <w:jc w:val="center"/>
              <w:rPr>
                <w:b/>
                <w:bCs/>
                <w:color w:val="FFFFFF" w:themeColor="background1"/>
                <w:sz w:val="16"/>
                <w:szCs w:val="16"/>
              </w:rPr>
            </w:pPr>
            <w:r w:rsidRPr="0016448E">
              <w:rPr>
                <w:b/>
                <w:bCs/>
                <w:color w:val="FFFFFF" w:themeColor="background1"/>
                <w:sz w:val="16"/>
                <w:szCs w:val="16"/>
              </w:rPr>
              <w:t xml:space="preserve">Debt </w:t>
            </w:r>
            <w:r w:rsidRPr="0016448E">
              <w:rPr>
                <w:b/>
                <w:bCs/>
                <w:color w:val="FFFFFF" w:themeColor="background1"/>
                <w:sz w:val="16"/>
                <w:szCs w:val="16"/>
              </w:rPr>
              <w:br/>
              <w:t>($ billion)</w:t>
            </w:r>
          </w:p>
        </w:tc>
        <w:tc>
          <w:tcPr>
            <w:tcW w:w="1063" w:type="dxa"/>
            <w:shd w:val="clear" w:color="auto" w:fill="232E36"/>
          </w:tcPr>
          <w:p w14:paraId="4B62DFBA" w14:textId="77777777" w:rsidR="0016448E" w:rsidRPr="0016448E" w:rsidRDefault="0016448E" w:rsidP="0016448E">
            <w:pPr>
              <w:keepNext/>
              <w:keepLines/>
              <w:tabs>
                <w:tab w:val="left" w:pos="174"/>
              </w:tabs>
              <w:spacing w:before="120" w:after="120"/>
              <w:jc w:val="center"/>
              <w:rPr>
                <w:b/>
                <w:bCs/>
                <w:color w:val="FFFFFF" w:themeColor="background1"/>
                <w:sz w:val="16"/>
                <w:szCs w:val="16"/>
              </w:rPr>
            </w:pPr>
            <w:r w:rsidRPr="0016448E">
              <w:rPr>
                <w:b/>
                <w:bCs/>
                <w:color w:val="FFFFFF" w:themeColor="background1"/>
                <w:sz w:val="16"/>
                <w:szCs w:val="16"/>
              </w:rPr>
              <w:t xml:space="preserve">% </w:t>
            </w:r>
            <w:proofErr w:type="gramStart"/>
            <w:r w:rsidRPr="0016448E">
              <w:rPr>
                <w:b/>
                <w:bCs/>
                <w:color w:val="FFFFFF" w:themeColor="background1"/>
                <w:sz w:val="16"/>
                <w:szCs w:val="16"/>
              </w:rPr>
              <w:t>of</w:t>
            </w:r>
            <w:proofErr w:type="gramEnd"/>
            <w:r w:rsidRPr="0016448E">
              <w:rPr>
                <w:b/>
                <w:bCs/>
                <w:color w:val="FFFFFF" w:themeColor="background1"/>
                <w:sz w:val="16"/>
                <w:szCs w:val="16"/>
              </w:rPr>
              <w:t xml:space="preserve"> total debt</w:t>
            </w:r>
          </w:p>
        </w:tc>
        <w:tc>
          <w:tcPr>
            <w:tcW w:w="1064" w:type="dxa"/>
            <w:shd w:val="clear" w:color="auto" w:fill="232E36"/>
            <w:tcMar>
              <w:left w:w="57" w:type="dxa"/>
              <w:right w:w="57" w:type="dxa"/>
            </w:tcMar>
          </w:tcPr>
          <w:p w14:paraId="2B2DB2BF" w14:textId="77777777" w:rsidR="0016448E" w:rsidRPr="0016448E" w:rsidRDefault="0016448E" w:rsidP="0016448E">
            <w:pPr>
              <w:keepNext/>
              <w:keepLines/>
              <w:tabs>
                <w:tab w:val="left" w:pos="174"/>
              </w:tabs>
              <w:spacing w:before="120" w:after="120"/>
              <w:jc w:val="center"/>
              <w:rPr>
                <w:b/>
                <w:bCs/>
                <w:color w:val="FFFFFF" w:themeColor="background1"/>
                <w:sz w:val="16"/>
                <w:szCs w:val="16"/>
              </w:rPr>
            </w:pPr>
            <w:r w:rsidRPr="0016448E">
              <w:rPr>
                <w:b/>
                <w:bCs/>
                <w:color w:val="FFFFFF" w:themeColor="background1"/>
                <w:sz w:val="16"/>
                <w:szCs w:val="16"/>
              </w:rPr>
              <w:t xml:space="preserve">Equity </w:t>
            </w:r>
            <w:r w:rsidRPr="0016448E">
              <w:rPr>
                <w:b/>
                <w:bCs/>
                <w:color w:val="FFFFFF" w:themeColor="background1"/>
                <w:sz w:val="16"/>
                <w:szCs w:val="16"/>
              </w:rPr>
              <w:br/>
              <w:t>($ billion)</w:t>
            </w:r>
          </w:p>
        </w:tc>
        <w:tc>
          <w:tcPr>
            <w:tcW w:w="1063" w:type="dxa"/>
            <w:shd w:val="clear" w:color="auto" w:fill="232E36"/>
          </w:tcPr>
          <w:p w14:paraId="132F0A81" w14:textId="77777777" w:rsidR="0016448E" w:rsidRPr="0016448E" w:rsidRDefault="0016448E" w:rsidP="0016448E">
            <w:pPr>
              <w:keepNext/>
              <w:keepLines/>
              <w:tabs>
                <w:tab w:val="left" w:pos="174"/>
              </w:tabs>
              <w:spacing w:before="120" w:after="120"/>
              <w:jc w:val="center"/>
              <w:rPr>
                <w:b/>
                <w:bCs/>
                <w:color w:val="FFFFFF" w:themeColor="background1"/>
                <w:sz w:val="16"/>
                <w:szCs w:val="16"/>
              </w:rPr>
            </w:pPr>
            <w:r w:rsidRPr="0016448E">
              <w:rPr>
                <w:b/>
                <w:bCs/>
                <w:color w:val="FFFFFF" w:themeColor="background1"/>
                <w:sz w:val="16"/>
                <w:szCs w:val="16"/>
              </w:rPr>
              <w:t xml:space="preserve">% </w:t>
            </w:r>
            <w:proofErr w:type="gramStart"/>
            <w:r w:rsidRPr="0016448E">
              <w:rPr>
                <w:b/>
                <w:bCs/>
                <w:color w:val="FFFFFF" w:themeColor="background1"/>
                <w:sz w:val="16"/>
                <w:szCs w:val="16"/>
              </w:rPr>
              <w:t>of</w:t>
            </w:r>
            <w:proofErr w:type="gramEnd"/>
            <w:r w:rsidRPr="0016448E">
              <w:rPr>
                <w:b/>
                <w:bCs/>
                <w:color w:val="FFFFFF" w:themeColor="background1"/>
                <w:sz w:val="16"/>
                <w:szCs w:val="16"/>
              </w:rPr>
              <w:t xml:space="preserve"> total equity</w:t>
            </w:r>
          </w:p>
        </w:tc>
        <w:tc>
          <w:tcPr>
            <w:tcW w:w="1063" w:type="dxa"/>
            <w:shd w:val="clear" w:color="auto" w:fill="232E36"/>
            <w:tcMar>
              <w:left w:w="57" w:type="dxa"/>
              <w:right w:w="57" w:type="dxa"/>
            </w:tcMar>
          </w:tcPr>
          <w:p w14:paraId="0EB2A46C" w14:textId="77777777" w:rsidR="0016448E" w:rsidRPr="0016448E" w:rsidRDefault="0016448E" w:rsidP="0016448E">
            <w:pPr>
              <w:keepNext/>
              <w:keepLines/>
              <w:tabs>
                <w:tab w:val="left" w:pos="174"/>
              </w:tabs>
              <w:spacing w:before="120" w:after="120"/>
              <w:jc w:val="center"/>
              <w:rPr>
                <w:b/>
                <w:bCs/>
                <w:color w:val="FFFFFF" w:themeColor="background1"/>
                <w:sz w:val="16"/>
                <w:szCs w:val="16"/>
              </w:rPr>
            </w:pPr>
            <w:r w:rsidRPr="0016448E">
              <w:rPr>
                <w:b/>
                <w:bCs/>
                <w:color w:val="FFFFFF" w:themeColor="background1"/>
                <w:sz w:val="16"/>
                <w:szCs w:val="16"/>
              </w:rPr>
              <w:t xml:space="preserve">Debt + equity </w:t>
            </w:r>
            <w:r w:rsidRPr="0016448E">
              <w:rPr>
                <w:b/>
                <w:bCs/>
                <w:color w:val="FFFFFF" w:themeColor="background1"/>
                <w:sz w:val="16"/>
                <w:szCs w:val="16"/>
              </w:rPr>
              <w:br/>
              <w:t>($ billion)</w:t>
            </w:r>
          </w:p>
        </w:tc>
        <w:tc>
          <w:tcPr>
            <w:tcW w:w="1064" w:type="dxa"/>
            <w:shd w:val="clear" w:color="auto" w:fill="232E36"/>
          </w:tcPr>
          <w:p w14:paraId="765A877E" w14:textId="77777777" w:rsidR="0016448E" w:rsidRPr="0016448E" w:rsidRDefault="0016448E" w:rsidP="0016448E">
            <w:pPr>
              <w:keepNext/>
              <w:keepLines/>
              <w:tabs>
                <w:tab w:val="left" w:pos="174"/>
              </w:tabs>
              <w:spacing w:before="120" w:after="120"/>
              <w:jc w:val="center"/>
              <w:rPr>
                <w:b/>
                <w:bCs/>
                <w:color w:val="FFFFFF" w:themeColor="background1"/>
                <w:sz w:val="16"/>
                <w:szCs w:val="16"/>
              </w:rPr>
            </w:pPr>
            <w:r w:rsidRPr="0016448E">
              <w:rPr>
                <w:b/>
                <w:bCs/>
                <w:color w:val="FFFFFF" w:themeColor="background1"/>
                <w:sz w:val="16"/>
                <w:szCs w:val="16"/>
              </w:rPr>
              <w:t xml:space="preserve">% </w:t>
            </w:r>
            <w:proofErr w:type="gramStart"/>
            <w:r w:rsidRPr="0016448E">
              <w:rPr>
                <w:b/>
                <w:bCs/>
                <w:color w:val="FFFFFF" w:themeColor="background1"/>
                <w:sz w:val="16"/>
                <w:szCs w:val="16"/>
              </w:rPr>
              <w:t>of</w:t>
            </w:r>
            <w:proofErr w:type="gramEnd"/>
            <w:r w:rsidRPr="0016448E">
              <w:rPr>
                <w:b/>
                <w:bCs/>
                <w:color w:val="FFFFFF" w:themeColor="background1"/>
                <w:sz w:val="16"/>
                <w:szCs w:val="16"/>
              </w:rPr>
              <w:t xml:space="preserve"> total debt + equity)</w:t>
            </w:r>
          </w:p>
        </w:tc>
      </w:tr>
      <w:tr w:rsidR="00583D63" w:rsidRPr="0016448E" w14:paraId="4214DDAD" w14:textId="77777777" w:rsidTr="00740A34">
        <w:tc>
          <w:tcPr>
            <w:tcW w:w="1063" w:type="dxa"/>
          </w:tcPr>
          <w:p w14:paraId="29E6C76F" w14:textId="77777777" w:rsidR="0016448E" w:rsidRPr="0016448E" w:rsidRDefault="0016448E" w:rsidP="0016448E">
            <w:pPr>
              <w:keepNext/>
              <w:keepLines/>
              <w:tabs>
                <w:tab w:val="left" w:pos="174"/>
              </w:tabs>
              <w:spacing w:before="60" w:after="60"/>
              <w:jc w:val="left"/>
              <w:rPr>
                <w:b/>
                <w:bCs/>
                <w:sz w:val="16"/>
                <w:szCs w:val="16"/>
              </w:rPr>
            </w:pPr>
            <w:r w:rsidRPr="0016448E">
              <w:rPr>
                <w:b/>
                <w:bCs/>
                <w:sz w:val="16"/>
                <w:szCs w:val="16"/>
              </w:rPr>
              <w:t>0%</w:t>
            </w:r>
          </w:p>
        </w:tc>
        <w:tc>
          <w:tcPr>
            <w:tcW w:w="1063" w:type="dxa"/>
            <w:shd w:val="clear" w:color="auto" w:fill="auto"/>
            <w:vAlign w:val="bottom"/>
          </w:tcPr>
          <w:p w14:paraId="157DAA52" w14:textId="77777777" w:rsidR="0016448E" w:rsidRPr="0016448E" w:rsidRDefault="0016448E" w:rsidP="0016448E">
            <w:pPr>
              <w:keepNext/>
              <w:keepLines/>
              <w:spacing w:before="60" w:after="60"/>
              <w:jc w:val="right"/>
              <w:rPr>
                <w:sz w:val="16"/>
                <w:szCs w:val="16"/>
              </w:rPr>
            </w:pPr>
            <w:r w:rsidRPr="0016448E">
              <w:rPr>
                <w:sz w:val="16"/>
                <w:szCs w:val="16"/>
              </w:rPr>
              <w:t>259</w:t>
            </w:r>
          </w:p>
        </w:tc>
        <w:tc>
          <w:tcPr>
            <w:tcW w:w="1064" w:type="dxa"/>
            <w:vAlign w:val="center"/>
          </w:tcPr>
          <w:p w14:paraId="10FBB9B9" w14:textId="77777777" w:rsidR="0016448E" w:rsidRPr="0016448E" w:rsidRDefault="0016448E" w:rsidP="0016448E">
            <w:pPr>
              <w:keepNext/>
              <w:keepLines/>
              <w:spacing w:before="60" w:after="60"/>
              <w:jc w:val="right"/>
              <w:rPr>
                <w:sz w:val="16"/>
                <w:szCs w:val="16"/>
              </w:rPr>
            </w:pPr>
            <w:r w:rsidRPr="0016448E">
              <w:rPr>
                <w:sz w:val="16"/>
                <w:szCs w:val="16"/>
              </w:rPr>
              <w:t>44.1%</w:t>
            </w:r>
          </w:p>
        </w:tc>
        <w:tc>
          <w:tcPr>
            <w:tcW w:w="1063" w:type="dxa"/>
            <w:vAlign w:val="center"/>
          </w:tcPr>
          <w:p w14:paraId="2410AEF2" w14:textId="77777777" w:rsidR="0016448E" w:rsidRPr="0016448E" w:rsidRDefault="0016448E" w:rsidP="0016448E">
            <w:pPr>
              <w:keepNext/>
              <w:keepLines/>
              <w:spacing w:before="60" w:after="60"/>
              <w:jc w:val="right"/>
              <w:rPr>
                <w:sz w:val="16"/>
                <w:szCs w:val="16"/>
              </w:rPr>
            </w:pPr>
            <w:r w:rsidRPr="0016448E">
              <w:rPr>
                <w:sz w:val="16"/>
                <w:szCs w:val="16"/>
              </w:rPr>
              <w:t>0.000</w:t>
            </w:r>
          </w:p>
        </w:tc>
        <w:tc>
          <w:tcPr>
            <w:tcW w:w="1063" w:type="dxa"/>
          </w:tcPr>
          <w:p w14:paraId="2F14515B" w14:textId="77777777" w:rsidR="0016448E" w:rsidRPr="0016448E" w:rsidRDefault="0016448E" w:rsidP="0016448E">
            <w:pPr>
              <w:keepNext/>
              <w:keepLines/>
              <w:spacing w:before="60" w:after="60"/>
              <w:jc w:val="right"/>
              <w:rPr>
                <w:sz w:val="16"/>
                <w:szCs w:val="16"/>
              </w:rPr>
            </w:pPr>
            <w:r w:rsidRPr="0016448E">
              <w:rPr>
                <w:sz w:val="16"/>
                <w:szCs w:val="16"/>
              </w:rPr>
              <w:t>0.0%</w:t>
            </w:r>
          </w:p>
        </w:tc>
        <w:tc>
          <w:tcPr>
            <w:tcW w:w="1064" w:type="dxa"/>
            <w:vAlign w:val="center"/>
          </w:tcPr>
          <w:p w14:paraId="3981E8ED" w14:textId="77777777" w:rsidR="0016448E" w:rsidRPr="0016448E" w:rsidRDefault="0016448E" w:rsidP="0016448E">
            <w:pPr>
              <w:keepNext/>
              <w:keepLines/>
              <w:spacing w:before="60" w:after="60"/>
              <w:jc w:val="right"/>
              <w:rPr>
                <w:sz w:val="16"/>
                <w:szCs w:val="16"/>
              </w:rPr>
            </w:pPr>
            <w:r w:rsidRPr="0016448E">
              <w:rPr>
                <w:sz w:val="16"/>
                <w:szCs w:val="16"/>
              </w:rPr>
              <w:t>14.263</w:t>
            </w:r>
          </w:p>
        </w:tc>
        <w:tc>
          <w:tcPr>
            <w:tcW w:w="1063" w:type="dxa"/>
          </w:tcPr>
          <w:p w14:paraId="47D18FE8" w14:textId="77777777" w:rsidR="0016448E" w:rsidRPr="0016448E" w:rsidRDefault="0016448E" w:rsidP="0016448E">
            <w:pPr>
              <w:keepNext/>
              <w:keepLines/>
              <w:spacing w:before="60" w:after="60"/>
              <w:jc w:val="right"/>
              <w:rPr>
                <w:sz w:val="16"/>
                <w:szCs w:val="16"/>
              </w:rPr>
            </w:pPr>
            <w:r w:rsidRPr="0016448E">
              <w:rPr>
                <w:sz w:val="16"/>
                <w:szCs w:val="16"/>
              </w:rPr>
              <w:t>27.3%</w:t>
            </w:r>
          </w:p>
        </w:tc>
        <w:tc>
          <w:tcPr>
            <w:tcW w:w="1063" w:type="dxa"/>
            <w:vAlign w:val="center"/>
          </w:tcPr>
          <w:p w14:paraId="4D8A9FE1" w14:textId="77777777" w:rsidR="0016448E" w:rsidRPr="0016448E" w:rsidRDefault="0016448E" w:rsidP="0016448E">
            <w:pPr>
              <w:keepNext/>
              <w:keepLines/>
              <w:spacing w:before="60" w:after="60"/>
              <w:jc w:val="right"/>
              <w:rPr>
                <w:sz w:val="16"/>
                <w:szCs w:val="16"/>
              </w:rPr>
            </w:pPr>
            <w:r w:rsidRPr="0016448E">
              <w:rPr>
                <w:sz w:val="16"/>
                <w:szCs w:val="16"/>
              </w:rPr>
              <w:t>14.264</w:t>
            </w:r>
          </w:p>
        </w:tc>
        <w:tc>
          <w:tcPr>
            <w:tcW w:w="1064" w:type="dxa"/>
          </w:tcPr>
          <w:p w14:paraId="5A246A75" w14:textId="77777777" w:rsidR="0016448E" w:rsidRPr="0016448E" w:rsidRDefault="0016448E" w:rsidP="0016448E">
            <w:pPr>
              <w:keepNext/>
              <w:keepLines/>
              <w:spacing w:before="60" w:after="60"/>
              <w:jc w:val="right"/>
              <w:rPr>
                <w:sz w:val="16"/>
                <w:szCs w:val="16"/>
              </w:rPr>
            </w:pPr>
            <w:r w:rsidRPr="0016448E">
              <w:rPr>
                <w:sz w:val="16"/>
                <w:szCs w:val="16"/>
              </w:rPr>
              <w:t>15.6%</w:t>
            </w:r>
          </w:p>
        </w:tc>
      </w:tr>
      <w:tr w:rsidR="00583D63" w:rsidRPr="0016448E" w14:paraId="275A8963" w14:textId="77777777" w:rsidTr="00740A34">
        <w:tc>
          <w:tcPr>
            <w:tcW w:w="1063" w:type="dxa"/>
          </w:tcPr>
          <w:p w14:paraId="35890127" w14:textId="77777777" w:rsidR="0016448E" w:rsidRPr="0016448E" w:rsidRDefault="0016448E" w:rsidP="0016448E">
            <w:pPr>
              <w:keepNext/>
              <w:keepLines/>
              <w:tabs>
                <w:tab w:val="left" w:pos="174"/>
              </w:tabs>
              <w:spacing w:before="60" w:after="60"/>
              <w:jc w:val="left"/>
              <w:rPr>
                <w:b/>
                <w:bCs/>
                <w:sz w:val="16"/>
                <w:szCs w:val="16"/>
              </w:rPr>
            </w:pPr>
            <w:r w:rsidRPr="0016448E">
              <w:rPr>
                <w:b/>
                <w:bCs/>
                <w:sz w:val="16"/>
                <w:szCs w:val="16"/>
              </w:rPr>
              <w:t>to 10%</w:t>
            </w:r>
          </w:p>
        </w:tc>
        <w:tc>
          <w:tcPr>
            <w:tcW w:w="1063" w:type="dxa"/>
            <w:shd w:val="clear" w:color="auto" w:fill="auto"/>
            <w:vAlign w:val="bottom"/>
          </w:tcPr>
          <w:p w14:paraId="63FDFDB2" w14:textId="77777777" w:rsidR="0016448E" w:rsidRPr="0016448E" w:rsidRDefault="0016448E" w:rsidP="0016448E">
            <w:pPr>
              <w:keepNext/>
              <w:keepLines/>
              <w:spacing w:before="60" w:after="60"/>
              <w:jc w:val="right"/>
              <w:rPr>
                <w:sz w:val="16"/>
                <w:szCs w:val="16"/>
              </w:rPr>
            </w:pPr>
            <w:r w:rsidRPr="0016448E">
              <w:rPr>
                <w:sz w:val="16"/>
                <w:szCs w:val="16"/>
              </w:rPr>
              <w:t>34</w:t>
            </w:r>
          </w:p>
        </w:tc>
        <w:tc>
          <w:tcPr>
            <w:tcW w:w="1064" w:type="dxa"/>
            <w:vAlign w:val="center"/>
          </w:tcPr>
          <w:p w14:paraId="21FA8F46" w14:textId="77777777" w:rsidR="0016448E" w:rsidRPr="0016448E" w:rsidRDefault="0016448E" w:rsidP="0016448E">
            <w:pPr>
              <w:keepNext/>
              <w:keepLines/>
              <w:spacing w:before="60" w:after="60"/>
              <w:jc w:val="right"/>
              <w:rPr>
                <w:sz w:val="16"/>
                <w:szCs w:val="16"/>
              </w:rPr>
            </w:pPr>
            <w:r w:rsidRPr="0016448E">
              <w:rPr>
                <w:sz w:val="16"/>
                <w:szCs w:val="16"/>
              </w:rPr>
              <w:t>5.8%</w:t>
            </w:r>
          </w:p>
        </w:tc>
        <w:tc>
          <w:tcPr>
            <w:tcW w:w="1063" w:type="dxa"/>
            <w:vAlign w:val="center"/>
          </w:tcPr>
          <w:p w14:paraId="245742B4" w14:textId="77777777" w:rsidR="0016448E" w:rsidRPr="0016448E" w:rsidRDefault="0016448E" w:rsidP="0016448E">
            <w:pPr>
              <w:keepNext/>
              <w:keepLines/>
              <w:spacing w:before="60" w:after="60"/>
              <w:jc w:val="right"/>
              <w:rPr>
                <w:sz w:val="16"/>
                <w:szCs w:val="16"/>
              </w:rPr>
            </w:pPr>
            <w:r w:rsidRPr="0016448E">
              <w:rPr>
                <w:sz w:val="16"/>
                <w:szCs w:val="16"/>
              </w:rPr>
              <w:t>0.320</w:t>
            </w:r>
          </w:p>
        </w:tc>
        <w:tc>
          <w:tcPr>
            <w:tcW w:w="1063" w:type="dxa"/>
          </w:tcPr>
          <w:p w14:paraId="42A6B7CD" w14:textId="77777777" w:rsidR="0016448E" w:rsidRPr="0016448E" w:rsidRDefault="0016448E" w:rsidP="0016448E">
            <w:pPr>
              <w:keepNext/>
              <w:keepLines/>
              <w:spacing w:before="60" w:after="60"/>
              <w:jc w:val="right"/>
              <w:rPr>
                <w:sz w:val="16"/>
                <w:szCs w:val="16"/>
              </w:rPr>
            </w:pPr>
            <w:r w:rsidRPr="0016448E">
              <w:rPr>
                <w:sz w:val="16"/>
                <w:szCs w:val="16"/>
              </w:rPr>
              <w:t>0.8%</w:t>
            </w:r>
          </w:p>
        </w:tc>
        <w:tc>
          <w:tcPr>
            <w:tcW w:w="1064" w:type="dxa"/>
            <w:vAlign w:val="center"/>
          </w:tcPr>
          <w:p w14:paraId="10E60719" w14:textId="77777777" w:rsidR="0016448E" w:rsidRPr="0016448E" w:rsidRDefault="0016448E" w:rsidP="0016448E">
            <w:pPr>
              <w:keepNext/>
              <w:keepLines/>
              <w:spacing w:before="60" w:after="60"/>
              <w:jc w:val="right"/>
              <w:rPr>
                <w:sz w:val="16"/>
                <w:szCs w:val="16"/>
              </w:rPr>
            </w:pPr>
            <w:r w:rsidRPr="0016448E">
              <w:rPr>
                <w:sz w:val="16"/>
                <w:szCs w:val="16"/>
              </w:rPr>
              <w:t>4.619</w:t>
            </w:r>
          </w:p>
        </w:tc>
        <w:tc>
          <w:tcPr>
            <w:tcW w:w="1063" w:type="dxa"/>
          </w:tcPr>
          <w:p w14:paraId="63AAF277" w14:textId="77777777" w:rsidR="0016448E" w:rsidRPr="0016448E" w:rsidRDefault="0016448E" w:rsidP="0016448E">
            <w:pPr>
              <w:keepNext/>
              <w:keepLines/>
              <w:spacing w:before="60" w:after="60"/>
              <w:jc w:val="right"/>
              <w:rPr>
                <w:sz w:val="16"/>
                <w:szCs w:val="16"/>
              </w:rPr>
            </w:pPr>
            <w:r w:rsidRPr="0016448E">
              <w:rPr>
                <w:sz w:val="16"/>
                <w:szCs w:val="16"/>
              </w:rPr>
              <w:t>8.8%</w:t>
            </w:r>
          </w:p>
        </w:tc>
        <w:tc>
          <w:tcPr>
            <w:tcW w:w="1063" w:type="dxa"/>
            <w:vAlign w:val="center"/>
          </w:tcPr>
          <w:p w14:paraId="3024BBC3" w14:textId="77777777" w:rsidR="0016448E" w:rsidRPr="0016448E" w:rsidRDefault="0016448E" w:rsidP="0016448E">
            <w:pPr>
              <w:keepNext/>
              <w:keepLines/>
              <w:spacing w:before="60" w:after="60"/>
              <w:jc w:val="right"/>
              <w:rPr>
                <w:sz w:val="16"/>
                <w:szCs w:val="16"/>
              </w:rPr>
            </w:pPr>
            <w:r w:rsidRPr="0016448E">
              <w:rPr>
                <w:sz w:val="16"/>
                <w:szCs w:val="16"/>
              </w:rPr>
              <w:t>4.939</w:t>
            </w:r>
          </w:p>
        </w:tc>
        <w:tc>
          <w:tcPr>
            <w:tcW w:w="1064" w:type="dxa"/>
          </w:tcPr>
          <w:p w14:paraId="0C43FD56" w14:textId="77777777" w:rsidR="0016448E" w:rsidRPr="0016448E" w:rsidRDefault="0016448E" w:rsidP="0016448E">
            <w:pPr>
              <w:keepNext/>
              <w:keepLines/>
              <w:spacing w:before="60" w:after="60"/>
              <w:jc w:val="right"/>
              <w:rPr>
                <w:sz w:val="16"/>
                <w:szCs w:val="16"/>
              </w:rPr>
            </w:pPr>
            <w:r w:rsidRPr="0016448E">
              <w:rPr>
                <w:sz w:val="16"/>
                <w:szCs w:val="16"/>
              </w:rPr>
              <w:t>5.4%</w:t>
            </w:r>
          </w:p>
        </w:tc>
      </w:tr>
      <w:tr w:rsidR="00583D63" w:rsidRPr="0016448E" w14:paraId="5DBEC308" w14:textId="77777777" w:rsidTr="00740A34">
        <w:tc>
          <w:tcPr>
            <w:tcW w:w="1063" w:type="dxa"/>
          </w:tcPr>
          <w:p w14:paraId="575556D5" w14:textId="77777777" w:rsidR="0016448E" w:rsidRPr="0016448E" w:rsidRDefault="0016448E" w:rsidP="0016448E">
            <w:pPr>
              <w:keepNext/>
              <w:keepLines/>
              <w:tabs>
                <w:tab w:val="left" w:pos="174"/>
              </w:tabs>
              <w:spacing w:before="60" w:after="60"/>
              <w:jc w:val="left"/>
              <w:rPr>
                <w:b/>
                <w:bCs/>
                <w:sz w:val="16"/>
                <w:szCs w:val="16"/>
              </w:rPr>
            </w:pPr>
            <w:r w:rsidRPr="0016448E">
              <w:rPr>
                <w:b/>
                <w:bCs/>
                <w:sz w:val="16"/>
                <w:szCs w:val="16"/>
              </w:rPr>
              <w:t>to 20%</w:t>
            </w:r>
          </w:p>
        </w:tc>
        <w:tc>
          <w:tcPr>
            <w:tcW w:w="1063" w:type="dxa"/>
            <w:shd w:val="clear" w:color="auto" w:fill="auto"/>
            <w:vAlign w:val="bottom"/>
          </w:tcPr>
          <w:p w14:paraId="7FF1083C" w14:textId="77777777" w:rsidR="0016448E" w:rsidRPr="0016448E" w:rsidRDefault="0016448E" w:rsidP="0016448E">
            <w:pPr>
              <w:keepNext/>
              <w:keepLines/>
              <w:spacing w:before="60" w:after="60"/>
              <w:jc w:val="right"/>
              <w:rPr>
                <w:sz w:val="16"/>
                <w:szCs w:val="16"/>
              </w:rPr>
            </w:pPr>
            <w:r w:rsidRPr="0016448E">
              <w:rPr>
                <w:sz w:val="16"/>
                <w:szCs w:val="16"/>
              </w:rPr>
              <w:t>28</w:t>
            </w:r>
          </w:p>
        </w:tc>
        <w:tc>
          <w:tcPr>
            <w:tcW w:w="1064" w:type="dxa"/>
          </w:tcPr>
          <w:p w14:paraId="5CD5E459" w14:textId="77777777" w:rsidR="0016448E" w:rsidRPr="0016448E" w:rsidRDefault="0016448E" w:rsidP="0016448E">
            <w:pPr>
              <w:keepNext/>
              <w:keepLines/>
              <w:spacing w:before="60" w:after="60"/>
              <w:jc w:val="right"/>
              <w:rPr>
                <w:sz w:val="16"/>
                <w:szCs w:val="16"/>
              </w:rPr>
            </w:pPr>
            <w:r w:rsidRPr="0016448E">
              <w:rPr>
                <w:sz w:val="16"/>
                <w:szCs w:val="16"/>
              </w:rPr>
              <w:t>4.8%</w:t>
            </w:r>
          </w:p>
        </w:tc>
        <w:tc>
          <w:tcPr>
            <w:tcW w:w="1063" w:type="dxa"/>
            <w:vAlign w:val="center"/>
          </w:tcPr>
          <w:p w14:paraId="14A62298" w14:textId="77777777" w:rsidR="0016448E" w:rsidRPr="0016448E" w:rsidRDefault="0016448E" w:rsidP="0016448E">
            <w:pPr>
              <w:keepNext/>
              <w:keepLines/>
              <w:spacing w:before="60" w:after="60"/>
              <w:jc w:val="right"/>
              <w:rPr>
                <w:sz w:val="16"/>
                <w:szCs w:val="16"/>
              </w:rPr>
            </w:pPr>
            <w:r w:rsidRPr="0016448E">
              <w:rPr>
                <w:sz w:val="16"/>
                <w:szCs w:val="16"/>
              </w:rPr>
              <w:t>0.719</w:t>
            </w:r>
          </w:p>
        </w:tc>
        <w:tc>
          <w:tcPr>
            <w:tcW w:w="1063" w:type="dxa"/>
          </w:tcPr>
          <w:p w14:paraId="4489E926" w14:textId="77777777" w:rsidR="0016448E" w:rsidRPr="0016448E" w:rsidRDefault="0016448E" w:rsidP="0016448E">
            <w:pPr>
              <w:keepNext/>
              <w:keepLines/>
              <w:spacing w:before="60" w:after="60"/>
              <w:jc w:val="right"/>
              <w:rPr>
                <w:sz w:val="16"/>
                <w:szCs w:val="16"/>
              </w:rPr>
            </w:pPr>
            <w:r w:rsidRPr="0016448E">
              <w:rPr>
                <w:sz w:val="16"/>
                <w:szCs w:val="16"/>
              </w:rPr>
              <w:t>1.8%</w:t>
            </w:r>
          </w:p>
        </w:tc>
        <w:tc>
          <w:tcPr>
            <w:tcW w:w="1064" w:type="dxa"/>
            <w:vAlign w:val="center"/>
          </w:tcPr>
          <w:p w14:paraId="79C23F07" w14:textId="77777777" w:rsidR="0016448E" w:rsidRPr="0016448E" w:rsidRDefault="0016448E" w:rsidP="0016448E">
            <w:pPr>
              <w:keepNext/>
              <w:keepLines/>
              <w:spacing w:before="60" w:after="60"/>
              <w:jc w:val="right"/>
              <w:rPr>
                <w:sz w:val="16"/>
                <w:szCs w:val="16"/>
              </w:rPr>
            </w:pPr>
            <w:r w:rsidRPr="0016448E">
              <w:rPr>
                <w:sz w:val="16"/>
                <w:szCs w:val="16"/>
              </w:rPr>
              <w:t>3.879</w:t>
            </w:r>
          </w:p>
        </w:tc>
        <w:tc>
          <w:tcPr>
            <w:tcW w:w="1063" w:type="dxa"/>
          </w:tcPr>
          <w:p w14:paraId="2BF8E2C9" w14:textId="77777777" w:rsidR="0016448E" w:rsidRPr="0016448E" w:rsidRDefault="0016448E" w:rsidP="0016448E">
            <w:pPr>
              <w:keepNext/>
              <w:keepLines/>
              <w:spacing w:before="60" w:after="60"/>
              <w:jc w:val="right"/>
              <w:rPr>
                <w:sz w:val="16"/>
                <w:szCs w:val="16"/>
              </w:rPr>
            </w:pPr>
            <w:r w:rsidRPr="0016448E">
              <w:rPr>
                <w:sz w:val="16"/>
                <w:szCs w:val="16"/>
              </w:rPr>
              <w:t>7.4%</w:t>
            </w:r>
          </w:p>
        </w:tc>
        <w:tc>
          <w:tcPr>
            <w:tcW w:w="1063" w:type="dxa"/>
            <w:vAlign w:val="center"/>
          </w:tcPr>
          <w:p w14:paraId="0620FA96" w14:textId="77777777" w:rsidR="0016448E" w:rsidRPr="0016448E" w:rsidRDefault="0016448E" w:rsidP="0016448E">
            <w:pPr>
              <w:keepNext/>
              <w:keepLines/>
              <w:spacing w:before="60" w:after="60"/>
              <w:jc w:val="right"/>
              <w:rPr>
                <w:sz w:val="16"/>
                <w:szCs w:val="16"/>
              </w:rPr>
            </w:pPr>
            <w:r w:rsidRPr="0016448E">
              <w:rPr>
                <w:sz w:val="16"/>
                <w:szCs w:val="16"/>
              </w:rPr>
              <w:t>4.598</w:t>
            </w:r>
          </w:p>
        </w:tc>
        <w:tc>
          <w:tcPr>
            <w:tcW w:w="1064" w:type="dxa"/>
          </w:tcPr>
          <w:p w14:paraId="3A39FD7F" w14:textId="77777777" w:rsidR="0016448E" w:rsidRPr="0016448E" w:rsidRDefault="0016448E" w:rsidP="0016448E">
            <w:pPr>
              <w:keepNext/>
              <w:keepLines/>
              <w:spacing w:before="60" w:after="60"/>
              <w:jc w:val="right"/>
              <w:rPr>
                <w:sz w:val="16"/>
                <w:szCs w:val="16"/>
              </w:rPr>
            </w:pPr>
            <w:r w:rsidRPr="0016448E">
              <w:rPr>
                <w:sz w:val="16"/>
                <w:szCs w:val="16"/>
              </w:rPr>
              <w:t>5.0%</w:t>
            </w:r>
          </w:p>
        </w:tc>
      </w:tr>
      <w:tr w:rsidR="00583D63" w:rsidRPr="0016448E" w14:paraId="19AFEE53" w14:textId="77777777" w:rsidTr="00740A34">
        <w:tc>
          <w:tcPr>
            <w:tcW w:w="1063" w:type="dxa"/>
          </w:tcPr>
          <w:p w14:paraId="7A4CF833" w14:textId="77777777" w:rsidR="0016448E" w:rsidRPr="0016448E" w:rsidRDefault="0016448E" w:rsidP="0016448E">
            <w:pPr>
              <w:keepNext/>
              <w:keepLines/>
              <w:tabs>
                <w:tab w:val="left" w:pos="174"/>
              </w:tabs>
              <w:spacing w:before="60" w:after="60"/>
              <w:jc w:val="left"/>
              <w:rPr>
                <w:b/>
                <w:bCs/>
                <w:sz w:val="16"/>
                <w:szCs w:val="16"/>
              </w:rPr>
            </w:pPr>
            <w:r w:rsidRPr="0016448E">
              <w:rPr>
                <w:b/>
                <w:bCs/>
                <w:sz w:val="16"/>
                <w:szCs w:val="16"/>
              </w:rPr>
              <w:t>to 30%</w:t>
            </w:r>
          </w:p>
        </w:tc>
        <w:tc>
          <w:tcPr>
            <w:tcW w:w="1063" w:type="dxa"/>
            <w:shd w:val="clear" w:color="auto" w:fill="auto"/>
            <w:vAlign w:val="bottom"/>
          </w:tcPr>
          <w:p w14:paraId="75DAA4C0" w14:textId="77777777" w:rsidR="0016448E" w:rsidRPr="0016448E" w:rsidRDefault="0016448E" w:rsidP="0016448E">
            <w:pPr>
              <w:keepNext/>
              <w:keepLines/>
              <w:spacing w:before="60" w:after="60"/>
              <w:jc w:val="right"/>
              <w:rPr>
                <w:sz w:val="16"/>
                <w:szCs w:val="16"/>
              </w:rPr>
            </w:pPr>
            <w:r w:rsidRPr="0016448E">
              <w:rPr>
                <w:sz w:val="16"/>
                <w:szCs w:val="16"/>
              </w:rPr>
              <w:t>38</w:t>
            </w:r>
          </w:p>
        </w:tc>
        <w:tc>
          <w:tcPr>
            <w:tcW w:w="1064" w:type="dxa"/>
          </w:tcPr>
          <w:p w14:paraId="5FEF4D10" w14:textId="77777777" w:rsidR="0016448E" w:rsidRPr="0016448E" w:rsidRDefault="0016448E" w:rsidP="0016448E">
            <w:pPr>
              <w:keepNext/>
              <w:keepLines/>
              <w:spacing w:before="60" w:after="60"/>
              <w:jc w:val="right"/>
              <w:rPr>
                <w:sz w:val="16"/>
                <w:szCs w:val="16"/>
              </w:rPr>
            </w:pPr>
            <w:r w:rsidRPr="0016448E">
              <w:rPr>
                <w:sz w:val="16"/>
                <w:szCs w:val="16"/>
              </w:rPr>
              <w:t>6.5%</w:t>
            </w:r>
          </w:p>
        </w:tc>
        <w:tc>
          <w:tcPr>
            <w:tcW w:w="1063" w:type="dxa"/>
            <w:vAlign w:val="center"/>
          </w:tcPr>
          <w:p w14:paraId="7A6C4DA1" w14:textId="77777777" w:rsidR="0016448E" w:rsidRPr="0016448E" w:rsidRDefault="0016448E" w:rsidP="0016448E">
            <w:pPr>
              <w:keepNext/>
              <w:keepLines/>
              <w:spacing w:before="60" w:after="60"/>
              <w:jc w:val="right"/>
              <w:rPr>
                <w:sz w:val="16"/>
                <w:szCs w:val="16"/>
              </w:rPr>
            </w:pPr>
            <w:r w:rsidRPr="0016448E">
              <w:rPr>
                <w:sz w:val="16"/>
                <w:szCs w:val="16"/>
              </w:rPr>
              <w:t>1.514</w:t>
            </w:r>
          </w:p>
        </w:tc>
        <w:tc>
          <w:tcPr>
            <w:tcW w:w="1063" w:type="dxa"/>
          </w:tcPr>
          <w:p w14:paraId="27EB0C21" w14:textId="77777777" w:rsidR="0016448E" w:rsidRPr="0016448E" w:rsidRDefault="0016448E" w:rsidP="0016448E">
            <w:pPr>
              <w:keepNext/>
              <w:keepLines/>
              <w:spacing w:before="60" w:after="60"/>
              <w:jc w:val="right"/>
              <w:rPr>
                <w:sz w:val="16"/>
                <w:szCs w:val="16"/>
              </w:rPr>
            </w:pPr>
            <w:r w:rsidRPr="0016448E">
              <w:rPr>
                <w:sz w:val="16"/>
                <w:szCs w:val="16"/>
              </w:rPr>
              <w:t>3.8%</w:t>
            </w:r>
          </w:p>
        </w:tc>
        <w:tc>
          <w:tcPr>
            <w:tcW w:w="1064" w:type="dxa"/>
            <w:vAlign w:val="center"/>
          </w:tcPr>
          <w:p w14:paraId="7F3D2487" w14:textId="77777777" w:rsidR="0016448E" w:rsidRPr="0016448E" w:rsidRDefault="0016448E" w:rsidP="0016448E">
            <w:pPr>
              <w:keepNext/>
              <w:keepLines/>
              <w:spacing w:before="60" w:after="60"/>
              <w:jc w:val="right"/>
              <w:rPr>
                <w:sz w:val="16"/>
                <w:szCs w:val="16"/>
              </w:rPr>
            </w:pPr>
            <w:r w:rsidRPr="0016448E">
              <w:rPr>
                <w:sz w:val="16"/>
                <w:szCs w:val="16"/>
              </w:rPr>
              <w:t>4.352</w:t>
            </w:r>
          </w:p>
        </w:tc>
        <w:tc>
          <w:tcPr>
            <w:tcW w:w="1063" w:type="dxa"/>
          </w:tcPr>
          <w:p w14:paraId="67AF4760" w14:textId="77777777" w:rsidR="0016448E" w:rsidRPr="0016448E" w:rsidRDefault="0016448E" w:rsidP="0016448E">
            <w:pPr>
              <w:keepNext/>
              <w:keepLines/>
              <w:spacing w:before="60" w:after="60"/>
              <w:jc w:val="right"/>
              <w:rPr>
                <w:sz w:val="16"/>
                <w:szCs w:val="16"/>
              </w:rPr>
            </w:pPr>
            <w:r w:rsidRPr="0016448E">
              <w:rPr>
                <w:sz w:val="16"/>
                <w:szCs w:val="16"/>
              </w:rPr>
              <w:t>8.3%</w:t>
            </w:r>
          </w:p>
        </w:tc>
        <w:tc>
          <w:tcPr>
            <w:tcW w:w="1063" w:type="dxa"/>
            <w:vAlign w:val="center"/>
          </w:tcPr>
          <w:p w14:paraId="4A52234A" w14:textId="77777777" w:rsidR="0016448E" w:rsidRPr="0016448E" w:rsidRDefault="0016448E" w:rsidP="0016448E">
            <w:pPr>
              <w:keepNext/>
              <w:keepLines/>
              <w:spacing w:before="60" w:after="60"/>
              <w:jc w:val="right"/>
              <w:rPr>
                <w:sz w:val="16"/>
                <w:szCs w:val="16"/>
              </w:rPr>
            </w:pPr>
            <w:r w:rsidRPr="0016448E">
              <w:rPr>
                <w:sz w:val="16"/>
                <w:szCs w:val="16"/>
              </w:rPr>
              <w:t>5.866</w:t>
            </w:r>
          </w:p>
        </w:tc>
        <w:tc>
          <w:tcPr>
            <w:tcW w:w="1064" w:type="dxa"/>
          </w:tcPr>
          <w:p w14:paraId="4C20998F" w14:textId="77777777" w:rsidR="0016448E" w:rsidRPr="0016448E" w:rsidRDefault="0016448E" w:rsidP="0016448E">
            <w:pPr>
              <w:keepNext/>
              <w:keepLines/>
              <w:spacing w:before="60" w:after="60"/>
              <w:jc w:val="right"/>
              <w:rPr>
                <w:sz w:val="16"/>
                <w:szCs w:val="16"/>
              </w:rPr>
            </w:pPr>
            <w:r w:rsidRPr="0016448E">
              <w:rPr>
                <w:sz w:val="16"/>
                <w:szCs w:val="16"/>
              </w:rPr>
              <w:t>6.4%</w:t>
            </w:r>
          </w:p>
        </w:tc>
      </w:tr>
      <w:tr w:rsidR="00EF342B" w:rsidRPr="0016448E" w14:paraId="2737F321" w14:textId="77777777" w:rsidTr="00740A34">
        <w:tc>
          <w:tcPr>
            <w:tcW w:w="1063" w:type="dxa"/>
          </w:tcPr>
          <w:p w14:paraId="0D56A4CC" w14:textId="77777777" w:rsidR="0016448E" w:rsidRPr="0016448E" w:rsidRDefault="0016448E" w:rsidP="0016448E">
            <w:pPr>
              <w:keepNext/>
              <w:keepLines/>
              <w:tabs>
                <w:tab w:val="left" w:pos="174"/>
              </w:tabs>
              <w:spacing w:before="60" w:after="60"/>
              <w:jc w:val="left"/>
              <w:rPr>
                <w:b/>
                <w:bCs/>
                <w:sz w:val="16"/>
                <w:szCs w:val="16"/>
              </w:rPr>
            </w:pPr>
            <w:r w:rsidRPr="0016448E">
              <w:rPr>
                <w:b/>
                <w:bCs/>
                <w:sz w:val="16"/>
                <w:szCs w:val="16"/>
              </w:rPr>
              <w:t>to 40%</w:t>
            </w:r>
          </w:p>
        </w:tc>
        <w:tc>
          <w:tcPr>
            <w:tcW w:w="1063" w:type="dxa"/>
            <w:shd w:val="clear" w:color="auto" w:fill="auto"/>
            <w:vAlign w:val="bottom"/>
          </w:tcPr>
          <w:p w14:paraId="4FFCD3E4" w14:textId="77777777" w:rsidR="0016448E" w:rsidRPr="0016448E" w:rsidRDefault="0016448E" w:rsidP="0016448E">
            <w:pPr>
              <w:keepNext/>
              <w:keepLines/>
              <w:spacing w:before="60" w:after="60"/>
              <w:jc w:val="right"/>
              <w:rPr>
                <w:sz w:val="16"/>
                <w:szCs w:val="16"/>
              </w:rPr>
            </w:pPr>
            <w:r w:rsidRPr="0016448E">
              <w:rPr>
                <w:sz w:val="16"/>
                <w:szCs w:val="16"/>
              </w:rPr>
              <w:t>44</w:t>
            </w:r>
          </w:p>
        </w:tc>
        <w:tc>
          <w:tcPr>
            <w:tcW w:w="1064" w:type="dxa"/>
            <w:shd w:val="clear" w:color="auto" w:fill="auto"/>
          </w:tcPr>
          <w:p w14:paraId="3159AAFE" w14:textId="77777777" w:rsidR="0016448E" w:rsidRPr="0016448E" w:rsidRDefault="0016448E" w:rsidP="0016448E">
            <w:pPr>
              <w:keepNext/>
              <w:keepLines/>
              <w:spacing w:before="60" w:after="60"/>
              <w:jc w:val="right"/>
              <w:rPr>
                <w:sz w:val="16"/>
                <w:szCs w:val="16"/>
              </w:rPr>
            </w:pPr>
            <w:r w:rsidRPr="0016448E">
              <w:rPr>
                <w:sz w:val="16"/>
                <w:szCs w:val="16"/>
              </w:rPr>
              <w:t>7.5%</w:t>
            </w:r>
          </w:p>
        </w:tc>
        <w:tc>
          <w:tcPr>
            <w:tcW w:w="1063" w:type="dxa"/>
            <w:shd w:val="clear" w:color="auto" w:fill="auto"/>
            <w:vAlign w:val="center"/>
          </w:tcPr>
          <w:p w14:paraId="5801B1F5" w14:textId="77777777" w:rsidR="0016448E" w:rsidRPr="0016448E" w:rsidRDefault="0016448E" w:rsidP="0016448E">
            <w:pPr>
              <w:keepNext/>
              <w:keepLines/>
              <w:spacing w:before="60" w:after="60"/>
              <w:jc w:val="right"/>
              <w:rPr>
                <w:sz w:val="16"/>
                <w:szCs w:val="16"/>
              </w:rPr>
            </w:pPr>
            <w:r w:rsidRPr="0016448E">
              <w:rPr>
                <w:sz w:val="16"/>
                <w:szCs w:val="16"/>
              </w:rPr>
              <w:t>4.697</w:t>
            </w:r>
          </w:p>
        </w:tc>
        <w:tc>
          <w:tcPr>
            <w:tcW w:w="1063" w:type="dxa"/>
            <w:shd w:val="clear" w:color="auto" w:fill="auto"/>
          </w:tcPr>
          <w:p w14:paraId="5414DC1E" w14:textId="77777777" w:rsidR="0016448E" w:rsidRPr="0016448E" w:rsidRDefault="0016448E" w:rsidP="0016448E">
            <w:pPr>
              <w:keepNext/>
              <w:keepLines/>
              <w:spacing w:before="60" w:after="60"/>
              <w:jc w:val="right"/>
              <w:rPr>
                <w:sz w:val="16"/>
                <w:szCs w:val="16"/>
              </w:rPr>
            </w:pPr>
            <w:r w:rsidRPr="0016448E">
              <w:rPr>
                <w:sz w:val="16"/>
                <w:szCs w:val="16"/>
              </w:rPr>
              <w:t>11.9%</w:t>
            </w:r>
          </w:p>
        </w:tc>
        <w:tc>
          <w:tcPr>
            <w:tcW w:w="1064" w:type="dxa"/>
            <w:shd w:val="clear" w:color="auto" w:fill="auto"/>
            <w:vAlign w:val="center"/>
          </w:tcPr>
          <w:p w14:paraId="3F4D5C1E" w14:textId="77777777" w:rsidR="0016448E" w:rsidRPr="0016448E" w:rsidRDefault="0016448E" w:rsidP="0016448E">
            <w:pPr>
              <w:keepNext/>
              <w:keepLines/>
              <w:spacing w:before="60" w:after="60"/>
              <w:jc w:val="right"/>
              <w:rPr>
                <w:sz w:val="16"/>
                <w:szCs w:val="16"/>
              </w:rPr>
            </w:pPr>
            <w:r w:rsidRPr="0016448E">
              <w:rPr>
                <w:sz w:val="16"/>
                <w:szCs w:val="16"/>
              </w:rPr>
              <w:t>9.043</w:t>
            </w:r>
          </w:p>
        </w:tc>
        <w:tc>
          <w:tcPr>
            <w:tcW w:w="1063" w:type="dxa"/>
            <w:shd w:val="clear" w:color="auto" w:fill="auto"/>
          </w:tcPr>
          <w:p w14:paraId="15D3AFFC" w14:textId="77777777" w:rsidR="0016448E" w:rsidRPr="0016448E" w:rsidRDefault="0016448E" w:rsidP="0016448E">
            <w:pPr>
              <w:keepNext/>
              <w:keepLines/>
              <w:spacing w:before="60" w:after="60"/>
              <w:jc w:val="right"/>
              <w:rPr>
                <w:sz w:val="16"/>
                <w:szCs w:val="16"/>
              </w:rPr>
            </w:pPr>
            <w:r w:rsidRPr="0016448E">
              <w:rPr>
                <w:sz w:val="16"/>
                <w:szCs w:val="16"/>
              </w:rPr>
              <w:t>17.3%</w:t>
            </w:r>
          </w:p>
        </w:tc>
        <w:tc>
          <w:tcPr>
            <w:tcW w:w="1063" w:type="dxa"/>
            <w:shd w:val="clear" w:color="auto" w:fill="auto"/>
            <w:vAlign w:val="center"/>
          </w:tcPr>
          <w:p w14:paraId="75131C27" w14:textId="77777777" w:rsidR="0016448E" w:rsidRPr="0016448E" w:rsidRDefault="0016448E" w:rsidP="0016448E">
            <w:pPr>
              <w:keepNext/>
              <w:keepLines/>
              <w:spacing w:before="60" w:after="60"/>
              <w:jc w:val="right"/>
              <w:rPr>
                <w:sz w:val="16"/>
                <w:szCs w:val="16"/>
              </w:rPr>
            </w:pPr>
            <w:r w:rsidRPr="0016448E">
              <w:rPr>
                <w:sz w:val="16"/>
                <w:szCs w:val="16"/>
              </w:rPr>
              <w:t>13.740</w:t>
            </w:r>
          </w:p>
        </w:tc>
        <w:tc>
          <w:tcPr>
            <w:tcW w:w="1064" w:type="dxa"/>
            <w:shd w:val="clear" w:color="auto" w:fill="auto"/>
          </w:tcPr>
          <w:p w14:paraId="792BFA8D" w14:textId="77777777" w:rsidR="0016448E" w:rsidRPr="0016448E" w:rsidRDefault="0016448E" w:rsidP="0016448E">
            <w:pPr>
              <w:keepNext/>
              <w:keepLines/>
              <w:spacing w:before="60" w:after="60"/>
              <w:jc w:val="right"/>
              <w:rPr>
                <w:sz w:val="16"/>
                <w:szCs w:val="16"/>
              </w:rPr>
            </w:pPr>
            <w:r w:rsidRPr="0016448E">
              <w:rPr>
                <w:sz w:val="16"/>
                <w:szCs w:val="16"/>
              </w:rPr>
              <w:t>15.0%</w:t>
            </w:r>
          </w:p>
        </w:tc>
      </w:tr>
      <w:tr w:rsidR="00D7059B" w:rsidRPr="0016448E" w14:paraId="5388DC6D" w14:textId="77777777" w:rsidTr="00740A34">
        <w:tc>
          <w:tcPr>
            <w:tcW w:w="1063" w:type="dxa"/>
            <w:shd w:val="clear" w:color="auto" w:fill="BFBFBF" w:themeFill="background1" w:themeFillShade="BF"/>
          </w:tcPr>
          <w:p w14:paraId="2876EEDD" w14:textId="77777777" w:rsidR="0016448E" w:rsidRPr="0016448E" w:rsidRDefault="0016448E" w:rsidP="0016448E">
            <w:pPr>
              <w:keepNext/>
              <w:keepLines/>
              <w:tabs>
                <w:tab w:val="left" w:pos="174"/>
              </w:tabs>
              <w:spacing w:before="60" w:after="60"/>
              <w:jc w:val="left"/>
              <w:rPr>
                <w:b/>
                <w:bCs/>
                <w:sz w:val="16"/>
                <w:szCs w:val="16"/>
              </w:rPr>
            </w:pPr>
            <w:r w:rsidRPr="0016448E">
              <w:rPr>
                <w:b/>
                <w:bCs/>
                <w:sz w:val="16"/>
                <w:szCs w:val="16"/>
              </w:rPr>
              <w:t>to 50%</w:t>
            </w:r>
          </w:p>
        </w:tc>
        <w:tc>
          <w:tcPr>
            <w:tcW w:w="1063" w:type="dxa"/>
            <w:shd w:val="clear" w:color="auto" w:fill="BFBFBF" w:themeFill="background1" w:themeFillShade="BF"/>
            <w:vAlign w:val="bottom"/>
          </w:tcPr>
          <w:p w14:paraId="75B65EC3" w14:textId="77777777" w:rsidR="0016448E" w:rsidRPr="0016448E" w:rsidRDefault="0016448E" w:rsidP="0016448E">
            <w:pPr>
              <w:keepNext/>
              <w:keepLines/>
              <w:spacing w:before="60" w:after="60"/>
              <w:jc w:val="right"/>
              <w:rPr>
                <w:sz w:val="16"/>
                <w:szCs w:val="16"/>
              </w:rPr>
            </w:pPr>
            <w:r w:rsidRPr="0016448E">
              <w:rPr>
                <w:sz w:val="16"/>
                <w:szCs w:val="16"/>
              </w:rPr>
              <w:t>31</w:t>
            </w:r>
          </w:p>
        </w:tc>
        <w:tc>
          <w:tcPr>
            <w:tcW w:w="1064" w:type="dxa"/>
            <w:shd w:val="clear" w:color="auto" w:fill="BFBFBF" w:themeFill="background1" w:themeFillShade="BF"/>
          </w:tcPr>
          <w:p w14:paraId="705E4DCE" w14:textId="77777777" w:rsidR="0016448E" w:rsidRPr="0016448E" w:rsidRDefault="0016448E" w:rsidP="0016448E">
            <w:pPr>
              <w:keepNext/>
              <w:keepLines/>
              <w:spacing w:before="60" w:after="60"/>
              <w:jc w:val="right"/>
              <w:rPr>
                <w:sz w:val="16"/>
                <w:szCs w:val="16"/>
              </w:rPr>
            </w:pPr>
            <w:r w:rsidRPr="0016448E">
              <w:rPr>
                <w:sz w:val="16"/>
                <w:szCs w:val="16"/>
              </w:rPr>
              <w:t>5.3%</w:t>
            </w:r>
          </w:p>
        </w:tc>
        <w:tc>
          <w:tcPr>
            <w:tcW w:w="1063" w:type="dxa"/>
            <w:shd w:val="clear" w:color="auto" w:fill="BFBFBF" w:themeFill="background1" w:themeFillShade="BF"/>
            <w:vAlign w:val="center"/>
          </w:tcPr>
          <w:p w14:paraId="6CDBD87C" w14:textId="77777777" w:rsidR="0016448E" w:rsidRPr="0016448E" w:rsidRDefault="0016448E" w:rsidP="0016448E">
            <w:pPr>
              <w:keepNext/>
              <w:keepLines/>
              <w:spacing w:before="60" w:after="60"/>
              <w:jc w:val="right"/>
              <w:rPr>
                <w:sz w:val="16"/>
                <w:szCs w:val="16"/>
              </w:rPr>
            </w:pPr>
            <w:r w:rsidRPr="0016448E">
              <w:rPr>
                <w:sz w:val="16"/>
                <w:szCs w:val="16"/>
              </w:rPr>
              <w:t>2.516</w:t>
            </w:r>
          </w:p>
        </w:tc>
        <w:tc>
          <w:tcPr>
            <w:tcW w:w="1063" w:type="dxa"/>
            <w:shd w:val="clear" w:color="auto" w:fill="BFBFBF" w:themeFill="background1" w:themeFillShade="BF"/>
          </w:tcPr>
          <w:p w14:paraId="490D089A" w14:textId="77777777" w:rsidR="0016448E" w:rsidRPr="0016448E" w:rsidRDefault="0016448E" w:rsidP="0016448E">
            <w:pPr>
              <w:keepNext/>
              <w:keepLines/>
              <w:spacing w:before="60" w:after="60"/>
              <w:jc w:val="right"/>
              <w:rPr>
                <w:sz w:val="16"/>
                <w:szCs w:val="16"/>
              </w:rPr>
            </w:pPr>
            <w:r w:rsidRPr="0016448E">
              <w:rPr>
                <w:sz w:val="16"/>
                <w:szCs w:val="16"/>
              </w:rPr>
              <w:t>6.4%</w:t>
            </w:r>
          </w:p>
        </w:tc>
        <w:tc>
          <w:tcPr>
            <w:tcW w:w="1064" w:type="dxa"/>
            <w:shd w:val="clear" w:color="auto" w:fill="BFBFBF" w:themeFill="background1" w:themeFillShade="BF"/>
            <w:vAlign w:val="center"/>
          </w:tcPr>
          <w:p w14:paraId="140FEA05" w14:textId="77777777" w:rsidR="0016448E" w:rsidRPr="0016448E" w:rsidRDefault="0016448E" w:rsidP="0016448E">
            <w:pPr>
              <w:keepNext/>
              <w:keepLines/>
              <w:spacing w:before="60" w:after="60"/>
              <w:jc w:val="right"/>
              <w:rPr>
                <w:sz w:val="16"/>
                <w:szCs w:val="16"/>
              </w:rPr>
            </w:pPr>
            <w:r w:rsidRPr="0016448E">
              <w:rPr>
                <w:sz w:val="16"/>
                <w:szCs w:val="16"/>
              </w:rPr>
              <w:t>2.866</w:t>
            </w:r>
          </w:p>
        </w:tc>
        <w:tc>
          <w:tcPr>
            <w:tcW w:w="1063" w:type="dxa"/>
            <w:shd w:val="clear" w:color="auto" w:fill="BFBFBF" w:themeFill="background1" w:themeFillShade="BF"/>
          </w:tcPr>
          <w:p w14:paraId="41916EC6" w14:textId="77777777" w:rsidR="0016448E" w:rsidRPr="0016448E" w:rsidRDefault="0016448E" w:rsidP="0016448E">
            <w:pPr>
              <w:keepNext/>
              <w:keepLines/>
              <w:spacing w:before="60" w:after="60"/>
              <w:jc w:val="right"/>
              <w:rPr>
                <w:sz w:val="16"/>
                <w:szCs w:val="16"/>
              </w:rPr>
            </w:pPr>
            <w:r w:rsidRPr="0016448E">
              <w:rPr>
                <w:sz w:val="16"/>
                <w:szCs w:val="16"/>
              </w:rPr>
              <w:t>5.5%</w:t>
            </w:r>
          </w:p>
        </w:tc>
        <w:tc>
          <w:tcPr>
            <w:tcW w:w="1063" w:type="dxa"/>
            <w:shd w:val="clear" w:color="auto" w:fill="BFBFBF" w:themeFill="background1" w:themeFillShade="BF"/>
            <w:vAlign w:val="center"/>
          </w:tcPr>
          <w:p w14:paraId="03537B2C" w14:textId="77777777" w:rsidR="0016448E" w:rsidRPr="0016448E" w:rsidRDefault="0016448E" w:rsidP="0016448E">
            <w:pPr>
              <w:keepNext/>
              <w:keepLines/>
              <w:spacing w:before="60" w:after="60"/>
              <w:jc w:val="right"/>
              <w:rPr>
                <w:sz w:val="16"/>
                <w:szCs w:val="16"/>
              </w:rPr>
            </w:pPr>
            <w:r w:rsidRPr="0016448E">
              <w:rPr>
                <w:sz w:val="16"/>
                <w:szCs w:val="16"/>
              </w:rPr>
              <w:t>5.383</w:t>
            </w:r>
          </w:p>
        </w:tc>
        <w:tc>
          <w:tcPr>
            <w:tcW w:w="1064" w:type="dxa"/>
            <w:shd w:val="clear" w:color="auto" w:fill="BFBFBF" w:themeFill="background1" w:themeFillShade="BF"/>
          </w:tcPr>
          <w:p w14:paraId="34A90746" w14:textId="77777777" w:rsidR="0016448E" w:rsidRPr="0016448E" w:rsidRDefault="0016448E" w:rsidP="0016448E">
            <w:pPr>
              <w:keepNext/>
              <w:keepLines/>
              <w:spacing w:before="60" w:after="60"/>
              <w:jc w:val="right"/>
              <w:rPr>
                <w:sz w:val="16"/>
                <w:szCs w:val="16"/>
              </w:rPr>
            </w:pPr>
            <w:r w:rsidRPr="0016448E">
              <w:rPr>
                <w:sz w:val="16"/>
                <w:szCs w:val="16"/>
              </w:rPr>
              <w:t>5.9%</w:t>
            </w:r>
          </w:p>
        </w:tc>
      </w:tr>
      <w:tr w:rsidR="00D7059B" w:rsidRPr="0016448E" w14:paraId="50115004" w14:textId="77777777" w:rsidTr="00740A34">
        <w:tc>
          <w:tcPr>
            <w:tcW w:w="1063" w:type="dxa"/>
            <w:shd w:val="clear" w:color="auto" w:fill="BFBFBF" w:themeFill="background1" w:themeFillShade="BF"/>
          </w:tcPr>
          <w:p w14:paraId="447D23D4" w14:textId="77777777" w:rsidR="0016448E" w:rsidRPr="0016448E" w:rsidRDefault="0016448E" w:rsidP="0016448E">
            <w:pPr>
              <w:keepNext/>
              <w:keepLines/>
              <w:tabs>
                <w:tab w:val="left" w:pos="174"/>
              </w:tabs>
              <w:spacing w:before="60" w:after="60"/>
              <w:jc w:val="left"/>
              <w:rPr>
                <w:b/>
                <w:bCs/>
                <w:sz w:val="16"/>
                <w:szCs w:val="16"/>
              </w:rPr>
            </w:pPr>
            <w:r w:rsidRPr="0016448E">
              <w:rPr>
                <w:b/>
                <w:bCs/>
                <w:sz w:val="16"/>
                <w:szCs w:val="16"/>
              </w:rPr>
              <w:t>to 60%</w:t>
            </w:r>
          </w:p>
        </w:tc>
        <w:tc>
          <w:tcPr>
            <w:tcW w:w="1063" w:type="dxa"/>
            <w:shd w:val="clear" w:color="auto" w:fill="BFBFBF" w:themeFill="background1" w:themeFillShade="BF"/>
            <w:vAlign w:val="bottom"/>
          </w:tcPr>
          <w:p w14:paraId="0FD45AE1" w14:textId="77777777" w:rsidR="0016448E" w:rsidRPr="0016448E" w:rsidRDefault="0016448E" w:rsidP="0016448E">
            <w:pPr>
              <w:keepNext/>
              <w:keepLines/>
              <w:spacing w:before="60" w:after="60"/>
              <w:jc w:val="right"/>
              <w:rPr>
                <w:sz w:val="16"/>
                <w:szCs w:val="16"/>
              </w:rPr>
            </w:pPr>
            <w:r w:rsidRPr="0016448E">
              <w:rPr>
                <w:sz w:val="16"/>
                <w:szCs w:val="16"/>
              </w:rPr>
              <w:t>55</w:t>
            </w:r>
          </w:p>
        </w:tc>
        <w:tc>
          <w:tcPr>
            <w:tcW w:w="1064" w:type="dxa"/>
            <w:shd w:val="clear" w:color="auto" w:fill="BFBFBF" w:themeFill="background1" w:themeFillShade="BF"/>
          </w:tcPr>
          <w:p w14:paraId="60AF1B90" w14:textId="77777777" w:rsidR="0016448E" w:rsidRPr="0016448E" w:rsidRDefault="0016448E" w:rsidP="0016448E">
            <w:pPr>
              <w:keepNext/>
              <w:keepLines/>
              <w:spacing w:before="60" w:after="60"/>
              <w:jc w:val="right"/>
              <w:rPr>
                <w:sz w:val="16"/>
                <w:szCs w:val="16"/>
              </w:rPr>
            </w:pPr>
            <w:r w:rsidRPr="0016448E">
              <w:rPr>
                <w:sz w:val="16"/>
                <w:szCs w:val="16"/>
              </w:rPr>
              <w:t>9.4%</w:t>
            </w:r>
          </w:p>
        </w:tc>
        <w:tc>
          <w:tcPr>
            <w:tcW w:w="1063" w:type="dxa"/>
            <w:shd w:val="clear" w:color="auto" w:fill="BFBFBF" w:themeFill="background1" w:themeFillShade="BF"/>
            <w:vAlign w:val="center"/>
          </w:tcPr>
          <w:p w14:paraId="38C15B80" w14:textId="77777777" w:rsidR="0016448E" w:rsidRPr="0016448E" w:rsidRDefault="0016448E" w:rsidP="0016448E">
            <w:pPr>
              <w:keepNext/>
              <w:keepLines/>
              <w:spacing w:before="60" w:after="60"/>
              <w:jc w:val="right"/>
              <w:rPr>
                <w:sz w:val="16"/>
                <w:szCs w:val="16"/>
              </w:rPr>
            </w:pPr>
            <w:r w:rsidRPr="0016448E">
              <w:rPr>
                <w:sz w:val="16"/>
                <w:szCs w:val="16"/>
              </w:rPr>
              <w:t>8.445</w:t>
            </w:r>
          </w:p>
        </w:tc>
        <w:tc>
          <w:tcPr>
            <w:tcW w:w="1063" w:type="dxa"/>
            <w:shd w:val="clear" w:color="auto" w:fill="BFBFBF" w:themeFill="background1" w:themeFillShade="BF"/>
          </w:tcPr>
          <w:p w14:paraId="6CDFFE76" w14:textId="77777777" w:rsidR="0016448E" w:rsidRPr="0016448E" w:rsidRDefault="0016448E" w:rsidP="0016448E">
            <w:pPr>
              <w:keepNext/>
              <w:keepLines/>
              <w:spacing w:before="60" w:after="60"/>
              <w:jc w:val="right"/>
              <w:rPr>
                <w:sz w:val="16"/>
                <w:szCs w:val="16"/>
              </w:rPr>
            </w:pPr>
            <w:r w:rsidRPr="0016448E">
              <w:rPr>
                <w:sz w:val="16"/>
                <w:szCs w:val="16"/>
              </w:rPr>
              <w:t>21.4%</w:t>
            </w:r>
          </w:p>
        </w:tc>
        <w:tc>
          <w:tcPr>
            <w:tcW w:w="1064" w:type="dxa"/>
            <w:shd w:val="clear" w:color="auto" w:fill="BFBFBF" w:themeFill="background1" w:themeFillShade="BF"/>
            <w:vAlign w:val="center"/>
          </w:tcPr>
          <w:p w14:paraId="6831E136" w14:textId="77777777" w:rsidR="0016448E" w:rsidRPr="0016448E" w:rsidRDefault="0016448E" w:rsidP="0016448E">
            <w:pPr>
              <w:keepNext/>
              <w:keepLines/>
              <w:spacing w:before="60" w:after="60"/>
              <w:jc w:val="right"/>
              <w:rPr>
                <w:sz w:val="16"/>
                <w:szCs w:val="16"/>
              </w:rPr>
            </w:pPr>
            <w:r w:rsidRPr="0016448E">
              <w:rPr>
                <w:sz w:val="16"/>
                <w:szCs w:val="16"/>
              </w:rPr>
              <w:t>6.748</w:t>
            </w:r>
          </w:p>
        </w:tc>
        <w:tc>
          <w:tcPr>
            <w:tcW w:w="1063" w:type="dxa"/>
            <w:shd w:val="clear" w:color="auto" w:fill="BFBFBF" w:themeFill="background1" w:themeFillShade="BF"/>
          </w:tcPr>
          <w:p w14:paraId="5C99C7A1" w14:textId="77777777" w:rsidR="0016448E" w:rsidRPr="0016448E" w:rsidRDefault="0016448E" w:rsidP="0016448E">
            <w:pPr>
              <w:keepNext/>
              <w:keepLines/>
              <w:spacing w:before="60" w:after="60"/>
              <w:jc w:val="right"/>
              <w:rPr>
                <w:sz w:val="16"/>
                <w:szCs w:val="16"/>
              </w:rPr>
            </w:pPr>
            <w:r w:rsidRPr="0016448E">
              <w:rPr>
                <w:sz w:val="16"/>
                <w:szCs w:val="16"/>
              </w:rPr>
              <w:t>12.9%</w:t>
            </w:r>
          </w:p>
        </w:tc>
        <w:tc>
          <w:tcPr>
            <w:tcW w:w="1063" w:type="dxa"/>
            <w:shd w:val="clear" w:color="auto" w:fill="BFBFBF" w:themeFill="background1" w:themeFillShade="BF"/>
            <w:vAlign w:val="center"/>
          </w:tcPr>
          <w:p w14:paraId="128C64BA" w14:textId="77777777" w:rsidR="0016448E" w:rsidRPr="0016448E" w:rsidRDefault="0016448E" w:rsidP="0016448E">
            <w:pPr>
              <w:keepNext/>
              <w:keepLines/>
              <w:spacing w:before="60" w:after="60"/>
              <w:jc w:val="right"/>
              <w:rPr>
                <w:sz w:val="16"/>
                <w:szCs w:val="16"/>
              </w:rPr>
            </w:pPr>
            <w:r w:rsidRPr="0016448E">
              <w:rPr>
                <w:sz w:val="16"/>
                <w:szCs w:val="16"/>
              </w:rPr>
              <w:t>15.192</w:t>
            </w:r>
          </w:p>
        </w:tc>
        <w:tc>
          <w:tcPr>
            <w:tcW w:w="1064" w:type="dxa"/>
            <w:shd w:val="clear" w:color="auto" w:fill="BFBFBF" w:themeFill="background1" w:themeFillShade="BF"/>
          </w:tcPr>
          <w:p w14:paraId="2F00E300" w14:textId="77777777" w:rsidR="0016448E" w:rsidRPr="0016448E" w:rsidRDefault="0016448E" w:rsidP="0016448E">
            <w:pPr>
              <w:keepNext/>
              <w:keepLines/>
              <w:spacing w:before="60" w:after="60"/>
              <w:jc w:val="right"/>
              <w:rPr>
                <w:sz w:val="16"/>
                <w:szCs w:val="16"/>
              </w:rPr>
            </w:pPr>
            <w:r w:rsidRPr="0016448E">
              <w:rPr>
                <w:sz w:val="16"/>
                <w:szCs w:val="16"/>
              </w:rPr>
              <w:t>16.6%</w:t>
            </w:r>
          </w:p>
        </w:tc>
      </w:tr>
      <w:tr w:rsidR="00EF342B" w:rsidRPr="0016448E" w14:paraId="24ECB508" w14:textId="77777777" w:rsidTr="00740A34">
        <w:tc>
          <w:tcPr>
            <w:tcW w:w="1063" w:type="dxa"/>
          </w:tcPr>
          <w:p w14:paraId="43377B33" w14:textId="77777777" w:rsidR="0016448E" w:rsidRPr="0016448E" w:rsidRDefault="0016448E" w:rsidP="0016448E">
            <w:pPr>
              <w:keepNext/>
              <w:keepLines/>
              <w:tabs>
                <w:tab w:val="left" w:pos="174"/>
              </w:tabs>
              <w:spacing w:before="60" w:after="60"/>
              <w:jc w:val="left"/>
              <w:rPr>
                <w:b/>
                <w:bCs/>
                <w:sz w:val="16"/>
                <w:szCs w:val="16"/>
              </w:rPr>
            </w:pPr>
            <w:r w:rsidRPr="0016448E">
              <w:rPr>
                <w:b/>
                <w:bCs/>
                <w:sz w:val="16"/>
                <w:szCs w:val="16"/>
              </w:rPr>
              <w:t>to 70%</w:t>
            </w:r>
          </w:p>
        </w:tc>
        <w:tc>
          <w:tcPr>
            <w:tcW w:w="1063" w:type="dxa"/>
            <w:shd w:val="clear" w:color="auto" w:fill="auto"/>
            <w:vAlign w:val="bottom"/>
          </w:tcPr>
          <w:p w14:paraId="427E33E3" w14:textId="77777777" w:rsidR="0016448E" w:rsidRPr="0016448E" w:rsidRDefault="0016448E" w:rsidP="0016448E">
            <w:pPr>
              <w:keepNext/>
              <w:keepLines/>
              <w:spacing w:before="60" w:after="60"/>
              <w:jc w:val="right"/>
              <w:rPr>
                <w:sz w:val="16"/>
                <w:szCs w:val="16"/>
              </w:rPr>
            </w:pPr>
            <w:r w:rsidRPr="0016448E">
              <w:rPr>
                <w:sz w:val="16"/>
                <w:szCs w:val="16"/>
              </w:rPr>
              <w:t>39</w:t>
            </w:r>
          </w:p>
        </w:tc>
        <w:tc>
          <w:tcPr>
            <w:tcW w:w="1064" w:type="dxa"/>
            <w:shd w:val="clear" w:color="auto" w:fill="auto"/>
          </w:tcPr>
          <w:p w14:paraId="7E995591" w14:textId="77777777" w:rsidR="0016448E" w:rsidRPr="0016448E" w:rsidRDefault="0016448E" w:rsidP="0016448E">
            <w:pPr>
              <w:keepNext/>
              <w:keepLines/>
              <w:spacing w:before="60" w:after="60"/>
              <w:jc w:val="right"/>
              <w:rPr>
                <w:sz w:val="16"/>
                <w:szCs w:val="16"/>
              </w:rPr>
            </w:pPr>
            <w:r w:rsidRPr="0016448E">
              <w:rPr>
                <w:sz w:val="16"/>
                <w:szCs w:val="16"/>
              </w:rPr>
              <w:t>6.6%</w:t>
            </w:r>
          </w:p>
        </w:tc>
        <w:tc>
          <w:tcPr>
            <w:tcW w:w="1063" w:type="dxa"/>
            <w:shd w:val="clear" w:color="auto" w:fill="auto"/>
            <w:vAlign w:val="center"/>
          </w:tcPr>
          <w:p w14:paraId="5B748E2A" w14:textId="77777777" w:rsidR="0016448E" w:rsidRPr="0016448E" w:rsidRDefault="0016448E" w:rsidP="0016448E">
            <w:pPr>
              <w:keepNext/>
              <w:keepLines/>
              <w:spacing w:before="60" w:after="60"/>
              <w:jc w:val="right"/>
              <w:rPr>
                <w:sz w:val="16"/>
                <w:szCs w:val="16"/>
              </w:rPr>
            </w:pPr>
            <w:r w:rsidRPr="0016448E">
              <w:rPr>
                <w:sz w:val="16"/>
                <w:szCs w:val="16"/>
              </w:rPr>
              <w:t>8.294</w:t>
            </w:r>
          </w:p>
        </w:tc>
        <w:tc>
          <w:tcPr>
            <w:tcW w:w="1063" w:type="dxa"/>
            <w:shd w:val="clear" w:color="auto" w:fill="auto"/>
          </w:tcPr>
          <w:p w14:paraId="217ED014" w14:textId="77777777" w:rsidR="0016448E" w:rsidRPr="0016448E" w:rsidRDefault="0016448E" w:rsidP="0016448E">
            <w:pPr>
              <w:keepNext/>
              <w:keepLines/>
              <w:spacing w:before="60" w:after="60"/>
              <w:jc w:val="right"/>
              <w:rPr>
                <w:sz w:val="16"/>
                <w:szCs w:val="16"/>
              </w:rPr>
            </w:pPr>
            <w:r w:rsidRPr="0016448E">
              <w:rPr>
                <w:sz w:val="16"/>
                <w:szCs w:val="16"/>
              </w:rPr>
              <w:t>21.0%</w:t>
            </w:r>
          </w:p>
        </w:tc>
        <w:tc>
          <w:tcPr>
            <w:tcW w:w="1064" w:type="dxa"/>
            <w:shd w:val="clear" w:color="auto" w:fill="auto"/>
            <w:vAlign w:val="center"/>
          </w:tcPr>
          <w:p w14:paraId="19015B8C" w14:textId="77777777" w:rsidR="0016448E" w:rsidRPr="0016448E" w:rsidRDefault="0016448E" w:rsidP="0016448E">
            <w:pPr>
              <w:keepNext/>
              <w:keepLines/>
              <w:spacing w:before="60" w:after="60"/>
              <w:jc w:val="right"/>
              <w:rPr>
                <w:sz w:val="16"/>
                <w:szCs w:val="16"/>
              </w:rPr>
            </w:pPr>
            <w:r w:rsidRPr="0016448E">
              <w:rPr>
                <w:sz w:val="16"/>
                <w:szCs w:val="16"/>
              </w:rPr>
              <w:t>4.549</w:t>
            </w:r>
          </w:p>
        </w:tc>
        <w:tc>
          <w:tcPr>
            <w:tcW w:w="1063" w:type="dxa"/>
            <w:shd w:val="clear" w:color="auto" w:fill="auto"/>
          </w:tcPr>
          <w:p w14:paraId="6421B9E3" w14:textId="77777777" w:rsidR="0016448E" w:rsidRPr="0016448E" w:rsidRDefault="0016448E" w:rsidP="0016448E">
            <w:pPr>
              <w:keepNext/>
              <w:keepLines/>
              <w:spacing w:before="60" w:after="60"/>
              <w:jc w:val="right"/>
              <w:rPr>
                <w:sz w:val="16"/>
                <w:szCs w:val="16"/>
              </w:rPr>
            </w:pPr>
            <w:r w:rsidRPr="0016448E">
              <w:rPr>
                <w:sz w:val="16"/>
                <w:szCs w:val="16"/>
              </w:rPr>
              <w:t>8.7%</w:t>
            </w:r>
          </w:p>
        </w:tc>
        <w:tc>
          <w:tcPr>
            <w:tcW w:w="1063" w:type="dxa"/>
            <w:shd w:val="clear" w:color="auto" w:fill="auto"/>
            <w:vAlign w:val="center"/>
          </w:tcPr>
          <w:p w14:paraId="7CE523DC" w14:textId="77777777" w:rsidR="0016448E" w:rsidRPr="0016448E" w:rsidRDefault="0016448E" w:rsidP="0016448E">
            <w:pPr>
              <w:keepNext/>
              <w:keepLines/>
              <w:spacing w:before="60" w:after="60"/>
              <w:jc w:val="right"/>
              <w:rPr>
                <w:sz w:val="16"/>
                <w:szCs w:val="16"/>
              </w:rPr>
            </w:pPr>
            <w:r w:rsidRPr="0016448E">
              <w:rPr>
                <w:sz w:val="16"/>
                <w:szCs w:val="16"/>
              </w:rPr>
              <w:t>12.842</w:t>
            </w:r>
          </w:p>
        </w:tc>
        <w:tc>
          <w:tcPr>
            <w:tcW w:w="1064" w:type="dxa"/>
            <w:shd w:val="clear" w:color="auto" w:fill="auto"/>
          </w:tcPr>
          <w:p w14:paraId="7D9DAC6C" w14:textId="77777777" w:rsidR="0016448E" w:rsidRPr="0016448E" w:rsidRDefault="0016448E" w:rsidP="0016448E">
            <w:pPr>
              <w:keepNext/>
              <w:keepLines/>
              <w:spacing w:before="60" w:after="60"/>
              <w:jc w:val="right"/>
              <w:rPr>
                <w:sz w:val="16"/>
                <w:szCs w:val="16"/>
              </w:rPr>
            </w:pPr>
            <w:r w:rsidRPr="0016448E">
              <w:rPr>
                <w:sz w:val="16"/>
                <w:szCs w:val="16"/>
              </w:rPr>
              <w:t>14.0%</w:t>
            </w:r>
          </w:p>
        </w:tc>
      </w:tr>
      <w:tr w:rsidR="00EF342B" w:rsidRPr="0016448E" w14:paraId="471A1068" w14:textId="77777777" w:rsidTr="00740A34">
        <w:tc>
          <w:tcPr>
            <w:tcW w:w="1063" w:type="dxa"/>
          </w:tcPr>
          <w:p w14:paraId="27E9A8E2" w14:textId="77777777" w:rsidR="0016448E" w:rsidRPr="0016448E" w:rsidRDefault="0016448E" w:rsidP="0016448E">
            <w:pPr>
              <w:keepNext/>
              <w:keepLines/>
              <w:tabs>
                <w:tab w:val="left" w:pos="174"/>
              </w:tabs>
              <w:spacing w:before="60" w:after="60"/>
              <w:jc w:val="left"/>
              <w:rPr>
                <w:b/>
                <w:bCs/>
                <w:sz w:val="16"/>
                <w:szCs w:val="16"/>
              </w:rPr>
            </w:pPr>
            <w:r w:rsidRPr="0016448E">
              <w:rPr>
                <w:b/>
                <w:bCs/>
                <w:sz w:val="16"/>
                <w:szCs w:val="16"/>
              </w:rPr>
              <w:t>to 80%</w:t>
            </w:r>
          </w:p>
        </w:tc>
        <w:tc>
          <w:tcPr>
            <w:tcW w:w="1063" w:type="dxa"/>
            <w:shd w:val="clear" w:color="auto" w:fill="auto"/>
            <w:vAlign w:val="bottom"/>
          </w:tcPr>
          <w:p w14:paraId="4A00A9B0" w14:textId="77777777" w:rsidR="0016448E" w:rsidRPr="0016448E" w:rsidRDefault="0016448E" w:rsidP="0016448E">
            <w:pPr>
              <w:keepNext/>
              <w:keepLines/>
              <w:spacing w:before="60" w:after="60"/>
              <w:jc w:val="right"/>
              <w:rPr>
                <w:sz w:val="16"/>
                <w:szCs w:val="16"/>
              </w:rPr>
            </w:pPr>
            <w:r w:rsidRPr="0016448E">
              <w:rPr>
                <w:sz w:val="16"/>
                <w:szCs w:val="16"/>
              </w:rPr>
              <w:t>19</w:t>
            </w:r>
          </w:p>
        </w:tc>
        <w:tc>
          <w:tcPr>
            <w:tcW w:w="1064" w:type="dxa"/>
            <w:shd w:val="clear" w:color="auto" w:fill="auto"/>
          </w:tcPr>
          <w:p w14:paraId="167A98A3" w14:textId="77777777" w:rsidR="0016448E" w:rsidRPr="0016448E" w:rsidRDefault="0016448E" w:rsidP="0016448E">
            <w:pPr>
              <w:keepNext/>
              <w:keepLines/>
              <w:spacing w:before="60" w:after="60"/>
              <w:jc w:val="right"/>
              <w:rPr>
                <w:sz w:val="16"/>
                <w:szCs w:val="16"/>
              </w:rPr>
            </w:pPr>
            <w:r w:rsidRPr="0016448E">
              <w:rPr>
                <w:sz w:val="16"/>
                <w:szCs w:val="16"/>
              </w:rPr>
              <w:t>3.2%</w:t>
            </w:r>
          </w:p>
        </w:tc>
        <w:tc>
          <w:tcPr>
            <w:tcW w:w="1063" w:type="dxa"/>
            <w:shd w:val="clear" w:color="auto" w:fill="auto"/>
            <w:vAlign w:val="center"/>
          </w:tcPr>
          <w:p w14:paraId="783E5491" w14:textId="77777777" w:rsidR="0016448E" w:rsidRPr="0016448E" w:rsidRDefault="0016448E" w:rsidP="0016448E">
            <w:pPr>
              <w:keepNext/>
              <w:keepLines/>
              <w:spacing w:before="60" w:after="60"/>
              <w:jc w:val="right"/>
              <w:rPr>
                <w:sz w:val="16"/>
                <w:szCs w:val="16"/>
              </w:rPr>
            </w:pPr>
            <w:r w:rsidRPr="0016448E">
              <w:rPr>
                <w:sz w:val="16"/>
                <w:szCs w:val="16"/>
              </w:rPr>
              <w:t>1.835</w:t>
            </w:r>
          </w:p>
        </w:tc>
        <w:tc>
          <w:tcPr>
            <w:tcW w:w="1063" w:type="dxa"/>
            <w:shd w:val="clear" w:color="auto" w:fill="auto"/>
          </w:tcPr>
          <w:p w14:paraId="0A3F3717" w14:textId="77777777" w:rsidR="0016448E" w:rsidRPr="0016448E" w:rsidRDefault="0016448E" w:rsidP="0016448E">
            <w:pPr>
              <w:keepNext/>
              <w:keepLines/>
              <w:spacing w:before="60" w:after="60"/>
              <w:jc w:val="right"/>
              <w:rPr>
                <w:sz w:val="16"/>
                <w:szCs w:val="16"/>
              </w:rPr>
            </w:pPr>
            <w:r w:rsidRPr="0016448E">
              <w:rPr>
                <w:sz w:val="16"/>
                <w:szCs w:val="16"/>
              </w:rPr>
              <w:t>4.6%</w:t>
            </w:r>
          </w:p>
        </w:tc>
        <w:tc>
          <w:tcPr>
            <w:tcW w:w="1064" w:type="dxa"/>
            <w:shd w:val="clear" w:color="auto" w:fill="auto"/>
            <w:vAlign w:val="center"/>
          </w:tcPr>
          <w:p w14:paraId="36311CF0" w14:textId="77777777" w:rsidR="0016448E" w:rsidRPr="0016448E" w:rsidRDefault="0016448E" w:rsidP="0016448E">
            <w:pPr>
              <w:keepNext/>
              <w:keepLines/>
              <w:spacing w:before="60" w:after="60"/>
              <w:jc w:val="right"/>
              <w:rPr>
                <w:sz w:val="16"/>
                <w:szCs w:val="16"/>
              </w:rPr>
            </w:pPr>
            <w:r w:rsidRPr="0016448E">
              <w:rPr>
                <w:sz w:val="16"/>
                <w:szCs w:val="16"/>
              </w:rPr>
              <w:t>0.586</w:t>
            </w:r>
          </w:p>
        </w:tc>
        <w:tc>
          <w:tcPr>
            <w:tcW w:w="1063" w:type="dxa"/>
            <w:shd w:val="clear" w:color="auto" w:fill="auto"/>
          </w:tcPr>
          <w:p w14:paraId="152FE3C7" w14:textId="77777777" w:rsidR="0016448E" w:rsidRPr="0016448E" w:rsidRDefault="0016448E" w:rsidP="0016448E">
            <w:pPr>
              <w:keepNext/>
              <w:keepLines/>
              <w:spacing w:before="60" w:after="60"/>
              <w:jc w:val="right"/>
              <w:rPr>
                <w:sz w:val="16"/>
                <w:szCs w:val="16"/>
              </w:rPr>
            </w:pPr>
            <w:r w:rsidRPr="0016448E">
              <w:rPr>
                <w:sz w:val="16"/>
                <w:szCs w:val="16"/>
              </w:rPr>
              <w:t>1.1%</w:t>
            </w:r>
          </w:p>
        </w:tc>
        <w:tc>
          <w:tcPr>
            <w:tcW w:w="1063" w:type="dxa"/>
            <w:shd w:val="clear" w:color="auto" w:fill="auto"/>
            <w:vAlign w:val="center"/>
          </w:tcPr>
          <w:p w14:paraId="694212CC" w14:textId="77777777" w:rsidR="0016448E" w:rsidRPr="0016448E" w:rsidRDefault="0016448E" w:rsidP="0016448E">
            <w:pPr>
              <w:keepNext/>
              <w:keepLines/>
              <w:spacing w:before="60" w:after="60"/>
              <w:jc w:val="right"/>
              <w:rPr>
                <w:sz w:val="16"/>
                <w:szCs w:val="16"/>
              </w:rPr>
            </w:pPr>
            <w:r w:rsidRPr="0016448E">
              <w:rPr>
                <w:sz w:val="16"/>
                <w:szCs w:val="16"/>
              </w:rPr>
              <w:t>2.421</w:t>
            </w:r>
          </w:p>
        </w:tc>
        <w:tc>
          <w:tcPr>
            <w:tcW w:w="1064" w:type="dxa"/>
            <w:shd w:val="clear" w:color="auto" w:fill="auto"/>
          </w:tcPr>
          <w:p w14:paraId="26D7FD38" w14:textId="77777777" w:rsidR="0016448E" w:rsidRPr="0016448E" w:rsidRDefault="0016448E" w:rsidP="0016448E">
            <w:pPr>
              <w:keepNext/>
              <w:keepLines/>
              <w:spacing w:before="60" w:after="60"/>
              <w:jc w:val="right"/>
              <w:rPr>
                <w:sz w:val="16"/>
                <w:szCs w:val="16"/>
              </w:rPr>
            </w:pPr>
            <w:r w:rsidRPr="0016448E">
              <w:rPr>
                <w:sz w:val="16"/>
                <w:szCs w:val="16"/>
              </w:rPr>
              <w:t>2.6%</w:t>
            </w:r>
          </w:p>
        </w:tc>
      </w:tr>
      <w:tr w:rsidR="00EF342B" w:rsidRPr="0016448E" w14:paraId="2CC99873" w14:textId="77777777" w:rsidTr="00740A34">
        <w:tc>
          <w:tcPr>
            <w:tcW w:w="1063" w:type="dxa"/>
          </w:tcPr>
          <w:p w14:paraId="4DF42F10" w14:textId="77777777" w:rsidR="0016448E" w:rsidRPr="0016448E" w:rsidRDefault="0016448E" w:rsidP="0016448E">
            <w:pPr>
              <w:keepNext/>
              <w:keepLines/>
              <w:tabs>
                <w:tab w:val="left" w:pos="174"/>
              </w:tabs>
              <w:spacing w:before="60" w:after="60"/>
              <w:jc w:val="left"/>
              <w:rPr>
                <w:b/>
                <w:bCs/>
                <w:sz w:val="16"/>
                <w:szCs w:val="16"/>
              </w:rPr>
            </w:pPr>
            <w:r w:rsidRPr="0016448E">
              <w:rPr>
                <w:b/>
                <w:bCs/>
                <w:sz w:val="16"/>
                <w:szCs w:val="16"/>
              </w:rPr>
              <w:t>to 90%</w:t>
            </w:r>
          </w:p>
        </w:tc>
        <w:tc>
          <w:tcPr>
            <w:tcW w:w="1063" w:type="dxa"/>
            <w:shd w:val="clear" w:color="auto" w:fill="auto"/>
            <w:vAlign w:val="bottom"/>
          </w:tcPr>
          <w:p w14:paraId="2BBE4504" w14:textId="77777777" w:rsidR="0016448E" w:rsidRPr="0016448E" w:rsidRDefault="0016448E" w:rsidP="0016448E">
            <w:pPr>
              <w:keepNext/>
              <w:keepLines/>
              <w:spacing w:before="60" w:after="60"/>
              <w:jc w:val="right"/>
              <w:rPr>
                <w:sz w:val="16"/>
                <w:szCs w:val="16"/>
              </w:rPr>
            </w:pPr>
            <w:r w:rsidRPr="0016448E">
              <w:rPr>
                <w:sz w:val="16"/>
                <w:szCs w:val="16"/>
              </w:rPr>
              <w:t>16</w:t>
            </w:r>
          </w:p>
        </w:tc>
        <w:tc>
          <w:tcPr>
            <w:tcW w:w="1064" w:type="dxa"/>
            <w:shd w:val="clear" w:color="auto" w:fill="auto"/>
          </w:tcPr>
          <w:p w14:paraId="3D6A79E1" w14:textId="77777777" w:rsidR="0016448E" w:rsidRPr="0016448E" w:rsidRDefault="0016448E" w:rsidP="0016448E">
            <w:pPr>
              <w:keepNext/>
              <w:keepLines/>
              <w:spacing w:before="60" w:after="60"/>
              <w:jc w:val="right"/>
              <w:rPr>
                <w:sz w:val="16"/>
                <w:szCs w:val="16"/>
              </w:rPr>
            </w:pPr>
            <w:r w:rsidRPr="0016448E">
              <w:rPr>
                <w:sz w:val="16"/>
                <w:szCs w:val="16"/>
              </w:rPr>
              <w:t>2.7%</w:t>
            </w:r>
          </w:p>
        </w:tc>
        <w:tc>
          <w:tcPr>
            <w:tcW w:w="1063" w:type="dxa"/>
            <w:shd w:val="clear" w:color="auto" w:fill="auto"/>
            <w:vAlign w:val="center"/>
          </w:tcPr>
          <w:p w14:paraId="38D274E5" w14:textId="77777777" w:rsidR="0016448E" w:rsidRPr="0016448E" w:rsidRDefault="0016448E" w:rsidP="0016448E">
            <w:pPr>
              <w:keepNext/>
              <w:keepLines/>
              <w:spacing w:before="60" w:after="60"/>
              <w:jc w:val="right"/>
              <w:rPr>
                <w:sz w:val="16"/>
                <w:szCs w:val="16"/>
              </w:rPr>
            </w:pPr>
            <w:r w:rsidRPr="0016448E">
              <w:rPr>
                <w:sz w:val="16"/>
                <w:szCs w:val="16"/>
              </w:rPr>
              <w:t>5.213</w:t>
            </w:r>
          </w:p>
        </w:tc>
        <w:tc>
          <w:tcPr>
            <w:tcW w:w="1063" w:type="dxa"/>
            <w:shd w:val="clear" w:color="auto" w:fill="auto"/>
          </w:tcPr>
          <w:p w14:paraId="7CDB4BF4" w14:textId="77777777" w:rsidR="0016448E" w:rsidRPr="0016448E" w:rsidRDefault="0016448E" w:rsidP="0016448E">
            <w:pPr>
              <w:keepNext/>
              <w:keepLines/>
              <w:spacing w:before="60" w:after="60"/>
              <w:jc w:val="right"/>
              <w:rPr>
                <w:sz w:val="16"/>
                <w:szCs w:val="16"/>
              </w:rPr>
            </w:pPr>
            <w:r w:rsidRPr="0016448E">
              <w:rPr>
                <w:sz w:val="16"/>
                <w:szCs w:val="16"/>
              </w:rPr>
              <w:t>13.2%</w:t>
            </w:r>
          </w:p>
        </w:tc>
        <w:tc>
          <w:tcPr>
            <w:tcW w:w="1064" w:type="dxa"/>
            <w:shd w:val="clear" w:color="auto" w:fill="auto"/>
            <w:vAlign w:val="center"/>
          </w:tcPr>
          <w:p w14:paraId="03FDDCE2" w14:textId="77777777" w:rsidR="0016448E" w:rsidRPr="0016448E" w:rsidRDefault="0016448E" w:rsidP="0016448E">
            <w:pPr>
              <w:keepNext/>
              <w:keepLines/>
              <w:spacing w:before="60" w:after="60"/>
              <w:jc w:val="right"/>
              <w:rPr>
                <w:sz w:val="16"/>
                <w:szCs w:val="16"/>
              </w:rPr>
            </w:pPr>
            <w:r w:rsidRPr="0016448E">
              <w:rPr>
                <w:sz w:val="16"/>
                <w:szCs w:val="16"/>
              </w:rPr>
              <w:t>0.976</w:t>
            </w:r>
          </w:p>
        </w:tc>
        <w:tc>
          <w:tcPr>
            <w:tcW w:w="1063" w:type="dxa"/>
            <w:shd w:val="clear" w:color="auto" w:fill="auto"/>
          </w:tcPr>
          <w:p w14:paraId="3D0F8CB7" w14:textId="77777777" w:rsidR="0016448E" w:rsidRPr="0016448E" w:rsidRDefault="0016448E" w:rsidP="0016448E">
            <w:pPr>
              <w:keepNext/>
              <w:keepLines/>
              <w:spacing w:before="60" w:after="60"/>
              <w:jc w:val="right"/>
              <w:rPr>
                <w:sz w:val="16"/>
                <w:szCs w:val="16"/>
              </w:rPr>
            </w:pPr>
            <w:r w:rsidRPr="0016448E">
              <w:rPr>
                <w:sz w:val="16"/>
                <w:szCs w:val="16"/>
              </w:rPr>
              <w:t>1.9%</w:t>
            </w:r>
          </w:p>
        </w:tc>
        <w:tc>
          <w:tcPr>
            <w:tcW w:w="1063" w:type="dxa"/>
            <w:shd w:val="clear" w:color="auto" w:fill="auto"/>
            <w:vAlign w:val="center"/>
          </w:tcPr>
          <w:p w14:paraId="18960E51" w14:textId="77777777" w:rsidR="0016448E" w:rsidRPr="0016448E" w:rsidRDefault="0016448E" w:rsidP="0016448E">
            <w:pPr>
              <w:keepNext/>
              <w:keepLines/>
              <w:spacing w:before="60" w:after="60"/>
              <w:jc w:val="right"/>
              <w:rPr>
                <w:sz w:val="16"/>
                <w:szCs w:val="16"/>
              </w:rPr>
            </w:pPr>
            <w:r w:rsidRPr="0016448E">
              <w:rPr>
                <w:sz w:val="16"/>
                <w:szCs w:val="16"/>
              </w:rPr>
              <w:t>6.189</w:t>
            </w:r>
          </w:p>
        </w:tc>
        <w:tc>
          <w:tcPr>
            <w:tcW w:w="1064" w:type="dxa"/>
            <w:shd w:val="clear" w:color="auto" w:fill="auto"/>
          </w:tcPr>
          <w:p w14:paraId="4FAFF7FE" w14:textId="77777777" w:rsidR="0016448E" w:rsidRPr="0016448E" w:rsidRDefault="0016448E" w:rsidP="0016448E">
            <w:pPr>
              <w:keepNext/>
              <w:keepLines/>
              <w:spacing w:before="60" w:after="60"/>
              <w:jc w:val="right"/>
              <w:rPr>
                <w:sz w:val="16"/>
                <w:szCs w:val="16"/>
              </w:rPr>
            </w:pPr>
            <w:r w:rsidRPr="0016448E">
              <w:rPr>
                <w:sz w:val="16"/>
                <w:szCs w:val="16"/>
              </w:rPr>
              <w:t>6.7%</w:t>
            </w:r>
          </w:p>
        </w:tc>
      </w:tr>
      <w:tr w:rsidR="00EF342B" w:rsidRPr="0016448E" w14:paraId="0664C8B2" w14:textId="77777777" w:rsidTr="00740A34">
        <w:tc>
          <w:tcPr>
            <w:tcW w:w="1063" w:type="dxa"/>
          </w:tcPr>
          <w:p w14:paraId="4CEA5110" w14:textId="77777777" w:rsidR="0016448E" w:rsidRPr="0016448E" w:rsidRDefault="0016448E" w:rsidP="0016448E">
            <w:pPr>
              <w:keepNext/>
              <w:keepLines/>
              <w:tabs>
                <w:tab w:val="left" w:pos="174"/>
              </w:tabs>
              <w:spacing w:before="60" w:after="60"/>
              <w:jc w:val="left"/>
              <w:rPr>
                <w:b/>
                <w:bCs/>
                <w:sz w:val="16"/>
                <w:szCs w:val="16"/>
              </w:rPr>
            </w:pPr>
            <w:r w:rsidRPr="0016448E">
              <w:rPr>
                <w:b/>
                <w:bCs/>
                <w:sz w:val="16"/>
                <w:szCs w:val="16"/>
              </w:rPr>
              <w:t>to 100%</w:t>
            </w:r>
          </w:p>
        </w:tc>
        <w:tc>
          <w:tcPr>
            <w:tcW w:w="1063" w:type="dxa"/>
            <w:shd w:val="clear" w:color="auto" w:fill="auto"/>
            <w:vAlign w:val="bottom"/>
          </w:tcPr>
          <w:p w14:paraId="5434B21F" w14:textId="77777777" w:rsidR="0016448E" w:rsidRPr="0016448E" w:rsidRDefault="0016448E" w:rsidP="0016448E">
            <w:pPr>
              <w:keepNext/>
              <w:keepLines/>
              <w:spacing w:before="60" w:after="60"/>
              <w:jc w:val="right"/>
              <w:rPr>
                <w:sz w:val="16"/>
                <w:szCs w:val="16"/>
              </w:rPr>
            </w:pPr>
            <w:r w:rsidRPr="0016448E">
              <w:rPr>
                <w:sz w:val="16"/>
                <w:szCs w:val="16"/>
              </w:rPr>
              <w:t>24</w:t>
            </w:r>
          </w:p>
        </w:tc>
        <w:tc>
          <w:tcPr>
            <w:tcW w:w="1064" w:type="dxa"/>
            <w:shd w:val="clear" w:color="auto" w:fill="auto"/>
          </w:tcPr>
          <w:p w14:paraId="04A22AE7" w14:textId="77777777" w:rsidR="0016448E" w:rsidRPr="0016448E" w:rsidRDefault="0016448E" w:rsidP="0016448E">
            <w:pPr>
              <w:keepNext/>
              <w:keepLines/>
              <w:spacing w:before="60" w:after="60"/>
              <w:jc w:val="right"/>
              <w:rPr>
                <w:sz w:val="16"/>
                <w:szCs w:val="16"/>
              </w:rPr>
            </w:pPr>
            <w:r w:rsidRPr="0016448E">
              <w:rPr>
                <w:sz w:val="16"/>
                <w:szCs w:val="16"/>
              </w:rPr>
              <w:t>4.1%</w:t>
            </w:r>
          </w:p>
        </w:tc>
        <w:tc>
          <w:tcPr>
            <w:tcW w:w="1063" w:type="dxa"/>
            <w:shd w:val="clear" w:color="auto" w:fill="auto"/>
            <w:vAlign w:val="center"/>
          </w:tcPr>
          <w:p w14:paraId="5C549903" w14:textId="77777777" w:rsidR="0016448E" w:rsidRPr="0016448E" w:rsidRDefault="0016448E" w:rsidP="0016448E">
            <w:pPr>
              <w:keepNext/>
              <w:keepLines/>
              <w:spacing w:before="60" w:after="60"/>
              <w:jc w:val="right"/>
              <w:rPr>
                <w:sz w:val="16"/>
                <w:szCs w:val="16"/>
              </w:rPr>
            </w:pPr>
            <w:r w:rsidRPr="0016448E">
              <w:rPr>
                <w:sz w:val="16"/>
                <w:szCs w:val="16"/>
              </w:rPr>
              <w:t>5.947</w:t>
            </w:r>
          </w:p>
        </w:tc>
        <w:tc>
          <w:tcPr>
            <w:tcW w:w="1063" w:type="dxa"/>
            <w:shd w:val="clear" w:color="auto" w:fill="auto"/>
          </w:tcPr>
          <w:p w14:paraId="347EF1AA" w14:textId="77777777" w:rsidR="0016448E" w:rsidRPr="0016448E" w:rsidRDefault="0016448E" w:rsidP="0016448E">
            <w:pPr>
              <w:keepNext/>
              <w:keepLines/>
              <w:spacing w:before="60" w:after="60"/>
              <w:jc w:val="right"/>
              <w:rPr>
                <w:sz w:val="16"/>
                <w:szCs w:val="16"/>
              </w:rPr>
            </w:pPr>
            <w:r w:rsidRPr="0016448E">
              <w:rPr>
                <w:sz w:val="16"/>
                <w:szCs w:val="16"/>
              </w:rPr>
              <w:t>15.1%</w:t>
            </w:r>
          </w:p>
        </w:tc>
        <w:tc>
          <w:tcPr>
            <w:tcW w:w="1064" w:type="dxa"/>
            <w:shd w:val="clear" w:color="auto" w:fill="auto"/>
            <w:vAlign w:val="center"/>
          </w:tcPr>
          <w:p w14:paraId="0509DDFA" w14:textId="77777777" w:rsidR="0016448E" w:rsidRPr="0016448E" w:rsidRDefault="0016448E" w:rsidP="0016448E">
            <w:pPr>
              <w:keepNext/>
              <w:keepLines/>
              <w:spacing w:before="60" w:after="60"/>
              <w:jc w:val="right"/>
              <w:rPr>
                <w:sz w:val="16"/>
                <w:szCs w:val="16"/>
              </w:rPr>
            </w:pPr>
            <w:r w:rsidRPr="0016448E">
              <w:rPr>
                <w:sz w:val="16"/>
                <w:szCs w:val="16"/>
              </w:rPr>
              <w:t>0.310</w:t>
            </w:r>
          </w:p>
        </w:tc>
        <w:tc>
          <w:tcPr>
            <w:tcW w:w="1063" w:type="dxa"/>
            <w:shd w:val="clear" w:color="auto" w:fill="auto"/>
          </w:tcPr>
          <w:p w14:paraId="669583C7" w14:textId="77777777" w:rsidR="0016448E" w:rsidRPr="0016448E" w:rsidRDefault="0016448E" w:rsidP="0016448E">
            <w:pPr>
              <w:keepNext/>
              <w:keepLines/>
              <w:spacing w:before="60" w:after="60"/>
              <w:jc w:val="right"/>
              <w:rPr>
                <w:sz w:val="16"/>
                <w:szCs w:val="16"/>
              </w:rPr>
            </w:pPr>
            <w:r w:rsidRPr="0016448E">
              <w:rPr>
                <w:sz w:val="16"/>
                <w:szCs w:val="16"/>
              </w:rPr>
              <w:t>0.6%</w:t>
            </w:r>
          </w:p>
        </w:tc>
        <w:tc>
          <w:tcPr>
            <w:tcW w:w="1063" w:type="dxa"/>
            <w:shd w:val="clear" w:color="auto" w:fill="auto"/>
            <w:vAlign w:val="center"/>
          </w:tcPr>
          <w:p w14:paraId="10ED5FD5" w14:textId="77777777" w:rsidR="0016448E" w:rsidRPr="0016448E" w:rsidRDefault="0016448E" w:rsidP="0016448E">
            <w:pPr>
              <w:keepNext/>
              <w:keepLines/>
              <w:spacing w:before="60" w:after="60"/>
              <w:jc w:val="right"/>
              <w:rPr>
                <w:sz w:val="16"/>
                <w:szCs w:val="16"/>
              </w:rPr>
            </w:pPr>
            <w:r w:rsidRPr="0016448E">
              <w:rPr>
                <w:sz w:val="16"/>
                <w:szCs w:val="16"/>
              </w:rPr>
              <w:t>6.257</w:t>
            </w:r>
          </w:p>
        </w:tc>
        <w:tc>
          <w:tcPr>
            <w:tcW w:w="1064" w:type="dxa"/>
            <w:shd w:val="clear" w:color="auto" w:fill="auto"/>
          </w:tcPr>
          <w:p w14:paraId="7D822F7D" w14:textId="77777777" w:rsidR="0016448E" w:rsidRPr="0016448E" w:rsidRDefault="0016448E" w:rsidP="0016448E">
            <w:pPr>
              <w:keepNext/>
              <w:keepLines/>
              <w:spacing w:before="60" w:after="60"/>
              <w:jc w:val="right"/>
              <w:rPr>
                <w:sz w:val="16"/>
                <w:szCs w:val="16"/>
              </w:rPr>
            </w:pPr>
            <w:r w:rsidRPr="0016448E">
              <w:rPr>
                <w:sz w:val="16"/>
                <w:szCs w:val="16"/>
              </w:rPr>
              <w:t>6.8%</w:t>
            </w:r>
          </w:p>
        </w:tc>
      </w:tr>
      <w:tr w:rsidR="00EF342B" w:rsidRPr="0016448E" w14:paraId="768F58E6" w14:textId="77777777" w:rsidTr="00740A34">
        <w:tc>
          <w:tcPr>
            <w:tcW w:w="1063" w:type="dxa"/>
          </w:tcPr>
          <w:p w14:paraId="637418EC" w14:textId="77777777" w:rsidR="0016448E" w:rsidRPr="0016448E" w:rsidRDefault="0016448E" w:rsidP="0016448E">
            <w:pPr>
              <w:keepNext/>
              <w:keepLines/>
              <w:tabs>
                <w:tab w:val="left" w:pos="174"/>
              </w:tabs>
              <w:spacing w:before="60" w:after="60"/>
              <w:jc w:val="left"/>
              <w:rPr>
                <w:b/>
                <w:bCs/>
                <w:sz w:val="16"/>
                <w:szCs w:val="16"/>
              </w:rPr>
            </w:pPr>
            <w:r w:rsidRPr="0016448E">
              <w:rPr>
                <w:b/>
                <w:bCs/>
                <w:sz w:val="16"/>
                <w:szCs w:val="16"/>
              </w:rPr>
              <w:t>Total</w:t>
            </w:r>
          </w:p>
        </w:tc>
        <w:tc>
          <w:tcPr>
            <w:tcW w:w="1063" w:type="dxa"/>
            <w:shd w:val="clear" w:color="auto" w:fill="auto"/>
            <w:vAlign w:val="bottom"/>
          </w:tcPr>
          <w:p w14:paraId="77ED01C7" w14:textId="77777777" w:rsidR="0016448E" w:rsidRPr="0016448E" w:rsidRDefault="0016448E" w:rsidP="0016448E">
            <w:pPr>
              <w:keepNext/>
              <w:keepLines/>
              <w:spacing w:before="60" w:after="60"/>
              <w:jc w:val="right"/>
              <w:rPr>
                <w:b/>
                <w:bCs/>
                <w:sz w:val="16"/>
                <w:szCs w:val="16"/>
              </w:rPr>
            </w:pPr>
            <w:r w:rsidRPr="0016448E">
              <w:rPr>
                <w:b/>
                <w:bCs/>
                <w:sz w:val="16"/>
                <w:szCs w:val="16"/>
              </w:rPr>
              <w:t>587</w:t>
            </w:r>
          </w:p>
        </w:tc>
        <w:tc>
          <w:tcPr>
            <w:tcW w:w="1064" w:type="dxa"/>
            <w:shd w:val="clear" w:color="auto" w:fill="auto"/>
            <w:vAlign w:val="center"/>
          </w:tcPr>
          <w:p w14:paraId="5A6A2CA6" w14:textId="77777777" w:rsidR="0016448E" w:rsidRPr="0016448E" w:rsidRDefault="0016448E" w:rsidP="0016448E">
            <w:pPr>
              <w:keepNext/>
              <w:keepLines/>
              <w:spacing w:before="60" w:after="60"/>
              <w:jc w:val="right"/>
              <w:rPr>
                <w:b/>
                <w:bCs/>
                <w:sz w:val="16"/>
                <w:szCs w:val="16"/>
              </w:rPr>
            </w:pPr>
            <w:r w:rsidRPr="0016448E">
              <w:rPr>
                <w:b/>
                <w:bCs/>
                <w:sz w:val="16"/>
                <w:szCs w:val="16"/>
              </w:rPr>
              <w:t>100.0%</w:t>
            </w:r>
          </w:p>
        </w:tc>
        <w:tc>
          <w:tcPr>
            <w:tcW w:w="1063" w:type="dxa"/>
            <w:shd w:val="clear" w:color="auto" w:fill="auto"/>
            <w:vAlign w:val="center"/>
          </w:tcPr>
          <w:p w14:paraId="363FB1CC" w14:textId="77777777" w:rsidR="0016448E" w:rsidRPr="0016448E" w:rsidRDefault="0016448E" w:rsidP="0016448E">
            <w:pPr>
              <w:keepNext/>
              <w:keepLines/>
              <w:spacing w:before="60" w:after="60"/>
              <w:jc w:val="right"/>
              <w:rPr>
                <w:b/>
                <w:bCs/>
                <w:sz w:val="16"/>
                <w:szCs w:val="16"/>
              </w:rPr>
            </w:pPr>
            <w:r w:rsidRPr="0016448E">
              <w:rPr>
                <w:b/>
                <w:bCs/>
                <w:sz w:val="16"/>
                <w:szCs w:val="16"/>
              </w:rPr>
              <w:t>39.501</w:t>
            </w:r>
          </w:p>
        </w:tc>
        <w:tc>
          <w:tcPr>
            <w:tcW w:w="1063" w:type="dxa"/>
            <w:shd w:val="clear" w:color="auto" w:fill="auto"/>
          </w:tcPr>
          <w:p w14:paraId="4494C29D" w14:textId="77777777" w:rsidR="0016448E" w:rsidRPr="0016448E" w:rsidRDefault="0016448E" w:rsidP="0016448E">
            <w:pPr>
              <w:keepNext/>
              <w:keepLines/>
              <w:spacing w:before="60" w:after="60"/>
              <w:jc w:val="right"/>
              <w:rPr>
                <w:b/>
                <w:bCs/>
                <w:sz w:val="16"/>
                <w:szCs w:val="16"/>
              </w:rPr>
            </w:pPr>
            <w:r w:rsidRPr="0016448E">
              <w:rPr>
                <w:b/>
                <w:bCs/>
                <w:sz w:val="16"/>
                <w:szCs w:val="16"/>
              </w:rPr>
              <w:t>100.0%</w:t>
            </w:r>
          </w:p>
        </w:tc>
        <w:tc>
          <w:tcPr>
            <w:tcW w:w="1064" w:type="dxa"/>
            <w:shd w:val="clear" w:color="auto" w:fill="auto"/>
            <w:vAlign w:val="center"/>
          </w:tcPr>
          <w:p w14:paraId="19FAE345" w14:textId="77777777" w:rsidR="0016448E" w:rsidRPr="0016448E" w:rsidRDefault="0016448E" w:rsidP="0016448E">
            <w:pPr>
              <w:keepNext/>
              <w:keepLines/>
              <w:spacing w:before="60" w:after="60"/>
              <w:jc w:val="right"/>
              <w:rPr>
                <w:b/>
                <w:bCs/>
                <w:sz w:val="16"/>
                <w:szCs w:val="16"/>
              </w:rPr>
            </w:pPr>
            <w:r w:rsidRPr="0016448E">
              <w:rPr>
                <w:b/>
                <w:bCs/>
                <w:sz w:val="16"/>
                <w:szCs w:val="16"/>
              </w:rPr>
              <w:t>52.191</w:t>
            </w:r>
          </w:p>
        </w:tc>
        <w:tc>
          <w:tcPr>
            <w:tcW w:w="1063" w:type="dxa"/>
            <w:shd w:val="clear" w:color="auto" w:fill="auto"/>
          </w:tcPr>
          <w:p w14:paraId="48ED8690" w14:textId="77777777" w:rsidR="0016448E" w:rsidRPr="0016448E" w:rsidRDefault="0016448E" w:rsidP="0016448E">
            <w:pPr>
              <w:keepNext/>
              <w:keepLines/>
              <w:spacing w:before="60" w:after="60"/>
              <w:jc w:val="right"/>
              <w:rPr>
                <w:b/>
                <w:bCs/>
                <w:sz w:val="16"/>
                <w:szCs w:val="16"/>
              </w:rPr>
            </w:pPr>
            <w:r w:rsidRPr="0016448E">
              <w:rPr>
                <w:b/>
                <w:bCs/>
                <w:sz w:val="16"/>
                <w:szCs w:val="16"/>
              </w:rPr>
              <w:t>100.0%</w:t>
            </w:r>
          </w:p>
        </w:tc>
        <w:tc>
          <w:tcPr>
            <w:tcW w:w="1063" w:type="dxa"/>
            <w:shd w:val="clear" w:color="auto" w:fill="auto"/>
            <w:vAlign w:val="center"/>
          </w:tcPr>
          <w:p w14:paraId="5B501A80" w14:textId="77777777" w:rsidR="0016448E" w:rsidRPr="0016448E" w:rsidRDefault="0016448E" w:rsidP="0016448E">
            <w:pPr>
              <w:keepNext/>
              <w:keepLines/>
              <w:spacing w:before="60" w:after="60"/>
              <w:jc w:val="right"/>
              <w:rPr>
                <w:b/>
                <w:bCs/>
                <w:sz w:val="16"/>
                <w:szCs w:val="16"/>
              </w:rPr>
            </w:pPr>
            <w:r w:rsidRPr="0016448E">
              <w:rPr>
                <w:b/>
                <w:bCs/>
                <w:sz w:val="16"/>
                <w:szCs w:val="16"/>
              </w:rPr>
              <w:t>91.961</w:t>
            </w:r>
          </w:p>
        </w:tc>
        <w:tc>
          <w:tcPr>
            <w:tcW w:w="1064" w:type="dxa"/>
            <w:shd w:val="clear" w:color="auto" w:fill="auto"/>
          </w:tcPr>
          <w:p w14:paraId="2B1598B0" w14:textId="77777777" w:rsidR="0016448E" w:rsidRPr="0016448E" w:rsidRDefault="0016448E" w:rsidP="0016448E">
            <w:pPr>
              <w:keepNext/>
              <w:keepLines/>
              <w:spacing w:before="60" w:after="60"/>
              <w:jc w:val="right"/>
              <w:rPr>
                <w:b/>
                <w:bCs/>
                <w:sz w:val="16"/>
                <w:szCs w:val="16"/>
              </w:rPr>
            </w:pPr>
            <w:r w:rsidRPr="0016448E">
              <w:rPr>
                <w:b/>
                <w:bCs/>
                <w:sz w:val="16"/>
                <w:szCs w:val="16"/>
              </w:rPr>
              <w:t>100.0%</w:t>
            </w:r>
          </w:p>
        </w:tc>
      </w:tr>
    </w:tbl>
    <w:p w14:paraId="35EF8ACD" w14:textId="6DD34B82" w:rsidR="001B3AE0" w:rsidRPr="007C42CE" w:rsidRDefault="001B3AE0" w:rsidP="00075D72">
      <w:pPr>
        <w:pStyle w:val="NumberedParagraph"/>
      </w:pPr>
      <w:r w:rsidRPr="007C42CE">
        <w:t xml:space="preserve">There is a further important issue that </w:t>
      </w:r>
      <w:r w:rsidR="008F66A0">
        <w:t>wa</w:t>
      </w:r>
      <w:r w:rsidRPr="007C42CE">
        <w:t>s not picked up in table</w:t>
      </w:r>
      <w:r>
        <w:t xml:space="preserve"> 9.1</w:t>
      </w:r>
      <w:r w:rsidRPr="007C42CE">
        <w:t>. This is that increasing the thin capitalisation safe harbour threshold may be a relatively costly way of promoting inbound investment</w:t>
      </w:r>
      <w:r w:rsidR="00343C6A">
        <w:t xml:space="preserve"> from a New Zealand perspective</w:t>
      </w:r>
      <w:r w:rsidRPr="007C42CE">
        <w:t xml:space="preserve">. When it leads to New Zealand subsidiaries being financed with more debt and less equity from a foreign parent, not only will this reduce tax paid in New Zealand, </w:t>
      </w:r>
      <w:r w:rsidR="00F94C76">
        <w:t xml:space="preserve">but </w:t>
      </w:r>
      <w:r w:rsidRPr="007C42CE">
        <w:t>it will often add to tax paid overseas.</w:t>
      </w:r>
      <w:r w:rsidR="00C63049">
        <w:t xml:space="preserve"> </w:t>
      </w:r>
      <w:r w:rsidR="00787A24">
        <w:t>This is likely to mean a relatively large revenue cost to achieve a relatively small fall in the cost of capital.</w:t>
      </w:r>
    </w:p>
    <w:p w14:paraId="41ACB210" w14:textId="1A56E795" w:rsidR="001B3AE0" w:rsidRPr="007C42CE" w:rsidRDefault="001B3AE0" w:rsidP="00075D72">
      <w:pPr>
        <w:pStyle w:val="NumberedParagraph"/>
      </w:pPr>
      <w:r w:rsidRPr="007C42CE">
        <w:t xml:space="preserve">For example, suppose a higher threshold leads to an extra $100 of interest being attracted from a country with a 20% company tax rate </w:t>
      </w:r>
      <w:r w:rsidR="00880DAA">
        <w:t>that</w:t>
      </w:r>
      <w:r w:rsidRPr="007C42CE">
        <w:t xml:space="preserve"> provides credits for NRWT on interest levied in New Zealand. This reduces New Zealand tax by $18 (a reduction in company tax of $28 offset by an increase in NRWT of $10) but increases foreign tax by $10 (as the interest income is taxed at a rate of 20% but offset by an NRWT tax credit). Overall, the net benefit to the foreign investor would be a reduction in worldwide tax of $8, but this would be smaller than the drop in New Zealand tax. Thus, increasing the safe harbour threshold may be a relatively costly way of promoting inbound investment.</w:t>
      </w:r>
    </w:p>
    <w:p w14:paraId="1937F69E" w14:textId="210DA192" w:rsidR="001B3AE0" w:rsidRDefault="001B3AE0" w:rsidP="00075D72">
      <w:pPr>
        <w:pStyle w:val="NumberedParagraph"/>
      </w:pPr>
      <w:r w:rsidRPr="007C42CE">
        <w:lastRenderedPageBreak/>
        <w:t>Finally, as has been discussed, at times debt-financed investment may face negative EMTRs and be subsidised by the tax system. For example, table</w:t>
      </w:r>
      <w:r>
        <w:t xml:space="preserve"> 9.1</w:t>
      </w:r>
      <w:r w:rsidRPr="007C42CE">
        <w:t xml:space="preserve"> above shows that if firms were allowed to use 100% debt finance, EMTRs for several types of investment would be negative (and</w:t>
      </w:r>
      <w:r w:rsidR="00BE1282">
        <w:t>,</w:t>
      </w:r>
      <w:r w:rsidRPr="007C42CE">
        <w:t xml:space="preserve"> in the case of expensing</w:t>
      </w:r>
      <w:r w:rsidR="00BE1282">
        <w:t>,</w:t>
      </w:r>
      <w:r w:rsidRPr="007C42CE">
        <w:t xml:space="preserve"> very negative). Allowing foreign-controlled firms to have very high levels of debt finance would not just be reducing high positive EMTRs</w:t>
      </w:r>
      <w:r w:rsidR="003232E5">
        <w:t>;</w:t>
      </w:r>
      <w:r w:rsidRPr="007C42CE">
        <w:t xml:space="preserve"> it would sometimes be adding to investment subsidies.</w:t>
      </w:r>
    </w:p>
    <w:p w14:paraId="6176DC0D" w14:textId="61B0C452" w:rsidR="002272C6" w:rsidRPr="007C42CE" w:rsidRDefault="002272C6" w:rsidP="00075D72">
      <w:pPr>
        <w:pStyle w:val="NumberedParagraph"/>
      </w:pPr>
      <w:r>
        <w:t xml:space="preserve">There are some possible interactions </w:t>
      </w:r>
      <w:r w:rsidR="009B059A">
        <w:t xml:space="preserve">to consider. </w:t>
      </w:r>
      <w:r w:rsidR="00CF6112">
        <w:t xml:space="preserve">If the thin capitalisation safe harbour were relaxed, this </w:t>
      </w:r>
      <w:r w:rsidR="00B11969">
        <w:t xml:space="preserve">might make it less attractive to make other changes which might also be reducing </w:t>
      </w:r>
      <w:r w:rsidR="001F5754">
        <w:t xml:space="preserve">EMTRs (such as introducing accelerated depreciation measures) if they might also be creating </w:t>
      </w:r>
      <w:r w:rsidR="000306B7">
        <w:t>investment subsidies.</w:t>
      </w:r>
      <w:r w:rsidR="004C581B">
        <w:t xml:space="preserve"> </w:t>
      </w:r>
    </w:p>
    <w:p w14:paraId="12FCC6F8" w14:textId="00F2C8E3" w:rsidR="001B3AE0" w:rsidRPr="007C42CE" w:rsidRDefault="009F703E" w:rsidP="001B3AE0">
      <w:pPr>
        <w:pStyle w:val="Heading2"/>
        <w:rPr>
          <w:rFonts w:eastAsia="Calibri"/>
          <w:lang w:eastAsia="en-US"/>
        </w:rPr>
      </w:pPr>
      <w:bookmarkStart w:id="70" w:name="_Toc112857447"/>
      <w:r>
        <w:rPr>
          <w:rFonts w:eastAsia="Calibri"/>
          <w:lang w:eastAsia="en-US"/>
        </w:rPr>
        <w:t>Other</w:t>
      </w:r>
      <w:r w:rsidR="001B3AE0" w:rsidRPr="007C42CE">
        <w:rPr>
          <w:rFonts w:eastAsia="Calibri"/>
          <w:lang w:eastAsia="en-US"/>
        </w:rPr>
        <w:t xml:space="preserve"> solutions</w:t>
      </w:r>
      <w:bookmarkEnd w:id="70"/>
    </w:p>
    <w:p w14:paraId="0669DB15" w14:textId="6A4002C3" w:rsidR="001B3AE0" w:rsidRDefault="001B3AE0" w:rsidP="00075D72">
      <w:pPr>
        <w:pStyle w:val="NumberedParagraph"/>
      </w:pPr>
      <w:r w:rsidRPr="007C42CE">
        <w:t>One disadvantage of increasing the safe harbour threshold is that increasing debt finance into New Zealand may often mean higher taxes paid overseas. This makes a higher threshold a relatively cost</w:t>
      </w:r>
      <w:r w:rsidR="00C1673E">
        <w:t>-</w:t>
      </w:r>
      <w:r w:rsidRPr="007C42CE">
        <w:t>ineffective way of promoting investment. Also</w:t>
      </w:r>
      <w:r w:rsidR="007261D4">
        <w:t>,</w:t>
      </w:r>
      <w:r w:rsidRPr="007C42CE">
        <w:t xml:space="preserve"> a higher safe harbour threshold is only likely to be of benefit to foreign-controlled firms </w:t>
      </w:r>
      <w:r w:rsidR="007261D4">
        <w:t>that</w:t>
      </w:r>
      <w:r w:rsidRPr="007C42CE">
        <w:t xml:space="preserve"> are close to the safe harbour threshold initially. An alternative is an allowance for corporate equity. This would reduce the cost of capital on inbound investment without inducing firms to take on additional debt finance and </w:t>
      </w:r>
      <w:r w:rsidR="00535CD9">
        <w:t xml:space="preserve">would </w:t>
      </w:r>
      <w:r w:rsidRPr="007C42CE">
        <w:t>apply to a much broader set of inbound investment. This is discussed in chapter 10.</w:t>
      </w:r>
    </w:p>
    <w:p w14:paraId="011579D0" w14:textId="77777777" w:rsidR="005C41E8" w:rsidRPr="0009166B" w:rsidRDefault="005C41E8" w:rsidP="005C41E8">
      <w:pPr>
        <w:pStyle w:val="Heading2"/>
        <w:rPr>
          <w:rFonts w:eastAsia="Calibri"/>
          <w:lang w:eastAsia="en-US"/>
        </w:rPr>
      </w:pPr>
      <w:bookmarkStart w:id="71" w:name="_Toc112857448"/>
      <w:r>
        <w:rPr>
          <w:rFonts w:eastAsia="Calibri"/>
          <w:lang w:eastAsia="en-US"/>
        </w:rPr>
        <w:t>Views of stakeholders</w:t>
      </w:r>
      <w:bookmarkEnd w:id="71"/>
    </w:p>
    <w:p w14:paraId="2FEED636" w14:textId="13F3949F" w:rsidR="005C41E8" w:rsidRDefault="005C41E8" w:rsidP="005C41E8">
      <w:pPr>
        <w:pStyle w:val="NumberedParagraph"/>
      </w:pPr>
      <w:r>
        <w:t xml:space="preserve">Business NZ </w:t>
      </w:r>
      <w:r w:rsidR="00983279">
        <w:t>noted the thin capitalisation safe harbour threshold had been reduced from 75%</w:t>
      </w:r>
      <w:r w:rsidR="004047F2">
        <w:t xml:space="preserve"> to 60% as </w:t>
      </w:r>
      <w:r w:rsidR="006C5D5B">
        <w:t xml:space="preserve">part of the </w:t>
      </w:r>
      <w:r w:rsidR="00181BEC">
        <w:t>Budget 2010 changes</w:t>
      </w:r>
      <w:r w:rsidR="00AA6F8E">
        <w:t>, which</w:t>
      </w:r>
      <w:r w:rsidR="00116343">
        <w:t xml:space="preserve"> was seen as appropriate at the time. This</w:t>
      </w:r>
      <w:r w:rsidR="00CE2A00">
        <w:t xml:space="preserve"> helped offset the fiscal cost of other tax changes </w:t>
      </w:r>
      <w:r w:rsidR="00AA6F8E">
        <w:t>that</w:t>
      </w:r>
      <w:r w:rsidR="00CE2A00">
        <w:t xml:space="preserve"> were taking place at the same time.</w:t>
      </w:r>
      <w:r w:rsidR="00883966">
        <w:t xml:space="preserve"> They believe some further analysis of the most appropriate threshold is warranted.</w:t>
      </w:r>
    </w:p>
    <w:p w14:paraId="789CB18D" w14:textId="5C52C389" w:rsidR="005C41E8" w:rsidRDefault="005C41E8" w:rsidP="005C41E8">
      <w:pPr>
        <w:pStyle w:val="NumberedParagraph"/>
      </w:pPr>
      <w:r>
        <w:t xml:space="preserve">CTG </w:t>
      </w:r>
      <w:r w:rsidR="00680D14">
        <w:t>consider</w:t>
      </w:r>
      <w:r w:rsidR="008B0DFF">
        <w:t>ed</w:t>
      </w:r>
      <w:r w:rsidR="00680D14">
        <w:t xml:space="preserve"> New Zealand’s thin capitalisation rules should be reviewed </w:t>
      </w:r>
      <w:r w:rsidR="00AA6F8E">
        <w:t>to</w:t>
      </w:r>
      <w:r w:rsidR="00680D14">
        <w:t xml:space="preserve"> mak</w:t>
      </w:r>
      <w:r w:rsidR="00AA6F8E">
        <w:t>e</w:t>
      </w:r>
      <w:r w:rsidR="00680D14">
        <w:t xml:space="preserve"> New Zealand a more attractive</w:t>
      </w:r>
      <w:r w:rsidR="00BA5912">
        <w:t xml:space="preserve"> destination for inbound investment.</w:t>
      </w:r>
    </w:p>
    <w:p w14:paraId="2E54750F" w14:textId="6E24415F" w:rsidR="005C41E8" w:rsidRPr="0009166B" w:rsidRDefault="005C41E8" w:rsidP="005C41E8">
      <w:pPr>
        <w:pStyle w:val="NumberedParagraph"/>
      </w:pPr>
      <w:r>
        <w:t>CA ANZ</w:t>
      </w:r>
      <w:r w:rsidR="00081DE8">
        <w:t xml:space="preserve"> consider</w:t>
      </w:r>
      <w:r w:rsidR="008B0DFF">
        <w:t>ed</w:t>
      </w:r>
      <w:r w:rsidR="00081DE8">
        <w:t xml:space="preserve"> the current 60% thin capitalisation threshold is broadly appropriate and should not be changed.</w:t>
      </w:r>
    </w:p>
    <w:p w14:paraId="631CC177" w14:textId="63E37845" w:rsidR="001B3AE0" w:rsidRPr="004B1C56" w:rsidRDefault="001B3AE0" w:rsidP="005726CA">
      <w:pPr>
        <w:pStyle w:val="Heading1"/>
        <w:ind w:left="0"/>
        <w:rPr>
          <w:rFonts w:eastAsia="Calibri"/>
          <w:lang w:eastAsia="en-US"/>
        </w:rPr>
      </w:pPr>
      <w:r w:rsidRPr="004B1C56">
        <w:rPr>
          <w:rFonts w:eastAsia="Calibri"/>
          <w:lang w:eastAsia="en-US"/>
        </w:rPr>
        <w:lastRenderedPageBreak/>
        <w:br/>
      </w:r>
      <w:r w:rsidRPr="004B1C56">
        <w:rPr>
          <w:rFonts w:eastAsia="Calibri"/>
          <w:lang w:eastAsia="en-US"/>
        </w:rPr>
        <w:br/>
      </w:r>
      <w:bookmarkStart w:id="72" w:name="_Toc112857449"/>
      <w:r w:rsidRPr="004B1C56">
        <w:rPr>
          <w:rFonts w:eastAsia="Calibri"/>
          <w:lang w:eastAsia="en-US"/>
        </w:rPr>
        <w:t>Allowance for corporate equity</w:t>
      </w:r>
      <w:bookmarkEnd w:id="72"/>
    </w:p>
    <w:tbl>
      <w:tblPr>
        <w:tblStyle w:val="SummaryBox"/>
        <w:tblW w:w="0" w:type="auto"/>
        <w:tblLayout w:type="fixed"/>
        <w:tblLook w:val="04A0" w:firstRow="1" w:lastRow="0" w:firstColumn="1" w:lastColumn="0" w:noHBand="0" w:noVBand="1"/>
      </w:tblPr>
      <w:tblGrid>
        <w:gridCol w:w="8778"/>
      </w:tblGrid>
      <w:tr w:rsidR="001B3AE0" w:rsidRPr="00E244D1" w14:paraId="1946D7F9" w14:textId="77777777" w:rsidTr="00325672">
        <w:tc>
          <w:tcPr>
            <w:tcW w:w="8778" w:type="dxa"/>
          </w:tcPr>
          <w:p w14:paraId="6136CB65" w14:textId="77777777" w:rsidR="001B3AE0" w:rsidRPr="00E244D1" w:rsidRDefault="001B3AE0" w:rsidP="00597B6B">
            <w:pPr>
              <w:pStyle w:val="ListBullet"/>
            </w:pPr>
            <w:r w:rsidRPr="00E244D1">
              <w:t>An allowance for corporate equity (ACE) allows companies a deduction at an imputed interest rate for the cost of equity finance.</w:t>
            </w:r>
          </w:p>
          <w:p w14:paraId="0E25C161" w14:textId="77777777" w:rsidR="001B3AE0" w:rsidRPr="00E244D1" w:rsidRDefault="001B3AE0" w:rsidP="00597B6B">
            <w:pPr>
              <w:pStyle w:val="ListBullet"/>
            </w:pPr>
            <w:r w:rsidRPr="00E244D1">
              <w:t>At first sight, it would appear to have several attractions.</w:t>
            </w:r>
          </w:p>
          <w:p w14:paraId="597857FD" w14:textId="77777777" w:rsidR="001B3AE0" w:rsidRPr="00E244D1" w:rsidRDefault="001B3AE0" w:rsidP="00597B6B">
            <w:pPr>
              <w:pStyle w:val="ListBullet"/>
            </w:pPr>
            <w:r w:rsidRPr="00E244D1">
              <w:t>It aims to eliminate tax on marginal inbound investment while continuing to tax economic rents.</w:t>
            </w:r>
          </w:p>
          <w:p w14:paraId="78D47620" w14:textId="31586DAA" w:rsidR="001B3AE0" w:rsidRPr="00E244D1" w:rsidRDefault="001B3AE0" w:rsidP="00597B6B">
            <w:pPr>
              <w:pStyle w:val="ListBullet"/>
            </w:pPr>
            <w:r w:rsidRPr="00E244D1">
              <w:t>If it is applied only to incremental equity acquired after the tax is put in place, it might avoid windfalls to existing owners of shares in companies, and this would reduce the fiscal cost of the measure.</w:t>
            </w:r>
          </w:p>
          <w:p w14:paraId="09C49513" w14:textId="3CA290A4" w:rsidR="001B3AE0" w:rsidRPr="00E244D1" w:rsidRDefault="001B3AE0" w:rsidP="00597B6B">
            <w:pPr>
              <w:pStyle w:val="ListBullet"/>
            </w:pPr>
            <w:r w:rsidRPr="00E244D1">
              <w:t>The interest rate used in the ACE calculation should, in principle, reflect the risk to a firm of being unable to claim deductions</w:t>
            </w:r>
            <w:r w:rsidR="00AA6F8E">
              <w:t>.</w:t>
            </w:r>
            <w:r w:rsidRPr="00E244D1">
              <w:t xml:space="preserve"> </w:t>
            </w:r>
            <w:r w:rsidR="00AA6F8E">
              <w:t>However,</w:t>
            </w:r>
            <w:r w:rsidRPr="00E244D1">
              <w:t xml:space="preserve"> </w:t>
            </w:r>
            <w:r w:rsidR="00AA6F8E">
              <w:t xml:space="preserve">it is likely </w:t>
            </w:r>
            <w:r w:rsidRPr="00E244D1">
              <w:t>some average interest rate would be used in practice.</w:t>
            </w:r>
          </w:p>
          <w:p w14:paraId="5597BFA9" w14:textId="77777777" w:rsidR="001B3AE0" w:rsidRPr="00E244D1" w:rsidRDefault="001B3AE0" w:rsidP="00597B6B">
            <w:pPr>
              <w:pStyle w:val="ListBullet"/>
            </w:pPr>
            <w:r w:rsidRPr="00E244D1">
              <w:t>The neutrality properties of the tax would depend heavily on how the equity base is defined.</w:t>
            </w:r>
          </w:p>
          <w:p w14:paraId="39A0945B" w14:textId="77777777" w:rsidR="001B3AE0" w:rsidRPr="00E244D1" w:rsidRDefault="001B3AE0" w:rsidP="00597B6B">
            <w:pPr>
              <w:pStyle w:val="ListBullet"/>
            </w:pPr>
            <w:r w:rsidRPr="00E244D1">
              <w:t>To obtain full neutrality benefits, it would be necessary for the ACE to sometimes operate as an additional tax rather than as a tax deduction.</w:t>
            </w:r>
          </w:p>
          <w:p w14:paraId="44393574" w14:textId="77777777" w:rsidR="001B3AE0" w:rsidRPr="005726CA" w:rsidRDefault="001B3AE0" w:rsidP="00597B6B">
            <w:pPr>
              <w:pStyle w:val="ListBullet"/>
              <w:rPr>
                <w:b/>
                <w:bCs/>
              </w:rPr>
            </w:pPr>
            <w:r w:rsidRPr="00E244D1">
              <w:t xml:space="preserve">If </w:t>
            </w:r>
            <w:r w:rsidR="00610B00">
              <w:t>a tax policy goa</w:t>
            </w:r>
            <w:r w:rsidR="00AB7B68">
              <w:t>l</w:t>
            </w:r>
            <w:r w:rsidRPr="00E244D1">
              <w:t xml:space="preserve"> is to tax individuals on both their capital and labour income, it would seem difficult to integrate an ACE with the personal tax system unless gains on shares were subject to full rates of personal tax.</w:t>
            </w:r>
          </w:p>
          <w:p w14:paraId="6068385B" w14:textId="42DB3589" w:rsidR="00200711" w:rsidRPr="00E244D1" w:rsidRDefault="00200711" w:rsidP="00597B6B">
            <w:pPr>
              <w:pStyle w:val="ListBullet"/>
              <w:rPr>
                <w:b/>
                <w:bCs/>
              </w:rPr>
            </w:pPr>
            <w:r>
              <w:t>An alternative to introducing an ACE</w:t>
            </w:r>
            <w:r w:rsidR="002B6577">
              <w:t xml:space="preserve"> would be to introduce a cash</w:t>
            </w:r>
            <w:r w:rsidR="00AA6F8E">
              <w:t xml:space="preserve"> </w:t>
            </w:r>
            <w:r w:rsidR="002B6577">
              <w:t xml:space="preserve">flow tax. This would </w:t>
            </w:r>
            <w:r w:rsidR="000A20D3">
              <w:t>be expected to have similar economic effects to an ACE fo</w:t>
            </w:r>
            <w:r w:rsidR="003624BA">
              <w:t>r firms in a taxpaying position</w:t>
            </w:r>
            <w:r w:rsidR="007E5C39">
              <w:t xml:space="preserve"> with much the same benefits and costs.</w:t>
            </w:r>
          </w:p>
        </w:tc>
      </w:tr>
    </w:tbl>
    <w:p w14:paraId="4DD827EC" w14:textId="1B0F745A" w:rsidR="001B3AE0" w:rsidRPr="00E244D1" w:rsidRDefault="001B3AE0" w:rsidP="001B3AE0">
      <w:pPr>
        <w:pStyle w:val="Heading2"/>
        <w:rPr>
          <w:rFonts w:eastAsia="Calibri"/>
          <w:lang w:eastAsia="en-US"/>
        </w:rPr>
      </w:pPr>
      <w:bookmarkStart w:id="73" w:name="_Toc112857450"/>
      <w:r w:rsidRPr="00E244D1">
        <w:rPr>
          <w:rFonts w:eastAsia="Calibri"/>
          <w:lang w:eastAsia="en-US"/>
        </w:rPr>
        <w:t>Introduction</w:t>
      </w:r>
      <w:bookmarkEnd w:id="73"/>
    </w:p>
    <w:p w14:paraId="788078F9" w14:textId="77777777" w:rsidR="001B3AE0" w:rsidRPr="00E244D1" w:rsidRDefault="001B3AE0" w:rsidP="00075D72">
      <w:pPr>
        <w:pStyle w:val="NumberedParagraph"/>
      </w:pPr>
      <w:r w:rsidRPr="00E244D1">
        <w:t>Current tax settings allow companies a deduction for the cost of debt but not for the cost of equity. An allowance for corporate equity (ACE) grants companies a notional interest deduction for their equity. For example, if a company has $1,000 of equity and the interest rate that applies to notional interest deductions is 5%, the company would be able to claim a deduction of $50.</w:t>
      </w:r>
    </w:p>
    <w:p w14:paraId="73ADEC67" w14:textId="00B076E5" w:rsidR="001B3AE0" w:rsidRPr="00E244D1" w:rsidRDefault="001B3AE0" w:rsidP="00075D72">
      <w:pPr>
        <w:pStyle w:val="NumberedParagraph"/>
      </w:pPr>
      <w:r w:rsidRPr="00E244D1">
        <w:t xml:space="preserve">Providing an ACE would be one way of reducing the relatively high costs of capital and </w:t>
      </w:r>
      <w:r w:rsidR="00AA4EF3">
        <w:t>effective marginal tax rates (</w:t>
      </w:r>
      <w:r w:rsidRPr="00E244D1">
        <w:t>EMTRs</w:t>
      </w:r>
      <w:r w:rsidR="00AA4EF3">
        <w:t>)</w:t>
      </w:r>
      <w:r w:rsidRPr="00E244D1">
        <w:t xml:space="preserve"> that New Zealand imposes on inbound investment (discussed in chapter 3). At the same time, a potential danger exists of going beyond the point of merely reducing high EMTRs and instead generating tax subsidies with negative EMTRs. The OECD analysis suggested that several countries with ACE systems, including Italy, </w:t>
      </w:r>
      <w:proofErr w:type="gramStart"/>
      <w:r w:rsidRPr="00E244D1">
        <w:t>Belgium</w:t>
      </w:r>
      <w:proofErr w:type="gramEnd"/>
      <w:r w:rsidRPr="00E244D1">
        <w:t xml:space="preserve"> and Poland, had very negative EMTRs on inbound investment.</w:t>
      </w:r>
    </w:p>
    <w:p w14:paraId="725326AC" w14:textId="1828318E" w:rsidR="001B3AE0" w:rsidRPr="00E244D1" w:rsidRDefault="001B3AE0" w:rsidP="00075D72">
      <w:pPr>
        <w:pStyle w:val="NumberedParagraph"/>
      </w:pPr>
      <w:r w:rsidRPr="00E244D1">
        <w:t xml:space="preserve">An ACE could also reduce or eliminate debt-equity biases for foreign-owned firms. As discussed in chapter 4, costs of capital and EMTRs can be substantially higher for equity-financed investment than for debt-financed </w:t>
      </w:r>
      <w:r w:rsidR="00AA6F8E">
        <w:t xml:space="preserve">investment </w:t>
      </w:r>
      <w:r w:rsidRPr="00E244D1">
        <w:t>and allowing a notional interest deduction would alleviate these biases.</w:t>
      </w:r>
    </w:p>
    <w:p w14:paraId="7AFF8D0A" w14:textId="77777777" w:rsidR="001B3AE0" w:rsidRPr="00E244D1" w:rsidRDefault="001B3AE0" w:rsidP="001B3AE0">
      <w:pPr>
        <w:pStyle w:val="Heading2"/>
        <w:rPr>
          <w:rFonts w:eastAsia="Calibri"/>
          <w:lang w:eastAsia="en-US"/>
        </w:rPr>
      </w:pPr>
      <w:bookmarkStart w:id="74" w:name="_Toc112857451"/>
      <w:r w:rsidRPr="00E244D1">
        <w:rPr>
          <w:rFonts w:eastAsia="Calibri"/>
          <w:lang w:eastAsia="en-US"/>
        </w:rPr>
        <w:lastRenderedPageBreak/>
        <w:t>Policy objectives</w:t>
      </w:r>
      <w:bookmarkEnd w:id="74"/>
    </w:p>
    <w:p w14:paraId="38D2C2E0" w14:textId="77777777" w:rsidR="001B3AE0" w:rsidRPr="00E244D1" w:rsidRDefault="001B3AE0" w:rsidP="00075D72">
      <w:pPr>
        <w:pStyle w:val="NumberedParagraph"/>
      </w:pPr>
      <w:r w:rsidRPr="00E244D1">
        <w:t>A key objective for an ACE is to remove tax on marginal inbound investment and make EMTRs as close to zero as possible.</w:t>
      </w:r>
    </w:p>
    <w:p w14:paraId="088AEA2A" w14:textId="53403379" w:rsidR="001B3AE0" w:rsidRPr="00E244D1" w:rsidRDefault="001B3AE0" w:rsidP="00075D72">
      <w:pPr>
        <w:pStyle w:val="NumberedParagraph"/>
      </w:pPr>
      <w:r w:rsidRPr="00E244D1">
        <w:t xml:space="preserve">A strong case for an ACE was made by Griffith, Hines and </w:t>
      </w:r>
      <w:proofErr w:type="spellStart"/>
      <w:r w:rsidR="00AA2412">
        <w:t>Sørensen</w:t>
      </w:r>
      <w:proofErr w:type="spellEnd"/>
      <w:r w:rsidRPr="00E244D1">
        <w:t xml:space="preserve"> (2010) (GHS) in a chapter written for the Mirrlees Review in the United Kingdom. GHS suggested this as an approach adopted in some countries </w:t>
      </w:r>
      <w:r w:rsidR="00737FE0">
        <w:t>that</w:t>
      </w:r>
      <w:r w:rsidRPr="00E244D1">
        <w:t xml:space="preserve"> would respond to the growing openness of the UK economy. It is a possible way of addressing many of the concerns that were discussed in chapter 2.</w:t>
      </w:r>
    </w:p>
    <w:p w14:paraId="5445F81E" w14:textId="3FDBC042" w:rsidR="001B3AE0" w:rsidRPr="00E244D1" w:rsidRDefault="001B3AE0" w:rsidP="00075D72">
      <w:pPr>
        <w:pStyle w:val="NumberedParagraph"/>
      </w:pPr>
      <w:r w:rsidRPr="00E244D1">
        <w:t xml:space="preserve">An ACE would aim to remove tax on marginal inbound investments and make EMTRs as close to zero as possible. At the same time, it would aim to continue to tax economic rents. It is often suggested the ACE </w:t>
      </w:r>
      <w:r w:rsidR="00645D10">
        <w:t xml:space="preserve">should </w:t>
      </w:r>
      <w:r w:rsidRPr="00E244D1">
        <w:t>apply only to new equity issued after the tax comes into force to minimise the fiscal cost of the tax change and windfall benefits to existing firms. While this is attractive in principle, we suspect this might not be feasible for New Zealand without significant other changes to our tax system.</w:t>
      </w:r>
    </w:p>
    <w:p w14:paraId="1B4C6CD8" w14:textId="613E5539" w:rsidR="001B3AE0" w:rsidRPr="00E244D1" w:rsidRDefault="001B3AE0" w:rsidP="00075D72">
      <w:pPr>
        <w:pStyle w:val="NumberedParagraph"/>
      </w:pPr>
      <w:r w:rsidRPr="00E244D1">
        <w:t>By creating greater neutrality in the tax treatment of debt and equity investment into New Zealand, an ACE would reduce financing biases</w:t>
      </w:r>
      <w:r w:rsidR="00844013">
        <w:t>. This</w:t>
      </w:r>
      <w:r w:rsidRPr="00E244D1">
        <w:t xml:space="preserve"> would be likely to increase economic efficiency and productivity.</w:t>
      </w:r>
    </w:p>
    <w:p w14:paraId="5DF85B0E" w14:textId="436250B5" w:rsidR="001B3AE0" w:rsidRPr="00E244D1" w:rsidRDefault="001B3AE0" w:rsidP="00075D72">
      <w:pPr>
        <w:pStyle w:val="NumberedParagraph"/>
      </w:pPr>
      <w:r w:rsidRPr="00E244D1">
        <w:t>As well as aiming to remove tax on marginal inbound investments and make EMTRs as close to zero as possible, GHS argue that an ACE would eliminate the distortions associated with the misalignment between economic depreciation and depreciation for tax purposes. GHS argue that, under conventional systems of business taxation, accelerated depreciation measures can distort the behaviour of firms and end up subsidising investment (p.975 ff). This can induce low-productivity investment, which would not be attractive in the absence of tax. They argue that an attraction of an ACE system is that it eliminates these distortions.</w:t>
      </w:r>
    </w:p>
    <w:p w14:paraId="1BCA17F5" w14:textId="5FD881ED" w:rsidR="001B3AE0" w:rsidRPr="00E244D1" w:rsidRDefault="001B3AE0" w:rsidP="00075D72">
      <w:pPr>
        <w:pStyle w:val="NumberedParagraph"/>
      </w:pPr>
      <w:r w:rsidRPr="00E244D1">
        <w:t>Any increase in depreciation will reduce the equity against which an allowance under ACE is calculated. This reduces the ACE allowance by an amount that should, at least in principle, exactly offset any benefits derived from the accelerated depreciation. Regardless of the rate at which firms write down their assets in the tax accounts, the present value of the sum of the capital allowance and the ACE should always equal the initial investment outlay. Therefore, for a fully equity-financed investment, the ACE system is intended to be equivalent to the immediate expensing of investment allowed under a cash flow tax.</w:t>
      </w:r>
    </w:p>
    <w:tbl>
      <w:tblPr>
        <w:tblStyle w:val="ExampleBox"/>
        <w:tblW w:w="8170" w:type="dxa"/>
        <w:tblLayout w:type="fixed"/>
        <w:tblLook w:val="04A0" w:firstRow="1" w:lastRow="0" w:firstColumn="1" w:lastColumn="0" w:noHBand="0" w:noVBand="1"/>
      </w:tblPr>
      <w:tblGrid>
        <w:gridCol w:w="8170"/>
      </w:tblGrid>
      <w:tr w:rsidR="001B3AE0" w:rsidRPr="00E244D1" w14:paraId="1250AB6A" w14:textId="77777777" w:rsidTr="001361AD">
        <w:tc>
          <w:tcPr>
            <w:tcW w:w="8170" w:type="dxa"/>
          </w:tcPr>
          <w:p w14:paraId="3305CCC0" w14:textId="77777777" w:rsidR="001B3AE0" w:rsidRPr="00E244D1" w:rsidRDefault="001B3AE0" w:rsidP="006B3D7B">
            <w:pPr>
              <w:spacing w:before="120"/>
              <w:rPr>
                <w:b/>
                <w:bCs/>
                <w:sz w:val="18"/>
                <w:szCs w:val="18"/>
              </w:rPr>
            </w:pPr>
            <w:r w:rsidRPr="00E244D1">
              <w:rPr>
                <w:b/>
                <w:bCs/>
                <w:sz w:val="18"/>
                <w:szCs w:val="18"/>
              </w:rPr>
              <w:lastRenderedPageBreak/>
              <w:t xml:space="preserve">Example </w:t>
            </w:r>
            <w:r>
              <w:rPr>
                <w:b/>
                <w:bCs/>
                <w:sz w:val="18"/>
                <w:szCs w:val="18"/>
              </w:rPr>
              <w:t>10.1</w:t>
            </w:r>
          </w:p>
          <w:p w14:paraId="008CA4D1" w14:textId="77777777" w:rsidR="001B3AE0" w:rsidRPr="00E244D1" w:rsidRDefault="001B3AE0" w:rsidP="006B3D7B">
            <w:r w:rsidRPr="00E244D1">
              <w:t>Suppose that the tax code allows a taxpayer to bring forward $100 of depreciation from year 2 to year 1. Assuming a tax rate of 28%, their tax liability is reduced by $28 in year 1.</w:t>
            </w:r>
          </w:p>
          <w:p w14:paraId="2E9B88D8" w14:textId="77777777" w:rsidR="001B3AE0" w:rsidRPr="00E244D1" w:rsidRDefault="001B3AE0" w:rsidP="006B3D7B">
            <w:r w:rsidRPr="00E244D1">
              <w:t>In year 2, the taxpayer is not able to claim the $100 depreciation as they claimed it in year 1. Their taxable earnings in year 2 are therefore $100 higher than they otherwise would have been, and their tax liability increases by $28. Assuming a discount rate of 5%, the taxpayer has gained $1.40 by deferring the payment of the $28 to year 2.</w:t>
            </w:r>
            <w:r w:rsidRPr="00E244D1">
              <w:rPr>
                <w:vertAlign w:val="superscript"/>
              </w:rPr>
              <w:footnoteReference w:id="56"/>
            </w:r>
          </w:p>
          <w:p w14:paraId="1FDD92AD" w14:textId="7BBA31FF" w:rsidR="001B3AE0" w:rsidRPr="00E244D1" w:rsidRDefault="001B3AE0" w:rsidP="006B3D7B">
            <w:r w:rsidRPr="00E244D1">
              <w:t xml:space="preserve">However, the equity base used for calculating an ACE liability is increased by retained profits from tax accounts. We assume that the tax saving of $28 leads to a matching $28 increase in dividends so that real funds for investment are unchanged. As taxable earnings fall by $100, </w:t>
            </w:r>
            <w:r w:rsidR="00981514">
              <w:t xml:space="preserve">taxable </w:t>
            </w:r>
            <w:r w:rsidRPr="00E244D1">
              <w:t>retained earnings is reduced by $100 in year 1 and the equity base for ACE in year 2 is also reduced by $100. If the imputed rate of return allowed under ACE is also 5%, then the taxpayer deduction under ACE is reduced by $5. This increases their tax liability in year 2 by a further $1.40. Thus, the tax benefit from accelerated depreciation is exactly offset by the fall in the future ACE allowance. This is assumed to be matched by a reduction in dividends of $29.40 in year 2. This means that the rate at which companies write down their assets does not matter for the present value of the taxes they pay.</w:t>
            </w:r>
          </w:p>
        </w:tc>
      </w:tr>
    </w:tbl>
    <w:p w14:paraId="3BCCB1F3" w14:textId="71F1D62A" w:rsidR="001B3AE0" w:rsidRPr="00E244D1" w:rsidRDefault="001B3AE0" w:rsidP="00075D72">
      <w:pPr>
        <w:pStyle w:val="NumberedParagraph"/>
      </w:pPr>
      <w:r w:rsidRPr="00E244D1">
        <w:t>This neutrality example requires that the imputed interest charge reflects the company’s discount rate</w:t>
      </w:r>
      <w:r w:rsidR="0029412F">
        <w:t xml:space="preserve"> used to di</w:t>
      </w:r>
      <w:r w:rsidR="00155EC3">
        <w:t>scount future depreciation deductions</w:t>
      </w:r>
      <w:r w:rsidRPr="00E244D1">
        <w:t xml:space="preserve">. As will be discussed below, </w:t>
      </w:r>
      <w:r w:rsidR="00645D10">
        <w:t xml:space="preserve">for this neutrality result to hold, </w:t>
      </w:r>
      <w:r w:rsidRPr="00E244D1">
        <w:t>it also requires the equity base to be able to become negative and to then lead to an ACE liability.</w:t>
      </w:r>
    </w:p>
    <w:p w14:paraId="36D38E75" w14:textId="77777777" w:rsidR="001B3AE0" w:rsidRPr="00E244D1" w:rsidRDefault="001B3AE0" w:rsidP="00075D72">
      <w:pPr>
        <w:pStyle w:val="NumberedParagraph"/>
      </w:pPr>
      <w:r w:rsidRPr="00E244D1">
        <w:t>Lastly, an ACE system will also influence corporate debt policy. By allowing a deduction for equity financing, it could potentially introduce funding neutrality to the current tax system, thereby reducing or eliminating the debt bias.</w:t>
      </w:r>
    </w:p>
    <w:p w14:paraId="6D0CF21F" w14:textId="77777777" w:rsidR="001B3AE0" w:rsidRPr="00E244D1" w:rsidRDefault="001B3AE0" w:rsidP="001B3AE0">
      <w:pPr>
        <w:pStyle w:val="Heading2"/>
        <w:rPr>
          <w:rFonts w:eastAsia="Calibri"/>
          <w:lang w:eastAsia="en-US"/>
        </w:rPr>
      </w:pPr>
      <w:bookmarkStart w:id="75" w:name="_Toc112857452"/>
      <w:r w:rsidRPr="00E244D1">
        <w:rPr>
          <w:rFonts w:eastAsia="Calibri"/>
          <w:lang w:eastAsia="en-US"/>
        </w:rPr>
        <w:t>Design issues</w:t>
      </w:r>
      <w:bookmarkEnd w:id="75"/>
    </w:p>
    <w:p w14:paraId="24B18460" w14:textId="77777777" w:rsidR="001B3AE0" w:rsidRPr="00E244D1" w:rsidRDefault="001B3AE0" w:rsidP="001B3AE0">
      <w:pPr>
        <w:pStyle w:val="Heading3"/>
        <w:rPr>
          <w:rFonts w:eastAsia="Calibri"/>
          <w:lang w:eastAsia="en-US"/>
        </w:rPr>
      </w:pPr>
      <w:r w:rsidRPr="00E244D1">
        <w:rPr>
          <w:rFonts w:eastAsia="Calibri"/>
          <w:lang w:eastAsia="en-US"/>
        </w:rPr>
        <w:t>Rate of allowance</w:t>
      </w:r>
    </w:p>
    <w:p w14:paraId="49302D1E" w14:textId="790BA8E0" w:rsidR="001B3AE0" w:rsidRPr="00E244D1" w:rsidRDefault="001B3AE0" w:rsidP="00075D72">
      <w:pPr>
        <w:pStyle w:val="NumberedParagraph"/>
      </w:pPr>
      <w:r w:rsidRPr="00E244D1">
        <w:t xml:space="preserve">The efficacy of </w:t>
      </w:r>
      <w:r w:rsidR="008E3273">
        <w:t xml:space="preserve">an </w:t>
      </w:r>
      <w:r w:rsidRPr="00E244D1">
        <w:t>ACE in alleviating tax on marginal inbound investment and eliminating the debt bias depends on the allowed rate of notional deduction.</w:t>
      </w:r>
    </w:p>
    <w:p w14:paraId="583FB45C" w14:textId="21780E20" w:rsidR="001B3AE0" w:rsidRPr="00E244D1" w:rsidRDefault="001B3AE0" w:rsidP="00075D72">
      <w:pPr>
        <w:pStyle w:val="NumberedParagraph"/>
      </w:pPr>
      <w:r w:rsidRPr="00E244D1">
        <w:t xml:space="preserve">In principle, the interest rate used might not necessarily </w:t>
      </w:r>
      <w:r>
        <w:t xml:space="preserve">need to </w:t>
      </w:r>
      <w:r w:rsidRPr="00E244D1">
        <w:t>include a premium for risk and it might be appropriate to allow a deduction for only the risk-free nominal interest rate (that is, the interest rate of long-term government bonds). This would be the case if losses could be carried forward with interest and were certain to be used at some stage in the future</w:t>
      </w:r>
      <w:r w:rsidR="006615A9">
        <w:t>,</w:t>
      </w:r>
      <w:r>
        <w:t xml:space="preserve"> as is discussed in Bond and Devereux (1995)</w:t>
      </w:r>
      <w:r w:rsidR="007557D6">
        <w:t>.</w:t>
      </w:r>
    </w:p>
    <w:p w14:paraId="1EF70CCF" w14:textId="313464C2" w:rsidR="001B3AE0" w:rsidRPr="00E244D1" w:rsidRDefault="001B3AE0" w:rsidP="00075D72">
      <w:pPr>
        <w:pStyle w:val="NumberedParagraph"/>
      </w:pPr>
      <w:r w:rsidRPr="00E244D1">
        <w:t>However, in practice, firms will often receive less than the present value of their losses, so GHS argue that it would be appropriate to add a risk premium to the interest rate used.</w:t>
      </w:r>
    </w:p>
    <w:p w14:paraId="06B31D72" w14:textId="66FB1A32" w:rsidR="001B3AE0" w:rsidRPr="00E244D1" w:rsidRDefault="001B3AE0" w:rsidP="00075D72">
      <w:pPr>
        <w:pStyle w:val="NumberedParagraph"/>
      </w:pPr>
      <w:r w:rsidRPr="00E244D1">
        <w:t xml:space="preserve">Under an ACE system, </w:t>
      </w:r>
      <w:r w:rsidR="00645D10">
        <w:t xml:space="preserve">on a fully equity-financed investment, </w:t>
      </w:r>
      <w:r w:rsidRPr="00E244D1">
        <w:t xml:space="preserve">any equity invested will increase the amount the company is allowed to deduct in all future </w:t>
      </w:r>
      <w:r w:rsidRPr="00E244D1">
        <w:lastRenderedPageBreak/>
        <w:t xml:space="preserve">years by the amount invested multiplied by the ACE rate. If the value of these deductions is discounted at the same rate, the present value of the additional ACE deductions will equal the amount of equity invested. Thus, the taxpayer ends up receiving the same deduction as if they </w:t>
      </w:r>
      <w:r w:rsidR="005A3571">
        <w:t>had been</w:t>
      </w:r>
      <w:r w:rsidRPr="00E244D1">
        <w:t xml:space="preserve"> allowed a deduction for the equity invested up front. The premium added to the ACE rate should therefore reflect the risk faced by individual firms in being able to make these future deductions.</w:t>
      </w:r>
    </w:p>
    <w:p w14:paraId="207D5364" w14:textId="77777777" w:rsidR="001B3AE0" w:rsidRPr="00E244D1" w:rsidRDefault="001B3AE0" w:rsidP="00075D72">
      <w:pPr>
        <w:pStyle w:val="NumberedParagraph"/>
      </w:pPr>
      <w:r w:rsidRPr="00E244D1">
        <w:t>This is also necessary if the ACE is to eliminate the distortions associated with the misalignment between economic depreciation and depreciation for tax purposes.</w:t>
      </w:r>
    </w:p>
    <w:p w14:paraId="02F4E6EB" w14:textId="1D8EFCD8" w:rsidR="001B3AE0" w:rsidRPr="00E244D1" w:rsidRDefault="001B3AE0" w:rsidP="00075D72">
      <w:pPr>
        <w:pStyle w:val="NumberedParagraph"/>
      </w:pPr>
      <w:r w:rsidRPr="00E244D1">
        <w:t xml:space="preserve">Tax authorities are unlikely to know the risk faced by each individual firm, so an average risk premium would seem the only viable option. This would compromise some of the tax neutrality properties of an ACE. </w:t>
      </w:r>
      <w:r w:rsidR="00E62C7D">
        <w:t>GHS suggest that in countries with a well-developed market for corporate bonds, the average interest rate on such bonds would be a natural benchmark for choosing the imputed rate of return to equity under an ACE.</w:t>
      </w:r>
    </w:p>
    <w:p w14:paraId="084B72B5" w14:textId="672F55AA" w:rsidR="001B3AE0" w:rsidRPr="00E244D1" w:rsidRDefault="001B3AE0" w:rsidP="00075D72">
      <w:pPr>
        <w:pStyle w:val="NumberedParagraph"/>
      </w:pPr>
      <w:r w:rsidRPr="00E244D1">
        <w:t>Most countries with ACE systems have either used rates linked to the yields on government bonds, normally with some additional risk premium, or commercial interest rates. Hebous and Klemm (2019) provide details on the rules used in different countries that have had ACE systems.</w:t>
      </w:r>
    </w:p>
    <w:p w14:paraId="517C391C" w14:textId="77777777" w:rsidR="001B3AE0" w:rsidRPr="00E244D1" w:rsidRDefault="001B3AE0" w:rsidP="001B3AE0">
      <w:pPr>
        <w:pStyle w:val="Heading3"/>
        <w:rPr>
          <w:rFonts w:eastAsia="Calibri"/>
          <w:lang w:eastAsia="en-US"/>
        </w:rPr>
      </w:pPr>
      <w:r w:rsidRPr="00E244D1">
        <w:rPr>
          <w:rFonts w:eastAsia="Calibri"/>
          <w:lang w:eastAsia="en-US"/>
        </w:rPr>
        <w:t>ACE base</w:t>
      </w:r>
    </w:p>
    <w:p w14:paraId="25A7D037" w14:textId="77777777" w:rsidR="001B3AE0" w:rsidRPr="00E244D1" w:rsidRDefault="001B3AE0" w:rsidP="00075D72">
      <w:pPr>
        <w:pStyle w:val="NumberedParagraph"/>
      </w:pPr>
      <w:r w:rsidRPr="00E244D1">
        <w:t>One question is how the ACE base should best be defined. GHS suggest that the equity base be calculated as follows:</w:t>
      </w:r>
    </w:p>
    <w:p w14:paraId="31EB8B7F" w14:textId="77777777" w:rsidR="001B3AE0" w:rsidRPr="00E244D1" w:rsidRDefault="001B3AE0" w:rsidP="00447848">
      <w:pPr>
        <w:pStyle w:val="Quote"/>
        <w:rPr>
          <w:rFonts w:eastAsia="Calibri"/>
          <w:lang w:eastAsia="en-US"/>
        </w:rPr>
      </w:pPr>
      <w:r w:rsidRPr="00E244D1">
        <w:rPr>
          <w:rFonts w:eastAsia="Calibri"/>
          <w:lang w:eastAsia="en-US"/>
        </w:rPr>
        <w:t>“Equity base in the previous year</w:t>
      </w:r>
    </w:p>
    <w:p w14:paraId="345365D9" w14:textId="77777777" w:rsidR="001B3AE0" w:rsidRPr="00E244D1" w:rsidRDefault="001B3AE0" w:rsidP="00447848">
      <w:pPr>
        <w:pStyle w:val="Quote"/>
        <w:rPr>
          <w:rFonts w:eastAsia="Calibri"/>
          <w:lang w:eastAsia="en-US"/>
        </w:rPr>
      </w:pPr>
      <w:r w:rsidRPr="00E244D1">
        <w:rPr>
          <w:rFonts w:eastAsia="Calibri"/>
          <w:lang w:eastAsia="en-US"/>
        </w:rPr>
        <w:t>+ taxable profits in the previous year (gross of the ACE allowance)</w:t>
      </w:r>
    </w:p>
    <w:p w14:paraId="7E770015" w14:textId="77777777" w:rsidR="001B3AE0" w:rsidRPr="00E244D1" w:rsidRDefault="001B3AE0" w:rsidP="00447848">
      <w:pPr>
        <w:pStyle w:val="Quote"/>
        <w:rPr>
          <w:rFonts w:eastAsia="Calibri"/>
          <w:lang w:eastAsia="en-US"/>
        </w:rPr>
      </w:pPr>
      <w:r w:rsidRPr="00E244D1">
        <w:rPr>
          <w:rFonts w:eastAsia="Calibri"/>
          <w:lang w:eastAsia="en-US"/>
        </w:rPr>
        <w:t>+ dividends received</w:t>
      </w:r>
    </w:p>
    <w:p w14:paraId="364B260F" w14:textId="77777777" w:rsidR="001B3AE0" w:rsidRPr="00E244D1" w:rsidRDefault="001B3AE0" w:rsidP="00447848">
      <w:pPr>
        <w:pStyle w:val="Quote"/>
        <w:rPr>
          <w:rFonts w:eastAsia="Calibri"/>
          <w:lang w:eastAsia="en-US"/>
        </w:rPr>
      </w:pPr>
      <w:r w:rsidRPr="00E244D1">
        <w:rPr>
          <w:rFonts w:eastAsia="Calibri"/>
          <w:lang w:eastAsia="en-US"/>
        </w:rPr>
        <w:t>+ net new equity issues</w:t>
      </w:r>
    </w:p>
    <w:p w14:paraId="7BFFCDCF" w14:textId="77777777" w:rsidR="001B3AE0" w:rsidRPr="00E244D1" w:rsidRDefault="001B3AE0" w:rsidP="00447848">
      <w:pPr>
        <w:pStyle w:val="Quote"/>
        <w:rPr>
          <w:rFonts w:eastAsia="Calibri"/>
          <w:lang w:eastAsia="en-US"/>
        </w:rPr>
      </w:pPr>
      <w:r w:rsidRPr="00E244D1">
        <w:rPr>
          <w:rFonts w:eastAsia="Calibri"/>
          <w:lang w:eastAsia="en-US"/>
        </w:rPr>
        <w:t>– tax payable on taxable profits in the previous year</w:t>
      </w:r>
    </w:p>
    <w:p w14:paraId="1F877F87" w14:textId="77777777" w:rsidR="001B3AE0" w:rsidRPr="00E244D1" w:rsidRDefault="001B3AE0" w:rsidP="00447848">
      <w:pPr>
        <w:pStyle w:val="Quote"/>
        <w:rPr>
          <w:rFonts w:eastAsia="Calibri"/>
          <w:lang w:eastAsia="en-US"/>
        </w:rPr>
      </w:pPr>
      <w:r w:rsidRPr="00E244D1">
        <w:rPr>
          <w:rFonts w:eastAsia="Calibri"/>
          <w:lang w:eastAsia="en-US"/>
        </w:rPr>
        <w:t>– dividends paid</w:t>
      </w:r>
    </w:p>
    <w:p w14:paraId="2C34254D" w14:textId="77777777" w:rsidR="001B3AE0" w:rsidRPr="00E244D1" w:rsidRDefault="001B3AE0" w:rsidP="00447848">
      <w:pPr>
        <w:pStyle w:val="Quote"/>
        <w:rPr>
          <w:rFonts w:eastAsia="Calibri"/>
          <w:lang w:eastAsia="en-US"/>
        </w:rPr>
      </w:pPr>
      <w:r w:rsidRPr="00E244D1">
        <w:rPr>
          <w:rFonts w:eastAsia="Calibri"/>
          <w:lang w:eastAsia="en-US"/>
        </w:rPr>
        <w:t>– net new acquisitions of shares in other companies</w:t>
      </w:r>
    </w:p>
    <w:p w14:paraId="6787CAD8" w14:textId="77777777" w:rsidR="001B3AE0" w:rsidRPr="00E244D1" w:rsidRDefault="001B3AE0" w:rsidP="00447848">
      <w:pPr>
        <w:pStyle w:val="Quote"/>
        <w:rPr>
          <w:rFonts w:eastAsia="Calibri"/>
          <w:lang w:eastAsia="en-US"/>
        </w:rPr>
      </w:pPr>
      <w:r w:rsidRPr="00E244D1">
        <w:rPr>
          <w:rFonts w:eastAsia="Calibri"/>
          <w:lang w:eastAsia="en-US"/>
        </w:rPr>
        <w:t>= Equity base for the current year”</w:t>
      </w:r>
    </w:p>
    <w:p w14:paraId="5F7DB26F" w14:textId="4F5A8007" w:rsidR="001B3AE0" w:rsidRPr="00E244D1" w:rsidRDefault="001B3AE0" w:rsidP="00075D72">
      <w:pPr>
        <w:pStyle w:val="NumberedParagraph"/>
      </w:pPr>
      <w:r w:rsidRPr="00E244D1">
        <w:t xml:space="preserve">There are several points to note. First, this approach is aimed at removing tax on marginal investments into New Zealand and achieving investment neutrality across assets. As was illustrated in example </w:t>
      </w:r>
      <w:r>
        <w:t>10.1</w:t>
      </w:r>
      <w:r w:rsidRPr="00E244D1">
        <w:t xml:space="preserve">, an important part of making this work is to add in taxable profits when calculating changes in the base from year to year. This approach is also aimed at achieving neutrality between debt and equity financing. It does this by aligning EMTRs for equity-financed corporate investments with assets that can be expensed. In this case, the EMTR for all equity-financed investments would be zero. Likewise, if not for </w:t>
      </w:r>
      <w:r w:rsidR="001D5EE0">
        <w:t>non-resident withholding tax (</w:t>
      </w:r>
      <w:r w:rsidRPr="00E244D1">
        <w:t>NRWT</w:t>
      </w:r>
      <w:r w:rsidR="001D5EE0">
        <w:t>)</w:t>
      </w:r>
      <w:r w:rsidRPr="00E244D1">
        <w:t xml:space="preserve"> and </w:t>
      </w:r>
      <w:r w:rsidR="001D5EE0">
        <w:t>approved issuer levy (</w:t>
      </w:r>
      <w:r w:rsidRPr="00E244D1">
        <w:t>AIL</w:t>
      </w:r>
      <w:r w:rsidR="001D5EE0">
        <w:t>)</w:t>
      </w:r>
      <w:r w:rsidRPr="00E244D1">
        <w:t>, the EMTRs for debt-financed investments would all be zero. As EMTRs on fully debt-financed investment</w:t>
      </w:r>
      <w:r w:rsidR="00904BAF">
        <w:t>s</w:t>
      </w:r>
      <w:r w:rsidRPr="00E244D1">
        <w:t xml:space="preserve"> are normally negative, this means </w:t>
      </w:r>
      <w:r w:rsidRPr="00075D72">
        <w:rPr>
          <w:i/>
          <w:iCs/>
        </w:rPr>
        <w:t xml:space="preserve">increasing </w:t>
      </w:r>
      <w:r w:rsidRPr="00E244D1">
        <w:t>the tax impost on debt-financed investment.</w:t>
      </w:r>
    </w:p>
    <w:p w14:paraId="743330BA" w14:textId="167A0468" w:rsidR="001B3AE0" w:rsidRPr="00E244D1" w:rsidRDefault="001B3AE0" w:rsidP="00075D72">
      <w:pPr>
        <w:pStyle w:val="NumberedParagraph"/>
      </w:pPr>
      <w:r w:rsidRPr="00E244D1">
        <w:t xml:space="preserve">Further, acquisitions of shares in other companies should be subtracted from the equity base. This is to avoid double counting. For example, if company A is set up with $100 of equity and uses this to purchase share capital in </w:t>
      </w:r>
      <w:r w:rsidR="00F53AB4" w:rsidRPr="00E244D1">
        <w:t>company</w:t>
      </w:r>
      <w:r w:rsidR="00F53AB4">
        <w:t> </w:t>
      </w:r>
      <w:r w:rsidRPr="00E244D1">
        <w:t xml:space="preserve">B, </w:t>
      </w:r>
      <w:r w:rsidRPr="00E244D1">
        <w:lastRenderedPageBreak/>
        <w:t>the same $100 should not be counted twice as equity in both companies. For ACE purposes, it is necessary to subtract new acquisitions of shares so that company A ends up with zero, while company B ends up with $100. Share purchases in foreign companies would also be subtracted because income derived by a parent company from such firms would typically be non-taxable. If company A was financed with $50 of share capital and $50 of debt and used this to purchase the shares in company B, then it would have an ACE basis of –$50 and would need to be subject to an imputed interest charge on the –$50 of equity for the GHS approach to work. Thus, under the GHS approach, the ACE deduction might sometimes be negative and adding to a company’s tax liability.</w:t>
      </w:r>
    </w:p>
    <w:p w14:paraId="6AE138B1" w14:textId="6EA9F2C6" w:rsidR="001B3AE0" w:rsidRPr="00E244D1" w:rsidRDefault="001B3AE0" w:rsidP="00075D72">
      <w:pPr>
        <w:pStyle w:val="NumberedParagraph"/>
      </w:pPr>
      <w:r w:rsidRPr="00E244D1">
        <w:t>This seems central to the GHS approach. It is necessary for the ACE system to be increasing the tax impost on debt-financed investment. We have seen that under current tax settings fully debt-financed investment will normally generate negative EMTRs. With an ACE, these EMTRs would become zero</w:t>
      </w:r>
      <w:r w:rsidR="004E7082">
        <w:t>,</w:t>
      </w:r>
      <w:r w:rsidRPr="00E244D1">
        <w:t xml:space="preserve"> which means a higher tax liability than at present. Debt-financed investment into an asset that can be expensed would provide an immediate deduction for the cost of the asset. This would reduce the equity base or turn it negative. Debt-financed investment into firms that make tax losses for several years before moving into a tax profit would also tend to generate negative equity bases.</w:t>
      </w:r>
    </w:p>
    <w:p w14:paraId="5D48D882" w14:textId="77777777" w:rsidR="001B3AE0" w:rsidRPr="00E244D1" w:rsidRDefault="001B3AE0" w:rsidP="001B3AE0">
      <w:pPr>
        <w:pStyle w:val="Heading3"/>
        <w:rPr>
          <w:rFonts w:eastAsia="Calibri"/>
          <w:lang w:eastAsia="en-US"/>
        </w:rPr>
      </w:pPr>
      <w:r w:rsidRPr="00E244D1">
        <w:rPr>
          <w:rFonts w:eastAsia="Calibri"/>
          <w:lang w:eastAsia="en-US"/>
        </w:rPr>
        <w:t>Transition to an ACE</w:t>
      </w:r>
    </w:p>
    <w:p w14:paraId="4EA6D6F5" w14:textId="77777777" w:rsidR="001B3AE0" w:rsidRPr="00E244D1" w:rsidRDefault="001B3AE0" w:rsidP="00075D72">
      <w:pPr>
        <w:pStyle w:val="NumberedParagraph"/>
      </w:pPr>
      <w:r w:rsidRPr="00E244D1">
        <w:t>An ACE might, in principle, be applied either to all equity in a company or only to equity acquired after the date that the ACE is implemented. An attraction of applying it only to additional equity built up after the time when an ACE is introduced is that this would limit the cost of the scheme. It would also minimise windfall gains to existing companies.</w:t>
      </w:r>
    </w:p>
    <w:p w14:paraId="719145C6" w14:textId="775199BD" w:rsidR="001B3AE0" w:rsidRPr="00E244D1" w:rsidRDefault="001B3AE0" w:rsidP="00075D72">
      <w:pPr>
        <w:pStyle w:val="NumberedParagraph"/>
      </w:pPr>
      <w:r w:rsidRPr="00E244D1">
        <w:t xml:space="preserve">As we understand it, most ACE systems are based on additional equity acquired after the initial implementation date. This provides obvious incentives for a firm to be wound up and then reborn in a different entity in which new equity qualifies for the ACE deduction. GHS argue that the incentives for this to happen may be attenuated by other taxes if companies are wound up. However, the other taxes </w:t>
      </w:r>
      <w:r w:rsidR="00ED1031">
        <w:t xml:space="preserve">that GHS point to </w:t>
      </w:r>
      <w:r w:rsidRPr="00E244D1">
        <w:t xml:space="preserve">are capital gains taxes. This may make it more difficult for countries like New Zealand, without a capital gains tax, to limit deductions </w:t>
      </w:r>
      <w:r w:rsidR="00BB05EE">
        <w:t xml:space="preserve">only </w:t>
      </w:r>
      <w:r w:rsidRPr="00E244D1">
        <w:t>to what is, in reality, new equity.</w:t>
      </w:r>
    </w:p>
    <w:p w14:paraId="6D2EB5C9" w14:textId="77777777" w:rsidR="001B3AE0" w:rsidRPr="00E244D1" w:rsidRDefault="001B3AE0" w:rsidP="001B3AE0">
      <w:pPr>
        <w:pStyle w:val="Heading3"/>
        <w:rPr>
          <w:rFonts w:eastAsia="Calibri"/>
          <w:lang w:eastAsia="en-US"/>
        </w:rPr>
      </w:pPr>
      <w:r w:rsidRPr="00E244D1">
        <w:rPr>
          <w:rFonts w:eastAsia="Calibri"/>
          <w:lang w:eastAsia="en-US"/>
        </w:rPr>
        <w:t>Anti-avoidance</w:t>
      </w:r>
    </w:p>
    <w:p w14:paraId="3400DFC6" w14:textId="522C141D" w:rsidR="001B3AE0" w:rsidRPr="00E244D1" w:rsidRDefault="001B3AE0" w:rsidP="00075D72">
      <w:pPr>
        <w:pStyle w:val="NumberedParagraph"/>
      </w:pPr>
      <w:r w:rsidRPr="00E244D1">
        <w:t>The issue of the potential abuse of ACE systems has been raised in policy discussions. Indeed, Hebous and Ruf (2017)</w:t>
      </w:r>
      <w:r w:rsidRPr="00075D72">
        <w:rPr>
          <w:vertAlign w:val="superscript"/>
        </w:rPr>
        <w:t xml:space="preserve"> </w:t>
      </w:r>
      <w:r w:rsidRPr="00E244D1">
        <w:t>found that the increases in equity following the introduction of the Belgian ACE were largely earmarked for intra-group lending and for creating deductions to shelter other sources of interest earnings.</w:t>
      </w:r>
    </w:p>
    <w:p w14:paraId="20957D3B" w14:textId="77777777" w:rsidR="001B3AE0" w:rsidRPr="00E244D1" w:rsidRDefault="001B3AE0" w:rsidP="00075D72">
      <w:pPr>
        <w:pStyle w:val="NumberedParagraph"/>
      </w:pPr>
      <w:r w:rsidRPr="00E244D1">
        <w:t>They found that a unilateral implementation of an ACE system creates an opportunity for multinational entities to implement ‘double-dipping’ structures. This is where capital is injected as equity into an affiliate in a country with an ACE system who then lends that capital to another affiliate in a country without an ACE system. The borrower affiliate receives a deduction for interest paid on the loan, while the lender affiliate receives a deduction under the ACE system.</w:t>
      </w:r>
    </w:p>
    <w:p w14:paraId="21F21328" w14:textId="77777777" w:rsidR="001B3AE0" w:rsidRPr="00E244D1" w:rsidRDefault="001B3AE0" w:rsidP="00075D72">
      <w:pPr>
        <w:pStyle w:val="NumberedParagraph"/>
      </w:pPr>
      <w:r w:rsidRPr="00E244D1">
        <w:t>In addition, the borrower affiliate can invest the loan into yet another affiliate in a country with an ACE system, thereby doubling (or ‘cascading’) the received allowance corresponding to any given amount of equity.</w:t>
      </w:r>
    </w:p>
    <w:p w14:paraId="5ED5AD63" w14:textId="1BFF6156" w:rsidR="001B3AE0" w:rsidRPr="00E244D1" w:rsidRDefault="001B3AE0" w:rsidP="00075D72">
      <w:pPr>
        <w:pStyle w:val="NumberedParagraph"/>
      </w:pPr>
      <w:r w:rsidRPr="00E244D1">
        <w:t xml:space="preserve">The tax avoidance concerns outlined in this section would mean that ACE reforms might need to be accompanied </w:t>
      </w:r>
      <w:r w:rsidR="00FE186B">
        <w:t>by</w:t>
      </w:r>
      <w:r w:rsidRPr="00E244D1">
        <w:t xml:space="preserve"> anti-avoidance provisions targeting </w:t>
      </w:r>
      <w:r w:rsidRPr="00E244D1">
        <w:lastRenderedPageBreak/>
        <w:t xml:space="preserve">intra-company transactions. We note that the implementation of the global minimum taxation regime established by Pillar </w:t>
      </w:r>
      <w:r w:rsidR="00200338">
        <w:t>2</w:t>
      </w:r>
      <w:r w:rsidRPr="00E244D1">
        <w:t xml:space="preserve"> may mitigate these concerns.</w:t>
      </w:r>
      <w:r w:rsidR="00EF6078">
        <w:t xml:space="preserve"> However, </w:t>
      </w:r>
      <w:r w:rsidR="003B2747">
        <w:t xml:space="preserve">the Pillar 2 changes could also remove some of the cost of capital benefits of an ACE system if lower taxes in New Zealand </w:t>
      </w:r>
      <w:proofErr w:type="gramStart"/>
      <w:r w:rsidR="003B2747">
        <w:t>lead</w:t>
      </w:r>
      <w:proofErr w:type="gramEnd"/>
      <w:r w:rsidR="003B2747">
        <w:t xml:space="preserve"> to offsetting higher taxes in other countries as a result of the </w:t>
      </w:r>
      <w:r w:rsidR="00B47A4F">
        <w:t>proposed global minimum tax of 15% for larger companies.</w:t>
      </w:r>
    </w:p>
    <w:p w14:paraId="46699039" w14:textId="77777777" w:rsidR="001B3AE0" w:rsidRPr="00E244D1" w:rsidRDefault="001B3AE0" w:rsidP="001B3AE0">
      <w:pPr>
        <w:pStyle w:val="Heading3"/>
        <w:rPr>
          <w:rFonts w:eastAsia="Calibri"/>
          <w:lang w:eastAsia="en-US"/>
        </w:rPr>
      </w:pPr>
      <w:r w:rsidRPr="00E244D1">
        <w:rPr>
          <w:rFonts w:eastAsia="Calibri"/>
          <w:lang w:eastAsia="en-US"/>
        </w:rPr>
        <w:t>Integration with the personal tax system</w:t>
      </w:r>
    </w:p>
    <w:p w14:paraId="5ACEABB4" w14:textId="77777777" w:rsidR="001B3AE0" w:rsidRPr="00E244D1" w:rsidRDefault="001B3AE0" w:rsidP="00075D72">
      <w:pPr>
        <w:pStyle w:val="NumberedParagraph"/>
      </w:pPr>
      <w:r w:rsidRPr="00E244D1">
        <w:t>A policy concern with an ACE, and quite possibly a fatal difficulty for such a tax at least in the short run, is how to integrate it with personal taxes. So long as individuals are being taxed on both their capital and labour income, it would be necessary to have additional taxes at the shareholder level if investment through companies is not to create an obvious tax avoidance loophole. For example, rather than an individual earning money in a bank account and paying tax on interest earned each year as funds accumulate, the individual could set up a company that puts the money into a bank account. Because of the ACE deduction, there would be no tax on the interest income accumulating in the company’s bank account. If there is no tax on gains in shares and the individual subsequently sells the shares in the company for a tax-free capital gain, no tax would have been paid on the interest.</w:t>
      </w:r>
    </w:p>
    <w:p w14:paraId="459DFFCB" w14:textId="20222799" w:rsidR="001B3AE0" w:rsidRPr="00E244D1" w:rsidRDefault="001B3AE0" w:rsidP="00075D72">
      <w:pPr>
        <w:pStyle w:val="NumberedParagraph"/>
      </w:pPr>
      <w:r w:rsidRPr="00E244D1">
        <w:t xml:space="preserve">GHS suggest two possible personal tax systems that could be integrated with an ACE system. The first is what they describe as an income tax regime. This is a dual income tax system as described in chapter </w:t>
      </w:r>
      <w:r>
        <w:t>12</w:t>
      </w:r>
      <w:r w:rsidRPr="00E244D1">
        <w:t>. The second is a personal consumption tax that exempt</w:t>
      </w:r>
      <w:r w:rsidR="00A2104F">
        <w:t>s</w:t>
      </w:r>
      <w:r w:rsidRPr="00E244D1">
        <w:t xml:space="preserve"> individuals from tax on their capital income. If income is to be taxed at the personal level, GHS suggest taxing both dividends and capital gains at full personal rates. In the absence of a tax on share gains, it would seem </w:t>
      </w:r>
      <w:r w:rsidR="0015632F">
        <w:t>difficult</w:t>
      </w:r>
      <w:r w:rsidRPr="00E244D1">
        <w:t xml:space="preserve"> to integrate this tax with New Zealand’s personal income tax base.</w:t>
      </w:r>
    </w:p>
    <w:p w14:paraId="596ADBB2" w14:textId="77777777" w:rsidR="001B3AE0" w:rsidRPr="00E244D1" w:rsidRDefault="001B3AE0" w:rsidP="001B3AE0">
      <w:pPr>
        <w:pStyle w:val="Heading3"/>
        <w:rPr>
          <w:rFonts w:eastAsia="Calibri"/>
          <w:lang w:eastAsia="en-US"/>
        </w:rPr>
      </w:pPr>
      <w:r w:rsidRPr="00E244D1">
        <w:rPr>
          <w:rFonts w:eastAsia="Calibri"/>
          <w:lang w:eastAsia="en-US"/>
        </w:rPr>
        <w:t>Land and property and rents capitalised in prices</w:t>
      </w:r>
    </w:p>
    <w:p w14:paraId="737B2A68" w14:textId="7D1141C0" w:rsidR="001B3AE0" w:rsidRDefault="001B3AE0" w:rsidP="00075D72">
      <w:pPr>
        <w:pStyle w:val="NumberedParagraph"/>
      </w:pPr>
      <w:r w:rsidRPr="00E244D1">
        <w:t>In the absence of good integration between an ACE and personal taxes, there would be considerable scope for individuals to put assets they own, such as rental properties, into companies. If properties are acquired by the companies at market value, the value is likely to reflect the capitalised value of future earnings. Most, or all, future rental income would escape personal tax.</w:t>
      </w:r>
    </w:p>
    <w:p w14:paraId="42AA225E" w14:textId="2F45E5C7" w:rsidR="009C4E46" w:rsidRPr="0009166B" w:rsidRDefault="003345E5" w:rsidP="009C4E46">
      <w:pPr>
        <w:pStyle w:val="Heading2"/>
        <w:rPr>
          <w:rFonts w:eastAsia="Calibri"/>
          <w:lang w:eastAsia="en-US"/>
        </w:rPr>
      </w:pPr>
      <w:bookmarkStart w:id="76" w:name="_Toc112857453"/>
      <w:r>
        <w:rPr>
          <w:rFonts w:eastAsia="Calibri"/>
          <w:lang w:eastAsia="en-US"/>
        </w:rPr>
        <w:t>The cash</w:t>
      </w:r>
      <w:r w:rsidR="00AA6F8E">
        <w:rPr>
          <w:rFonts w:eastAsia="Calibri"/>
          <w:lang w:eastAsia="en-US"/>
        </w:rPr>
        <w:t xml:space="preserve"> </w:t>
      </w:r>
      <w:r>
        <w:rPr>
          <w:rFonts w:eastAsia="Calibri"/>
          <w:lang w:eastAsia="en-US"/>
        </w:rPr>
        <w:t>flow tax alternative</w:t>
      </w:r>
      <w:bookmarkEnd w:id="76"/>
    </w:p>
    <w:p w14:paraId="13F53FA6" w14:textId="1CFD0494" w:rsidR="009C4E46" w:rsidRDefault="003345E5" w:rsidP="009C4E46">
      <w:pPr>
        <w:pStyle w:val="NumberedParagraph"/>
      </w:pPr>
      <w:r>
        <w:t>An alternative to an ACE system</w:t>
      </w:r>
      <w:r w:rsidR="0014468E">
        <w:t>,</w:t>
      </w:r>
      <w:r>
        <w:t xml:space="preserve"> with much the same potential benefits and costs</w:t>
      </w:r>
      <w:r w:rsidR="0014468E">
        <w:t>,</w:t>
      </w:r>
      <w:r>
        <w:t xml:space="preserve"> would be to introduce a cash</w:t>
      </w:r>
      <w:r w:rsidR="00AA6F8E">
        <w:t xml:space="preserve"> </w:t>
      </w:r>
      <w:r>
        <w:t xml:space="preserve">flow tax whereby capital costs could be deducted immediately rather than </w:t>
      </w:r>
      <w:r w:rsidR="0019001F">
        <w:t>depreciated over time. There would be full expensing for all capital assets including</w:t>
      </w:r>
      <w:r w:rsidR="00D0330C">
        <w:t xml:space="preserve"> non-depreciating assets</w:t>
      </w:r>
      <w:r w:rsidR="0014468E">
        <w:t>,</w:t>
      </w:r>
      <w:r w:rsidR="00D0330C">
        <w:t xml:space="preserve"> such as</w:t>
      </w:r>
      <w:r w:rsidR="0019001F">
        <w:t xml:space="preserve"> land.</w:t>
      </w:r>
      <w:r w:rsidR="00D0330C">
        <w:t xml:space="preserve"> Revenue from the sale of any assets would be fully taxable.</w:t>
      </w:r>
      <w:r w:rsidR="00610589">
        <w:t xml:space="preserve"> There are different possible types of cash flow tax that could be considered</w:t>
      </w:r>
      <w:r w:rsidR="0014468E">
        <w:t>,</w:t>
      </w:r>
      <w:r w:rsidR="00610589">
        <w:t xml:space="preserve"> but one possible suggestion is</w:t>
      </w:r>
      <w:r w:rsidR="00551850">
        <w:t xml:space="preserve"> to deny interest deductibility at the same time. This would ensure that inbound investment is not subsidised.</w:t>
      </w:r>
    </w:p>
    <w:p w14:paraId="4297926E" w14:textId="2352897F" w:rsidR="009C4E46" w:rsidRDefault="00D0330C" w:rsidP="009C4E46">
      <w:pPr>
        <w:pStyle w:val="NumberedParagraph"/>
      </w:pPr>
      <w:r>
        <w:t>Like an ACE</w:t>
      </w:r>
      <w:r w:rsidR="0014468E">
        <w:t>,</w:t>
      </w:r>
      <w:r>
        <w:t xml:space="preserve"> a cash flow tax would </w:t>
      </w:r>
      <w:r w:rsidR="00E11AA3">
        <w:t xml:space="preserve">remove tax on marginal investments while continuing to tax economic rents. </w:t>
      </w:r>
      <w:r w:rsidR="0014468E">
        <w:t>P</w:t>
      </w:r>
      <w:r w:rsidR="00E11AA3">
        <w:t>otential advantage</w:t>
      </w:r>
      <w:r w:rsidR="0014468E">
        <w:t>s</w:t>
      </w:r>
      <w:r w:rsidR="00E11AA3">
        <w:t xml:space="preserve"> would be its simplicity and the</w:t>
      </w:r>
      <w:r w:rsidR="00C00469">
        <w:t xml:space="preserve"> fact it removes any need to determine an appropriate interest rate</w:t>
      </w:r>
      <w:r w:rsidR="00180008">
        <w:t xml:space="preserve"> for notional interest deductions on equity. A disadvantage is that i</w:t>
      </w:r>
      <w:r w:rsidR="000B1A37">
        <w:t>t</w:t>
      </w:r>
      <w:r w:rsidR="00180008">
        <w:t xml:space="preserve"> is likely to make it much more common for companies to end up in a tax</w:t>
      </w:r>
      <w:r w:rsidR="00216B9C">
        <w:t xml:space="preserve"> </w:t>
      </w:r>
      <w:r w:rsidR="00180008">
        <w:t>loss position.</w:t>
      </w:r>
      <w:r w:rsidR="008E0FFE">
        <w:t xml:space="preserve"> As with an ACE</w:t>
      </w:r>
      <w:r w:rsidR="0014468E">
        <w:t>,</w:t>
      </w:r>
      <w:r w:rsidR="008E0FFE">
        <w:t xml:space="preserve"> there would be major questions o</w:t>
      </w:r>
      <w:r w:rsidR="0014468E">
        <w:t>n</w:t>
      </w:r>
      <w:r w:rsidR="008E0FFE">
        <w:t xml:space="preserve"> how to integrate this sort of tax with the personal tax system. </w:t>
      </w:r>
      <w:r w:rsidR="007C5689">
        <w:t xml:space="preserve">However, if an ACE were to be considered as an </w:t>
      </w:r>
      <w:r w:rsidR="007C5689">
        <w:lastRenderedPageBreak/>
        <w:t>option in the future, this is an alternative that could be considered at the same time.</w:t>
      </w:r>
      <w:r w:rsidR="00144AD2">
        <w:rPr>
          <w:rStyle w:val="FootnoteReference"/>
        </w:rPr>
        <w:footnoteReference w:id="57"/>
      </w:r>
    </w:p>
    <w:p w14:paraId="004FD17F" w14:textId="77777777" w:rsidR="009C4E46" w:rsidRPr="0009166B" w:rsidRDefault="009C4E46" w:rsidP="009C4E46">
      <w:pPr>
        <w:pStyle w:val="Heading2"/>
        <w:rPr>
          <w:rFonts w:eastAsia="Calibri"/>
          <w:lang w:eastAsia="en-US"/>
        </w:rPr>
      </w:pPr>
      <w:bookmarkStart w:id="77" w:name="_Toc112857454"/>
      <w:r>
        <w:rPr>
          <w:rFonts w:eastAsia="Calibri"/>
          <w:lang w:eastAsia="en-US"/>
        </w:rPr>
        <w:t>Views of stakeholders</w:t>
      </w:r>
      <w:bookmarkEnd w:id="77"/>
    </w:p>
    <w:p w14:paraId="370491F2" w14:textId="4516B55E" w:rsidR="0052488F" w:rsidRDefault="009C4E46" w:rsidP="009C4E46">
      <w:pPr>
        <w:pStyle w:val="NumberedParagraph"/>
      </w:pPr>
      <w:r>
        <w:t xml:space="preserve">Business NZ </w:t>
      </w:r>
      <w:r w:rsidR="00E14A91">
        <w:t xml:space="preserve">thought </w:t>
      </w:r>
      <w:r w:rsidR="003F31F4">
        <w:t>an ACE would face some important practical obstacles</w:t>
      </w:r>
      <w:r w:rsidR="0014468E">
        <w:t>,</w:t>
      </w:r>
      <w:r w:rsidR="003F31F4">
        <w:t xml:space="preserve"> including difficulties of</w:t>
      </w:r>
      <w:r w:rsidR="007407A8">
        <w:t xml:space="preserve"> integrating this tax with the personal tax system. They did not dismiss this as a possibility </w:t>
      </w:r>
      <w:r w:rsidR="0014468E">
        <w:t>to</w:t>
      </w:r>
      <w:r w:rsidR="007407A8">
        <w:t xml:space="preserve"> be considered in the future but</w:t>
      </w:r>
      <w:r w:rsidR="002D392E">
        <w:t xml:space="preserve"> thought other possible tax changes should be considered first. They suggested the option of an ACE no</w:t>
      </w:r>
      <w:r w:rsidR="0052488F">
        <w:t>t be considered a</w:t>
      </w:r>
      <w:r w:rsidR="000B1A37">
        <w:t>t</w:t>
      </w:r>
      <w:r w:rsidR="0052488F">
        <w:t xml:space="preserve"> this time.</w:t>
      </w:r>
    </w:p>
    <w:p w14:paraId="1124A8FE" w14:textId="7E416A3B" w:rsidR="009C4E46" w:rsidRDefault="006069F6" w:rsidP="009C4E46">
      <w:pPr>
        <w:pStyle w:val="NumberedParagraph"/>
      </w:pPr>
      <w:r>
        <w:t xml:space="preserve">CTG considered </w:t>
      </w:r>
      <w:r w:rsidR="00AE1B69">
        <w:t>an ACE an option that should be explored a</w:t>
      </w:r>
      <w:r w:rsidR="00E5726F">
        <w:t>s part of a broader discussion of the need for alignment</w:t>
      </w:r>
      <w:r w:rsidR="00FD70AD">
        <w:t xml:space="preserve"> between the company tax rate and the top personal marginal rate.</w:t>
      </w:r>
    </w:p>
    <w:p w14:paraId="4673C010" w14:textId="2F6F187D" w:rsidR="009C4E46" w:rsidRDefault="009C4E46" w:rsidP="009C4E46">
      <w:pPr>
        <w:pStyle w:val="NumberedParagraph"/>
      </w:pPr>
      <w:r>
        <w:t>C</w:t>
      </w:r>
      <w:r w:rsidR="00FA3E1F">
        <w:t>A ANZ commented that</w:t>
      </w:r>
      <w:r w:rsidR="0014468E">
        <w:t>,</w:t>
      </w:r>
      <w:r w:rsidR="00FA3E1F">
        <w:t xml:space="preserve"> while an ACE would in theory</w:t>
      </w:r>
      <w:r w:rsidR="009C6AB2">
        <w:t xml:space="preserve"> add neutrality to the tax system</w:t>
      </w:r>
      <w:r w:rsidR="0014468E">
        <w:t>,</w:t>
      </w:r>
      <w:r w:rsidR="009C6AB2">
        <w:t xml:space="preserve"> i</w:t>
      </w:r>
      <w:r w:rsidR="0014468E">
        <w:t>t</w:t>
      </w:r>
      <w:r w:rsidR="009C6AB2">
        <w:t xml:space="preserve"> would not be p</w:t>
      </w:r>
      <w:r w:rsidR="00725CDD">
        <w:t xml:space="preserve">ractical to implement unless changes were made to the personal tax system. </w:t>
      </w:r>
      <w:r w:rsidR="006939E9">
        <w:t>They consider an ACE is not viable under current policy settings.</w:t>
      </w:r>
    </w:p>
    <w:p w14:paraId="09C7342D" w14:textId="2EC43FB1" w:rsidR="001B3AE0" w:rsidRPr="004B1C56" w:rsidRDefault="001B3AE0" w:rsidP="0088700B">
      <w:pPr>
        <w:pStyle w:val="Heading1"/>
        <w:ind w:left="0"/>
        <w:rPr>
          <w:rFonts w:eastAsia="Calibri"/>
          <w:lang w:eastAsia="en-US"/>
        </w:rPr>
      </w:pPr>
      <w:r w:rsidRPr="004B1C56">
        <w:rPr>
          <w:rFonts w:eastAsia="Calibri"/>
          <w:lang w:eastAsia="en-US"/>
        </w:rPr>
        <w:lastRenderedPageBreak/>
        <w:br/>
      </w:r>
      <w:r w:rsidRPr="004B1C56">
        <w:rPr>
          <w:rFonts w:eastAsia="Calibri"/>
          <w:lang w:eastAsia="en-US"/>
        </w:rPr>
        <w:br/>
      </w:r>
      <w:bookmarkStart w:id="78" w:name="_Toc112857455"/>
      <w:r w:rsidR="002D0405">
        <w:rPr>
          <w:rFonts w:eastAsia="Calibri"/>
          <w:lang w:eastAsia="en-US"/>
        </w:rPr>
        <w:t>I</w:t>
      </w:r>
      <w:r w:rsidRPr="004B1C56">
        <w:rPr>
          <w:rFonts w:eastAsia="Calibri"/>
          <w:lang w:eastAsia="en-US"/>
        </w:rPr>
        <w:t xml:space="preserve">ncentives for </w:t>
      </w:r>
      <w:r w:rsidR="002D0405">
        <w:rPr>
          <w:rFonts w:eastAsia="Calibri"/>
          <w:lang w:eastAsia="en-US"/>
        </w:rPr>
        <w:t>specific</w:t>
      </w:r>
      <w:r w:rsidRPr="004B1C56">
        <w:rPr>
          <w:rFonts w:eastAsia="Calibri"/>
          <w:lang w:eastAsia="en-US"/>
        </w:rPr>
        <w:t xml:space="preserve"> businesses or industries</w:t>
      </w:r>
      <w:bookmarkEnd w:id="78"/>
    </w:p>
    <w:tbl>
      <w:tblPr>
        <w:tblStyle w:val="SummaryBox"/>
        <w:tblW w:w="0" w:type="auto"/>
        <w:tblLayout w:type="fixed"/>
        <w:tblLook w:val="04A0" w:firstRow="1" w:lastRow="0" w:firstColumn="1" w:lastColumn="0" w:noHBand="0" w:noVBand="1"/>
      </w:tblPr>
      <w:tblGrid>
        <w:gridCol w:w="8778"/>
      </w:tblGrid>
      <w:tr w:rsidR="001B3AE0" w:rsidRPr="00614077" w14:paraId="0D08C6B3" w14:textId="77777777" w:rsidTr="007D07BC">
        <w:tc>
          <w:tcPr>
            <w:tcW w:w="8778" w:type="dxa"/>
          </w:tcPr>
          <w:p w14:paraId="3A295C1E" w14:textId="26DFFD18" w:rsidR="001B3AE0" w:rsidRPr="00614077" w:rsidRDefault="001B3AE0" w:rsidP="00597B6B">
            <w:pPr>
              <w:pStyle w:val="ListBullet"/>
            </w:pPr>
            <w:r w:rsidRPr="00614077">
              <w:t xml:space="preserve">The main objective of this policy option is to favour </w:t>
            </w:r>
            <w:r w:rsidR="003912A5">
              <w:t>specific</w:t>
            </w:r>
            <w:r w:rsidRPr="00614077">
              <w:t xml:space="preserve"> industries or activities </w:t>
            </w:r>
            <w:r w:rsidR="00115E9D">
              <w:t>where</w:t>
            </w:r>
            <w:r w:rsidRPr="00614077">
              <w:t xml:space="preserve"> it is believed there will be too little of </w:t>
            </w:r>
            <w:r w:rsidR="0020047C">
              <w:t xml:space="preserve">these industries or activities </w:t>
            </w:r>
            <w:r w:rsidRPr="00614077">
              <w:t>without an incentive.</w:t>
            </w:r>
          </w:p>
          <w:p w14:paraId="5FBFC676" w14:textId="03B79C47" w:rsidR="001B3AE0" w:rsidRPr="00614077" w:rsidRDefault="0020047C" w:rsidP="00597B6B">
            <w:pPr>
              <w:pStyle w:val="ListBullet"/>
            </w:pPr>
            <w:r>
              <w:t>R</w:t>
            </w:r>
            <w:r w:rsidR="001B3AE0" w:rsidRPr="00614077">
              <w:t xml:space="preserve">easons for incentives include the possibility of positive externalities or that the incentives may bring some desirable activity to New Zealand </w:t>
            </w:r>
            <w:r w:rsidR="00F2677D">
              <w:t>that</w:t>
            </w:r>
            <w:r w:rsidR="001B3AE0" w:rsidRPr="00614077">
              <w:t xml:space="preserve"> is particularly sensitive to tax.</w:t>
            </w:r>
          </w:p>
          <w:p w14:paraId="5B2D755B" w14:textId="3964FC59" w:rsidR="001B3AE0" w:rsidRPr="00614077" w:rsidRDefault="001B3AE0" w:rsidP="00597B6B">
            <w:pPr>
              <w:pStyle w:val="ListBullet"/>
            </w:pPr>
            <w:r w:rsidRPr="00614077">
              <w:t>Downsides of tax incentives are that th</w:t>
            </w:r>
            <w:r w:rsidR="00C1673E">
              <w:t>ey</w:t>
            </w:r>
            <w:r w:rsidRPr="00614077">
              <w:t xml:space="preserve"> reduce the neutrality of the tax system and, unless incentives are very cleverly targeted, th</w:t>
            </w:r>
            <w:r w:rsidR="00C1673E">
              <w:t>ey</w:t>
            </w:r>
            <w:r w:rsidRPr="00614077">
              <w:t xml:space="preserve"> can divert investment into less productive areas and encourage lobbying.</w:t>
            </w:r>
          </w:p>
          <w:p w14:paraId="79FC11C0" w14:textId="77777777" w:rsidR="001B3AE0" w:rsidRPr="00614077" w:rsidRDefault="001B3AE0" w:rsidP="00597B6B">
            <w:pPr>
              <w:pStyle w:val="ListBullet"/>
            </w:pPr>
            <w:r w:rsidRPr="00614077">
              <w:t>Questions can also be raised about whether there should be surtaxes on certain activities.</w:t>
            </w:r>
          </w:p>
          <w:p w14:paraId="5641EFF4" w14:textId="35F2FFD3" w:rsidR="001B3AE0" w:rsidRPr="00614077" w:rsidRDefault="001B3AE0" w:rsidP="00597B6B">
            <w:pPr>
              <w:pStyle w:val="ListBullet"/>
            </w:pPr>
            <w:r w:rsidRPr="00614077">
              <w:t>New Zealand’s general approach for many years has been (with a few exceptions) to keep the tax base as broad and neutral as possible.</w:t>
            </w:r>
          </w:p>
          <w:p w14:paraId="3A9F5190" w14:textId="77777777" w:rsidR="001B3AE0" w:rsidRPr="00614077" w:rsidRDefault="001B3AE0" w:rsidP="00597B6B">
            <w:pPr>
              <w:pStyle w:val="ListBullet"/>
            </w:pPr>
            <w:r w:rsidRPr="00614077">
              <w:t>This chapter questions whether there are good grounds for changing this approach.</w:t>
            </w:r>
          </w:p>
        </w:tc>
      </w:tr>
    </w:tbl>
    <w:p w14:paraId="24BB7C26" w14:textId="77777777" w:rsidR="001B3AE0" w:rsidRPr="00614077" w:rsidRDefault="001B3AE0" w:rsidP="001B3AE0">
      <w:pPr>
        <w:pStyle w:val="Heading2"/>
        <w:rPr>
          <w:rFonts w:eastAsia="Calibri"/>
          <w:lang w:eastAsia="en-US"/>
        </w:rPr>
      </w:pPr>
      <w:bookmarkStart w:id="79" w:name="_Toc112857456"/>
      <w:r w:rsidRPr="00614077">
        <w:rPr>
          <w:rFonts w:eastAsia="Calibri"/>
          <w:lang w:eastAsia="en-US"/>
        </w:rPr>
        <w:t>Introduction</w:t>
      </w:r>
      <w:bookmarkEnd w:id="79"/>
    </w:p>
    <w:p w14:paraId="47967D58" w14:textId="464D05B0" w:rsidR="001B3AE0" w:rsidRPr="00614077" w:rsidRDefault="001B3AE0" w:rsidP="00075D72">
      <w:pPr>
        <w:pStyle w:val="NumberedParagraph"/>
      </w:pPr>
      <w:r w:rsidRPr="00614077">
        <w:t xml:space="preserve">One way of reducing the cost of capital is to target favourable tax treatment to </w:t>
      </w:r>
      <w:r w:rsidR="007D3803">
        <w:t>specific</w:t>
      </w:r>
      <w:r w:rsidRPr="00614077">
        <w:t xml:space="preserve"> businesses or industries. This is usually promoted on one or more of the following premises:</w:t>
      </w:r>
    </w:p>
    <w:p w14:paraId="73537401" w14:textId="77777777" w:rsidR="001B3AE0" w:rsidRPr="00614077" w:rsidRDefault="001B3AE0" w:rsidP="00075D72">
      <w:pPr>
        <w:pStyle w:val="NumberedParagraph-BulletL1"/>
      </w:pPr>
      <w:r w:rsidRPr="00614077">
        <w:t>We are competing with other countries for a particular type of activity, and a specific tax incentive is a cost-effective way of attracting that activity while keeping taxes higher on other businesses.</w:t>
      </w:r>
    </w:p>
    <w:p w14:paraId="63963ECD" w14:textId="77777777" w:rsidR="001B3AE0" w:rsidRPr="00614077" w:rsidRDefault="001B3AE0" w:rsidP="00075D72">
      <w:pPr>
        <w:pStyle w:val="NumberedParagraph-BulletL1"/>
      </w:pPr>
      <w:r w:rsidRPr="00614077">
        <w:t>There are positive externalities from the activity, and it will therefore be underprovided by the market unless it is subsidised through a specific tax incentive.</w:t>
      </w:r>
    </w:p>
    <w:p w14:paraId="15F422CE" w14:textId="77777777" w:rsidR="001B3AE0" w:rsidRPr="00614077" w:rsidRDefault="001B3AE0" w:rsidP="00075D72">
      <w:pPr>
        <w:pStyle w:val="NumberedParagraph-BulletL1"/>
      </w:pPr>
      <w:r w:rsidRPr="00614077">
        <w:t>The activity is important to the future of the economy, and future living standards will be higher if we get more of the activity now by subsidising it with a specific tax incentive.</w:t>
      </w:r>
    </w:p>
    <w:p w14:paraId="51E7F4A1" w14:textId="1E5B683B" w:rsidR="001B3AE0" w:rsidRPr="00614077" w:rsidRDefault="001B3AE0" w:rsidP="00075D72">
      <w:pPr>
        <w:pStyle w:val="NumberedParagraph"/>
      </w:pPr>
      <w:r w:rsidRPr="00614077">
        <w:t>In the context of a model looking at effective marginal tax rates</w:t>
      </w:r>
      <w:r w:rsidR="00836005">
        <w:t xml:space="preserve"> (EMTRs)</w:t>
      </w:r>
      <w:r w:rsidRPr="00614077">
        <w:t xml:space="preserve">, a specific incentive can lower the cost of capital by </w:t>
      </w:r>
      <w:r w:rsidR="00C1673E">
        <w:t xml:space="preserve">either </w:t>
      </w:r>
      <w:r w:rsidRPr="00614077">
        <w:t>lowering the tax rate applied to income from the investment or by accelerating or increasing depreciation deductions for the investment.</w:t>
      </w:r>
    </w:p>
    <w:p w14:paraId="4AA09C61" w14:textId="02A43525" w:rsidR="001B3AE0" w:rsidRPr="00614077" w:rsidRDefault="001B3AE0" w:rsidP="00075D72">
      <w:pPr>
        <w:pStyle w:val="NumberedParagraph"/>
      </w:pPr>
      <w:r w:rsidRPr="00614077">
        <w:t>A typical list of tax incentives is provided by Klemm</w:t>
      </w:r>
      <w:r w:rsidR="00C1673E">
        <w:t xml:space="preserve"> (2010)</w:t>
      </w:r>
      <w:r w:rsidRPr="00614077">
        <w:t>:</w:t>
      </w:r>
    </w:p>
    <w:p w14:paraId="0E9C118E" w14:textId="77777777" w:rsidR="001B3AE0" w:rsidRPr="00614077" w:rsidRDefault="001B3AE0" w:rsidP="00075D72">
      <w:pPr>
        <w:pStyle w:val="NumberedParagraph-BulletL1"/>
      </w:pPr>
      <w:r w:rsidRPr="00614077">
        <w:t>Tax holidays (a temporary exemption from particular taxes).</w:t>
      </w:r>
    </w:p>
    <w:p w14:paraId="145A1FAC" w14:textId="77777777" w:rsidR="001B3AE0" w:rsidRPr="00614077" w:rsidRDefault="001B3AE0" w:rsidP="00075D72">
      <w:pPr>
        <w:pStyle w:val="NumberedParagraph-BulletL1"/>
      </w:pPr>
      <w:r w:rsidRPr="00614077">
        <w:t>Special zones (geographically limited areas where various tax exemptions are applied).</w:t>
      </w:r>
    </w:p>
    <w:p w14:paraId="607DCDF8" w14:textId="77777777" w:rsidR="001B3AE0" w:rsidRPr="00614077" w:rsidRDefault="001B3AE0" w:rsidP="00075D72">
      <w:pPr>
        <w:pStyle w:val="NumberedParagraph-BulletL1"/>
      </w:pPr>
      <w:r w:rsidRPr="00614077">
        <w:lastRenderedPageBreak/>
        <w:t>Investment tax credit (immediate tax credit similar to New Zealand’s current R&amp;D tax credit for investment, potentially with refundability).</w:t>
      </w:r>
    </w:p>
    <w:p w14:paraId="55537DAE" w14:textId="50AB68F6" w:rsidR="001B3AE0" w:rsidRPr="00614077" w:rsidRDefault="001B3AE0" w:rsidP="00075D72">
      <w:pPr>
        <w:pStyle w:val="NumberedParagraph-BulletL1"/>
      </w:pPr>
      <w:r w:rsidRPr="00614077">
        <w:t xml:space="preserve">Investment allowance (immediate deduction for </w:t>
      </w:r>
      <w:r w:rsidR="007E04AD">
        <w:t xml:space="preserve">a proportion of the cost of an </w:t>
      </w:r>
      <w:r w:rsidRPr="00614077">
        <w:t>investment, but its value depends on the tax rate for the firm).</w:t>
      </w:r>
    </w:p>
    <w:p w14:paraId="7F096D33" w14:textId="77777777" w:rsidR="001B3AE0" w:rsidRPr="00614077" w:rsidRDefault="001B3AE0" w:rsidP="00075D72">
      <w:pPr>
        <w:pStyle w:val="NumberedParagraph-BulletL1"/>
      </w:pPr>
      <w:r w:rsidRPr="00614077">
        <w:t>Accelerated depreciation (depreciation at a faster rate than generally applied).</w:t>
      </w:r>
    </w:p>
    <w:p w14:paraId="27AF3A6F" w14:textId="77777777" w:rsidR="001B3AE0" w:rsidRPr="00614077" w:rsidRDefault="001B3AE0" w:rsidP="00075D72">
      <w:pPr>
        <w:pStyle w:val="NumberedParagraph-BulletL1"/>
      </w:pPr>
      <w:r w:rsidRPr="00614077">
        <w:t>Reduced tax rates.</w:t>
      </w:r>
    </w:p>
    <w:p w14:paraId="08618660" w14:textId="77777777" w:rsidR="001B3AE0" w:rsidRPr="00614077" w:rsidRDefault="001B3AE0" w:rsidP="00075D72">
      <w:pPr>
        <w:pStyle w:val="NumberedParagraph-BulletL1"/>
      </w:pPr>
      <w:r w:rsidRPr="00614077">
        <w:t>Exemptions from various taxes.</w:t>
      </w:r>
    </w:p>
    <w:p w14:paraId="206CC062" w14:textId="2C182C60" w:rsidR="001B3AE0" w:rsidRPr="00614077" w:rsidRDefault="001B3AE0" w:rsidP="00075D72">
      <w:pPr>
        <w:pStyle w:val="NumberedParagraph-BulletL1"/>
      </w:pPr>
      <w:r w:rsidRPr="00614077">
        <w:t>Financing incentives (for example, reduced withholding taxes on dividends)</w:t>
      </w:r>
      <w:r w:rsidR="00C1673E">
        <w:t>.</w:t>
      </w:r>
    </w:p>
    <w:p w14:paraId="071D293A" w14:textId="338E1531" w:rsidR="001B3AE0" w:rsidRPr="00614077" w:rsidRDefault="001B3AE0" w:rsidP="001B3AE0">
      <w:pPr>
        <w:pStyle w:val="Heading2"/>
        <w:rPr>
          <w:rFonts w:eastAsia="Calibri"/>
          <w:lang w:eastAsia="en-US"/>
        </w:rPr>
      </w:pPr>
      <w:bookmarkStart w:id="80" w:name="_Toc112857457"/>
      <w:r w:rsidRPr="00614077">
        <w:rPr>
          <w:rFonts w:eastAsia="Calibri"/>
          <w:lang w:eastAsia="en-US"/>
        </w:rPr>
        <w:t>P</w:t>
      </w:r>
      <w:r w:rsidR="004C1915">
        <w:rPr>
          <w:rFonts w:eastAsia="Calibri"/>
          <w:lang w:eastAsia="en-US"/>
        </w:rPr>
        <w:t>ros</w:t>
      </w:r>
      <w:bookmarkEnd w:id="80"/>
    </w:p>
    <w:p w14:paraId="04C33D56" w14:textId="335522BE" w:rsidR="001B3AE0" w:rsidRPr="00614077" w:rsidRDefault="001B3AE0" w:rsidP="00075D72">
      <w:pPr>
        <w:pStyle w:val="NumberedParagraph"/>
      </w:pPr>
      <w:r w:rsidRPr="00614077">
        <w:t>At times investment may generate positive externalities (that is, spillover benefits to other firms or individuals). This can provide a case for a tax subsidy for that type of investment. This is the justification for the current R&amp;D tax credit. A concern is that</w:t>
      </w:r>
      <w:r w:rsidR="00E96B27">
        <w:t>,</w:t>
      </w:r>
      <w:r w:rsidRPr="00614077">
        <w:t xml:space="preserve"> in the absence of some subsidy for the investment</w:t>
      </w:r>
      <w:r w:rsidR="00E96B27">
        <w:t>,</w:t>
      </w:r>
      <w:r w:rsidRPr="00614077">
        <w:t xml:space="preserve"> there may be too little investment undertaken because some of the benefits from R&amp;D are captured not by the firm undertaking the investment but by other firms in New Zealand. If a tax subsidy is justified on those grounds</w:t>
      </w:r>
      <w:r w:rsidR="002C0174">
        <w:t>,</w:t>
      </w:r>
      <w:r w:rsidRPr="00614077">
        <w:t xml:space="preserve"> it is important that the measure addresses a specific market failure, that the market failure is not driven by other poor regulatory settings and </w:t>
      </w:r>
      <w:r w:rsidR="007D749A">
        <w:t xml:space="preserve">that </w:t>
      </w:r>
      <w:r w:rsidRPr="00614077">
        <w:t>providing a tax incentive is the best way of addressing the issue.</w:t>
      </w:r>
    </w:p>
    <w:p w14:paraId="5114C69C" w14:textId="3C50DFC0" w:rsidR="001B3AE0" w:rsidRPr="00614077" w:rsidRDefault="001B3AE0" w:rsidP="00075D72">
      <w:pPr>
        <w:pStyle w:val="NumberedParagraph"/>
      </w:pPr>
      <w:r w:rsidRPr="00614077">
        <w:t>Another possible argument for incentives is that</w:t>
      </w:r>
      <w:r w:rsidR="002C4331">
        <w:t>,</w:t>
      </w:r>
      <w:r w:rsidRPr="00614077">
        <w:t xml:space="preserve"> if targeted to mobile investment, investment might be attracted without reducing activity in other areas.</w:t>
      </w:r>
    </w:p>
    <w:p w14:paraId="25143B9F" w14:textId="77777777" w:rsidR="001B3AE0" w:rsidRPr="00614077" w:rsidRDefault="001B3AE0" w:rsidP="00075D72">
      <w:pPr>
        <w:pStyle w:val="NumberedParagraph"/>
      </w:pPr>
      <w:r w:rsidRPr="00614077">
        <w:t>By targeting specific industries, a case can be made that, overall, tax competition might be less damaging because it allows higher general tax rates.</w:t>
      </w:r>
    </w:p>
    <w:p w14:paraId="143FFA49" w14:textId="6264CDB8" w:rsidR="001B3AE0" w:rsidRPr="00614077" w:rsidRDefault="001B3AE0" w:rsidP="00075D72">
      <w:pPr>
        <w:pStyle w:val="NumberedParagraph"/>
      </w:pPr>
      <w:r w:rsidRPr="00614077">
        <w:t xml:space="preserve">Another perspective is not to look at this approach as a system that has low rates for specific industries or activities, but rather as </w:t>
      </w:r>
      <w:r w:rsidR="002C4331">
        <w:t xml:space="preserve">a system that </w:t>
      </w:r>
      <w:r w:rsidRPr="00614077">
        <w:t>ha</w:t>
      </w:r>
      <w:r w:rsidR="002C4331">
        <w:t>s</w:t>
      </w:r>
      <w:r w:rsidRPr="00614077">
        <w:t xml:space="preserve"> a low cost of capital for industries generally</w:t>
      </w:r>
      <w:r w:rsidR="002C4331">
        <w:t xml:space="preserve"> but</w:t>
      </w:r>
      <w:r w:rsidRPr="00614077">
        <w:t xml:space="preserve"> lev</w:t>
      </w:r>
      <w:r w:rsidR="002C4331">
        <w:t>ies</w:t>
      </w:r>
      <w:r w:rsidRPr="00614077">
        <w:t xml:space="preserve"> higher tax rates on particularly immobile tax bases. </w:t>
      </w:r>
      <w:r w:rsidR="437916CA">
        <w:t>This approach (levying higher tax rates on immobile tax bases)</w:t>
      </w:r>
      <w:r w:rsidRPr="00614077">
        <w:t xml:space="preserve"> has been followed</w:t>
      </w:r>
      <w:r w:rsidR="00012FAD" w:rsidRPr="00614077">
        <w:t xml:space="preserve"> to some degree</w:t>
      </w:r>
      <w:r w:rsidRPr="00614077">
        <w:t xml:space="preserve"> in a country like Norway (with very high taxes on oil and gas but a broad-based low-rate system generally).</w:t>
      </w:r>
    </w:p>
    <w:p w14:paraId="75718CD8" w14:textId="79D3E623" w:rsidR="001B3AE0" w:rsidRPr="00614077" w:rsidRDefault="004C1915" w:rsidP="001B3AE0">
      <w:pPr>
        <w:pStyle w:val="Heading2"/>
        <w:rPr>
          <w:rFonts w:eastAsia="Calibri"/>
          <w:lang w:eastAsia="en-US"/>
        </w:rPr>
      </w:pPr>
      <w:bookmarkStart w:id="81" w:name="_Toc112857458"/>
      <w:r>
        <w:rPr>
          <w:rFonts w:eastAsia="Calibri"/>
          <w:lang w:eastAsia="en-US"/>
        </w:rPr>
        <w:t>Cons</w:t>
      </w:r>
      <w:bookmarkEnd w:id="81"/>
    </w:p>
    <w:p w14:paraId="203541DE" w14:textId="77777777" w:rsidR="001B3AE0" w:rsidRPr="00614077" w:rsidRDefault="001B3AE0" w:rsidP="001B3AE0">
      <w:pPr>
        <w:pStyle w:val="Heading3"/>
        <w:rPr>
          <w:rFonts w:eastAsia="Calibri"/>
          <w:iCs/>
          <w:lang w:eastAsia="en-US"/>
        </w:rPr>
      </w:pPr>
      <w:r w:rsidRPr="00614077">
        <w:rPr>
          <w:rFonts w:eastAsia="Calibri"/>
          <w:lang w:eastAsia="en-US"/>
        </w:rPr>
        <w:t>Moving away from a broad-based low-rate system</w:t>
      </w:r>
    </w:p>
    <w:p w14:paraId="362C9DD1" w14:textId="288D73A2" w:rsidR="001B3AE0" w:rsidRPr="00614077" w:rsidRDefault="001B3AE0" w:rsidP="00075D72">
      <w:pPr>
        <w:pStyle w:val="NumberedParagraph"/>
      </w:pPr>
      <w:r w:rsidRPr="00075D72">
        <w:rPr>
          <w:lang w:val="en-GB"/>
        </w:rPr>
        <w:t>The underlying logic of a broad-based low-rate system is that the most profitable pre-tax investments are the most productive investments. That is, they generate the most income for a given investment cost. New Zealand is likely to have the lowest cost tax system (for a given amount of revenue) if it ensures that the tax system is distorting the choice of investments by as little as possible. In chapter 2, we discussed some general benefits of neutrality in tax settings.</w:t>
      </w:r>
    </w:p>
    <w:p w14:paraId="68AF2F4B" w14:textId="77777777" w:rsidR="001B3AE0" w:rsidRPr="00075D72" w:rsidRDefault="001B3AE0" w:rsidP="00075D72">
      <w:pPr>
        <w:pStyle w:val="NumberedParagraph"/>
        <w:rPr>
          <w:shd w:val="clear" w:color="auto" w:fill="FFFFFF"/>
        </w:rPr>
      </w:pPr>
      <w:r w:rsidRPr="00075D72">
        <w:rPr>
          <w:shd w:val="clear" w:color="auto" w:fill="FFFFFF"/>
        </w:rPr>
        <w:t xml:space="preserve">The primary weakness of specific incentives is that they create distortions to the economy through preferential treatment. This can have indirect costs even </w:t>
      </w:r>
      <w:r w:rsidRPr="00075D72">
        <w:rPr>
          <w:shd w:val="clear" w:color="auto" w:fill="FFFFFF"/>
        </w:rPr>
        <w:lastRenderedPageBreak/>
        <w:t>if the investment would not have taken place but for the incentive. This will happen if the favoured investment or activity crowds out other investment or activity that is taxed at the general rate. Normally this would be expected to reduce economic efficiency and productivity relative to providing more neutral tax cuts that cost a similar amount.</w:t>
      </w:r>
    </w:p>
    <w:p w14:paraId="23B63E51" w14:textId="6BBCCBC0" w:rsidR="001B3AE0" w:rsidRPr="00075D72" w:rsidRDefault="001B3AE0" w:rsidP="00075D72">
      <w:pPr>
        <w:pStyle w:val="NumberedParagraph"/>
        <w:rPr>
          <w:lang w:val="en-GB"/>
        </w:rPr>
      </w:pPr>
      <w:r w:rsidRPr="00075D72">
        <w:rPr>
          <w:lang w:val="en-GB"/>
        </w:rPr>
        <w:t>Specific incentives (a move towards a narrow-based high-rate system) would make sense if the government were able to somehow know that, although an investment was less profitable pre-tax than other investments, it was nevertheless more in New Zealand’s interests for the investment to be undertaken, and if there w</w:t>
      </w:r>
      <w:r w:rsidR="00A47C2D" w:rsidRPr="00075D72">
        <w:rPr>
          <w:lang w:val="en-GB"/>
        </w:rPr>
        <w:t>ere</w:t>
      </w:r>
      <w:r w:rsidRPr="00075D72">
        <w:rPr>
          <w:lang w:val="en-GB"/>
        </w:rPr>
        <w:t xml:space="preserve"> no better instrument to address this presumed market failure other than the tax incentive. The key weakness is about the ability and incentives to gather that knowledge.</w:t>
      </w:r>
    </w:p>
    <w:p w14:paraId="21817CC0" w14:textId="503508C0" w:rsidR="001B3AE0" w:rsidRDefault="001B3AE0" w:rsidP="00075D72">
      <w:pPr>
        <w:pStyle w:val="NumberedParagraph"/>
        <w:rPr>
          <w:color w:val="000000"/>
          <w:shd w:val="clear" w:color="auto" w:fill="FFFFFF"/>
        </w:rPr>
      </w:pPr>
      <w:r w:rsidRPr="00075D72">
        <w:rPr>
          <w:lang w:val="en-GB"/>
        </w:rPr>
        <w:t xml:space="preserve">As noted in the 2001 McLeod </w:t>
      </w:r>
      <w:r w:rsidR="002C4331">
        <w:rPr>
          <w:lang w:val="en-GB"/>
        </w:rPr>
        <w:t>R</w:t>
      </w:r>
      <w:r w:rsidRPr="00075D72">
        <w:rPr>
          <w:lang w:val="en-GB"/>
        </w:rPr>
        <w:t>eview, arguments for favourable tax treatment due to positive externalities or other benefits can become “a platform for practically any lobbyist’s reform</w:t>
      </w:r>
      <w:r w:rsidRPr="00075D72">
        <w:rPr>
          <w:color w:val="000000"/>
          <w:shd w:val="clear" w:color="auto" w:fill="FFFFFF"/>
        </w:rPr>
        <w:t xml:space="preserve"> agenda”.</w:t>
      </w:r>
      <w:r w:rsidRPr="00614077">
        <w:rPr>
          <w:color w:val="000000"/>
          <w:shd w:val="clear" w:color="auto" w:fill="FFFFFF"/>
          <w:vertAlign w:val="superscript"/>
        </w:rPr>
        <w:footnoteReference w:id="58"/>
      </w:r>
    </w:p>
    <w:p w14:paraId="0E0975D2" w14:textId="6AC423A0" w:rsidR="00C45156" w:rsidRDefault="00835F2C" w:rsidP="0035380D">
      <w:pPr>
        <w:pStyle w:val="Heading3"/>
        <w:rPr>
          <w:shd w:val="clear" w:color="auto" w:fill="FFFFFF"/>
        </w:rPr>
      </w:pPr>
      <w:r w:rsidRPr="0035380D">
        <w:rPr>
          <w:shd w:val="clear" w:color="auto" w:fill="FFFFFF"/>
        </w:rPr>
        <w:t>Internationa</w:t>
      </w:r>
      <w:r w:rsidR="00FE62A8" w:rsidRPr="0035380D">
        <w:rPr>
          <w:shd w:val="clear" w:color="auto" w:fill="FFFFFF"/>
        </w:rPr>
        <w:t>l dilution</w:t>
      </w:r>
    </w:p>
    <w:p w14:paraId="79548552" w14:textId="4D6AAA56" w:rsidR="00FE62A8" w:rsidRPr="00B71AD8" w:rsidRDefault="00C02743" w:rsidP="00FE62A8">
      <w:pPr>
        <w:pStyle w:val="NumberedParagraph"/>
      </w:pPr>
      <w:r>
        <w:t>As a result</w:t>
      </w:r>
      <w:r w:rsidR="00FE62A8">
        <w:t xml:space="preserve"> of the OECD Pillar </w:t>
      </w:r>
      <w:r w:rsidR="00200338">
        <w:t>2</w:t>
      </w:r>
      <w:r w:rsidR="00FE62A8">
        <w:t xml:space="preserve"> work, s</w:t>
      </w:r>
      <w:r w:rsidR="00691A1C">
        <w:t xml:space="preserve">pecial incentives </w:t>
      </w:r>
      <w:r>
        <w:t xml:space="preserve">will </w:t>
      </w:r>
      <w:r w:rsidR="00691A1C">
        <w:t xml:space="preserve">be </w:t>
      </w:r>
      <w:r>
        <w:t xml:space="preserve">less effective in promoting investment.  At times they </w:t>
      </w:r>
      <w:r w:rsidR="007003F1">
        <w:t>will</w:t>
      </w:r>
      <w:r w:rsidR="00691A1C">
        <w:t xml:space="preserve"> bring </w:t>
      </w:r>
      <w:r>
        <w:t>some entities’</w:t>
      </w:r>
      <w:r w:rsidR="00691A1C">
        <w:t xml:space="preserve"> tax </w:t>
      </w:r>
      <w:r>
        <w:t>rates</w:t>
      </w:r>
      <w:r w:rsidR="00691A1C">
        <w:t xml:space="preserve"> below the minimum rate under Pillar </w:t>
      </w:r>
      <w:proofErr w:type="gramStart"/>
      <w:r w:rsidR="00200338">
        <w:t>2</w:t>
      </w:r>
      <w:proofErr w:type="gramEnd"/>
      <w:r w:rsidR="00691A1C">
        <w:t xml:space="preserve"> and </w:t>
      </w:r>
      <w:r w:rsidR="007003F1">
        <w:t>this</w:t>
      </w:r>
      <w:r w:rsidR="007003F1" w:rsidRPr="008664D0">
        <w:t xml:space="preserve"> </w:t>
      </w:r>
      <w:r w:rsidRPr="008664D0">
        <w:t xml:space="preserve">would </w:t>
      </w:r>
      <w:r w:rsidR="00691A1C">
        <w:t>thereby trigger additional taxation in other countries.</w:t>
      </w:r>
    </w:p>
    <w:p w14:paraId="7F9B849F" w14:textId="77777777" w:rsidR="001B3AE0" w:rsidRPr="00614077" w:rsidRDefault="001B3AE0" w:rsidP="001B3AE0">
      <w:pPr>
        <w:pStyle w:val="Heading3"/>
        <w:rPr>
          <w:rFonts w:eastAsia="Calibri"/>
          <w:iCs/>
          <w:shd w:val="clear" w:color="auto" w:fill="FFFFFF"/>
          <w:lang w:eastAsia="en-US"/>
        </w:rPr>
      </w:pPr>
      <w:r w:rsidRPr="00614077">
        <w:rPr>
          <w:rFonts w:eastAsia="Calibri"/>
          <w:shd w:val="clear" w:color="auto" w:fill="FFFFFF"/>
          <w:lang w:eastAsia="en-US"/>
        </w:rPr>
        <w:t>When low taxes on specific businesses or industries might be in New Zealand’s best interests</w:t>
      </w:r>
    </w:p>
    <w:p w14:paraId="0C3BD4C8" w14:textId="75DDD728" w:rsidR="001B3AE0" w:rsidRPr="00614077" w:rsidRDefault="001B3AE0" w:rsidP="00075D72">
      <w:pPr>
        <w:pStyle w:val="NumberedParagraph"/>
      </w:pPr>
      <w:r w:rsidRPr="00614077">
        <w:rPr>
          <w:lang w:val="en-GB"/>
        </w:rPr>
        <w:t xml:space="preserve">There can be cases where it makes sense for a country (for example, New Zealand) to undercut a different country’s tax rate to attract investment that can happen in one country or </w:t>
      </w:r>
      <w:r w:rsidR="005C7308">
        <w:rPr>
          <w:lang w:val="en-GB"/>
        </w:rPr>
        <w:t xml:space="preserve">the </w:t>
      </w:r>
      <w:r w:rsidRPr="00614077">
        <w:rPr>
          <w:lang w:val="en-GB"/>
        </w:rPr>
        <w:t xml:space="preserve">other (but not both). </w:t>
      </w:r>
      <w:r w:rsidR="005C7308">
        <w:rPr>
          <w:lang w:val="en-GB"/>
        </w:rPr>
        <w:t>For example,</w:t>
      </w:r>
      <w:r w:rsidRPr="00614077">
        <w:rPr>
          <w:lang w:val="en-GB"/>
        </w:rPr>
        <w:t xml:space="preserve"> where this lures highly productive firms to New Zealand with substantial economic rents that they can earn in New Zealand or in other countries and that investment does not draw investment away from other, higher pre-tax return investments in the attracting country (that is, New Zealand).</w:t>
      </w:r>
    </w:p>
    <w:p w14:paraId="6E5EAA6F" w14:textId="7D2F9299" w:rsidR="001B3AE0" w:rsidRPr="00614077" w:rsidRDefault="001B3AE0" w:rsidP="00075D72">
      <w:pPr>
        <w:pStyle w:val="NumberedParagraph"/>
      </w:pPr>
      <w:r w:rsidRPr="00075D72">
        <w:rPr>
          <w:shd w:val="clear" w:color="auto" w:fill="FFFFFF"/>
          <w:lang w:val="en-GB"/>
        </w:rPr>
        <w:t xml:space="preserve">Low taxes are most effective where a tax base is very mobile. That is, the firm has an economic rent it can earn, but it can earn that same level of rent </w:t>
      </w:r>
      <w:r w:rsidRPr="00075D72">
        <w:rPr>
          <w:i/>
          <w:iCs/>
          <w:shd w:val="clear" w:color="auto" w:fill="FFFFFF"/>
          <w:lang w:val="en-GB"/>
        </w:rPr>
        <w:t>regardless</w:t>
      </w:r>
      <w:r w:rsidRPr="00075D72">
        <w:rPr>
          <w:shd w:val="clear" w:color="auto" w:fill="FFFFFF"/>
          <w:lang w:val="en-GB"/>
        </w:rPr>
        <w:t xml:space="preserve"> of where it operates. If a tax incentive</w:t>
      </w:r>
      <w:r w:rsidR="00564BD3" w:rsidRPr="00075D72">
        <w:rPr>
          <w:shd w:val="clear" w:color="auto" w:fill="FFFFFF"/>
          <w:lang w:val="en-GB"/>
        </w:rPr>
        <w:t>,</w:t>
      </w:r>
      <w:r w:rsidRPr="00075D72">
        <w:rPr>
          <w:shd w:val="clear" w:color="auto" w:fill="FFFFFF"/>
          <w:lang w:val="en-GB"/>
        </w:rPr>
        <w:t xml:space="preserve"> such as a low company tax rate for certain businesses or industries</w:t>
      </w:r>
      <w:r w:rsidR="00564BD3" w:rsidRPr="00075D72">
        <w:rPr>
          <w:shd w:val="clear" w:color="auto" w:fill="FFFFFF"/>
          <w:lang w:val="en-GB"/>
        </w:rPr>
        <w:t>,</w:t>
      </w:r>
      <w:r w:rsidRPr="00075D72">
        <w:rPr>
          <w:shd w:val="clear" w:color="auto" w:fill="FFFFFF"/>
          <w:lang w:val="en-GB"/>
        </w:rPr>
        <w:t xml:space="preserve"> lured firms with large firm</w:t>
      </w:r>
      <w:r w:rsidR="005C7308">
        <w:rPr>
          <w:shd w:val="clear" w:color="auto" w:fill="FFFFFF"/>
          <w:lang w:val="en-GB"/>
        </w:rPr>
        <w:t>-</w:t>
      </w:r>
      <w:r w:rsidRPr="00075D72">
        <w:rPr>
          <w:shd w:val="clear" w:color="auto" w:fill="FFFFFF"/>
          <w:lang w:val="en-GB"/>
        </w:rPr>
        <w:t xml:space="preserve">specific rents to locate and grow and expand in New Zealand, this could potentially be in New Zealand’s best interests. There would be both the direct revenue benefits of company tax that would otherwise not be collected and </w:t>
      </w:r>
      <w:r w:rsidR="005C7308">
        <w:rPr>
          <w:shd w:val="clear" w:color="auto" w:fill="FFFFFF"/>
          <w:lang w:val="en-GB"/>
        </w:rPr>
        <w:t xml:space="preserve">the </w:t>
      </w:r>
      <w:r w:rsidRPr="00075D72">
        <w:rPr>
          <w:shd w:val="clear" w:color="auto" w:fill="FFFFFF"/>
          <w:lang w:val="en-GB"/>
        </w:rPr>
        <w:t xml:space="preserve">potentially wider skills </w:t>
      </w:r>
      <w:r w:rsidR="005C7308">
        <w:rPr>
          <w:shd w:val="clear" w:color="auto" w:fill="FFFFFF"/>
          <w:lang w:val="en-GB"/>
        </w:rPr>
        <w:t>that</w:t>
      </w:r>
      <w:r w:rsidRPr="00075D72">
        <w:rPr>
          <w:shd w:val="clear" w:color="auto" w:fill="FFFFFF"/>
          <w:lang w:val="en-GB"/>
        </w:rPr>
        <w:t xml:space="preserve"> might be passed on to other firms </w:t>
      </w:r>
      <w:r w:rsidR="005C7308">
        <w:rPr>
          <w:shd w:val="clear" w:color="auto" w:fill="FFFFFF"/>
          <w:lang w:val="en-GB"/>
        </w:rPr>
        <w:t>that</w:t>
      </w:r>
      <w:r w:rsidRPr="00075D72">
        <w:rPr>
          <w:shd w:val="clear" w:color="auto" w:fill="FFFFFF"/>
          <w:lang w:val="en-GB"/>
        </w:rPr>
        <w:t xml:space="preserve"> would support productivity and growth. Correctly identifying these businesses or industries is likely to be challenging.</w:t>
      </w:r>
    </w:p>
    <w:p w14:paraId="40BD63DA" w14:textId="0F0A27F4" w:rsidR="001B3AE0" w:rsidRPr="00614077" w:rsidRDefault="001B3AE0" w:rsidP="001B3AE0">
      <w:pPr>
        <w:pStyle w:val="Heading3"/>
        <w:rPr>
          <w:rFonts w:eastAsia="Calibri"/>
          <w:color w:val="000000"/>
          <w:shd w:val="clear" w:color="auto" w:fill="FFFFFF"/>
          <w:lang w:eastAsia="en-US"/>
        </w:rPr>
      </w:pPr>
      <w:r w:rsidRPr="000E30EE">
        <w:rPr>
          <w:rFonts w:eastAsia="Calibri"/>
          <w:lang w:val="en-GB" w:eastAsia="en-US"/>
        </w:rPr>
        <w:t>When</w:t>
      </w:r>
      <w:r w:rsidRPr="00614077">
        <w:rPr>
          <w:rFonts w:eastAsia="Calibri"/>
          <w:lang w:eastAsia="en-US"/>
        </w:rPr>
        <w:t xml:space="preserve"> low taxes on specific businesses or </w:t>
      </w:r>
      <w:r w:rsidR="001F384D">
        <w:rPr>
          <w:rFonts w:eastAsia="Calibri"/>
          <w:lang w:eastAsia="en-US"/>
        </w:rPr>
        <w:t>industries</w:t>
      </w:r>
      <w:r w:rsidRPr="00614077">
        <w:rPr>
          <w:rFonts w:eastAsia="Calibri"/>
          <w:lang w:eastAsia="en-US"/>
        </w:rPr>
        <w:t xml:space="preserve"> are unlikely to be in New Zealand’s best interests.</w:t>
      </w:r>
    </w:p>
    <w:p w14:paraId="3CAC8207" w14:textId="1A8B4F55" w:rsidR="001B3AE0" w:rsidRPr="00075D72" w:rsidRDefault="001B3AE0" w:rsidP="00075D72">
      <w:pPr>
        <w:pStyle w:val="NumberedParagraph"/>
        <w:rPr>
          <w:lang w:val="en-GB"/>
        </w:rPr>
      </w:pPr>
      <w:r w:rsidRPr="00075D72">
        <w:rPr>
          <w:lang w:val="en-GB"/>
        </w:rPr>
        <w:t xml:space="preserve">Low taxes on specific businesses or </w:t>
      </w:r>
      <w:r w:rsidR="001F384D" w:rsidRPr="00075D72">
        <w:rPr>
          <w:lang w:val="en-GB"/>
        </w:rPr>
        <w:t>industries</w:t>
      </w:r>
      <w:r w:rsidRPr="00075D72">
        <w:rPr>
          <w:lang w:val="en-GB"/>
        </w:rPr>
        <w:t xml:space="preserve"> will not be in New Zealand’s best interests when there are large economic rents to be earned while operating in New Zealand</w:t>
      </w:r>
      <w:r w:rsidR="00625674" w:rsidRPr="00075D72">
        <w:rPr>
          <w:lang w:val="en-GB"/>
        </w:rPr>
        <w:t>,</w:t>
      </w:r>
      <w:r w:rsidRPr="00075D72">
        <w:rPr>
          <w:lang w:val="en-GB"/>
        </w:rPr>
        <w:t xml:space="preserve"> but they are location specific and only arise if the firm operates within New Zealand.</w:t>
      </w:r>
    </w:p>
    <w:p w14:paraId="41052C98" w14:textId="6D6F3842" w:rsidR="001B3AE0" w:rsidRPr="00075D72" w:rsidRDefault="001B3AE0" w:rsidP="00075D72">
      <w:pPr>
        <w:pStyle w:val="NumberedParagraph"/>
        <w:rPr>
          <w:lang w:val="en-GB"/>
        </w:rPr>
      </w:pPr>
      <w:r w:rsidRPr="00075D72">
        <w:rPr>
          <w:lang w:val="en-GB"/>
        </w:rPr>
        <w:t>When there are large location</w:t>
      </w:r>
      <w:r w:rsidR="00262769" w:rsidRPr="00075D72">
        <w:rPr>
          <w:lang w:val="en-GB"/>
        </w:rPr>
        <w:t>-</w:t>
      </w:r>
      <w:r w:rsidRPr="00075D72">
        <w:rPr>
          <w:lang w:val="en-GB"/>
        </w:rPr>
        <w:t xml:space="preserve">specific rents, some countries apply higher taxes to the business or activity. A specific extreme example is petroleum resources </w:t>
      </w:r>
      <w:r w:rsidRPr="00075D72">
        <w:rPr>
          <w:lang w:val="en-GB"/>
        </w:rPr>
        <w:lastRenderedPageBreak/>
        <w:t xml:space="preserve">in Norway. The ordinary company rate in Norway is 22%, </w:t>
      </w:r>
      <w:r w:rsidRPr="00614077">
        <w:t>but</w:t>
      </w:r>
      <w:r w:rsidRPr="00075D72">
        <w:rPr>
          <w:lang w:val="en-GB"/>
        </w:rPr>
        <w:t xml:space="preserve"> the additional tax on cash</w:t>
      </w:r>
      <w:r w:rsidR="00894900" w:rsidRPr="00075D72">
        <w:rPr>
          <w:lang w:val="en-GB"/>
        </w:rPr>
        <w:t xml:space="preserve"> </w:t>
      </w:r>
      <w:r w:rsidRPr="00075D72">
        <w:rPr>
          <w:lang w:val="en-GB"/>
        </w:rPr>
        <w:t>flow principles on petroleum resources is applied at a rate of 56%, giving a total rate of 78%.</w:t>
      </w:r>
      <w:r w:rsidRPr="00614077">
        <w:rPr>
          <w:vertAlign w:val="superscript"/>
          <w:lang w:val="en-GB"/>
        </w:rPr>
        <w:footnoteReference w:id="59"/>
      </w:r>
    </w:p>
    <w:p w14:paraId="7E8CAC31" w14:textId="4D274CD2" w:rsidR="001B3AE0" w:rsidRPr="00614077" w:rsidRDefault="001B3AE0" w:rsidP="00075D72">
      <w:pPr>
        <w:pStyle w:val="NumberedParagraph"/>
      </w:pPr>
      <w:r w:rsidRPr="00075D72">
        <w:rPr>
          <w:lang w:val="en-GB"/>
        </w:rPr>
        <w:t xml:space="preserve">In one sense, investment in petroleum extraction </w:t>
      </w:r>
      <w:r w:rsidR="002D27F1" w:rsidRPr="00075D72">
        <w:rPr>
          <w:lang w:val="en-GB"/>
        </w:rPr>
        <w:t>‘</w:t>
      </w:r>
      <w:r w:rsidRPr="00075D72">
        <w:rPr>
          <w:lang w:val="en-GB"/>
        </w:rPr>
        <w:t>competes</w:t>
      </w:r>
      <w:r w:rsidR="002D27F1" w:rsidRPr="00075D72">
        <w:rPr>
          <w:lang w:val="en-GB"/>
        </w:rPr>
        <w:t>’</w:t>
      </w:r>
      <w:r w:rsidRPr="00075D72">
        <w:rPr>
          <w:lang w:val="en-GB"/>
        </w:rPr>
        <w:t xml:space="preserve"> with all other investments available to international investors. </w:t>
      </w:r>
      <w:r w:rsidR="00B50823" w:rsidRPr="00075D72">
        <w:rPr>
          <w:lang w:val="en-GB"/>
        </w:rPr>
        <w:t>However,</w:t>
      </w:r>
      <w:r w:rsidRPr="00075D72">
        <w:rPr>
          <w:lang w:val="en-GB"/>
        </w:rPr>
        <w:t xml:space="preserve"> applying a 78% tax rate may still be a sensible policy because the firm must be in Norway to earn the returns, and those returns are so high that, even after this tax, the investment earns sufficient returns to still attract investment.</w:t>
      </w:r>
    </w:p>
    <w:p w14:paraId="75B6BFFF" w14:textId="3B565018" w:rsidR="001B3AE0" w:rsidRPr="00614077" w:rsidRDefault="001B3AE0" w:rsidP="00075D72">
      <w:pPr>
        <w:pStyle w:val="NumberedParagraph"/>
      </w:pPr>
      <w:r w:rsidRPr="00614077">
        <w:t>Norway</w:t>
      </w:r>
      <w:r w:rsidRPr="00075D72">
        <w:rPr>
          <w:lang w:val="en-GB"/>
        </w:rPr>
        <w:t xml:space="preserve"> has decided it makes sense to move away from an otherwise broad-based low-rate approach for this specific industry because of the level of economic rent available to firms operating in the industry.</w:t>
      </w:r>
      <w:r w:rsidR="005937D8" w:rsidRPr="00075D72">
        <w:rPr>
          <w:lang w:val="en-GB"/>
        </w:rPr>
        <w:t xml:space="preserve"> This is</w:t>
      </w:r>
      <w:r w:rsidR="009B4F02" w:rsidRPr="00075D72">
        <w:rPr>
          <w:lang w:val="en-GB"/>
        </w:rPr>
        <w:t xml:space="preserve"> even though it is a capital-intensive industry with global competition.</w:t>
      </w:r>
    </w:p>
    <w:p w14:paraId="7EF07E90" w14:textId="7E6E493C" w:rsidR="001B3AE0" w:rsidRPr="00075D72" w:rsidRDefault="001B3AE0" w:rsidP="00075D72">
      <w:pPr>
        <w:pStyle w:val="NumberedParagraph"/>
        <w:rPr>
          <w:lang w:val="en-GB"/>
        </w:rPr>
      </w:pPr>
      <w:r w:rsidRPr="00075D72">
        <w:rPr>
          <w:lang w:val="en-GB"/>
        </w:rPr>
        <w:t xml:space="preserve">Note that even though there are plenty of other countries with petroleum resources, Norway is not </w:t>
      </w:r>
      <w:r w:rsidR="00F905A9" w:rsidRPr="00075D72">
        <w:rPr>
          <w:lang w:val="en-GB"/>
        </w:rPr>
        <w:t>‘</w:t>
      </w:r>
      <w:r w:rsidRPr="00075D72">
        <w:rPr>
          <w:lang w:val="en-GB"/>
        </w:rPr>
        <w:t>competing</w:t>
      </w:r>
      <w:r w:rsidR="00F905A9" w:rsidRPr="00075D72">
        <w:rPr>
          <w:lang w:val="en-GB"/>
        </w:rPr>
        <w:t>’</w:t>
      </w:r>
      <w:r w:rsidRPr="00075D72">
        <w:rPr>
          <w:lang w:val="en-GB"/>
        </w:rPr>
        <w:t xml:space="preserve"> with these other countries because it is not an either/or question. A firm may appreciate a much lower tax rate in a different country, but it does not have to choose whether to operate in Norway or another country. It can operate and extract and sell petroleum from both</w:t>
      </w:r>
      <w:r w:rsidR="008C70BB" w:rsidRPr="00075D72">
        <w:rPr>
          <w:lang w:val="en-GB"/>
        </w:rPr>
        <w:t xml:space="preserve"> countries</w:t>
      </w:r>
      <w:r w:rsidRPr="00075D72">
        <w:rPr>
          <w:lang w:val="en-GB"/>
        </w:rPr>
        <w:t xml:space="preserve">. Provided the after-tax return in Norway has a positive net present value, it would make sense to operate in both countries, even when the non-Norway country had a more </w:t>
      </w:r>
      <w:r w:rsidR="005F2953" w:rsidRPr="00075D72">
        <w:rPr>
          <w:lang w:val="en-GB"/>
        </w:rPr>
        <w:t>‘</w:t>
      </w:r>
      <w:r w:rsidRPr="00075D72">
        <w:rPr>
          <w:lang w:val="en-GB"/>
        </w:rPr>
        <w:t>competitive</w:t>
      </w:r>
      <w:r w:rsidR="005F2953" w:rsidRPr="00075D72">
        <w:rPr>
          <w:lang w:val="en-GB"/>
        </w:rPr>
        <w:t>’</w:t>
      </w:r>
      <w:r w:rsidRPr="00075D72">
        <w:rPr>
          <w:lang w:val="en-GB"/>
        </w:rPr>
        <w:t xml:space="preserve"> tax rate.</w:t>
      </w:r>
    </w:p>
    <w:p w14:paraId="6B344DED" w14:textId="1AA4AD17" w:rsidR="001B3AE0" w:rsidRPr="00075D72" w:rsidRDefault="001B3AE0" w:rsidP="00075D72">
      <w:pPr>
        <w:pStyle w:val="NumberedParagraph"/>
        <w:rPr>
          <w:lang w:val="en-GB"/>
        </w:rPr>
      </w:pPr>
      <w:r w:rsidRPr="00075D72">
        <w:rPr>
          <w:lang w:val="en-GB"/>
        </w:rPr>
        <w:t>It is challenging to identify areas in New Zealand where location</w:t>
      </w:r>
      <w:r w:rsidR="005F2953" w:rsidRPr="00075D72">
        <w:rPr>
          <w:lang w:val="en-GB"/>
        </w:rPr>
        <w:t>-</w:t>
      </w:r>
      <w:r w:rsidRPr="00075D72">
        <w:rPr>
          <w:lang w:val="en-GB"/>
        </w:rPr>
        <w:t>specific rents are likely to be highest</w:t>
      </w:r>
      <w:r w:rsidR="005F2953" w:rsidRPr="00075D72">
        <w:rPr>
          <w:lang w:val="en-GB"/>
        </w:rPr>
        <w:t>,</w:t>
      </w:r>
      <w:r w:rsidRPr="00075D72">
        <w:rPr>
          <w:lang w:val="en-GB"/>
        </w:rPr>
        <w:t xml:space="preserve"> let alone to design and enforce different tax rates for different activities. Applying higher tax rates where location</w:t>
      </w:r>
      <w:r w:rsidR="0015373E" w:rsidRPr="00075D72">
        <w:rPr>
          <w:lang w:val="en-GB"/>
        </w:rPr>
        <w:t>-</w:t>
      </w:r>
      <w:r w:rsidRPr="00075D72">
        <w:rPr>
          <w:lang w:val="en-GB"/>
        </w:rPr>
        <w:t>specific rents are significant might be easier in an economy with one or two sectors earning high location-specific rents</w:t>
      </w:r>
      <w:r w:rsidR="005D2A39" w:rsidRPr="00075D72">
        <w:rPr>
          <w:lang w:val="en-GB"/>
        </w:rPr>
        <w:t xml:space="preserve"> rather</w:t>
      </w:r>
      <w:r w:rsidRPr="00075D72">
        <w:rPr>
          <w:lang w:val="en-GB"/>
        </w:rPr>
        <w:t xml:space="preserve"> than in an economy where these rents are likely to be much more diffuse and harder to identify.</w:t>
      </w:r>
    </w:p>
    <w:p w14:paraId="509E616D" w14:textId="03F30045" w:rsidR="001B3AE0" w:rsidRPr="00614077" w:rsidRDefault="001B3AE0" w:rsidP="00075D72">
      <w:pPr>
        <w:pStyle w:val="NumberedParagraph"/>
      </w:pPr>
      <w:r w:rsidRPr="00614077">
        <w:t xml:space="preserve">In his survey of specific incentives and the literature surrounding them, Klemm </w:t>
      </w:r>
      <w:r w:rsidR="00A62490">
        <w:t xml:space="preserve">(2010) </w:t>
      </w:r>
      <w:r w:rsidRPr="00614077">
        <w:t>provides a pithy conclusion that summarises his scepticism about the ability to target tax rates in a beneficial way:</w:t>
      </w:r>
    </w:p>
    <w:p w14:paraId="670C74D4" w14:textId="77777777" w:rsidR="001B3AE0" w:rsidRPr="00614077" w:rsidRDefault="001B3AE0" w:rsidP="001B3AE0">
      <w:pPr>
        <w:pStyle w:val="Quote"/>
        <w:rPr>
          <w:rFonts w:eastAsia="Calibri"/>
          <w:lang w:eastAsia="en-US"/>
        </w:rPr>
      </w:pPr>
      <w:r w:rsidRPr="00614077">
        <w:rPr>
          <w:rFonts w:eastAsia="Calibri"/>
          <w:lang w:eastAsia="en-US"/>
        </w:rPr>
        <w:t>Even if a tax incentive can be useful in principle, a country may be well advised to refrain from introducing one. This reflects the advantage of a coherent and simple tax system, which cannot take account of all issues, especially since they may be changing over time. Moreover, once a system has created the precedence of an exemption for one particular sector or region, the pressure for further ones will increase. The ultimate outcome may be a less efficient tax system, even if a few of the incentives used have a sound economic rationale and are cost-effective.</w:t>
      </w:r>
    </w:p>
    <w:p w14:paraId="63EAC7DF" w14:textId="77777777" w:rsidR="001B3AE0" w:rsidRPr="00614077" w:rsidRDefault="001B3AE0" w:rsidP="001B3AE0">
      <w:pPr>
        <w:pStyle w:val="Heading2"/>
        <w:rPr>
          <w:rFonts w:eastAsia="Calibri"/>
          <w:lang w:eastAsia="en-US"/>
        </w:rPr>
      </w:pPr>
      <w:bookmarkStart w:id="82" w:name="_Toc112857459"/>
      <w:r w:rsidRPr="00614077">
        <w:rPr>
          <w:rFonts w:eastAsia="Calibri"/>
          <w:lang w:eastAsia="en-US"/>
        </w:rPr>
        <w:t>International experience</w:t>
      </w:r>
      <w:bookmarkEnd w:id="82"/>
    </w:p>
    <w:p w14:paraId="4102B491" w14:textId="5EDB6743" w:rsidR="001B3AE0" w:rsidRPr="00614077" w:rsidRDefault="008808B8" w:rsidP="00075D72">
      <w:pPr>
        <w:pStyle w:val="NumberedParagraph"/>
      </w:pPr>
      <w:r>
        <w:t>T</w:t>
      </w:r>
      <w:r w:rsidR="001B3AE0" w:rsidRPr="00614077">
        <w:t xml:space="preserve">ax incentives for </w:t>
      </w:r>
      <w:r>
        <w:t>specific</w:t>
      </w:r>
      <w:r w:rsidR="001B3AE0" w:rsidRPr="00614077">
        <w:t xml:space="preserve"> businesses or industries are common overseas. The OECD’s publication, </w:t>
      </w:r>
      <w:r w:rsidR="001B3AE0" w:rsidRPr="00075D72">
        <w:rPr>
          <w:i/>
          <w:iCs/>
        </w:rPr>
        <w:t>Tax Policy Reforms 2020: OECD and Selected Partner Economies,</w:t>
      </w:r>
      <w:r w:rsidR="001B3AE0" w:rsidRPr="00614077">
        <w:rPr>
          <w:vertAlign w:val="superscript"/>
        </w:rPr>
        <w:footnoteReference w:id="60"/>
      </w:r>
      <w:r w:rsidR="001B3AE0" w:rsidRPr="00614077">
        <w:t xml:space="preserve"> gives a sense of the sorts of activities and investment that draw special incentives:</w:t>
      </w:r>
    </w:p>
    <w:p w14:paraId="1FD5F080" w14:textId="77777777" w:rsidR="001B3AE0" w:rsidRPr="00614077" w:rsidRDefault="001B3AE0" w:rsidP="00075D72">
      <w:pPr>
        <w:pStyle w:val="NumberedParagraph-BulletL1"/>
      </w:pPr>
      <w:r w:rsidRPr="00614077">
        <w:lastRenderedPageBreak/>
        <w:t>In the USA, tax credits for biodiesel and renewable diesel, electricity produced from certain renewable sources and alternative fuels have been extended.</w:t>
      </w:r>
    </w:p>
    <w:p w14:paraId="6D781F76" w14:textId="77777777" w:rsidR="001B3AE0" w:rsidRPr="00614077" w:rsidRDefault="001B3AE0" w:rsidP="00075D72">
      <w:pPr>
        <w:pStyle w:val="NumberedParagraph-BulletL1"/>
      </w:pPr>
      <w:r w:rsidRPr="00614077">
        <w:t>In Mexico, tax relief for Special Economic Zones has been repealed, but future tax policies are intended to focus on projects rather than regions.</w:t>
      </w:r>
    </w:p>
    <w:p w14:paraId="345BDE37" w14:textId="6C9EBAC2" w:rsidR="001B3AE0" w:rsidRPr="00075D72" w:rsidRDefault="001B3AE0" w:rsidP="00075D72">
      <w:pPr>
        <w:pStyle w:val="NumberedParagraph-BulletL1"/>
        <w:rPr>
          <w:shd w:val="clear" w:color="auto" w:fill="FFFFFF"/>
        </w:rPr>
      </w:pPr>
      <w:r w:rsidRPr="00614077">
        <w:t>In Korea, tax credits for investments made have been simplified. Previous incentives were more restricted, targeting facilities for (among other activities) research and testing, vocational training, safety,</w:t>
      </w:r>
      <w:r w:rsidRPr="00075D72">
        <w:rPr>
          <w:shd w:val="clear" w:color="auto" w:fill="FFFFFF"/>
        </w:rPr>
        <w:t xml:space="preserve"> energy saving, and new growth-engine technology commerciali</w:t>
      </w:r>
      <w:r w:rsidR="0067775E" w:rsidRPr="00075D72">
        <w:rPr>
          <w:shd w:val="clear" w:color="auto" w:fill="FFFFFF"/>
        </w:rPr>
        <w:t>s</w:t>
      </w:r>
      <w:r w:rsidRPr="00075D72">
        <w:rPr>
          <w:shd w:val="clear" w:color="auto" w:fill="FFFFFF"/>
        </w:rPr>
        <w:t xml:space="preserve">ation. The new regime has a </w:t>
      </w:r>
      <w:r w:rsidR="00A167AE" w:rsidRPr="00075D72">
        <w:rPr>
          <w:shd w:val="clear" w:color="auto" w:fill="FFFFFF"/>
        </w:rPr>
        <w:t>‘</w:t>
      </w:r>
      <w:r w:rsidRPr="00075D72">
        <w:rPr>
          <w:shd w:val="clear" w:color="auto" w:fill="FFFFFF"/>
        </w:rPr>
        <w:t>negative list system</w:t>
      </w:r>
      <w:r w:rsidR="00A167AE" w:rsidRPr="00075D72">
        <w:rPr>
          <w:shd w:val="clear" w:color="auto" w:fill="FFFFFF"/>
        </w:rPr>
        <w:t>’</w:t>
      </w:r>
      <w:r w:rsidRPr="00614077">
        <w:rPr>
          <w:shd w:val="clear" w:color="auto" w:fill="FFFFFF"/>
          <w:vertAlign w:val="superscript"/>
        </w:rPr>
        <w:footnoteReference w:id="61"/>
      </w:r>
      <w:r w:rsidRPr="00075D72">
        <w:rPr>
          <w:shd w:val="clear" w:color="auto" w:fill="FFFFFF"/>
        </w:rPr>
        <w:t xml:space="preserve"> that excludes, rather than includes, specified industries and assets.</w:t>
      </w:r>
    </w:p>
    <w:p w14:paraId="4368B0A2" w14:textId="77777777" w:rsidR="001B3AE0" w:rsidRPr="00614077" w:rsidRDefault="001B3AE0" w:rsidP="00075D72">
      <w:pPr>
        <w:pStyle w:val="NumberedParagraph"/>
      </w:pPr>
      <w:r w:rsidRPr="00614077">
        <w:t>In general, specific incentives are particularly common in developing countries, where governments are often trying to balance taxing location-specific rents (for example, mining) at higher rates with attracting other industries with specific incentives.</w:t>
      </w:r>
    </w:p>
    <w:p w14:paraId="224D09B9" w14:textId="77777777" w:rsidR="001B3AE0" w:rsidRPr="00614077" w:rsidRDefault="001B3AE0" w:rsidP="00075D72">
      <w:pPr>
        <w:pStyle w:val="NumberedParagraph"/>
      </w:pPr>
      <w:r w:rsidRPr="00614077">
        <w:t>Reviews of tax incentives overseas tend to point to a lack of cost-effectiveness (that is, limited additional investment given the fiscal cost) and the risk of rent seeking and corruption, although this is usually in the context of countries that may already suffer from those problems.</w:t>
      </w:r>
      <w:r w:rsidRPr="00614077">
        <w:rPr>
          <w:vertAlign w:val="superscript"/>
        </w:rPr>
        <w:footnoteReference w:id="62"/>
      </w:r>
    </w:p>
    <w:p w14:paraId="0C89A566" w14:textId="77777777" w:rsidR="009C3FA5" w:rsidRPr="0009166B" w:rsidRDefault="009C3FA5" w:rsidP="009C3FA5">
      <w:pPr>
        <w:pStyle w:val="Heading2"/>
        <w:rPr>
          <w:rFonts w:eastAsia="Calibri"/>
          <w:lang w:eastAsia="en-US"/>
        </w:rPr>
      </w:pPr>
      <w:bookmarkStart w:id="83" w:name="_Toc112857460"/>
      <w:r>
        <w:rPr>
          <w:rFonts w:eastAsia="Calibri"/>
          <w:lang w:eastAsia="en-US"/>
        </w:rPr>
        <w:t>Views of stakeholders</w:t>
      </w:r>
      <w:bookmarkEnd w:id="83"/>
    </w:p>
    <w:p w14:paraId="0DFCA8DC" w14:textId="0CA02FC0" w:rsidR="008660D0" w:rsidRDefault="008660D0" w:rsidP="008660D0">
      <w:pPr>
        <w:pStyle w:val="NumberedParagraph"/>
        <w:numPr>
          <w:ilvl w:val="1"/>
          <w:numId w:val="58"/>
        </w:numPr>
      </w:pPr>
      <w:r>
        <w:t>CA</w:t>
      </w:r>
      <w:r w:rsidR="00FA4166">
        <w:t xml:space="preserve"> </w:t>
      </w:r>
      <w:r>
        <w:t>ANZ commented that this sort of change would be such a significant policy decision and d</w:t>
      </w:r>
      <w:r w:rsidR="00D36884">
        <w:t>eparture from the</w:t>
      </w:r>
      <w:r w:rsidR="00BC6E9F">
        <w:t xml:space="preserve"> broad-base</w:t>
      </w:r>
      <w:r w:rsidR="00351432">
        <w:t>d</w:t>
      </w:r>
      <w:r w:rsidR="00D36884">
        <w:t xml:space="preserve"> low</w:t>
      </w:r>
      <w:r w:rsidR="00BC6E9F">
        <w:t>-</w:t>
      </w:r>
      <w:r w:rsidR="00D36884">
        <w:t>rate structure that it should only be undertaken after a broader examination of New Zealand’s tax policy frameworks.</w:t>
      </w:r>
    </w:p>
    <w:p w14:paraId="37A5597A" w14:textId="01A714D5" w:rsidR="008660D0" w:rsidRDefault="008660D0" w:rsidP="00345DEF">
      <w:pPr>
        <w:pStyle w:val="NumberedParagraph"/>
        <w:numPr>
          <w:ilvl w:val="1"/>
          <w:numId w:val="58"/>
        </w:numPr>
      </w:pPr>
      <w:r>
        <w:t xml:space="preserve">Business NZ </w:t>
      </w:r>
      <w:r w:rsidR="00BC6E9F">
        <w:t>strongly supported the existing broad-base</w:t>
      </w:r>
      <w:r w:rsidR="00351432">
        <w:t>d</w:t>
      </w:r>
      <w:r w:rsidR="00BC6E9F">
        <w:t xml:space="preserve"> low-rate structure and </w:t>
      </w:r>
      <w:r w:rsidR="008917FF">
        <w:t>argued that</w:t>
      </w:r>
      <w:r w:rsidR="00351432">
        <w:t>,</w:t>
      </w:r>
      <w:r w:rsidR="008917FF">
        <w:t xml:space="preserve"> once tax incentives are considered, this opens a “Pandora’s Box” of concerns about what incentives should be introduced.</w:t>
      </w:r>
    </w:p>
    <w:p w14:paraId="5D667E93" w14:textId="6C436714" w:rsidR="008660D0" w:rsidRDefault="008660D0" w:rsidP="008660D0">
      <w:pPr>
        <w:pStyle w:val="NumberedParagraph"/>
        <w:numPr>
          <w:ilvl w:val="1"/>
          <w:numId w:val="58"/>
        </w:numPr>
      </w:pPr>
      <w:r>
        <w:t xml:space="preserve">CTG </w:t>
      </w:r>
      <w:r w:rsidR="00AE2FCC">
        <w:t xml:space="preserve">argued </w:t>
      </w:r>
      <w:r w:rsidR="00A374F0">
        <w:t xml:space="preserve">overseas </w:t>
      </w:r>
      <w:r w:rsidR="00AE2FCC">
        <w:t>examples of successful tax concessions should be considered. The group suggest</w:t>
      </w:r>
      <w:r w:rsidR="00351432">
        <w:t>ed</w:t>
      </w:r>
      <w:r w:rsidR="00AE2FCC">
        <w:t xml:space="preserve"> that the main economic argument against tax concessions is that they need to be funded by higher taxes on other firms (assuming a set revenue need) and they divert resources to activities generating a lower overall return. However,</w:t>
      </w:r>
      <w:r w:rsidR="00594AFF">
        <w:t xml:space="preserve"> the group argue</w:t>
      </w:r>
      <w:r w:rsidR="00351432">
        <w:t>d</w:t>
      </w:r>
      <w:r w:rsidR="00594AFF">
        <w:t xml:space="preserve"> that</w:t>
      </w:r>
      <w:r w:rsidR="00AE2FCC">
        <w:t xml:space="preserve"> such objections do not hold to the extent tax concessions attract activities that contribute tax revenue but would not locate here without </w:t>
      </w:r>
      <w:r w:rsidR="00351432">
        <w:t xml:space="preserve">the </w:t>
      </w:r>
      <w:r w:rsidR="00AE2FCC">
        <w:t>concessions and that engage resources (including personnel) that would otherwise not be here.</w:t>
      </w:r>
    </w:p>
    <w:p w14:paraId="3049713B" w14:textId="77777777" w:rsidR="009C3FA5" w:rsidRPr="00614077" w:rsidRDefault="009C3FA5" w:rsidP="001E3DBB">
      <w:pPr>
        <w:pStyle w:val="NumberedParagraph"/>
        <w:numPr>
          <w:ilvl w:val="0"/>
          <w:numId w:val="0"/>
        </w:numPr>
        <w:ind w:left="851"/>
      </w:pPr>
    </w:p>
    <w:p w14:paraId="372AE07D" w14:textId="03BBDDFB" w:rsidR="001B3AE0" w:rsidRPr="004B1C56" w:rsidRDefault="001B3AE0" w:rsidP="001E3DBB">
      <w:pPr>
        <w:pStyle w:val="Heading1"/>
        <w:ind w:left="0"/>
        <w:rPr>
          <w:rFonts w:eastAsia="Calibri"/>
          <w:lang w:eastAsia="en-US"/>
        </w:rPr>
      </w:pPr>
      <w:r w:rsidRPr="004B1C56">
        <w:rPr>
          <w:rFonts w:eastAsia="Calibri"/>
          <w:lang w:eastAsia="en-US"/>
        </w:rPr>
        <w:lastRenderedPageBreak/>
        <w:br/>
      </w:r>
      <w:r w:rsidRPr="004B1C56">
        <w:rPr>
          <w:rFonts w:eastAsia="Calibri"/>
          <w:lang w:eastAsia="en-US"/>
        </w:rPr>
        <w:br/>
      </w:r>
      <w:bookmarkStart w:id="84" w:name="_Toc112857461"/>
      <w:r w:rsidRPr="004B1C56">
        <w:rPr>
          <w:rFonts w:eastAsia="Calibri"/>
          <w:lang w:eastAsia="en-US"/>
        </w:rPr>
        <w:t xml:space="preserve">Dual </w:t>
      </w:r>
      <w:r w:rsidR="00F53AB4">
        <w:rPr>
          <w:rFonts w:eastAsia="Calibri"/>
          <w:lang w:eastAsia="en-US"/>
        </w:rPr>
        <w:t>i</w:t>
      </w:r>
      <w:r w:rsidRPr="004B1C56">
        <w:rPr>
          <w:rFonts w:eastAsia="Calibri"/>
          <w:lang w:eastAsia="en-US"/>
        </w:rPr>
        <w:t xml:space="preserve">ncome </w:t>
      </w:r>
      <w:r w:rsidR="00F53AB4">
        <w:rPr>
          <w:rFonts w:eastAsia="Calibri"/>
          <w:lang w:eastAsia="en-US"/>
        </w:rPr>
        <w:t>t</w:t>
      </w:r>
      <w:r w:rsidRPr="004B1C56">
        <w:rPr>
          <w:rFonts w:eastAsia="Calibri"/>
          <w:lang w:eastAsia="en-US"/>
        </w:rPr>
        <w:t xml:space="preserve">ax </w:t>
      </w:r>
      <w:r w:rsidR="00F53AB4">
        <w:rPr>
          <w:rFonts w:eastAsia="Calibri"/>
          <w:lang w:eastAsia="en-US"/>
        </w:rPr>
        <w:t>s</w:t>
      </w:r>
      <w:r w:rsidRPr="004B1C56">
        <w:rPr>
          <w:rFonts w:eastAsia="Calibri"/>
          <w:lang w:eastAsia="en-US"/>
        </w:rPr>
        <w:t>ystem</w:t>
      </w:r>
      <w:bookmarkEnd w:id="84"/>
    </w:p>
    <w:tbl>
      <w:tblPr>
        <w:tblStyle w:val="SummaryBox"/>
        <w:tblW w:w="0" w:type="auto"/>
        <w:tblLayout w:type="fixed"/>
        <w:tblLook w:val="04A0" w:firstRow="1" w:lastRow="0" w:firstColumn="1" w:lastColumn="0" w:noHBand="0" w:noVBand="1"/>
      </w:tblPr>
      <w:tblGrid>
        <w:gridCol w:w="8778"/>
      </w:tblGrid>
      <w:tr w:rsidR="001B3AE0" w:rsidRPr="0011214E" w14:paraId="4D1E56C7" w14:textId="77777777" w:rsidTr="007D07BC">
        <w:tc>
          <w:tcPr>
            <w:tcW w:w="8778" w:type="dxa"/>
          </w:tcPr>
          <w:p w14:paraId="02F2FAA6" w14:textId="77777777" w:rsidR="001B3AE0" w:rsidRPr="0011214E" w:rsidRDefault="001B3AE0" w:rsidP="00597B6B">
            <w:pPr>
              <w:pStyle w:val="ListBullet"/>
            </w:pPr>
            <w:r w:rsidRPr="0011214E">
              <w:t>Dual income tax systems have been adopted by Nordic countries.</w:t>
            </w:r>
          </w:p>
          <w:p w14:paraId="3E86609C" w14:textId="4FCC0E94" w:rsidR="001B3AE0" w:rsidRPr="0011214E" w:rsidRDefault="001B3AE0" w:rsidP="00597B6B">
            <w:pPr>
              <w:pStyle w:val="ListBullet"/>
            </w:pPr>
            <w:r w:rsidRPr="0011214E">
              <w:t>A pure dual income tax would involve a low flat tax rate on capital income and higher progressive taxes on labour income.</w:t>
            </w:r>
          </w:p>
          <w:p w14:paraId="44352441" w14:textId="114C7832" w:rsidR="001B3AE0" w:rsidRPr="0011214E" w:rsidRDefault="001B3AE0" w:rsidP="00597B6B">
            <w:pPr>
              <w:pStyle w:val="ListBullet"/>
            </w:pPr>
            <w:r w:rsidRPr="0011214E">
              <w:t>A dual income tax might provide a coherent way of allowing reductions in the company tax rate</w:t>
            </w:r>
            <w:r w:rsidR="00F05EC5">
              <w:t>,</w:t>
            </w:r>
            <w:r w:rsidRPr="0011214E">
              <w:t xml:space="preserve"> and in costs of capital and EMTRs</w:t>
            </w:r>
            <w:r w:rsidR="008F64F0">
              <w:t>,</w:t>
            </w:r>
            <w:r w:rsidRPr="0011214E">
              <w:t xml:space="preserve"> without creating pressures for a lower top personal marginal tax rate.</w:t>
            </w:r>
          </w:p>
          <w:p w14:paraId="45BCAB74" w14:textId="682A03DA" w:rsidR="001B3AE0" w:rsidRPr="0011214E" w:rsidRDefault="001B3AE0" w:rsidP="00597B6B">
            <w:pPr>
              <w:pStyle w:val="ListBullet"/>
            </w:pPr>
            <w:r w:rsidRPr="0011214E">
              <w:t xml:space="preserve">Alternatively, it might provide a way </w:t>
            </w:r>
            <w:r w:rsidR="00CC3EA8">
              <w:t>for</w:t>
            </w:r>
            <w:r w:rsidRPr="0011214E">
              <w:t xml:space="preserve"> future governments </w:t>
            </w:r>
            <w:r w:rsidR="00CC3EA8">
              <w:t xml:space="preserve">to </w:t>
            </w:r>
            <w:r w:rsidRPr="0011214E">
              <w:t>increas</w:t>
            </w:r>
            <w:r w:rsidR="00CC3EA8">
              <w:t>e</w:t>
            </w:r>
            <w:r w:rsidRPr="0011214E">
              <w:t xml:space="preserve"> higher marginal tax rates and the progressivity of the tax system for those elements of income that are taxed at progressive rates without increasing costs of capital or EMTRs.</w:t>
            </w:r>
          </w:p>
          <w:p w14:paraId="720A52CF" w14:textId="77777777" w:rsidR="001B3AE0" w:rsidRPr="0011214E" w:rsidRDefault="001B3AE0" w:rsidP="00597B6B">
            <w:pPr>
              <w:pStyle w:val="ListBullet"/>
            </w:pPr>
            <w:r w:rsidRPr="0011214E">
              <w:t>It provides a way of maintaining a steeply progressive tax system if there are concerns that efficiency or avoidance concerns make it impractical to tax capital income at high marginal tax rates.</w:t>
            </w:r>
          </w:p>
          <w:p w14:paraId="1117CEF5" w14:textId="77777777" w:rsidR="001B3AE0" w:rsidRPr="0011214E" w:rsidRDefault="001B3AE0" w:rsidP="00597B6B">
            <w:pPr>
              <w:pStyle w:val="ListBullet"/>
            </w:pPr>
            <w:r w:rsidRPr="0011214E">
              <w:t xml:space="preserve">It </w:t>
            </w:r>
            <w:r>
              <w:t>may</w:t>
            </w:r>
            <w:r w:rsidRPr="0011214E">
              <w:t xml:space="preserve"> require a tax on gains in the value of shares.</w:t>
            </w:r>
          </w:p>
          <w:p w14:paraId="596B34F1" w14:textId="77777777" w:rsidR="001B3AE0" w:rsidRPr="0011214E" w:rsidRDefault="001B3AE0" w:rsidP="00597B6B">
            <w:pPr>
              <w:pStyle w:val="ListBullet"/>
            </w:pPr>
            <w:r w:rsidRPr="0011214E">
              <w:t>It might be a way of removing some inconsistencies in the way that income earned in different entities is taxed.</w:t>
            </w:r>
          </w:p>
          <w:p w14:paraId="660E4949" w14:textId="51BA2573" w:rsidR="001B3AE0" w:rsidRPr="0011214E" w:rsidRDefault="001B3AE0" w:rsidP="00597B6B">
            <w:pPr>
              <w:pStyle w:val="ListBullet"/>
            </w:pPr>
            <w:r w:rsidRPr="0011214E">
              <w:t>It would be a complex tax change and there would be a lot of detailed issues to work through.</w:t>
            </w:r>
          </w:p>
        </w:tc>
      </w:tr>
    </w:tbl>
    <w:p w14:paraId="1FF3ECC2" w14:textId="77777777" w:rsidR="001B3AE0" w:rsidRPr="0011214E" w:rsidRDefault="001B3AE0" w:rsidP="001B3AE0">
      <w:pPr>
        <w:pStyle w:val="Heading2"/>
        <w:rPr>
          <w:rFonts w:eastAsia="Calibri"/>
          <w:lang w:eastAsia="en-US"/>
        </w:rPr>
      </w:pPr>
      <w:bookmarkStart w:id="85" w:name="_Toc112857462"/>
      <w:r w:rsidRPr="0011214E">
        <w:rPr>
          <w:rFonts w:eastAsia="Calibri"/>
          <w:lang w:eastAsia="en-US"/>
        </w:rPr>
        <w:t>Introduction</w:t>
      </w:r>
      <w:bookmarkEnd w:id="85"/>
    </w:p>
    <w:p w14:paraId="6BCE877F" w14:textId="13172343" w:rsidR="001B3AE0" w:rsidRPr="0011214E" w:rsidRDefault="001B3AE0" w:rsidP="00075D72">
      <w:pPr>
        <w:pStyle w:val="NumberedParagraph"/>
      </w:pPr>
      <w:r w:rsidRPr="0011214E">
        <w:t xml:space="preserve">A </w:t>
      </w:r>
      <w:r w:rsidR="00C94348">
        <w:t>‘</w:t>
      </w:r>
      <w:r w:rsidRPr="0011214E">
        <w:t>dual income tax system</w:t>
      </w:r>
      <w:r w:rsidR="00C94348">
        <w:t>’</w:t>
      </w:r>
      <w:r w:rsidRPr="0011214E">
        <w:t xml:space="preserve"> is a system where capital income is taxed separately (at lower rates) from labour income.</w:t>
      </w:r>
    </w:p>
    <w:p w14:paraId="6D30F5BD" w14:textId="4B75EA18" w:rsidR="001B3AE0" w:rsidRPr="00075D72" w:rsidRDefault="001B3AE0" w:rsidP="00075D72">
      <w:pPr>
        <w:pStyle w:val="NumberedParagraph"/>
        <w:rPr>
          <w:shd w:val="clear" w:color="auto" w:fill="FFFFFF"/>
        </w:rPr>
      </w:pPr>
      <w:r w:rsidRPr="00075D72">
        <w:rPr>
          <w:shd w:val="clear" w:color="auto" w:fill="FFFFFF"/>
        </w:rPr>
        <w:t xml:space="preserve">The tax systems in the Nordic countries are generally described as </w:t>
      </w:r>
      <w:r w:rsidR="00AD671F" w:rsidRPr="00075D72">
        <w:rPr>
          <w:shd w:val="clear" w:color="auto" w:fill="FFFFFF"/>
        </w:rPr>
        <w:t>‘</w:t>
      </w:r>
      <w:r w:rsidRPr="00075D72">
        <w:rPr>
          <w:shd w:val="clear" w:color="auto" w:fill="FFFFFF"/>
        </w:rPr>
        <w:t>dual income tax systems</w:t>
      </w:r>
      <w:r w:rsidR="00AD671F" w:rsidRPr="00075D72">
        <w:rPr>
          <w:shd w:val="clear" w:color="auto" w:fill="FFFFFF"/>
        </w:rPr>
        <w:t>’</w:t>
      </w:r>
      <w:r w:rsidRPr="00075D72">
        <w:rPr>
          <w:shd w:val="clear" w:color="auto" w:fill="FFFFFF"/>
        </w:rPr>
        <w:t xml:space="preserve">: high progressive tax rates are applied to labour income (for example, salaries, wages) while relatively low tax rates are generally applied to capital income (for example, interest, capital gains). In contrast, New Zealand’s income tax system is more of a </w:t>
      </w:r>
      <w:r w:rsidR="001312B5" w:rsidRPr="00075D72">
        <w:rPr>
          <w:shd w:val="clear" w:color="auto" w:fill="FFFFFF"/>
        </w:rPr>
        <w:t>‘</w:t>
      </w:r>
      <w:r w:rsidRPr="00075D72">
        <w:rPr>
          <w:shd w:val="clear" w:color="auto" w:fill="FFFFFF"/>
        </w:rPr>
        <w:t>comprehensive income tax system</w:t>
      </w:r>
      <w:r w:rsidR="001312B5" w:rsidRPr="00075D72">
        <w:rPr>
          <w:shd w:val="clear" w:color="auto" w:fill="FFFFFF"/>
        </w:rPr>
        <w:t>’</w:t>
      </w:r>
      <w:r w:rsidRPr="00075D72">
        <w:rPr>
          <w:shd w:val="clear" w:color="auto" w:fill="FFFFFF"/>
        </w:rPr>
        <w:t xml:space="preserve">, under which capital income is generally taxed at the same rate as labour income, although there are some notable exceptions (for example, </w:t>
      </w:r>
      <w:r w:rsidR="007F7ABA">
        <w:rPr>
          <w:shd w:val="clear" w:color="auto" w:fill="FFFFFF"/>
        </w:rPr>
        <w:t>p</w:t>
      </w:r>
      <w:r w:rsidR="009710BB">
        <w:rPr>
          <w:shd w:val="clear" w:color="auto" w:fill="FFFFFF"/>
        </w:rPr>
        <w:t xml:space="preserve">ortfolio </w:t>
      </w:r>
      <w:r w:rsidR="007F7ABA">
        <w:rPr>
          <w:shd w:val="clear" w:color="auto" w:fill="FFFFFF"/>
        </w:rPr>
        <w:t>i</w:t>
      </w:r>
      <w:r w:rsidR="009710BB">
        <w:rPr>
          <w:shd w:val="clear" w:color="auto" w:fill="FFFFFF"/>
        </w:rPr>
        <w:t xml:space="preserve">nvestment </w:t>
      </w:r>
      <w:r w:rsidR="007F7ABA">
        <w:rPr>
          <w:shd w:val="clear" w:color="auto" w:fill="FFFFFF"/>
        </w:rPr>
        <w:t>e</w:t>
      </w:r>
      <w:r w:rsidR="009710BB">
        <w:rPr>
          <w:shd w:val="clear" w:color="auto" w:fill="FFFFFF"/>
        </w:rPr>
        <w:t>ntity</w:t>
      </w:r>
      <w:r w:rsidR="002B1C06">
        <w:rPr>
          <w:rStyle w:val="FootnoteReference"/>
          <w:shd w:val="clear" w:color="auto" w:fill="FFFFFF"/>
        </w:rPr>
        <w:footnoteReference w:id="63"/>
      </w:r>
      <w:r w:rsidR="009710BB" w:rsidRPr="00075D72">
        <w:rPr>
          <w:shd w:val="clear" w:color="auto" w:fill="FFFFFF"/>
        </w:rPr>
        <w:t xml:space="preserve"> </w:t>
      </w:r>
      <w:r w:rsidRPr="00075D72">
        <w:rPr>
          <w:shd w:val="clear" w:color="auto" w:fill="FFFFFF"/>
        </w:rPr>
        <w:t>income is taxed at a top rate of 28%, and capital gains not specified in legislation as taxable are generally non-taxable).</w:t>
      </w:r>
    </w:p>
    <w:p w14:paraId="0A50555D" w14:textId="1A7A1C7F" w:rsidR="001B3AE0" w:rsidRPr="0011214E" w:rsidRDefault="001B3AE0" w:rsidP="00075D72">
      <w:pPr>
        <w:pStyle w:val="NumberedParagraph"/>
      </w:pPr>
      <w:r w:rsidRPr="0011214E">
        <w:t xml:space="preserve">According to </w:t>
      </w:r>
      <w:proofErr w:type="spellStart"/>
      <w:r w:rsidRPr="0011214E">
        <w:t>Sørensen</w:t>
      </w:r>
      <w:proofErr w:type="spellEnd"/>
      <w:r w:rsidRPr="0011214E">
        <w:t xml:space="preserve"> (2005), a pure dual income tax system has the following features:</w:t>
      </w:r>
    </w:p>
    <w:p w14:paraId="46E79472" w14:textId="70B5784B" w:rsidR="001B3AE0" w:rsidRPr="0011214E" w:rsidRDefault="001B3AE0" w:rsidP="00075D72">
      <w:pPr>
        <w:pStyle w:val="NumberedParagraph-BulletL1"/>
      </w:pPr>
      <w:r w:rsidRPr="0011214E">
        <w:t>A flat</w:t>
      </w:r>
      <w:r w:rsidR="007F7ABA">
        <w:t>,</w:t>
      </w:r>
      <w:r w:rsidRPr="0011214E">
        <w:t xml:space="preserve"> uniform personal tax on all forms of capital income (including capital gains) levied at a rate equal to the corporate income tax rate.</w:t>
      </w:r>
    </w:p>
    <w:p w14:paraId="3D36B414" w14:textId="77777777" w:rsidR="001B3AE0" w:rsidRPr="0011214E" w:rsidRDefault="001B3AE0" w:rsidP="00075D72">
      <w:pPr>
        <w:pStyle w:val="NumberedParagraph-BulletL1"/>
      </w:pPr>
      <w:r w:rsidRPr="0011214E">
        <w:lastRenderedPageBreak/>
        <w:t>Full relief for the double taxation of corporate equity income.</w:t>
      </w:r>
    </w:p>
    <w:p w14:paraId="76A734DC" w14:textId="77777777" w:rsidR="001B3AE0" w:rsidRPr="0011214E" w:rsidRDefault="001B3AE0" w:rsidP="00075D72">
      <w:pPr>
        <w:pStyle w:val="NumberedParagraph-BulletL1"/>
      </w:pPr>
      <w:r w:rsidRPr="0011214E">
        <w:t>A broad tax base for capital income and corporate income.</w:t>
      </w:r>
    </w:p>
    <w:p w14:paraId="07A3D4B6" w14:textId="77777777" w:rsidR="001B3AE0" w:rsidRDefault="001B3AE0" w:rsidP="00075D72">
      <w:pPr>
        <w:pStyle w:val="NumberedParagraph-BulletL1"/>
      </w:pPr>
      <w:r w:rsidRPr="0011214E">
        <w:t>A basic tax rate on labour income (equal to the capital income tax rate) combined with a progressive surtax on high labour income.</w:t>
      </w:r>
    </w:p>
    <w:tbl>
      <w:tblPr>
        <w:tblStyle w:val="ExampleBox"/>
        <w:tblW w:w="0" w:type="auto"/>
        <w:tblLook w:val="04A0" w:firstRow="1" w:lastRow="0" w:firstColumn="1" w:lastColumn="0" w:noHBand="0" w:noVBand="1"/>
      </w:tblPr>
      <w:tblGrid>
        <w:gridCol w:w="7917"/>
      </w:tblGrid>
      <w:tr w:rsidR="001B3AE0" w:rsidRPr="007A0574" w14:paraId="5B10FF8F" w14:textId="77777777" w:rsidTr="001361AD">
        <w:tc>
          <w:tcPr>
            <w:tcW w:w="7932" w:type="dxa"/>
          </w:tcPr>
          <w:p w14:paraId="3323F61A" w14:textId="20FE3DAF" w:rsidR="001B3AE0" w:rsidRPr="007A0574" w:rsidRDefault="001B3AE0" w:rsidP="006B3D7B">
            <w:pPr>
              <w:rPr>
                <w:b/>
                <w:bCs/>
              </w:rPr>
            </w:pPr>
            <w:r w:rsidRPr="007A0574">
              <w:rPr>
                <w:b/>
                <w:bCs/>
              </w:rPr>
              <w:t>Example 12.1</w:t>
            </w:r>
          </w:p>
          <w:p w14:paraId="05A50ED4" w14:textId="77777777" w:rsidR="001B3AE0" w:rsidRPr="007A0574" w:rsidRDefault="001B3AE0" w:rsidP="006B3D7B">
            <w:pPr>
              <w:spacing w:before="120"/>
            </w:pPr>
            <w:r w:rsidRPr="007A0574">
              <w:t>Assume that:</w:t>
            </w:r>
          </w:p>
          <w:p w14:paraId="28368427" w14:textId="3EEB9548" w:rsidR="001B3AE0" w:rsidRPr="007A0574" w:rsidRDefault="001B3AE0" w:rsidP="00597B6B">
            <w:pPr>
              <w:pStyle w:val="ListBullet"/>
            </w:pPr>
            <w:r w:rsidRPr="007A0574">
              <w:t>the corporate, basic labour, and flat personal tax rates are 20%, and</w:t>
            </w:r>
          </w:p>
          <w:p w14:paraId="4E789B4B" w14:textId="672A38D1" w:rsidR="001B3AE0" w:rsidRPr="007A0574" w:rsidRDefault="001B3AE0" w:rsidP="00597B6B">
            <w:pPr>
              <w:pStyle w:val="ListBullet"/>
            </w:pPr>
            <w:r w:rsidRPr="007A0574">
              <w:t>the progressive surtax on labour income is 16% on labour income over $100</w:t>
            </w:r>
            <w:r w:rsidR="000F49DB" w:rsidRPr="007A0574">
              <w:t>,</w:t>
            </w:r>
            <w:r w:rsidRPr="007A0574">
              <w:t>000 – thus labour income over and above $100,000 is taxed at a total marginal tax rate of 36%</w:t>
            </w:r>
            <w:r w:rsidR="00736FB3" w:rsidRPr="007A0574">
              <w:t>.</w:t>
            </w:r>
          </w:p>
          <w:p w14:paraId="03EA5EE5" w14:textId="7CD4C88F" w:rsidR="001B3AE0" w:rsidRPr="007A0574" w:rsidRDefault="001B3AE0" w:rsidP="006B3D7B">
            <w:pPr>
              <w:spacing w:before="120"/>
            </w:pPr>
            <w:r w:rsidRPr="007A0574">
              <w:t xml:space="preserve">A taxpayer </w:t>
            </w:r>
            <w:r w:rsidR="00334433" w:rsidRPr="007A0574">
              <w:t>has</w:t>
            </w:r>
            <w:r w:rsidRPr="007A0574">
              <w:t xml:space="preserve"> $160</w:t>
            </w:r>
            <w:r w:rsidR="000F49DB" w:rsidRPr="007A0574">
              <w:t>,</w:t>
            </w:r>
            <w:r w:rsidRPr="007A0574">
              <w:t>000 of salary income, $5</w:t>
            </w:r>
            <w:r w:rsidR="00334433" w:rsidRPr="007A0574">
              <w:t>,</w:t>
            </w:r>
            <w:r w:rsidRPr="007A0574">
              <w:t>000 of interest income from personal investments, and $15</w:t>
            </w:r>
            <w:r w:rsidR="00334433" w:rsidRPr="007A0574">
              <w:t>,</w:t>
            </w:r>
            <w:r w:rsidRPr="007A0574">
              <w:t xml:space="preserve">000 of capital losses. This taxpayer does not have any shares, so the technical details of how corporate equity income is taxed in </w:t>
            </w:r>
            <w:r w:rsidR="007F7ABA">
              <w:t>a</w:t>
            </w:r>
            <w:r w:rsidRPr="007A0574">
              <w:t xml:space="preserve"> shareholder</w:t>
            </w:r>
            <w:r w:rsidR="007F7ABA">
              <w:t>’</w:t>
            </w:r>
            <w:r w:rsidRPr="007A0574">
              <w:t>s hands is ignored.</w:t>
            </w:r>
          </w:p>
          <w:p w14:paraId="51473814" w14:textId="77777777" w:rsidR="001B3AE0" w:rsidRPr="007A0574" w:rsidRDefault="001B3AE0" w:rsidP="006B3D7B">
            <w:pPr>
              <w:spacing w:before="120"/>
            </w:pPr>
            <w:r w:rsidRPr="007A0574">
              <w:t>This taxpayer would be taxed in the following way:</w:t>
            </w:r>
          </w:p>
          <w:p w14:paraId="343F3CA5" w14:textId="59D2A136" w:rsidR="001B3AE0" w:rsidRPr="007A0574" w:rsidRDefault="001B3AE0" w:rsidP="00597B6B">
            <w:pPr>
              <w:pStyle w:val="ListBullet"/>
            </w:pPr>
            <w:r w:rsidRPr="007A0574">
              <w:t>The taxpayer’s general net income would be $160</w:t>
            </w:r>
            <w:r w:rsidR="003267BA" w:rsidRPr="007A0574">
              <w:t>,</w:t>
            </w:r>
            <w:r w:rsidRPr="007A0574">
              <w:t>000 + $5</w:t>
            </w:r>
            <w:r w:rsidR="003267BA" w:rsidRPr="007A0574">
              <w:t>,</w:t>
            </w:r>
            <w:r w:rsidRPr="007A0574">
              <w:t>000 - $15</w:t>
            </w:r>
            <w:r w:rsidR="003267BA" w:rsidRPr="007A0574">
              <w:t>,</w:t>
            </w:r>
            <w:r w:rsidRPr="007A0574">
              <w:t>000, or $150</w:t>
            </w:r>
            <w:r w:rsidR="003267BA" w:rsidRPr="007A0574">
              <w:t>,</w:t>
            </w:r>
            <w:r w:rsidRPr="007A0574">
              <w:t>000.</w:t>
            </w:r>
          </w:p>
          <w:p w14:paraId="79065690" w14:textId="459E9767" w:rsidR="001B3AE0" w:rsidRPr="007A0574" w:rsidRDefault="001B3AE0" w:rsidP="00597B6B">
            <w:pPr>
              <w:pStyle w:val="ListBullet"/>
            </w:pPr>
            <w:r w:rsidRPr="007A0574">
              <w:t>Tax on this amount would be $30</w:t>
            </w:r>
            <w:r w:rsidR="003267BA" w:rsidRPr="007A0574">
              <w:t>,</w:t>
            </w:r>
            <w:r w:rsidRPr="007A0574">
              <w:t>000, which is 20% of $150</w:t>
            </w:r>
            <w:r w:rsidR="003267BA" w:rsidRPr="007A0574">
              <w:t>,</w:t>
            </w:r>
            <w:r w:rsidRPr="007A0574">
              <w:t>000.</w:t>
            </w:r>
          </w:p>
          <w:p w14:paraId="0333BD3D" w14:textId="0A1F04C6" w:rsidR="001B3AE0" w:rsidRPr="007A0574" w:rsidRDefault="001B3AE0" w:rsidP="00597B6B">
            <w:pPr>
              <w:pStyle w:val="ListBullet"/>
            </w:pPr>
            <w:r w:rsidRPr="007A0574">
              <w:t>The taxpayer would also be liable for the surtax percentage points of tax on $60</w:t>
            </w:r>
            <w:r w:rsidR="00315F47" w:rsidRPr="007A0574">
              <w:t>,</w:t>
            </w:r>
            <w:r w:rsidRPr="007A0574">
              <w:t xml:space="preserve">000 </w:t>
            </w:r>
            <w:r w:rsidR="007F7ABA">
              <w:t xml:space="preserve">of the </w:t>
            </w:r>
            <w:r w:rsidRPr="007A0574">
              <w:t>salary income.</w:t>
            </w:r>
          </w:p>
          <w:p w14:paraId="72EF886D" w14:textId="10101FB2" w:rsidR="001B3AE0" w:rsidRPr="007A0574" w:rsidRDefault="001B3AE0" w:rsidP="00597B6B">
            <w:pPr>
              <w:pStyle w:val="ListBullet"/>
            </w:pPr>
            <w:r w:rsidRPr="007A0574">
              <w:t>This is additional tax of $9</w:t>
            </w:r>
            <w:r w:rsidR="00315F47" w:rsidRPr="007A0574">
              <w:t>,</w:t>
            </w:r>
            <w:r w:rsidRPr="007A0574">
              <w:t>600.</w:t>
            </w:r>
          </w:p>
          <w:p w14:paraId="6A51B170" w14:textId="559C9859" w:rsidR="001B3AE0" w:rsidRPr="007A0574" w:rsidRDefault="001B3AE0" w:rsidP="00597B6B">
            <w:pPr>
              <w:pStyle w:val="ListBullet"/>
            </w:pPr>
            <w:r w:rsidRPr="007A0574">
              <w:t>Total tax for the taxpayer in this case is $39</w:t>
            </w:r>
            <w:r w:rsidR="00315F47" w:rsidRPr="007A0574">
              <w:t>,</w:t>
            </w:r>
            <w:r w:rsidRPr="007A0574">
              <w:t>600.</w:t>
            </w:r>
          </w:p>
        </w:tc>
      </w:tr>
    </w:tbl>
    <w:p w14:paraId="3629040A" w14:textId="738D805F" w:rsidR="001B3AE0" w:rsidRPr="0011214E" w:rsidRDefault="001B3AE0" w:rsidP="00075D72">
      <w:pPr>
        <w:pStyle w:val="NumberedParagraph"/>
      </w:pPr>
      <w:r w:rsidRPr="0011214E">
        <w:t xml:space="preserve">None of the Nordic tax systems have all the features outlined by </w:t>
      </w:r>
      <w:proofErr w:type="spellStart"/>
      <w:r w:rsidRPr="0011214E">
        <w:t>Sørensen</w:t>
      </w:r>
      <w:proofErr w:type="spellEnd"/>
      <w:r w:rsidRPr="0011214E">
        <w:t>. Norway’s system probably comes closest.</w:t>
      </w:r>
      <w:r w:rsidRPr="0011214E">
        <w:rPr>
          <w:vertAlign w:val="superscript"/>
        </w:rPr>
        <w:footnoteReference w:id="64"/>
      </w:r>
    </w:p>
    <w:p w14:paraId="5E8CCD78" w14:textId="77777777" w:rsidR="001B3AE0" w:rsidRPr="00075D72" w:rsidRDefault="001B3AE0" w:rsidP="00075D72">
      <w:pPr>
        <w:pStyle w:val="NumberedParagraph"/>
        <w:rPr>
          <w:rFonts w:eastAsia="Verdana" w:cs="Verdana"/>
        </w:rPr>
      </w:pPr>
      <w:r w:rsidRPr="0011214E">
        <w:t>The Nordic systems all make explicit distinctions between types of income, with earned or personal income taxed differently from capital income. Further divisions exist within these two broad categories, particularly for dividends and capital gains.</w:t>
      </w:r>
    </w:p>
    <w:p w14:paraId="5AB36CA1" w14:textId="77777777" w:rsidR="001B3AE0" w:rsidRPr="0011214E" w:rsidRDefault="001B3AE0" w:rsidP="00075D72">
      <w:pPr>
        <w:pStyle w:val="NumberedParagraph"/>
      </w:pPr>
      <w:r w:rsidRPr="0011214E">
        <w:t>The corporate tax rates in the Nordic countries are generally low – between 20% to 22%.</w:t>
      </w:r>
      <w:r w:rsidRPr="0011214E">
        <w:rPr>
          <w:vertAlign w:val="superscript"/>
        </w:rPr>
        <w:footnoteReference w:id="65"/>
      </w:r>
      <w:r w:rsidRPr="0011214E">
        <w:t xml:space="preserve"> In contrast, the personal tax rates are very high, with top marginal tax rates ranging from around 46% to 55%.</w:t>
      </w:r>
    </w:p>
    <w:p w14:paraId="305B35E1" w14:textId="77777777" w:rsidR="001B3AE0" w:rsidRPr="0011214E" w:rsidRDefault="001B3AE0" w:rsidP="00075D72">
      <w:pPr>
        <w:pStyle w:val="NumberedParagraph"/>
      </w:pPr>
      <w:r w:rsidRPr="0011214E">
        <w:t xml:space="preserve">The corporate tax rates are not generally aligned with the tax rates on capital income, and the tax rates on capital income are not completely flat and uniform </w:t>
      </w:r>
      <w:r w:rsidRPr="0011214E">
        <w:lastRenderedPageBreak/>
        <w:t xml:space="preserve">either. For example, Iceland taxes capital gains, </w:t>
      </w:r>
      <w:proofErr w:type="gramStart"/>
      <w:r w:rsidRPr="0011214E">
        <w:t>dividends</w:t>
      </w:r>
      <w:proofErr w:type="gramEnd"/>
      <w:r w:rsidRPr="0011214E">
        <w:t xml:space="preserve"> and interest at 22% (with a tax-free threshold for interest), but it taxes rental income at effectively 11%,</w:t>
      </w:r>
      <w:r w:rsidRPr="0011214E">
        <w:rPr>
          <w:vertAlign w:val="superscript"/>
        </w:rPr>
        <w:footnoteReference w:id="66"/>
      </w:r>
      <w:r w:rsidRPr="0011214E">
        <w:t xml:space="preserve"> and both Finland and Denmark tax capital income progressively.</w:t>
      </w:r>
    </w:p>
    <w:p w14:paraId="362EC6F7" w14:textId="1682A7E3" w:rsidR="001B3AE0" w:rsidRPr="0011214E" w:rsidRDefault="001B3AE0" w:rsidP="00075D72">
      <w:pPr>
        <w:pStyle w:val="NumberedParagraph"/>
      </w:pPr>
      <w:r w:rsidRPr="0011214E">
        <w:t>Different reasons have been put forward for taxing capital income at a lower rate than labour income. As we see it, the main considerations seem to be:</w:t>
      </w:r>
      <w:r w:rsidRPr="0011214E">
        <w:rPr>
          <w:vertAlign w:val="superscript"/>
        </w:rPr>
        <w:footnoteReference w:id="67"/>
      </w:r>
    </w:p>
    <w:p w14:paraId="3B93BD7C" w14:textId="717EC29C" w:rsidR="001B3AE0" w:rsidRPr="0011214E" w:rsidRDefault="005840B2" w:rsidP="00075D72">
      <w:pPr>
        <w:pStyle w:val="NumberedParagraph-BulletL1"/>
      </w:pPr>
      <w:r>
        <w:t xml:space="preserve">to </w:t>
      </w:r>
      <w:r w:rsidR="001B3AE0" w:rsidRPr="0011214E">
        <w:t>maintain a reasonably low cost of capital for foreign investors while collecting high levels of tax</w:t>
      </w:r>
    </w:p>
    <w:p w14:paraId="2DD90A07" w14:textId="60ED74D1" w:rsidR="001B3AE0" w:rsidRPr="0011214E" w:rsidRDefault="004F1C29" w:rsidP="00075D72">
      <w:pPr>
        <w:pStyle w:val="NumberedParagraph-BulletL1"/>
      </w:pPr>
      <w:r>
        <w:t xml:space="preserve">to </w:t>
      </w:r>
      <w:r w:rsidR="001B3AE0" w:rsidRPr="0011214E">
        <w:t>maintain a progressive personal tax system with potentially a significantly higher top rate than New Zealand’s current top rate of 39%</w:t>
      </w:r>
    </w:p>
    <w:p w14:paraId="7A62690F" w14:textId="193E9A47" w:rsidR="001B3AE0" w:rsidRPr="0011214E" w:rsidRDefault="001B3AE0" w:rsidP="00075D72">
      <w:pPr>
        <w:pStyle w:val="NumberedParagraph-BulletL1"/>
      </w:pPr>
      <w:r w:rsidRPr="0011214E">
        <w:t>concerns that applying high top marginal tax rates to personal capital income may lead to excessive distortions or to excessive evasion of tax</w:t>
      </w:r>
      <w:r w:rsidR="007F7ABA">
        <w:t>, and</w:t>
      </w:r>
    </w:p>
    <w:p w14:paraId="2C655F55" w14:textId="6306C5EB" w:rsidR="001B3AE0" w:rsidRPr="0011214E" w:rsidRDefault="001B3AE0" w:rsidP="00075D72">
      <w:pPr>
        <w:pStyle w:val="NumberedParagraph-BulletL1"/>
      </w:pPr>
      <w:r w:rsidRPr="0011214E">
        <w:t>enthusiasm for</w:t>
      </w:r>
      <w:r w:rsidR="0075276D">
        <w:t>,</w:t>
      </w:r>
      <w:r w:rsidRPr="0011214E">
        <w:t xml:space="preserve"> or at least a willingness to accept</w:t>
      </w:r>
      <w:r w:rsidR="0075276D">
        <w:t>,</w:t>
      </w:r>
      <w:r w:rsidRPr="0011214E">
        <w:t xml:space="preserve"> a low tax rate on capital income as a quid pro quo for quite steeply progressive tax rates on labour income.</w:t>
      </w:r>
    </w:p>
    <w:p w14:paraId="48071586" w14:textId="1951E3A4" w:rsidR="001B3AE0" w:rsidRPr="0011214E" w:rsidRDefault="001B3AE0" w:rsidP="00075D72">
      <w:pPr>
        <w:pStyle w:val="NumberedParagraph"/>
      </w:pPr>
      <w:r w:rsidRPr="0011214E">
        <w:t>One concern about taxing the capital income of domestic residents at very high rates is that this can distort intertemporal consumption decisions and cause people to save too little for the future. Up until recently (and at the time dual income tax systems were being put in place)</w:t>
      </w:r>
      <w:r w:rsidR="00721BFF">
        <w:t>,</w:t>
      </w:r>
      <w:r w:rsidRPr="0011214E">
        <w:t xml:space="preserve"> the conventional wisdom held by many economists was that taxing the capital income of domestic residents at all was likely to be particularly inefficient.</w:t>
      </w:r>
      <w:r w:rsidRPr="0011214E">
        <w:rPr>
          <w:vertAlign w:val="superscript"/>
        </w:rPr>
        <w:footnoteReference w:id="68"/>
      </w:r>
      <w:r w:rsidRPr="0011214E">
        <w:t xml:space="preserve"> More recent analysis has questioned the robustness of these result</w:t>
      </w:r>
      <w:r w:rsidR="00390D9F">
        <w:t>s</w:t>
      </w:r>
      <w:r w:rsidR="004F58DF">
        <w:t>,</w:t>
      </w:r>
      <w:r w:rsidRPr="0011214E">
        <w:t xml:space="preserve"> and some </w:t>
      </w:r>
      <w:r w:rsidR="00865453">
        <w:t xml:space="preserve">analysts </w:t>
      </w:r>
      <w:r w:rsidRPr="0011214E">
        <w:t>have suggested high and progressive taxes on wealth or capital income.</w:t>
      </w:r>
      <w:r w:rsidRPr="0011214E">
        <w:rPr>
          <w:vertAlign w:val="superscript"/>
        </w:rPr>
        <w:footnoteReference w:id="69"/>
      </w:r>
      <w:r w:rsidRPr="0011214E">
        <w:t xml:space="preserve"> Scheuer and Slemrod (2020) puts it as follows</w:t>
      </w:r>
      <w:r w:rsidR="004F58DF">
        <w:t>:</w:t>
      </w:r>
      <w:r w:rsidRPr="0011214E">
        <w:t xml:space="preserve"> “We point out that the former conventional wisdom – that an optimal tax system would feature no taxes on capital income – has been overturned.” It is fair to say that concerns about intertemporal consumption distortions are probably more muted now than they were when Nordic countries adopted their dual income tax systems. Nonetheless, there is no presumption that capital income should necessarily be taxed at the same rates as labour income.</w:t>
      </w:r>
    </w:p>
    <w:p w14:paraId="52D180C2" w14:textId="7596BDC0" w:rsidR="001B3AE0" w:rsidRPr="0011214E" w:rsidRDefault="001B3AE0" w:rsidP="00075D72">
      <w:pPr>
        <w:pStyle w:val="NumberedParagraph"/>
      </w:pPr>
      <w:r w:rsidRPr="0011214E">
        <w:t>A second concern</w:t>
      </w:r>
      <w:r w:rsidRPr="0011214E" w:rsidDel="00A93D13">
        <w:t xml:space="preserve"> </w:t>
      </w:r>
      <w:r w:rsidRPr="0011214E">
        <w:t>is that capital income taxes can produce significant distortions because different forms of capital income</w:t>
      </w:r>
      <w:r w:rsidR="00937151">
        <w:t>,</w:t>
      </w:r>
      <w:r w:rsidRPr="0011214E">
        <w:t xml:space="preserve"> such as income from housing and interest income</w:t>
      </w:r>
      <w:r w:rsidR="00D26273">
        <w:t>,</w:t>
      </w:r>
      <w:r w:rsidRPr="0011214E">
        <w:t xml:space="preserve"> are taxed very differently. As a result, taxes on capital income may be particularly distortionary.</w:t>
      </w:r>
    </w:p>
    <w:p w14:paraId="4A456C77" w14:textId="622258B5" w:rsidR="001B3AE0" w:rsidRPr="0011214E" w:rsidRDefault="001B3AE0" w:rsidP="00075D72">
      <w:pPr>
        <w:pStyle w:val="NumberedParagraph"/>
      </w:pPr>
      <w:r w:rsidRPr="0011214E">
        <w:t>A third concern is the way that capital income tax distortions can be increased because of inflation and the taxation of inflationary gains. This can compound intertemporal consumption distortions and biases between different types of saving.</w:t>
      </w:r>
    </w:p>
    <w:p w14:paraId="645EF0D6" w14:textId="245D4413" w:rsidR="001B3AE0" w:rsidRDefault="001B3AE0" w:rsidP="00075D72">
      <w:pPr>
        <w:pStyle w:val="NumberedParagraph"/>
      </w:pPr>
      <w:r w:rsidRPr="0011214E">
        <w:t xml:space="preserve">A fourth concern is that capital income may be particularly hard to tax and prone to tax evasion by taxpayers concealing wealth offshore. International agreements on the automatic exchange of information (AEOI) between countries will have helped to moderate some of these concerns. At the same </w:t>
      </w:r>
      <w:r w:rsidRPr="0011214E">
        <w:lastRenderedPageBreak/>
        <w:t>time</w:t>
      </w:r>
      <w:r w:rsidR="00B03D90">
        <w:t>,</w:t>
      </w:r>
      <w:r w:rsidRPr="0011214E">
        <w:t xml:space="preserve"> new innovations</w:t>
      </w:r>
      <w:r w:rsidR="002519B8">
        <w:t>,</w:t>
      </w:r>
      <w:r w:rsidRPr="0011214E">
        <w:t xml:space="preserve"> such as blockchain</w:t>
      </w:r>
      <w:r w:rsidR="002519B8">
        <w:t>,</w:t>
      </w:r>
      <w:r w:rsidRPr="0011214E">
        <w:t xml:space="preserve"> may be making it harder for tax authorities to find out about taxable income. It is hard to predict now how these pressures are likely to change in the future.</w:t>
      </w:r>
    </w:p>
    <w:p w14:paraId="5A0F86BE" w14:textId="77777777" w:rsidR="00704A77" w:rsidRPr="0011214E" w:rsidRDefault="00704A77" w:rsidP="00704A77">
      <w:pPr>
        <w:pStyle w:val="NumberedParagraph"/>
      </w:pPr>
      <w:r w:rsidRPr="0011214E">
        <w:t>A fifth concern is the way in which high tax rates on capital income could increase the benefits of interest deductions</w:t>
      </w:r>
      <w:r>
        <w:t>,</w:t>
      </w:r>
      <w:r w:rsidRPr="0011214E">
        <w:t xml:space="preserve"> especially in times of inflation.</w:t>
      </w:r>
    </w:p>
    <w:p w14:paraId="15AE68E6" w14:textId="2CA43FAE" w:rsidR="001B3AE0" w:rsidRPr="0011214E" w:rsidRDefault="001B3AE0" w:rsidP="00075D72">
      <w:pPr>
        <w:pStyle w:val="Caption"/>
        <w:rPr>
          <w:rFonts w:eastAsia="Calibri"/>
          <w:lang w:eastAsia="en-US"/>
        </w:rPr>
      </w:pPr>
      <w:r w:rsidRPr="0011214E">
        <w:rPr>
          <w:rFonts w:eastAsia="Calibri"/>
          <w:lang w:eastAsia="en-US"/>
        </w:rPr>
        <w:t xml:space="preserve">Table </w:t>
      </w:r>
      <w:r>
        <w:rPr>
          <w:rFonts w:eastAsia="Calibri"/>
          <w:lang w:eastAsia="en-US"/>
        </w:rPr>
        <w:t>12.1</w:t>
      </w:r>
      <w:r w:rsidR="002A071F">
        <w:rPr>
          <w:rFonts w:eastAsia="Calibri"/>
          <w:lang w:eastAsia="en-US"/>
        </w:rPr>
        <w:t>: Nordic countries’ tax rates</w:t>
      </w:r>
    </w:p>
    <w:tbl>
      <w:tblPr>
        <w:tblStyle w:val="TableGrid"/>
        <w:tblW w:w="7938" w:type="dxa"/>
        <w:tblInd w:w="84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bottom w:w="57" w:type="dxa"/>
        </w:tblCellMar>
        <w:tblLook w:val="04A0" w:firstRow="1" w:lastRow="0" w:firstColumn="1" w:lastColumn="0" w:noHBand="0" w:noVBand="1"/>
      </w:tblPr>
      <w:tblGrid>
        <w:gridCol w:w="1559"/>
        <w:gridCol w:w="1276"/>
        <w:gridCol w:w="2551"/>
        <w:gridCol w:w="2552"/>
      </w:tblGrid>
      <w:tr w:rsidR="0021078D" w:rsidRPr="001A7A39" w14:paraId="2B1CB862" w14:textId="77777777" w:rsidTr="00C851A5">
        <w:trPr>
          <w:tblHeader/>
        </w:trPr>
        <w:tc>
          <w:tcPr>
            <w:tcW w:w="1559" w:type="dxa"/>
            <w:shd w:val="clear" w:color="auto" w:fill="232E36"/>
          </w:tcPr>
          <w:p w14:paraId="5EFB06F6" w14:textId="22E5A737" w:rsidR="001B3AE0" w:rsidRPr="001A7A39" w:rsidRDefault="002A071F" w:rsidP="0021078D">
            <w:pPr>
              <w:pStyle w:val="Table-HeaderRow"/>
            </w:pPr>
            <w:r>
              <w:t>Country</w:t>
            </w:r>
          </w:p>
        </w:tc>
        <w:tc>
          <w:tcPr>
            <w:tcW w:w="1276" w:type="dxa"/>
            <w:shd w:val="clear" w:color="auto" w:fill="232E36"/>
          </w:tcPr>
          <w:p w14:paraId="5F46E92D" w14:textId="77777777" w:rsidR="001B3AE0" w:rsidRPr="001A7A39" w:rsidRDefault="001B3AE0" w:rsidP="0021078D">
            <w:pPr>
              <w:pStyle w:val="Table-HeaderRow"/>
              <w:jc w:val="center"/>
            </w:pPr>
            <w:r w:rsidRPr="001A7A39">
              <w:t>Corporate tax rates</w:t>
            </w:r>
          </w:p>
        </w:tc>
        <w:tc>
          <w:tcPr>
            <w:tcW w:w="2551" w:type="dxa"/>
            <w:shd w:val="clear" w:color="auto" w:fill="232E36"/>
          </w:tcPr>
          <w:p w14:paraId="3E6C4D12" w14:textId="77777777" w:rsidR="001B3AE0" w:rsidRPr="001A7A39" w:rsidRDefault="001B3AE0" w:rsidP="0021078D">
            <w:pPr>
              <w:pStyle w:val="Table-HeaderRow"/>
              <w:jc w:val="center"/>
            </w:pPr>
            <w:r w:rsidRPr="001A7A39">
              <w:t>Personal/earned income tax rates</w:t>
            </w:r>
          </w:p>
        </w:tc>
        <w:tc>
          <w:tcPr>
            <w:tcW w:w="2552" w:type="dxa"/>
            <w:shd w:val="clear" w:color="auto" w:fill="232E36"/>
          </w:tcPr>
          <w:p w14:paraId="5BD590B1" w14:textId="20D5F2E6" w:rsidR="001B3AE0" w:rsidRPr="001A7A39" w:rsidRDefault="001B3AE0" w:rsidP="0021078D">
            <w:pPr>
              <w:pStyle w:val="Table-HeaderRow"/>
              <w:jc w:val="center"/>
            </w:pPr>
            <w:r w:rsidRPr="001A7A39">
              <w:t>Capital income rates</w:t>
            </w:r>
          </w:p>
        </w:tc>
      </w:tr>
      <w:tr w:rsidR="0021078D" w:rsidRPr="0021078D" w14:paraId="546209E6" w14:textId="77777777" w:rsidTr="00C851A5">
        <w:tc>
          <w:tcPr>
            <w:tcW w:w="1559" w:type="dxa"/>
            <w:shd w:val="clear" w:color="auto" w:fill="auto"/>
          </w:tcPr>
          <w:p w14:paraId="07DA5887" w14:textId="77777777" w:rsidR="001B3AE0" w:rsidRPr="0021078D" w:rsidRDefault="001B3AE0" w:rsidP="0021078D">
            <w:pPr>
              <w:pStyle w:val="Table-Text"/>
              <w:rPr>
                <w:rStyle w:val="Strong"/>
              </w:rPr>
            </w:pPr>
            <w:r w:rsidRPr="0021078D">
              <w:rPr>
                <w:rStyle w:val="Strong"/>
              </w:rPr>
              <w:t>Sweden</w:t>
            </w:r>
          </w:p>
        </w:tc>
        <w:tc>
          <w:tcPr>
            <w:tcW w:w="1276" w:type="dxa"/>
          </w:tcPr>
          <w:p w14:paraId="5E82ED1C" w14:textId="77777777" w:rsidR="001B3AE0" w:rsidRPr="0021078D" w:rsidRDefault="001B3AE0" w:rsidP="00A82A79">
            <w:pPr>
              <w:pStyle w:val="Table-Text"/>
              <w:tabs>
                <w:tab w:val="decimal" w:pos="605"/>
              </w:tabs>
            </w:pPr>
            <w:r w:rsidRPr="0021078D">
              <w:t>21.4%</w:t>
            </w:r>
          </w:p>
        </w:tc>
        <w:tc>
          <w:tcPr>
            <w:tcW w:w="2551" w:type="dxa"/>
          </w:tcPr>
          <w:p w14:paraId="5FCF429B" w14:textId="5CFC69E4" w:rsidR="001B3AE0" w:rsidRPr="0021078D" w:rsidRDefault="001B3AE0" w:rsidP="0021078D">
            <w:pPr>
              <w:pStyle w:val="Table-Text"/>
            </w:pPr>
            <w:r w:rsidRPr="0021078D">
              <w:t>Around 30% to 52%</w:t>
            </w:r>
            <w:r w:rsidR="0021078D">
              <w:t>.</w:t>
            </w:r>
          </w:p>
          <w:p w14:paraId="2D3B22AE" w14:textId="237984D4" w:rsidR="001B3AE0" w:rsidRPr="0021078D" w:rsidRDefault="001B3AE0" w:rsidP="0021078D">
            <w:pPr>
              <w:pStyle w:val="Table-Text"/>
            </w:pPr>
            <w:r w:rsidRPr="0021078D">
              <w:t>Figures include municipal taxes of around 32% but not social security contributions. Social security contributions are around 30% but are capped at around NZ</w:t>
            </w:r>
            <w:r w:rsidR="00A82A79">
              <w:t>$</w:t>
            </w:r>
            <w:r w:rsidRPr="0021078D">
              <w:t>6</w:t>
            </w:r>
            <w:r w:rsidR="00A82A79">
              <w:t>,</w:t>
            </w:r>
            <w:r w:rsidRPr="0021078D">
              <w:t>000 and can be credited against other taxes.</w:t>
            </w:r>
          </w:p>
        </w:tc>
        <w:tc>
          <w:tcPr>
            <w:tcW w:w="2552" w:type="dxa"/>
          </w:tcPr>
          <w:p w14:paraId="50AE360A" w14:textId="134B56CE" w:rsidR="001B3AE0" w:rsidRPr="0021078D" w:rsidRDefault="001B3AE0" w:rsidP="0021078D">
            <w:pPr>
              <w:pStyle w:val="Table-Text"/>
            </w:pPr>
            <w:r w:rsidRPr="0021078D">
              <w:t>25% for dividends, interest, capital gains and rental income</w:t>
            </w:r>
            <w:r w:rsidR="0021078D">
              <w:t>.</w:t>
            </w:r>
          </w:p>
          <w:p w14:paraId="465C0CC0" w14:textId="0322B983" w:rsidR="001B3AE0" w:rsidRPr="0021078D" w:rsidRDefault="001B3AE0" w:rsidP="0021078D">
            <w:pPr>
              <w:pStyle w:val="Table-Text"/>
            </w:pPr>
            <w:r w:rsidRPr="0021078D">
              <w:t>Dividends are double taxed (no imputation)</w:t>
            </w:r>
            <w:r w:rsidR="0021078D">
              <w:t>.</w:t>
            </w:r>
          </w:p>
        </w:tc>
      </w:tr>
      <w:tr w:rsidR="0021078D" w:rsidRPr="0021078D" w14:paraId="5A5C41E3" w14:textId="77777777" w:rsidTr="00C851A5">
        <w:tc>
          <w:tcPr>
            <w:tcW w:w="1559" w:type="dxa"/>
            <w:shd w:val="clear" w:color="auto" w:fill="auto"/>
          </w:tcPr>
          <w:p w14:paraId="5022A8D3" w14:textId="77777777" w:rsidR="001B3AE0" w:rsidRPr="0021078D" w:rsidRDefault="001B3AE0" w:rsidP="0021078D">
            <w:pPr>
              <w:pStyle w:val="Table-Text"/>
              <w:rPr>
                <w:rStyle w:val="Strong"/>
              </w:rPr>
            </w:pPr>
            <w:r w:rsidRPr="0021078D">
              <w:rPr>
                <w:rStyle w:val="Strong"/>
              </w:rPr>
              <w:br w:type="page"/>
              <w:t>Norway</w:t>
            </w:r>
          </w:p>
        </w:tc>
        <w:tc>
          <w:tcPr>
            <w:tcW w:w="1276" w:type="dxa"/>
          </w:tcPr>
          <w:p w14:paraId="5CB3928C" w14:textId="77777777" w:rsidR="001B3AE0" w:rsidRPr="0021078D" w:rsidRDefault="001B3AE0" w:rsidP="00A82A79">
            <w:pPr>
              <w:pStyle w:val="Table-Text"/>
              <w:tabs>
                <w:tab w:val="decimal" w:pos="605"/>
              </w:tabs>
            </w:pPr>
            <w:r w:rsidRPr="0021078D">
              <w:t>22%</w:t>
            </w:r>
          </w:p>
        </w:tc>
        <w:tc>
          <w:tcPr>
            <w:tcW w:w="2551" w:type="dxa"/>
          </w:tcPr>
          <w:p w14:paraId="7009F446" w14:textId="7605CC61" w:rsidR="001B3AE0" w:rsidRPr="0021078D" w:rsidRDefault="001B3AE0" w:rsidP="0021078D">
            <w:pPr>
              <w:pStyle w:val="Table-Text"/>
            </w:pPr>
            <w:r w:rsidRPr="0021078D">
              <w:t>Around 30% to 46%</w:t>
            </w:r>
            <w:r w:rsidR="0021078D">
              <w:t>.</w:t>
            </w:r>
          </w:p>
          <w:p w14:paraId="48ED2574" w14:textId="77777777" w:rsidR="001B3AE0" w:rsidRPr="0021078D" w:rsidRDefault="001B3AE0" w:rsidP="0021078D">
            <w:pPr>
              <w:pStyle w:val="Table-Text"/>
            </w:pPr>
            <w:r w:rsidRPr="0021078D">
              <w:t>Figures include national insurance of 8.2%.</w:t>
            </w:r>
          </w:p>
        </w:tc>
        <w:tc>
          <w:tcPr>
            <w:tcW w:w="2552" w:type="dxa"/>
          </w:tcPr>
          <w:p w14:paraId="4CC2AF14" w14:textId="1BBB6B57" w:rsidR="001B3AE0" w:rsidRPr="0021078D" w:rsidRDefault="001B3AE0" w:rsidP="0021078D">
            <w:pPr>
              <w:pStyle w:val="Table-Text"/>
            </w:pPr>
            <w:r w:rsidRPr="0021078D">
              <w:t xml:space="preserve">22% on interest, royalties, </w:t>
            </w:r>
            <w:proofErr w:type="gramStart"/>
            <w:r w:rsidRPr="0021078D">
              <w:t>rental</w:t>
            </w:r>
            <w:proofErr w:type="gramEnd"/>
            <w:r w:rsidRPr="0021078D">
              <w:t xml:space="preserve"> and capital gains other than on shares</w:t>
            </w:r>
            <w:r w:rsidR="0021078D">
              <w:t>.</w:t>
            </w:r>
          </w:p>
          <w:p w14:paraId="63C3673C" w14:textId="0E1DAACF" w:rsidR="001B3AE0" w:rsidRPr="0021078D" w:rsidRDefault="001B3AE0" w:rsidP="0021078D">
            <w:pPr>
              <w:pStyle w:val="Table-Text"/>
            </w:pPr>
            <w:r w:rsidRPr="0021078D">
              <w:t>31.68% for dividends and capital gains on shares, which are double taxed with an RRA deduction allowed (explained below)</w:t>
            </w:r>
            <w:r w:rsidR="0021078D">
              <w:t>.</w:t>
            </w:r>
          </w:p>
        </w:tc>
      </w:tr>
      <w:tr w:rsidR="00A82A79" w:rsidRPr="001A7A39" w14:paraId="408DD0F4" w14:textId="77777777" w:rsidTr="00C851A5">
        <w:tc>
          <w:tcPr>
            <w:tcW w:w="1559" w:type="dxa"/>
            <w:shd w:val="clear" w:color="auto" w:fill="auto"/>
          </w:tcPr>
          <w:p w14:paraId="20587A2F" w14:textId="77777777" w:rsidR="001B3AE0" w:rsidRPr="00A82A79" w:rsidRDefault="001B3AE0" w:rsidP="00A82A79">
            <w:pPr>
              <w:pStyle w:val="Table-Text"/>
              <w:rPr>
                <w:rStyle w:val="Strong"/>
              </w:rPr>
            </w:pPr>
            <w:r w:rsidRPr="00A82A79">
              <w:rPr>
                <w:rStyle w:val="Strong"/>
              </w:rPr>
              <w:t>Finland</w:t>
            </w:r>
          </w:p>
        </w:tc>
        <w:tc>
          <w:tcPr>
            <w:tcW w:w="1276" w:type="dxa"/>
          </w:tcPr>
          <w:p w14:paraId="7D5412F2" w14:textId="77777777" w:rsidR="001B3AE0" w:rsidRPr="001A7A39" w:rsidRDefault="001B3AE0" w:rsidP="00A82A79">
            <w:pPr>
              <w:pStyle w:val="Table-Text"/>
              <w:tabs>
                <w:tab w:val="decimal" w:pos="605"/>
              </w:tabs>
            </w:pPr>
            <w:r w:rsidRPr="001A7A39">
              <w:t>20%</w:t>
            </w:r>
          </w:p>
        </w:tc>
        <w:tc>
          <w:tcPr>
            <w:tcW w:w="2551" w:type="dxa"/>
          </w:tcPr>
          <w:p w14:paraId="1D67BEC2" w14:textId="36BAC2B0" w:rsidR="001B3AE0" w:rsidRPr="001A7A39" w:rsidRDefault="001B3AE0" w:rsidP="00A82A79">
            <w:pPr>
              <w:pStyle w:val="Table-Text"/>
            </w:pPr>
            <w:r w:rsidRPr="001A7A39">
              <w:t>Around 17% to 55%</w:t>
            </w:r>
            <w:r w:rsidR="0021078D">
              <w:t>.</w:t>
            </w:r>
          </w:p>
          <w:p w14:paraId="300DE13C" w14:textId="77777777" w:rsidR="001B3AE0" w:rsidRPr="001A7A39" w:rsidRDefault="001B3AE0" w:rsidP="00A82A79">
            <w:pPr>
              <w:pStyle w:val="Table-Text"/>
            </w:pPr>
            <w:r w:rsidRPr="001A7A39">
              <w:t>Figures include municipal tax (16.75% to 23.5%) and church tax (1% to 2.2%).</w:t>
            </w:r>
          </w:p>
        </w:tc>
        <w:tc>
          <w:tcPr>
            <w:tcW w:w="2552" w:type="dxa"/>
          </w:tcPr>
          <w:p w14:paraId="1F867C96" w14:textId="267CCFF2" w:rsidR="001B3AE0" w:rsidRPr="001A7A39" w:rsidRDefault="001B3AE0" w:rsidP="00A82A79">
            <w:pPr>
              <w:pStyle w:val="Table-Text"/>
            </w:pPr>
            <w:r w:rsidRPr="001A7A39">
              <w:t>30% on dividends, rental income, some interest income, and capital gains</w:t>
            </w:r>
            <w:r w:rsidR="00844EE1">
              <w:t xml:space="preserve"> up to EUR</w:t>
            </w:r>
            <w:r w:rsidR="0021078D">
              <w:t>€</w:t>
            </w:r>
            <w:r w:rsidR="00844EE1">
              <w:t>30,000</w:t>
            </w:r>
            <w:r w:rsidR="0021078D">
              <w:t>.</w:t>
            </w:r>
          </w:p>
          <w:p w14:paraId="05664C67" w14:textId="40ABB763" w:rsidR="001B3AE0" w:rsidRPr="001A7A39" w:rsidRDefault="001B3AE0" w:rsidP="00A82A79">
            <w:pPr>
              <w:pStyle w:val="Table-Text"/>
            </w:pPr>
            <w:r w:rsidRPr="001A7A39">
              <w:t>34% thereafter</w:t>
            </w:r>
            <w:r w:rsidR="0021078D">
              <w:t>.</w:t>
            </w:r>
          </w:p>
        </w:tc>
      </w:tr>
      <w:tr w:rsidR="0021078D" w:rsidRPr="001A7A39" w14:paraId="2CBB4BA9" w14:textId="77777777" w:rsidTr="00C851A5">
        <w:tc>
          <w:tcPr>
            <w:tcW w:w="1559" w:type="dxa"/>
            <w:shd w:val="clear" w:color="auto" w:fill="auto"/>
          </w:tcPr>
          <w:p w14:paraId="1B95E9B3" w14:textId="77777777" w:rsidR="001B3AE0" w:rsidRPr="00A82A79" w:rsidRDefault="001B3AE0" w:rsidP="00A82A79">
            <w:pPr>
              <w:pStyle w:val="Table-Text"/>
              <w:rPr>
                <w:rStyle w:val="Strong"/>
              </w:rPr>
            </w:pPr>
            <w:r w:rsidRPr="00A82A79">
              <w:rPr>
                <w:rStyle w:val="Strong"/>
              </w:rPr>
              <w:t>Denmark</w:t>
            </w:r>
          </w:p>
        </w:tc>
        <w:tc>
          <w:tcPr>
            <w:tcW w:w="1276" w:type="dxa"/>
          </w:tcPr>
          <w:p w14:paraId="61332F53" w14:textId="77777777" w:rsidR="001B3AE0" w:rsidRPr="001A7A39" w:rsidRDefault="001B3AE0" w:rsidP="00A82A79">
            <w:pPr>
              <w:pStyle w:val="Table-Text"/>
              <w:tabs>
                <w:tab w:val="decimal" w:pos="605"/>
              </w:tabs>
            </w:pPr>
            <w:r w:rsidRPr="001A7A39">
              <w:t>22%</w:t>
            </w:r>
          </w:p>
        </w:tc>
        <w:tc>
          <w:tcPr>
            <w:tcW w:w="2551" w:type="dxa"/>
          </w:tcPr>
          <w:p w14:paraId="03AB5EF2" w14:textId="26D1E711" w:rsidR="001B3AE0" w:rsidRPr="001A7A39" w:rsidRDefault="001B3AE0" w:rsidP="00A82A79">
            <w:pPr>
              <w:pStyle w:val="Table-Text"/>
            </w:pPr>
            <w:r w:rsidRPr="001A7A39">
              <w:t>Around 8% to 56%</w:t>
            </w:r>
            <w:r w:rsidR="0021078D">
              <w:t>.</w:t>
            </w:r>
          </w:p>
          <w:p w14:paraId="60660A95" w14:textId="74E30C53" w:rsidR="001B3AE0" w:rsidRPr="001A7A39" w:rsidRDefault="001B3AE0" w:rsidP="00A82A79">
            <w:pPr>
              <w:pStyle w:val="Table-Text"/>
            </w:pPr>
            <w:r w:rsidRPr="001A7A39">
              <w:t>Figures include municipal tax and the social security levy (tax of around 8%).</w:t>
            </w:r>
          </w:p>
        </w:tc>
        <w:tc>
          <w:tcPr>
            <w:tcW w:w="2552" w:type="dxa"/>
          </w:tcPr>
          <w:p w14:paraId="45B0D776" w14:textId="1746CE6B" w:rsidR="001B3AE0" w:rsidRPr="001A7A39" w:rsidRDefault="001B3AE0" w:rsidP="00A82A79">
            <w:pPr>
              <w:pStyle w:val="Table-Text"/>
            </w:pPr>
            <w:r w:rsidRPr="001A7A39">
              <w:t>27% or 42% on dividends and capital gains on shares</w:t>
            </w:r>
            <w:r w:rsidR="0021078D">
              <w:t>.</w:t>
            </w:r>
          </w:p>
          <w:p w14:paraId="2C46A1D6" w14:textId="3701AFDF" w:rsidR="001B3AE0" w:rsidRPr="001A7A39" w:rsidRDefault="001B3AE0" w:rsidP="00A82A79">
            <w:pPr>
              <w:pStyle w:val="Table-Text"/>
            </w:pPr>
            <w:r w:rsidRPr="001A7A39">
              <w:t>Up to 42.7% on other capital income (for example, interest)</w:t>
            </w:r>
            <w:r w:rsidR="0021078D">
              <w:t>.</w:t>
            </w:r>
          </w:p>
        </w:tc>
      </w:tr>
      <w:tr w:rsidR="00A82A79" w:rsidRPr="001A7A39" w14:paraId="5B0BA0B7" w14:textId="77777777" w:rsidTr="00C851A5">
        <w:tc>
          <w:tcPr>
            <w:tcW w:w="1559" w:type="dxa"/>
            <w:shd w:val="clear" w:color="auto" w:fill="auto"/>
          </w:tcPr>
          <w:p w14:paraId="28525FB9" w14:textId="77777777" w:rsidR="001B3AE0" w:rsidRPr="00A82A79" w:rsidRDefault="001B3AE0" w:rsidP="00A82A79">
            <w:pPr>
              <w:pStyle w:val="Table-Text"/>
              <w:rPr>
                <w:rStyle w:val="Strong"/>
              </w:rPr>
            </w:pPr>
            <w:r w:rsidRPr="00A82A79">
              <w:rPr>
                <w:rStyle w:val="Strong"/>
              </w:rPr>
              <w:t>Iceland</w:t>
            </w:r>
          </w:p>
        </w:tc>
        <w:tc>
          <w:tcPr>
            <w:tcW w:w="1276" w:type="dxa"/>
          </w:tcPr>
          <w:p w14:paraId="7B2F0110" w14:textId="77777777" w:rsidR="001B3AE0" w:rsidRPr="001A7A39" w:rsidRDefault="001B3AE0" w:rsidP="00A82A79">
            <w:pPr>
              <w:pStyle w:val="Table-Text"/>
              <w:tabs>
                <w:tab w:val="decimal" w:pos="605"/>
              </w:tabs>
            </w:pPr>
            <w:r w:rsidRPr="001A7A39">
              <w:t>20%</w:t>
            </w:r>
          </w:p>
        </w:tc>
        <w:tc>
          <w:tcPr>
            <w:tcW w:w="2551" w:type="dxa"/>
          </w:tcPr>
          <w:p w14:paraId="5548C03E" w14:textId="38970934" w:rsidR="001B3AE0" w:rsidRPr="001A7A39" w:rsidRDefault="001B3AE0" w:rsidP="00A82A79">
            <w:pPr>
              <w:pStyle w:val="Table-Text"/>
            </w:pPr>
            <w:r w:rsidRPr="001A7A39">
              <w:t>Around 42% to 53%</w:t>
            </w:r>
            <w:r w:rsidR="0021078D">
              <w:t>.</w:t>
            </w:r>
          </w:p>
          <w:p w14:paraId="6303E70F" w14:textId="77777777" w:rsidR="001B3AE0" w:rsidRPr="001A7A39" w:rsidRDefault="001B3AE0" w:rsidP="00A82A79">
            <w:pPr>
              <w:pStyle w:val="Table-Text"/>
            </w:pPr>
            <w:r w:rsidRPr="001A7A39">
              <w:t>Figures include municipal taxes and social security (6.85%).</w:t>
            </w:r>
          </w:p>
        </w:tc>
        <w:tc>
          <w:tcPr>
            <w:tcW w:w="2552" w:type="dxa"/>
          </w:tcPr>
          <w:p w14:paraId="27C410CE" w14:textId="19EDD3B5" w:rsidR="001B3AE0" w:rsidRPr="001A7A39" w:rsidRDefault="001B3AE0" w:rsidP="00A82A79">
            <w:pPr>
              <w:pStyle w:val="Table-Text"/>
            </w:pPr>
            <w:r w:rsidRPr="001A7A39">
              <w:t xml:space="preserve">22% on capital gains and dividends, </w:t>
            </w:r>
            <w:proofErr w:type="gramStart"/>
            <w:r w:rsidRPr="001A7A39">
              <w:t>interest</w:t>
            </w:r>
            <w:proofErr w:type="gramEnd"/>
            <w:r w:rsidRPr="001A7A39">
              <w:t xml:space="preserve"> and rent</w:t>
            </w:r>
            <w:r w:rsidR="0021078D">
              <w:t>.</w:t>
            </w:r>
          </w:p>
          <w:p w14:paraId="27C566F6" w14:textId="4ED364C2" w:rsidR="001B3AE0" w:rsidRPr="001A7A39" w:rsidRDefault="001B3AE0" w:rsidP="00A82A79">
            <w:pPr>
              <w:pStyle w:val="Table-Text"/>
            </w:pPr>
            <w:r w:rsidRPr="001A7A39">
              <w:t>There is a tax-free threshold for interest and only 50% of rent is taxed</w:t>
            </w:r>
            <w:r w:rsidR="0021078D">
              <w:t>.</w:t>
            </w:r>
          </w:p>
        </w:tc>
      </w:tr>
    </w:tbl>
    <w:p w14:paraId="382EF5F2" w14:textId="77777777" w:rsidR="006C1738" w:rsidRPr="0011214E" w:rsidRDefault="006C1738" w:rsidP="006C1738">
      <w:pPr>
        <w:pStyle w:val="NumberedParagraph"/>
        <w:numPr>
          <w:ilvl w:val="1"/>
          <w:numId w:val="58"/>
        </w:numPr>
      </w:pPr>
      <w:r w:rsidRPr="0011214E">
        <w:t>It is hard to know now if these sorts of concerns are likely to become pressing in New Zealand. If they do</w:t>
      </w:r>
      <w:r>
        <w:t>,</w:t>
      </w:r>
      <w:r w:rsidRPr="0011214E">
        <w:t xml:space="preserve"> a dual income tax approach is something to be considered. At the same time</w:t>
      </w:r>
      <w:r>
        <w:t>,</w:t>
      </w:r>
      <w:r w:rsidRPr="0011214E">
        <w:t xml:space="preserve"> measures </w:t>
      </w:r>
      <w:r>
        <w:t>that</w:t>
      </w:r>
      <w:r w:rsidRPr="0011214E">
        <w:t xml:space="preserve"> reduce taxes on capital income </w:t>
      </w:r>
      <w:r w:rsidRPr="0011214E">
        <w:lastRenderedPageBreak/>
        <w:t>can obviously end up reducing taxes on some of the wealthiest in society</w:t>
      </w:r>
      <w:r>
        <w:t>,</w:t>
      </w:r>
      <w:r w:rsidRPr="0011214E">
        <w:t xml:space="preserve"> so there are complex fairness concerns to work through.</w:t>
      </w:r>
    </w:p>
    <w:p w14:paraId="7C9E0799" w14:textId="77777777" w:rsidR="006C1738" w:rsidRPr="0011214E" w:rsidRDefault="006C1738" w:rsidP="006C1738">
      <w:pPr>
        <w:pStyle w:val="NumberedParagraph"/>
        <w:numPr>
          <w:ilvl w:val="1"/>
          <w:numId w:val="58"/>
        </w:numPr>
      </w:pPr>
      <w:r w:rsidRPr="0011214E">
        <w:t>If New Zealand wish</w:t>
      </w:r>
      <w:r>
        <w:t>ed</w:t>
      </w:r>
      <w:r w:rsidRPr="0011214E">
        <w:t xml:space="preserve"> to move in the dual income tax direction, there are </w:t>
      </w:r>
      <w:r>
        <w:t>several</w:t>
      </w:r>
      <w:r w:rsidRPr="0011214E">
        <w:t xml:space="preserve"> ways of achieving this</w:t>
      </w:r>
      <w:r>
        <w:t>,</w:t>
      </w:r>
      <w:r w:rsidRPr="0011214E">
        <w:t xml:space="preserve"> including increasing the rate of GST and using the revenue raised to reduce income taxes or provide payments to households. If this were done in a way </w:t>
      </w:r>
      <w:r>
        <w:t>that</w:t>
      </w:r>
      <w:r w:rsidRPr="0011214E">
        <w:t xml:space="preserve"> delivers more benefit to those on lower incomes </w:t>
      </w:r>
      <w:r>
        <w:t xml:space="preserve">rather </w:t>
      </w:r>
      <w:r w:rsidRPr="0011214E">
        <w:t>than higher incomes</w:t>
      </w:r>
      <w:r>
        <w:t>,</w:t>
      </w:r>
      <w:r w:rsidRPr="0011214E">
        <w:t xml:space="preserve"> this might be done without reducing the overall progressivity of the tax system.</w:t>
      </w:r>
    </w:p>
    <w:p w14:paraId="55966BBF" w14:textId="77777777" w:rsidR="006C1738" w:rsidRPr="0011214E" w:rsidRDefault="006C1738" w:rsidP="006C1738">
      <w:pPr>
        <w:pStyle w:val="NumberedParagraph"/>
        <w:numPr>
          <w:ilvl w:val="1"/>
          <w:numId w:val="58"/>
        </w:numPr>
      </w:pPr>
      <w:r w:rsidRPr="0011214E">
        <w:t>The Nordic countries collect very high levels of tax. In 2019, Denmark collected the most tax as a proportion of GDP (46.3%), followed by Sweden (42.9%) and Finland (42.2%). Norway (39.9%) and Iceland (36.1%) collected the least. In comparison, New Zealand’s tax take was 32.3% of GDP.</w:t>
      </w:r>
      <w:r w:rsidRPr="0011214E">
        <w:rPr>
          <w:vertAlign w:val="superscript"/>
        </w:rPr>
        <w:footnoteReference w:id="70"/>
      </w:r>
    </w:p>
    <w:p w14:paraId="06B05F46" w14:textId="77777777" w:rsidR="006C1738" w:rsidRPr="0011214E" w:rsidRDefault="006C1738" w:rsidP="006C1738">
      <w:pPr>
        <w:pStyle w:val="NumberedParagraph"/>
        <w:numPr>
          <w:ilvl w:val="1"/>
          <w:numId w:val="58"/>
        </w:numPr>
      </w:pPr>
      <w:r w:rsidRPr="0011214E">
        <w:t xml:space="preserve">Despite such high levels of tax, the Nordic countries’ corporate tax rates are all lower than New Zealand’s (see </w:t>
      </w:r>
      <w:r>
        <w:t>table 12.1</w:t>
      </w:r>
      <w:r w:rsidRPr="0011214E">
        <w:t>). The reasonably low corporate tax rates allow the Nordic countries to maintain reasonably low costs of capital for foreign investors. At the same time, dual income taxes allow the Nordic countries to levy high taxes on labour income</w:t>
      </w:r>
      <w:r w:rsidRPr="0011214E">
        <w:rPr>
          <w:vertAlign w:val="superscript"/>
        </w:rPr>
        <w:footnoteReference w:id="71"/>
      </w:r>
      <w:r w:rsidRPr="0011214E">
        <w:t xml:space="preserve"> without too much distortion.</w:t>
      </w:r>
    </w:p>
    <w:p w14:paraId="682172E8" w14:textId="68F33B60" w:rsidR="001B3AE0" w:rsidRPr="006B2CE5" w:rsidRDefault="001B3AE0" w:rsidP="001B3AE0">
      <w:pPr>
        <w:pStyle w:val="Heading2"/>
        <w:rPr>
          <w:rFonts w:eastAsia="Calibri"/>
          <w:lang w:eastAsia="en-US"/>
        </w:rPr>
      </w:pPr>
      <w:bookmarkStart w:id="86" w:name="_Toc112857463"/>
      <w:r w:rsidRPr="006B2CE5">
        <w:rPr>
          <w:rFonts w:eastAsia="Calibri"/>
          <w:lang w:eastAsia="en-US"/>
        </w:rPr>
        <w:t>P</w:t>
      </w:r>
      <w:r w:rsidR="00861827">
        <w:rPr>
          <w:rFonts w:eastAsia="Calibri"/>
          <w:lang w:eastAsia="en-US"/>
        </w:rPr>
        <w:t>ros and cons</w:t>
      </w:r>
      <w:bookmarkEnd w:id="86"/>
    </w:p>
    <w:p w14:paraId="664213BB" w14:textId="77777777" w:rsidR="001B3AE0" w:rsidRPr="006B2CE5" w:rsidRDefault="001B3AE0" w:rsidP="001B3AE0">
      <w:pPr>
        <w:pStyle w:val="Heading3"/>
        <w:rPr>
          <w:rFonts w:eastAsia="Calibri"/>
          <w:lang w:eastAsia="en-US"/>
        </w:rPr>
      </w:pPr>
      <w:r w:rsidRPr="006B2CE5">
        <w:rPr>
          <w:rFonts w:eastAsia="Calibri"/>
          <w:lang w:eastAsia="en-US"/>
        </w:rPr>
        <w:t>Reducing the cost of capital</w:t>
      </w:r>
    </w:p>
    <w:p w14:paraId="0FFBEAE4" w14:textId="4644CA73" w:rsidR="001B3AE0" w:rsidRPr="006B2CE5" w:rsidRDefault="001B3AE0" w:rsidP="00075D72">
      <w:pPr>
        <w:pStyle w:val="NumberedParagraph"/>
      </w:pPr>
      <w:r w:rsidRPr="006B2CE5">
        <w:t xml:space="preserve">Many of the strengths and weaknesses of a dual income tax </w:t>
      </w:r>
      <w:r w:rsidR="0016044B">
        <w:t xml:space="preserve">system </w:t>
      </w:r>
      <w:r w:rsidRPr="006B2CE5">
        <w:t xml:space="preserve">that relate to the lower cost of capital through a lower corporate </w:t>
      </w:r>
      <w:r w:rsidR="00743EB9">
        <w:t xml:space="preserve">tax </w:t>
      </w:r>
      <w:r w:rsidRPr="006B2CE5">
        <w:t xml:space="preserve">rate are identical to </w:t>
      </w:r>
      <w:r w:rsidR="00743EB9">
        <w:t xml:space="preserve">the </w:t>
      </w:r>
      <w:r w:rsidRPr="006B2CE5">
        <w:t xml:space="preserve">strengths and weaknesses of lowering the company </w:t>
      </w:r>
      <w:r w:rsidR="00743EB9">
        <w:t xml:space="preserve">tax </w:t>
      </w:r>
      <w:r w:rsidRPr="006B2CE5">
        <w:t xml:space="preserve">rate, outlined in </w:t>
      </w:r>
      <w:r w:rsidRPr="003D48C8">
        <w:t>chapter</w:t>
      </w:r>
      <w:r w:rsidR="001469D9">
        <w:t> </w:t>
      </w:r>
      <w:r>
        <w:t>6</w:t>
      </w:r>
      <w:r w:rsidRPr="003D48C8">
        <w:t>.</w:t>
      </w:r>
    </w:p>
    <w:p w14:paraId="4E6EED44" w14:textId="51DB4A66" w:rsidR="001B3AE0" w:rsidRPr="006B2CE5" w:rsidRDefault="001B3AE0" w:rsidP="00075D72">
      <w:pPr>
        <w:pStyle w:val="NumberedParagraph"/>
      </w:pPr>
      <w:r w:rsidRPr="006B2CE5">
        <w:t>In the context of an exercise looking at costs of capital, the primary strength of a dual income tax system is that it allows a lower cost of capital but still allows greater taxation of domestic residents’ labour and capital income (where that capital income earns a higher than risk-free return). One important difference is that cutting the company tax rate and doing nothing else would tend to make the tax system less progressive</w:t>
      </w:r>
      <w:r w:rsidR="008E332F">
        <w:t>. This is</w:t>
      </w:r>
      <w:r w:rsidRPr="006B2CE5">
        <w:t xml:space="preserve"> because those on higher incomes would obtain greater benefits by sheltering personal income in companies</w:t>
      </w:r>
      <w:r w:rsidR="00702353">
        <w:t xml:space="preserve">. </w:t>
      </w:r>
      <w:r w:rsidRPr="006B2CE5">
        <w:t xml:space="preserve">A dual income tax is one way of allowing a company tax cut but supporting this with other measures </w:t>
      </w:r>
      <w:r w:rsidR="009B4A2C">
        <w:t>that</w:t>
      </w:r>
      <w:r w:rsidRPr="006B2CE5">
        <w:t xml:space="preserve"> support the integrity and progressivity of the personal tax system</w:t>
      </w:r>
      <w:r w:rsidR="00702353">
        <w:t xml:space="preserve">. </w:t>
      </w:r>
      <w:r w:rsidRPr="006B2CE5">
        <w:t xml:space="preserve">These include measures to integrate the corporate tax system with the personal tax system, </w:t>
      </w:r>
      <w:r>
        <w:t xml:space="preserve">possibly </w:t>
      </w:r>
      <w:r w:rsidRPr="006B2CE5">
        <w:t>including a capital gains tax on shareholders.</w:t>
      </w:r>
    </w:p>
    <w:p w14:paraId="10912BA3" w14:textId="452CF37A" w:rsidR="001B3AE0" w:rsidRPr="006B2CE5" w:rsidRDefault="001B3AE0" w:rsidP="00075D72">
      <w:pPr>
        <w:pStyle w:val="NumberedParagraph"/>
      </w:pPr>
      <w:r w:rsidRPr="006B2CE5">
        <w:t xml:space="preserve">As set out above, a lower tax rate on corporate income also reduces the effect of non-neutralities in the capital income base (for example, depreciation schedules that do not match economic depreciation), potentially reduces avoidance and evasion, and reduces tax distortions to saving. Other aspects of the regime ensure that the portion of nominal income reflecting inflation is taxed less under a dual income tax system than </w:t>
      </w:r>
      <w:r w:rsidR="00B03D90">
        <w:t xml:space="preserve">under </w:t>
      </w:r>
      <w:r w:rsidRPr="006B2CE5">
        <w:t>a comprehensive income tax system.</w:t>
      </w:r>
      <w:r w:rsidR="00406791">
        <w:t xml:space="preserve"> At the same time</w:t>
      </w:r>
      <w:r w:rsidR="00B03D90">
        <w:t>,</w:t>
      </w:r>
      <w:r w:rsidR="00406791">
        <w:t xml:space="preserve"> there </w:t>
      </w:r>
      <w:r w:rsidR="00061A4F">
        <w:t xml:space="preserve">are some complex design </w:t>
      </w:r>
      <w:r w:rsidR="001A2F6B">
        <w:t xml:space="preserve">and distributional issues </w:t>
      </w:r>
      <w:r w:rsidR="00061A4F">
        <w:t>to consider</w:t>
      </w:r>
      <w:r w:rsidR="001A2F6B">
        <w:t>.</w:t>
      </w:r>
    </w:p>
    <w:p w14:paraId="2C43CF34" w14:textId="77777777" w:rsidR="001B3AE0" w:rsidRPr="006B2CE5" w:rsidRDefault="001B3AE0" w:rsidP="00893E99">
      <w:pPr>
        <w:pStyle w:val="Heading3"/>
        <w:rPr>
          <w:rFonts w:eastAsia="Calibri"/>
          <w:lang w:eastAsia="en-US"/>
        </w:rPr>
      </w:pPr>
      <w:r w:rsidRPr="006B2CE5">
        <w:rPr>
          <w:rFonts w:eastAsia="Calibri"/>
          <w:lang w:eastAsia="en-US"/>
        </w:rPr>
        <w:lastRenderedPageBreak/>
        <w:t>Issues with the distinction between labour income and capital income</w:t>
      </w:r>
    </w:p>
    <w:p w14:paraId="4070C034" w14:textId="77777777" w:rsidR="001B3AE0" w:rsidRPr="00075D72" w:rsidRDefault="001B3AE0" w:rsidP="00075D72">
      <w:pPr>
        <w:pStyle w:val="NumberedParagraph"/>
        <w:rPr>
          <w:rFonts w:eastAsia="Verdana" w:cs="Verdana"/>
        </w:rPr>
      </w:pPr>
      <w:r w:rsidRPr="006B2CE5">
        <w:t>The distinction between labour income and capital income can be very difficult to draw. Broadly speaking, labour income is earned from performing services (for example, wages, salaries) whereas capital income is earned from investment (for example, ordinary business income, interest, dividends, capital gains).</w:t>
      </w:r>
    </w:p>
    <w:p w14:paraId="408A5B37" w14:textId="6A832CC5" w:rsidR="001B3AE0" w:rsidRPr="006B2CE5" w:rsidRDefault="001B3AE0" w:rsidP="00075D72">
      <w:pPr>
        <w:pStyle w:val="NumberedParagraph"/>
      </w:pPr>
      <w:r w:rsidRPr="006B2CE5">
        <w:t xml:space="preserve">However, items that are typically considered </w:t>
      </w:r>
      <w:r w:rsidR="00FB0FF9">
        <w:t>‘</w:t>
      </w:r>
      <w:r w:rsidRPr="006B2CE5">
        <w:t>capital income</w:t>
      </w:r>
      <w:r w:rsidR="00FB0FF9">
        <w:t>’</w:t>
      </w:r>
      <w:r w:rsidRPr="006B2CE5">
        <w:t xml:space="preserve"> may also include a labour component. For example, part of the capital gain from buying and selling a property may include value added by labour spent fixing up the property. Similarly, capital gains and dividends from closely held companies may include a component that is properly attributable to work performed by a shareholder-employee in the company who is paid a below-market wage or salary.</w:t>
      </w:r>
    </w:p>
    <w:p w14:paraId="16DA1C08" w14:textId="68857512" w:rsidR="001B3AE0" w:rsidRPr="006B2CE5" w:rsidRDefault="001B3AE0" w:rsidP="00075D72">
      <w:pPr>
        <w:pStyle w:val="NumberedParagraph"/>
      </w:pPr>
      <w:r w:rsidRPr="006B2CE5">
        <w:t>It therefore seems inevitable that a subjective distinction between labour and capital will be complex and give rise to outcomes that</w:t>
      </w:r>
      <w:r w:rsidR="00B03D90">
        <w:t>,</w:t>
      </w:r>
      <w:r w:rsidRPr="006B2CE5">
        <w:t xml:space="preserve"> at times</w:t>
      </w:r>
      <w:r w:rsidR="00B03D90">
        <w:t>,</w:t>
      </w:r>
      <w:r w:rsidRPr="006B2CE5">
        <w:t xml:space="preserve"> appear inconsistent or arbitrary and create distortions. This is even in the absence of any tax avoidance or minimisation behaviour. A dual income tax system, therefore, cannot rely solely on anti-avoidance rules that consider the </w:t>
      </w:r>
      <w:r w:rsidR="006661F1">
        <w:t>‘</w:t>
      </w:r>
      <w:r w:rsidRPr="006B2CE5">
        <w:t>true substance</w:t>
      </w:r>
      <w:r w:rsidR="006661F1">
        <w:t>’</w:t>
      </w:r>
      <w:r w:rsidRPr="006B2CE5">
        <w:t xml:space="preserve"> of income to work out if </w:t>
      </w:r>
      <w:r w:rsidR="008320EE">
        <w:t>the amount</w:t>
      </w:r>
      <w:r w:rsidRPr="006B2CE5">
        <w:t xml:space="preserve"> is capital or revenue. Such subjective rules can only be a backstop at best. Norway illustrates an attempt at more objective </w:t>
      </w:r>
      <w:r w:rsidR="00887D97">
        <w:t>‘</w:t>
      </w:r>
      <w:r w:rsidRPr="006B2CE5">
        <w:t>income splitting</w:t>
      </w:r>
      <w:r w:rsidR="00887D97">
        <w:t>’</w:t>
      </w:r>
      <w:r w:rsidRPr="006B2CE5">
        <w:t xml:space="preserve"> rules.</w:t>
      </w:r>
    </w:p>
    <w:p w14:paraId="48722A95" w14:textId="6CC4EAEB" w:rsidR="001B3AE0" w:rsidRPr="006B2CE5" w:rsidRDefault="001B3AE0" w:rsidP="00893E99">
      <w:pPr>
        <w:pStyle w:val="Heading3"/>
        <w:rPr>
          <w:rFonts w:eastAsia="Calibri"/>
          <w:lang w:eastAsia="en-US"/>
        </w:rPr>
      </w:pPr>
      <w:r w:rsidRPr="00B84D84">
        <w:rPr>
          <w:rFonts w:eastAsia="Calibri"/>
        </w:rPr>
        <w:t>Income</w:t>
      </w:r>
      <w:r w:rsidR="00AB321D">
        <w:rPr>
          <w:rFonts w:eastAsia="Calibri"/>
        </w:rPr>
        <w:t>-</w:t>
      </w:r>
      <w:r w:rsidRPr="006B2CE5">
        <w:rPr>
          <w:rFonts w:eastAsia="Calibri"/>
          <w:lang w:eastAsia="en-US"/>
        </w:rPr>
        <w:t>splitting rules</w:t>
      </w:r>
    </w:p>
    <w:p w14:paraId="5ED88180" w14:textId="10C23D0B" w:rsidR="001B3AE0" w:rsidRPr="006B2CE5" w:rsidRDefault="001B3AE0" w:rsidP="00075D72">
      <w:pPr>
        <w:pStyle w:val="NumberedParagraph"/>
      </w:pPr>
      <w:r w:rsidRPr="006B2CE5">
        <w:t>An initial question is how to tax the capital income of sole traders and partnerships where the return comprises both capital and labour income. In principle, there are two potential approaches for splitting income between the capital income and labour income components.</w:t>
      </w:r>
    </w:p>
    <w:p w14:paraId="32ECF081" w14:textId="450BACBA" w:rsidR="001B3AE0" w:rsidRPr="006B2CE5" w:rsidRDefault="001B3AE0" w:rsidP="00075D72">
      <w:pPr>
        <w:pStyle w:val="NumberedParagraph"/>
      </w:pPr>
      <w:r w:rsidRPr="006B2CE5">
        <w:t xml:space="preserve">One </w:t>
      </w:r>
      <w:r w:rsidR="008320EE">
        <w:t xml:space="preserve">approach </w:t>
      </w:r>
      <w:r w:rsidRPr="006B2CE5">
        <w:t>is to identify labour income by attempting to value the labour services that are being provided and then to treat the residual as capital income. A key problem with that approach is that it seems impractical to value the labour services that are being contributed.</w:t>
      </w:r>
    </w:p>
    <w:p w14:paraId="46D35902" w14:textId="06AC8792" w:rsidR="001B3AE0" w:rsidRPr="006B2CE5" w:rsidRDefault="001B3AE0" w:rsidP="00075D72">
      <w:pPr>
        <w:pStyle w:val="NumberedParagraph"/>
      </w:pPr>
      <w:r w:rsidRPr="006B2CE5">
        <w:t>The second approach</w:t>
      </w:r>
      <w:r w:rsidR="00AB321D">
        <w:t>,</w:t>
      </w:r>
      <w:r w:rsidRPr="006B2CE5">
        <w:t xml:space="preserve"> and </w:t>
      </w:r>
      <w:r w:rsidR="008320EE">
        <w:t>the one</w:t>
      </w:r>
      <w:r w:rsidRPr="006B2CE5">
        <w:t xml:space="preserve"> used in practice</w:t>
      </w:r>
      <w:r w:rsidR="00AB321D">
        <w:t>,</w:t>
      </w:r>
      <w:r w:rsidRPr="006B2CE5">
        <w:t xml:space="preserve"> is to attempt to value the capital income component and to treat the residual as labour income. This can be done by attempting to value capital assets employed in a business and imput</w:t>
      </w:r>
      <w:r w:rsidR="009A6685">
        <w:t>ing</w:t>
      </w:r>
      <w:r w:rsidRPr="006B2CE5">
        <w:t xml:space="preserve"> a standard return on </w:t>
      </w:r>
      <w:proofErr w:type="gramStart"/>
      <w:r w:rsidRPr="006B2CE5">
        <w:t>these as capital income</w:t>
      </w:r>
      <w:proofErr w:type="gramEnd"/>
      <w:r w:rsidR="00054696">
        <w:t>.</w:t>
      </w:r>
      <w:r w:rsidRPr="006B2CE5">
        <w:t xml:space="preserve"> </w:t>
      </w:r>
      <w:r w:rsidR="00054696">
        <w:t>E</w:t>
      </w:r>
      <w:r w:rsidRPr="006B2CE5">
        <w:t xml:space="preserve">verything else </w:t>
      </w:r>
      <w:r w:rsidR="00054696">
        <w:t>is</w:t>
      </w:r>
      <w:r w:rsidRPr="006B2CE5">
        <w:t xml:space="preserve"> treated as labour income and subject to higher progressive marginal tax rates. This means that if someone has a very smart idea and </w:t>
      </w:r>
      <w:r w:rsidR="00054696">
        <w:t>can</w:t>
      </w:r>
      <w:r w:rsidRPr="006B2CE5">
        <w:t xml:space="preserve"> generate economic rents, these rents will be taxed as labour income.</w:t>
      </w:r>
    </w:p>
    <w:p w14:paraId="350A7AE4" w14:textId="29A13A2A" w:rsidR="001B3AE0" w:rsidRPr="006B2CE5" w:rsidRDefault="001B3AE0" w:rsidP="00075D72">
      <w:pPr>
        <w:pStyle w:val="NumberedParagraph"/>
      </w:pPr>
      <w:r w:rsidRPr="006B2CE5">
        <w:t xml:space="preserve">Norway </w:t>
      </w:r>
      <w:r w:rsidR="00CA2878">
        <w:t xml:space="preserve">calculates capital </w:t>
      </w:r>
      <w:r w:rsidR="00C60806">
        <w:t xml:space="preserve">income by multiplying the value of capital in a business by </w:t>
      </w:r>
      <w:r w:rsidRPr="006B2CE5">
        <w:t>an imputed interest rate</w:t>
      </w:r>
      <w:r w:rsidR="008320EE">
        <w:t>,</w:t>
      </w:r>
      <w:r w:rsidRPr="006B2CE5">
        <w:t xml:space="preserve"> </w:t>
      </w:r>
      <w:r w:rsidR="003352CE">
        <w:t>known as the rate of return allow</w:t>
      </w:r>
      <w:r w:rsidR="00351013">
        <w:t xml:space="preserve">ance </w:t>
      </w:r>
      <w:r w:rsidRPr="006B2CE5">
        <w:t>(RRA). The RRA, which is currently around 1.3%, is based on interest rates on government bonds and is practically risk free.</w:t>
      </w:r>
      <w:r w:rsidRPr="006B2CE5">
        <w:rPr>
          <w:vertAlign w:val="superscript"/>
        </w:rPr>
        <w:footnoteReference w:id="72"/>
      </w:r>
      <w:r w:rsidRPr="006B2CE5">
        <w:t xml:space="preserve"> This income (along with forms of passive capital income</w:t>
      </w:r>
      <w:r w:rsidR="00F80E8A">
        <w:t>,</w:t>
      </w:r>
      <w:r w:rsidRPr="006B2CE5">
        <w:t xml:space="preserve"> such as interest and rents</w:t>
      </w:r>
      <w:r w:rsidR="00F80E8A">
        <w:t>)</w:t>
      </w:r>
      <w:r w:rsidRPr="00075D72">
        <w:rPr>
          <w:i/>
        </w:rPr>
        <w:t xml:space="preserve"> </w:t>
      </w:r>
      <w:r w:rsidRPr="006B2CE5">
        <w:t>is taxed at 22%</w:t>
      </w:r>
      <w:r w:rsidR="00702353">
        <w:t xml:space="preserve">. </w:t>
      </w:r>
      <w:r w:rsidRPr="006B2CE5">
        <w:t>Other income is taxed as labour income and subject to higher progressive income tax rates.</w:t>
      </w:r>
      <w:r w:rsidR="00AE4514">
        <w:t xml:space="preserve"> It should be noted, however, that it is far from </w:t>
      </w:r>
      <w:r w:rsidR="008C4D02">
        <w:t xml:space="preserve">a simple exercise to estimate the true risk-free rate, especially in the context of </w:t>
      </w:r>
      <w:r w:rsidR="009710BB">
        <w:t xml:space="preserve">some </w:t>
      </w:r>
      <w:r w:rsidR="008C4D02">
        <w:t xml:space="preserve">negative interest rates on government borrowing </w:t>
      </w:r>
      <w:r w:rsidR="009710BB">
        <w:t>in Europe.</w:t>
      </w:r>
    </w:p>
    <w:p w14:paraId="6E195C82" w14:textId="7EF1E704" w:rsidR="001B3AE0" w:rsidRPr="00075D72" w:rsidRDefault="001B3AE0" w:rsidP="00075D72">
      <w:pPr>
        <w:pStyle w:val="NumberedParagraph"/>
        <w:rPr>
          <w:rFonts w:eastAsia="Verdana" w:cs="Verdana"/>
        </w:rPr>
      </w:pPr>
      <w:r w:rsidRPr="006B2CE5">
        <w:lastRenderedPageBreak/>
        <w:t>Before 2006, Norway had mandatory income</w:t>
      </w:r>
      <w:r w:rsidR="00D31299">
        <w:t>-</w:t>
      </w:r>
      <w:r w:rsidRPr="006B2CE5">
        <w:t>splitting rules for sole traders, partners and closely held companies with active owners to prevent labour income being converted to capital income.</w:t>
      </w:r>
    </w:p>
    <w:p w14:paraId="5DFEE5B4" w14:textId="6F957371" w:rsidR="001B3AE0" w:rsidRPr="00075D72" w:rsidRDefault="001B3AE0" w:rsidP="00075D72">
      <w:pPr>
        <w:pStyle w:val="NumberedParagraph"/>
        <w:rPr>
          <w:rFonts w:eastAsia="Verdana" w:cs="Verdana"/>
        </w:rPr>
      </w:pPr>
      <w:r w:rsidRPr="006B2CE5">
        <w:t xml:space="preserve">Sørenson explains that these rules were not very effective. Taxpayers could structure their affairs to avoid being </w:t>
      </w:r>
      <w:r w:rsidR="00D31299">
        <w:t>‘</w:t>
      </w:r>
      <w:r w:rsidRPr="006B2CE5">
        <w:t>active owners</w:t>
      </w:r>
      <w:r w:rsidR="00D31299">
        <w:t>’</w:t>
      </w:r>
      <w:r w:rsidRPr="006B2CE5">
        <w:t xml:space="preserve"> and thereby avoid the income</w:t>
      </w:r>
      <w:r w:rsidR="00D31299">
        <w:t>-</w:t>
      </w:r>
      <w:r w:rsidRPr="006B2CE5">
        <w:t xml:space="preserve">splitting rules. Moreover, the </w:t>
      </w:r>
      <w:r w:rsidRPr="00075D72">
        <w:rPr>
          <w:rFonts w:eastAsia="Verdana" w:cs="Verdana"/>
        </w:rPr>
        <w:t>rules</w:t>
      </w:r>
      <w:r w:rsidRPr="006B2CE5">
        <w:t xml:space="preserve"> were frequently changed, usually to be more generous to taxpayers. The salary deduction adjustment is a good example as Sørenson notes </w:t>
      </w:r>
      <w:r w:rsidR="00586A21">
        <w:t>that</w:t>
      </w:r>
      <w:r w:rsidR="00586A21" w:rsidRPr="006B2CE5">
        <w:t>, by the late 1990s,</w:t>
      </w:r>
      <w:r w:rsidR="00A4035B">
        <w:t xml:space="preserve"> </w:t>
      </w:r>
      <w:r w:rsidRPr="006B2CE5">
        <w:t xml:space="preserve">almost 80% of active shareholders had </w:t>
      </w:r>
      <w:r w:rsidRPr="00075D72">
        <w:rPr>
          <w:i/>
          <w:iCs/>
        </w:rPr>
        <w:t xml:space="preserve">negative </w:t>
      </w:r>
      <w:r w:rsidRPr="006B2CE5">
        <w:t xml:space="preserve">labour income </w:t>
      </w:r>
      <w:r w:rsidR="00FA4166">
        <w:t>because</w:t>
      </w:r>
      <w:r w:rsidRPr="006B2CE5">
        <w:t xml:space="preserve"> of the deduction.</w:t>
      </w:r>
    </w:p>
    <w:p w14:paraId="16BF1B9C" w14:textId="698B9C19" w:rsidR="001B3AE0" w:rsidRPr="006B2CE5" w:rsidRDefault="001B3AE0" w:rsidP="00075D72">
      <w:pPr>
        <w:pStyle w:val="NumberedParagraph"/>
      </w:pPr>
      <w:r w:rsidRPr="006B2CE5">
        <w:t>To address the problems with income</w:t>
      </w:r>
      <w:r w:rsidR="00A4035B">
        <w:t>-</w:t>
      </w:r>
      <w:r w:rsidRPr="006B2CE5">
        <w:t xml:space="preserve">splitting rules for companies, Norway introduced a </w:t>
      </w:r>
      <w:r w:rsidR="00A4035B">
        <w:t>‘</w:t>
      </w:r>
      <w:r w:rsidRPr="006B2CE5">
        <w:t>shareholder model</w:t>
      </w:r>
      <w:r w:rsidR="00A4035B">
        <w:t>’</w:t>
      </w:r>
      <w:r w:rsidRPr="006B2CE5">
        <w:t xml:space="preserve"> in 2006, which is still used today. The key features are the RRA, which is calculated on capital invested, and the intentional double taxation of dividends and capital gains on shares.</w:t>
      </w:r>
    </w:p>
    <w:p w14:paraId="3C92F4C2" w14:textId="537A9DC0" w:rsidR="001B3AE0" w:rsidRPr="00075D72" w:rsidRDefault="001B3AE0" w:rsidP="00075D72">
      <w:pPr>
        <w:pStyle w:val="NumberedParagraph"/>
        <w:rPr>
          <w:rFonts w:eastAsia="Verdana" w:cs="Verdana"/>
        </w:rPr>
      </w:pPr>
      <w:r w:rsidRPr="006B2CE5">
        <w:t>The RRA is a deduction that provides relief against double taxation for the risk-free return. Returns above the risk-free rate are intentionally double taxed at a combined effective tax rate (around 46.7%) that is roughly in line with the top marginal tax rate on labour.</w:t>
      </w:r>
      <w:r w:rsidRPr="006B2CE5">
        <w:rPr>
          <w:vertAlign w:val="superscript"/>
        </w:rPr>
        <w:footnoteReference w:id="73"/>
      </w:r>
      <w:r w:rsidRPr="006B2CE5">
        <w:t xml:space="preserve"> The tax rate of 31.68% on dividends and capital gains on shares is set to achieve this result. It should be noted that this tax on capital gains is at quite a high rate and </w:t>
      </w:r>
      <w:r>
        <w:t>appears to be</w:t>
      </w:r>
      <w:r w:rsidRPr="006B2CE5">
        <w:t xml:space="preserve"> essential in making </w:t>
      </w:r>
      <w:r>
        <w:t>Norway’s</w:t>
      </w:r>
      <w:r w:rsidRPr="006B2CE5">
        <w:t xml:space="preserve"> shareholder model work. However, the tax on capital gains is designed to mitigate or eliminate the lock-in effects </w:t>
      </w:r>
      <w:r w:rsidR="00BD1651">
        <w:t>that</w:t>
      </w:r>
      <w:r w:rsidRPr="006B2CE5">
        <w:t xml:space="preserve"> are a standard problem with many capital gains taxes.</w:t>
      </w:r>
      <w:r w:rsidR="004B6E79">
        <w:t xml:space="preserve"> It does this </w:t>
      </w:r>
      <w:r w:rsidR="00CF565E">
        <w:t>by increasing the cost</w:t>
      </w:r>
      <w:r w:rsidR="00FA4166">
        <w:t xml:space="preserve"> </w:t>
      </w:r>
      <w:r w:rsidR="00CF565E">
        <w:t xml:space="preserve">basis of the shares by any unused </w:t>
      </w:r>
      <w:r w:rsidR="007A2B35">
        <w:t xml:space="preserve">RRA. This is more fully explained in </w:t>
      </w:r>
      <w:proofErr w:type="spellStart"/>
      <w:r>
        <w:t>Sørensen</w:t>
      </w:r>
      <w:proofErr w:type="spellEnd"/>
      <w:r>
        <w:t xml:space="preserve"> (2005).</w:t>
      </w:r>
    </w:p>
    <w:p w14:paraId="6CC47C15" w14:textId="2202B794" w:rsidR="001B3AE0" w:rsidRPr="006B2CE5" w:rsidRDefault="001B3AE0" w:rsidP="00075D72">
      <w:pPr>
        <w:pStyle w:val="NumberedParagraph"/>
      </w:pPr>
      <w:r w:rsidRPr="006B2CE5">
        <w:t>For companies, the RRA model applies at the individual shareholder level rather than at the corporate level. It applies to both listed and unlisted shares held by residents of Norway (with some exceptions for European Economic Area (EEA) residents for EU law reasons). It applies whether the shareholders are active or passive.</w:t>
      </w:r>
    </w:p>
    <w:p w14:paraId="48D92804" w14:textId="3E736A8B" w:rsidR="001B3AE0" w:rsidRPr="006B2CE5" w:rsidRDefault="001B3AE0" w:rsidP="00075D72">
      <w:pPr>
        <w:pStyle w:val="NumberedParagraph"/>
      </w:pPr>
      <w:r w:rsidRPr="006B2CE5">
        <w:t xml:space="preserve">One reason the RRA model, including the double taxation of returns above the risk-free rate, applies at the shareholder level (rather than corporate level) is so that it does not affect the location decisions of </w:t>
      </w:r>
      <w:r w:rsidR="00ED1293">
        <w:t>multinational enterprises</w:t>
      </w:r>
      <w:r w:rsidRPr="006B2CE5">
        <w:t xml:space="preserve"> earning mobile rents. Another reason is that there is a lower revenue cost. This is because many shares may be owned by exempt entities or foreign residents who cannot use a deduction but whose ownership share of corporate income (including the risk-free return) remains taxed at the corporate level.</w:t>
      </w:r>
    </w:p>
    <w:p w14:paraId="4DE0FAFE" w14:textId="1E1AB9AC" w:rsidR="001B3AE0" w:rsidRPr="006B2CE5" w:rsidRDefault="001B3AE0" w:rsidP="001B3AE0">
      <w:pPr>
        <w:pStyle w:val="Heading3"/>
        <w:rPr>
          <w:rFonts w:eastAsia="Calibri"/>
          <w:lang w:eastAsia="en-US"/>
        </w:rPr>
      </w:pPr>
      <w:r w:rsidRPr="006B2CE5">
        <w:rPr>
          <w:rFonts w:eastAsia="Calibri"/>
          <w:lang w:eastAsia="en-US"/>
        </w:rPr>
        <w:t>Taxing the capital income of domestic residents</w:t>
      </w:r>
      <w:r w:rsidR="009501E1">
        <w:rPr>
          <w:rFonts w:eastAsia="Calibri"/>
          <w:lang w:eastAsia="en-US"/>
        </w:rPr>
        <w:t xml:space="preserve"> and fairness considerations</w:t>
      </w:r>
    </w:p>
    <w:p w14:paraId="4B09BE6F" w14:textId="34CC1183" w:rsidR="001B3AE0" w:rsidRPr="006B2CE5" w:rsidRDefault="001B3AE0" w:rsidP="00075D72">
      <w:pPr>
        <w:pStyle w:val="NumberedParagraph"/>
      </w:pPr>
      <w:r w:rsidRPr="006B2CE5">
        <w:t xml:space="preserve">As noted above, a key question is the fairness of reducing the taxation of the return to capital of New Zealand residents. On the one hand, this might be dismissed as a regressive measure </w:t>
      </w:r>
      <w:r w:rsidR="00C2033C">
        <w:t>that</w:t>
      </w:r>
      <w:r w:rsidRPr="006B2CE5">
        <w:t xml:space="preserve"> favours some of the </w:t>
      </w:r>
      <w:r w:rsidR="00C2033C">
        <w:t>wealthiest</w:t>
      </w:r>
      <w:r w:rsidRPr="006B2CE5">
        <w:t xml:space="preserve"> in society who have high capital incomes. For those earning business income</w:t>
      </w:r>
      <w:r w:rsidR="008A4BBF">
        <w:t>,</w:t>
      </w:r>
      <w:r w:rsidRPr="006B2CE5">
        <w:t xml:space="preserve"> or earning income through companies, the lower tax rate might be restricted to the risk-free return</w:t>
      </w:r>
      <w:r w:rsidR="00FA4166">
        <w:t>,</w:t>
      </w:r>
      <w:r w:rsidRPr="006B2CE5">
        <w:t xml:space="preserve"> with any returns over and above these being taxed at labour income tax rates. However, depending on the balance of tax paid under a tax on share gains (required </w:t>
      </w:r>
      <w:r>
        <w:t>at least in Norway’s</w:t>
      </w:r>
      <w:r w:rsidRPr="006B2CE5">
        <w:t xml:space="preserve"> dual income tax), as compared with the lower rate on all currently taxable capital income, there might be a reduction in the tax paid by these people. On the other hand, these measures have been put in place by countries with quite progressive fiscal systems</w:t>
      </w:r>
      <w:r w:rsidR="00FA4166">
        <w:t>,</w:t>
      </w:r>
      <w:r w:rsidRPr="006B2CE5">
        <w:t xml:space="preserve"> and </w:t>
      </w:r>
      <w:r w:rsidR="00FA4166">
        <w:t xml:space="preserve">they </w:t>
      </w:r>
      <w:r w:rsidRPr="006B2CE5">
        <w:t xml:space="preserve">have probably enabled the countries to have a considerably </w:t>
      </w:r>
      <w:r w:rsidRPr="006B2CE5">
        <w:lastRenderedPageBreak/>
        <w:t>more progressive tax system on the categories of income that are taxed as labour income.</w:t>
      </w:r>
    </w:p>
    <w:p w14:paraId="4FDB9232" w14:textId="0E63D25D" w:rsidR="001B3AE0" w:rsidRPr="006B2CE5" w:rsidRDefault="001B3AE0" w:rsidP="00075D72">
      <w:pPr>
        <w:pStyle w:val="NumberedParagraph"/>
      </w:pPr>
      <w:r w:rsidRPr="006B2CE5">
        <w:t xml:space="preserve">For residents, a lower tax rate on the risk-free rate of return to capital would reduce distortions in intertemporal consumption/savings decisions (whether to consume now or save now and consume later) </w:t>
      </w:r>
      <w:r w:rsidR="0033250B">
        <w:t xml:space="preserve">and </w:t>
      </w:r>
      <w:r w:rsidRPr="006B2CE5">
        <w:t>on the forms of savings undertaken</w:t>
      </w:r>
      <w:r w:rsidR="00E223D6">
        <w:t>.</w:t>
      </w:r>
      <w:r w:rsidRPr="006B2CE5">
        <w:t xml:space="preserve"> </w:t>
      </w:r>
      <w:r w:rsidR="00E223D6">
        <w:t xml:space="preserve">It would also </w:t>
      </w:r>
      <w:r w:rsidRPr="006B2CE5">
        <w:t>reduce distortions caused by inflation and might alleviate the tax avoidance pressure that will arise if capital income is taxed at very high rates. A dual income tax system would be complex.</w:t>
      </w:r>
    </w:p>
    <w:p w14:paraId="35847B41" w14:textId="0E2A18BC" w:rsidR="001B3AE0" w:rsidRPr="006B2CE5" w:rsidRDefault="001B3AE0" w:rsidP="00075D72">
      <w:pPr>
        <w:pStyle w:val="NumberedParagraph"/>
      </w:pPr>
      <w:r w:rsidRPr="006B2CE5">
        <w:t>At the same time, it would provide one way of increasing higher personal marginal tax rates</w:t>
      </w:r>
      <w:r w:rsidR="00E273EF">
        <w:t>,</w:t>
      </w:r>
      <w:r w:rsidRPr="006B2CE5">
        <w:t xml:space="preserve"> should future governments wish to do so</w:t>
      </w:r>
      <w:r w:rsidR="00E273EF">
        <w:t>,</w:t>
      </w:r>
      <w:r w:rsidRPr="006B2CE5">
        <w:t xml:space="preserve"> without this leading to increases in costs of capital and EMTRs. Alternatively, it might provide a way of reducing costs of capital and EMTRs without changing higher marginal tax rates.</w:t>
      </w:r>
    </w:p>
    <w:p w14:paraId="36794674" w14:textId="3004271B" w:rsidR="001B3AE0" w:rsidRPr="006B2CE5" w:rsidRDefault="001B3AE0" w:rsidP="00075D72">
      <w:pPr>
        <w:pStyle w:val="NumberedParagraph"/>
      </w:pPr>
      <w:r w:rsidRPr="006B2CE5">
        <w:t>There are already elements of dual income taxes in New Zealand’s current tax rules</w:t>
      </w:r>
      <w:r w:rsidR="00702353">
        <w:t xml:space="preserve">. </w:t>
      </w:r>
      <w:r w:rsidRPr="006B2CE5">
        <w:t>For example, the top marginal tax rate is now 39%</w:t>
      </w:r>
      <w:r w:rsidR="00375BD2">
        <w:t>,</w:t>
      </w:r>
      <w:r w:rsidRPr="006B2CE5">
        <w:t xml:space="preserve"> but individuals on this tax rate are taxed only at a capped tax rate of 28% if they invest into </w:t>
      </w:r>
      <w:r w:rsidR="00FA4166">
        <w:t>portfolio investment entities</w:t>
      </w:r>
      <w:r w:rsidRPr="006B2CE5">
        <w:t xml:space="preserve">. Also, income can often be taxed at less than </w:t>
      </w:r>
      <w:r w:rsidR="00FA4166">
        <w:t>a person’s</w:t>
      </w:r>
      <w:r w:rsidRPr="006B2CE5">
        <w:t xml:space="preserve"> statutory personal marginal tax rates if </w:t>
      </w:r>
      <w:r w:rsidR="00FA4166">
        <w:t>they</w:t>
      </w:r>
      <w:r w:rsidRPr="006B2CE5">
        <w:t xml:space="preserve"> invest into trusts or companies. However, with trusts and companies there is scope for sheltering both capital and labour income. A dual income tax might be one way of increasing the coherence with which different forms of income are taxed.</w:t>
      </w:r>
    </w:p>
    <w:p w14:paraId="3C151BAF" w14:textId="77777777" w:rsidR="00CE4C9E" w:rsidRPr="0009166B" w:rsidRDefault="00CE4C9E" w:rsidP="00CE4C9E">
      <w:pPr>
        <w:pStyle w:val="Heading2"/>
        <w:rPr>
          <w:rFonts w:eastAsia="Calibri"/>
          <w:lang w:eastAsia="en-US"/>
        </w:rPr>
      </w:pPr>
      <w:bookmarkStart w:id="87" w:name="_Toc112857464"/>
      <w:r>
        <w:rPr>
          <w:rFonts w:eastAsia="Calibri"/>
          <w:lang w:eastAsia="en-US"/>
        </w:rPr>
        <w:t>Views of stakeholders</w:t>
      </w:r>
      <w:bookmarkEnd w:id="87"/>
    </w:p>
    <w:p w14:paraId="2BC16CC2" w14:textId="39B94DE2" w:rsidR="00CE4C9E" w:rsidRDefault="00CE4C9E" w:rsidP="00CE4C9E">
      <w:pPr>
        <w:pStyle w:val="NumberedParagraph"/>
        <w:numPr>
          <w:ilvl w:val="1"/>
          <w:numId w:val="58"/>
        </w:numPr>
      </w:pPr>
      <w:r>
        <w:t xml:space="preserve">Business NZ </w:t>
      </w:r>
      <w:r w:rsidR="00594BB9">
        <w:t>noted that the introduction of a dual income tax system would be complex and present many detailed issues to work through</w:t>
      </w:r>
      <w:r w:rsidR="00FA4166">
        <w:t>.</w:t>
      </w:r>
      <w:r w:rsidR="00594BB9">
        <w:t xml:space="preserve"> </w:t>
      </w:r>
      <w:r w:rsidR="00FA4166">
        <w:t>They</w:t>
      </w:r>
      <w:r w:rsidR="00594BB9">
        <w:t xml:space="preserve"> raised the question of how high the personal tax rates and/or GST would need to be to compensate for a low tax rate on capital income.</w:t>
      </w:r>
      <w:r w:rsidR="000045A3">
        <w:t xml:space="preserve"> Business NZ thought that this option should not be given priority.</w:t>
      </w:r>
    </w:p>
    <w:p w14:paraId="367620E6" w14:textId="4B17E73C" w:rsidR="00CE4C9E" w:rsidRDefault="00F61552" w:rsidP="00CE4C9E">
      <w:pPr>
        <w:pStyle w:val="NumberedParagraph"/>
        <w:numPr>
          <w:ilvl w:val="1"/>
          <w:numId w:val="58"/>
        </w:numPr>
      </w:pPr>
      <w:r>
        <w:t>CA</w:t>
      </w:r>
      <w:r w:rsidR="00FA4166">
        <w:t xml:space="preserve"> </w:t>
      </w:r>
      <w:r>
        <w:t xml:space="preserve">ANZ </w:t>
      </w:r>
      <w:r w:rsidR="006130AC">
        <w:t>thought this was probably the most attractive</w:t>
      </w:r>
      <w:r w:rsidR="00FA4166">
        <w:t xml:space="preserve"> of the options</w:t>
      </w:r>
      <w:r w:rsidR="006130AC">
        <w:t xml:space="preserve">, particularly because it seemed </w:t>
      </w:r>
      <w:r w:rsidR="00FA4166">
        <w:t xml:space="preserve">to be </w:t>
      </w:r>
      <w:r w:rsidR="006130AC">
        <w:t>the most coherent overall reform.</w:t>
      </w:r>
    </w:p>
    <w:p w14:paraId="0E15F361" w14:textId="77777777" w:rsidR="001B3AE0" w:rsidRDefault="001B3AE0" w:rsidP="001B3AE0">
      <w:pPr>
        <w:spacing w:before="0"/>
        <w:jc w:val="left"/>
      </w:pPr>
    </w:p>
    <w:p w14:paraId="7C20E366" w14:textId="78B2AA4F" w:rsidR="009C5C56" w:rsidRPr="007F6362" w:rsidRDefault="00883360" w:rsidP="007F6362">
      <w:pPr>
        <w:pStyle w:val="Heading1-ExecutiveSummary"/>
      </w:pPr>
      <w:bookmarkStart w:id="88" w:name="_Toc112857465"/>
      <w:r w:rsidRPr="007F6362">
        <w:rPr>
          <w:caps w:val="0"/>
        </w:rPr>
        <w:lastRenderedPageBreak/>
        <w:t>REFERENCES</w:t>
      </w:r>
      <w:bookmarkEnd w:id="88"/>
    </w:p>
    <w:p w14:paraId="33A19CA1" w14:textId="2C670438" w:rsidR="00A62CE7" w:rsidRDefault="00A62CE7" w:rsidP="001B3AE0">
      <w:pPr>
        <w:spacing w:before="0"/>
        <w:jc w:val="left"/>
        <w:rPr>
          <w:szCs w:val="18"/>
        </w:rPr>
      </w:pPr>
      <w:r w:rsidRPr="00E35955">
        <w:rPr>
          <w:szCs w:val="18"/>
        </w:rPr>
        <w:t>Atkinson, A. and Stiglitz, J. (1976)</w:t>
      </w:r>
      <w:r>
        <w:rPr>
          <w:szCs w:val="18"/>
        </w:rPr>
        <w:t>.</w:t>
      </w:r>
      <w:r w:rsidRPr="00E35955">
        <w:rPr>
          <w:szCs w:val="18"/>
        </w:rPr>
        <w:t xml:space="preserve"> The design of the tax structure: direct versus indirect taxation</w:t>
      </w:r>
      <w:r>
        <w:rPr>
          <w:szCs w:val="18"/>
        </w:rPr>
        <w:t>.</w:t>
      </w:r>
      <w:r w:rsidRPr="00E35955">
        <w:rPr>
          <w:szCs w:val="18"/>
        </w:rPr>
        <w:t xml:space="preserve"> </w:t>
      </w:r>
      <w:r w:rsidRPr="00E35955">
        <w:rPr>
          <w:i/>
          <w:iCs/>
          <w:szCs w:val="18"/>
        </w:rPr>
        <w:t>Journal of Public Economics</w:t>
      </w:r>
      <w:r w:rsidRPr="00E35955">
        <w:rPr>
          <w:szCs w:val="18"/>
        </w:rPr>
        <w:t>, 6, 55-75</w:t>
      </w:r>
      <w:r w:rsidR="00D50A36">
        <w:rPr>
          <w:szCs w:val="18"/>
        </w:rPr>
        <w:t>.</w:t>
      </w:r>
    </w:p>
    <w:p w14:paraId="66F25FBC" w14:textId="3D35B04E" w:rsidR="00B124C4" w:rsidRDefault="00B124C4" w:rsidP="001B3AE0">
      <w:pPr>
        <w:spacing w:before="0"/>
        <w:jc w:val="left"/>
        <w:rPr>
          <w:szCs w:val="18"/>
        </w:rPr>
      </w:pPr>
      <w:r>
        <w:rPr>
          <w:szCs w:val="18"/>
        </w:rPr>
        <w:t>Auerbach,</w:t>
      </w:r>
      <w:r w:rsidR="007C3B6B">
        <w:rPr>
          <w:szCs w:val="18"/>
        </w:rPr>
        <w:t xml:space="preserve"> A.J</w:t>
      </w:r>
      <w:r w:rsidR="002467BB">
        <w:rPr>
          <w:szCs w:val="18"/>
        </w:rPr>
        <w:t>.,</w:t>
      </w:r>
      <w:r>
        <w:rPr>
          <w:szCs w:val="18"/>
        </w:rPr>
        <w:t xml:space="preserve"> Devereux</w:t>
      </w:r>
      <w:r w:rsidR="002467BB">
        <w:rPr>
          <w:szCs w:val="18"/>
        </w:rPr>
        <w:t>, M.P., K</w:t>
      </w:r>
      <w:r w:rsidR="008A00B7">
        <w:rPr>
          <w:szCs w:val="18"/>
        </w:rPr>
        <w:t>een, M. and Vella, J. (2017). Destination-</w:t>
      </w:r>
      <w:r w:rsidR="001B5B0D">
        <w:rPr>
          <w:szCs w:val="18"/>
        </w:rPr>
        <w:t>based cash flow taxation</w:t>
      </w:r>
      <w:r w:rsidR="00597468">
        <w:rPr>
          <w:szCs w:val="18"/>
        </w:rPr>
        <w:t>.</w:t>
      </w:r>
      <w:r w:rsidR="001B5B0D">
        <w:rPr>
          <w:szCs w:val="18"/>
        </w:rPr>
        <w:t xml:space="preserve"> </w:t>
      </w:r>
      <w:r w:rsidR="00797E82">
        <w:rPr>
          <w:szCs w:val="18"/>
        </w:rPr>
        <w:t xml:space="preserve">Oxford University Centre for Business Taxation, </w:t>
      </w:r>
      <w:r w:rsidR="00CF753A">
        <w:rPr>
          <w:szCs w:val="18"/>
        </w:rPr>
        <w:t xml:space="preserve">WP 17/01, </w:t>
      </w:r>
      <w:r w:rsidR="00CF753A" w:rsidRPr="00CF753A">
        <w:rPr>
          <w:szCs w:val="18"/>
        </w:rPr>
        <w:t>https://www.ccif.com.br/wp-content/uploads/2020/07/2017_AUERBACH.pdf</w:t>
      </w:r>
    </w:p>
    <w:p w14:paraId="3862D366" w14:textId="69CE6641" w:rsidR="009D2633" w:rsidRDefault="009D2633" w:rsidP="001B3AE0">
      <w:pPr>
        <w:spacing w:before="0"/>
        <w:jc w:val="left"/>
        <w:rPr>
          <w:szCs w:val="18"/>
        </w:rPr>
      </w:pPr>
      <w:proofErr w:type="spellStart"/>
      <w:r>
        <w:rPr>
          <w:szCs w:val="18"/>
        </w:rPr>
        <w:t>Bazel</w:t>
      </w:r>
      <w:proofErr w:type="spellEnd"/>
      <w:r w:rsidR="00242AD4">
        <w:rPr>
          <w:szCs w:val="18"/>
        </w:rPr>
        <w:t xml:space="preserve">, </w:t>
      </w:r>
      <w:r w:rsidR="00145522">
        <w:rPr>
          <w:szCs w:val="18"/>
        </w:rPr>
        <w:t>P.</w:t>
      </w:r>
      <w:r w:rsidR="0093671D">
        <w:rPr>
          <w:szCs w:val="18"/>
        </w:rPr>
        <w:t xml:space="preserve">, </w:t>
      </w:r>
      <w:r>
        <w:rPr>
          <w:szCs w:val="18"/>
        </w:rPr>
        <w:t>Mintz</w:t>
      </w:r>
      <w:r w:rsidR="0093671D">
        <w:rPr>
          <w:szCs w:val="18"/>
        </w:rPr>
        <w:t>, J.</w:t>
      </w:r>
      <w:r w:rsidR="00242AD4">
        <w:rPr>
          <w:szCs w:val="18"/>
        </w:rPr>
        <w:t xml:space="preserve"> and Thompson</w:t>
      </w:r>
      <w:r w:rsidR="0093671D">
        <w:rPr>
          <w:szCs w:val="18"/>
        </w:rPr>
        <w:t>,</w:t>
      </w:r>
      <w:r w:rsidR="00314955">
        <w:rPr>
          <w:szCs w:val="18"/>
        </w:rPr>
        <w:t xml:space="preserve"> A</w:t>
      </w:r>
      <w:r w:rsidR="00926D82">
        <w:rPr>
          <w:szCs w:val="18"/>
        </w:rPr>
        <w:t>. (2018). 2017 tax competitiveness report: the calm before the stor</w:t>
      </w:r>
      <w:r w:rsidR="009A4A0B">
        <w:rPr>
          <w:szCs w:val="18"/>
        </w:rPr>
        <w:t>m. University of Canada, SPP Research Paper, Vol 11:17.</w:t>
      </w:r>
    </w:p>
    <w:p w14:paraId="78083386" w14:textId="39E391FA" w:rsidR="00342064" w:rsidRDefault="00342064" w:rsidP="001B3AE0">
      <w:pPr>
        <w:spacing w:before="0"/>
        <w:jc w:val="left"/>
        <w:rPr>
          <w:lang w:val="en-US"/>
        </w:rPr>
      </w:pPr>
      <w:proofErr w:type="spellStart"/>
      <w:r>
        <w:rPr>
          <w:szCs w:val="18"/>
        </w:rPr>
        <w:t>Bazel</w:t>
      </w:r>
      <w:proofErr w:type="spellEnd"/>
      <w:r w:rsidR="004D4385">
        <w:rPr>
          <w:szCs w:val="18"/>
        </w:rPr>
        <w:t xml:space="preserve">, P. </w:t>
      </w:r>
      <w:r>
        <w:rPr>
          <w:szCs w:val="18"/>
        </w:rPr>
        <w:t xml:space="preserve"> and Mintz, </w:t>
      </w:r>
      <w:r w:rsidR="004D4385">
        <w:rPr>
          <w:szCs w:val="18"/>
        </w:rPr>
        <w:t>J. (</w:t>
      </w:r>
      <w:r>
        <w:rPr>
          <w:szCs w:val="18"/>
        </w:rPr>
        <w:t>2021</w:t>
      </w:r>
      <w:r w:rsidR="004D4385">
        <w:rPr>
          <w:szCs w:val="18"/>
        </w:rPr>
        <w:t xml:space="preserve">), </w:t>
      </w:r>
      <w:r w:rsidR="00752E5B">
        <w:rPr>
          <w:szCs w:val="18"/>
        </w:rPr>
        <w:t>2020 tax competitiveness report: Canada’s investment challenge</w:t>
      </w:r>
      <w:r w:rsidR="00597468">
        <w:rPr>
          <w:szCs w:val="18"/>
        </w:rPr>
        <w:t xml:space="preserve">. </w:t>
      </w:r>
      <w:r w:rsidR="006F5D06">
        <w:rPr>
          <w:szCs w:val="18"/>
        </w:rPr>
        <w:t>University of Canada, SPP Research Paper, Vol 14:21.</w:t>
      </w:r>
    </w:p>
    <w:p w14:paraId="2EC1F3A3" w14:textId="5A029EAF" w:rsidR="003F21E6" w:rsidRDefault="003F21E6" w:rsidP="001B3AE0">
      <w:pPr>
        <w:spacing w:before="0"/>
        <w:jc w:val="left"/>
        <w:rPr>
          <w:szCs w:val="18"/>
        </w:rPr>
      </w:pPr>
      <w:r>
        <w:rPr>
          <w:lang w:val="en-US"/>
        </w:rPr>
        <w:t xml:space="preserve">Bond, S.R. and Devereux, M. P. (1995) ‘On the design of a neutral business tax under uncertainty’, </w:t>
      </w:r>
      <w:r>
        <w:rPr>
          <w:i/>
          <w:iCs/>
          <w:lang w:val="en-US"/>
        </w:rPr>
        <w:t>Journal of Public Economics</w:t>
      </w:r>
      <w:r>
        <w:rPr>
          <w:lang w:val="en-US"/>
        </w:rPr>
        <w:t>, Vol. 58, 57-71.</w:t>
      </w:r>
    </w:p>
    <w:p w14:paraId="4506F3BA" w14:textId="61AC8E47" w:rsidR="009C5C56" w:rsidRDefault="000E4C48" w:rsidP="001B3AE0">
      <w:pPr>
        <w:spacing w:before="0"/>
        <w:jc w:val="left"/>
        <w:rPr>
          <w:szCs w:val="18"/>
        </w:rPr>
      </w:pPr>
      <w:r w:rsidRPr="00C9164E">
        <w:rPr>
          <w:szCs w:val="18"/>
        </w:rPr>
        <w:t xml:space="preserve">Buettner, T., </w:t>
      </w:r>
      <w:proofErr w:type="spellStart"/>
      <w:r w:rsidRPr="00C9164E">
        <w:rPr>
          <w:szCs w:val="18"/>
        </w:rPr>
        <w:t>Overesch</w:t>
      </w:r>
      <w:proofErr w:type="spellEnd"/>
      <w:r w:rsidRPr="00C9164E">
        <w:rPr>
          <w:szCs w:val="18"/>
        </w:rPr>
        <w:t xml:space="preserve">, M., &amp; </w:t>
      </w:r>
      <w:proofErr w:type="spellStart"/>
      <w:r w:rsidRPr="00C9164E">
        <w:rPr>
          <w:szCs w:val="18"/>
        </w:rPr>
        <w:t>Wamser</w:t>
      </w:r>
      <w:proofErr w:type="spellEnd"/>
      <w:r w:rsidRPr="00C9164E">
        <w:rPr>
          <w:szCs w:val="18"/>
        </w:rPr>
        <w:t>, G. (2014)</w:t>
      </w:r>
      <w:r>
        <w:rPr>
          <w:szCs w:val="18"/>
        </w:rPr>
        <w:t>.</w:t>
      </w:r>
      <w:r w:rsidRPr="00C9164E">
        <w:rPr>
          <w:szCs w:val="18"/>
        </w:rPr>
        <w:t xml:space="preserve"> </w:t>
      </w:r>
      <w:r w:rsidRPr="00C9164E">
        <w:rPr>
          <w:i/>
          <w:iCs/>
          <w:szCs w:val="18"/>
        </w:rPr>
        <w:t>Anti profit-shifting rules and foreign direct investment,</w:t>
      </w:r>
      <w:r w:rsidRPr="00C9164E">
        <w:rPr>
          <w:szCs w:val="18"/>
        </w:rPr>
        <w:t xml:space="preserve"> </w:t>
      </w:r>
      <w:proofErr w:type="spellStart"/>
      <w:r w:rsidRPr="00C9164E">
        <w:rPr>
          <w:szCs w:val="18"/>
        </w:rPr>
        <w:t>CESifo</w:t>
      </w:r>
      <w:proofErr w:type="spellEnd"/>
      <w:r w:rsidRPr="00C9164E">
        <w:rPr>
          <w:szCs w:val="18"/>
        </w:rPr>
        <w:t xml:space="preserve"> Working Paper, No. 4710, </w:t>
      </w:r>
      <w:proofErr w:type="spellStart"/>
      <w:r w:rsidRPr="00C9164E">
        <w:rPr>
          <w:szCs w:val="18"/>
        </w:rPr>
        <w:t>Center</w:t>
      </w:r>
      <w:proofErr w:type="spellEnd"/>
      <w:r w:rsidRPr="00C9164E">
        <w:rPr>
          <w:szCs w:val="18"/>
        </w:rPr>
        <w:t xml:space="preserve"> for Economic Studies and </w:t>
      </w:r>
      <w:proofErr w:type="spellStart"/>
      <w:r w:rsidRPr="00C9164E">
        <w:rPr>
          <w:szCs w:val="18"/>
        </w:rPr>
        <w:t>ifo</w:t>
      </w:r>
      <w:proofErr w:type="spellEnd"/>
      <w:r w:rsidRPr="00C9164E">
        <w:rPr>
          <w:szCs w:val="18"/>
        </w:rPr>
        <w:t xml:space="preserve"> Institute (</w:t>
      </w:r>
      <w:proofErr w:type="spellStart"/>
      <w:r w:rsidRPr="00C9164E">
        <w:rPr>
          <w:szCs w:val="18"/>
        </w:rPr>
        <w:t>CESifo</w:t>
      </w:r>
      <w:proofErr w:type="spellEnd"/>
      <w:r w:rsidRPr="00C9164E">
        <w:rPr>
          <w:szCs w:val="18"/>
        </w:rPr>
        <w:t>), Munich.</w:t>
      </w:r>
    </w:p>
    <w:p w14:paraId="640932A9" w14:textId="2B29CDF5" w:rsidR="00D50A36" w:rsidRDefault="00D50A36" w:rsidP="001B3AE0">
      <w:pPr>
        <w:spacing w:before="0"/>
        <w:jc w:val="left"/>
      </w:pPr>
      <w:proofErr w:type="spellStart"/>
      <w:r w:rsidRPr="00E35955">
        <w:rPr>
          <w:szCs w:val="18"/>
        </w:rPr>
        <w:t>Chamley</w:t>
      </w:r>
      <w:proofErr w:type="spellEnd"/>
      <w:r w:rsidRPr="00E35955">
        <w:rPr>
          <w:szCs w:val="18"/>
        </w:rPr>
        <w:t>, C. (1986)</w:t>
      </w:r>
      <w:r>
        <w:rPr>
          <w:szCs w:val="18"/>
        </w:rPr>
        <w:t>.</w:t>
      </w:r>
      <w:r w:rsidRPr="00E35955">
        <w:rPr>
          <w:szCs w:val="18"/>
        </w:rPr>
        <w:t xml:space="preserve"> Optimal taxation of capital income in general equilibrium with infinite lives</w:t>
      </w:r>
      <w:r>
        <w:rPr>
          <w:szCs w:val="18"/>
        </w:rPr>
        <w:t>.</w:t>
      </w:r>
      <w:r w:rsidRPr="00E35955">
        <w:rPr>
          <w:szCs w:val="18"/>
        </w:rPr>
        <w:t xml:space="preserve"> </w:t>
      </w:r>
      <w:proofErr w:type="spellStart"/>
      <w:r w:rsidRPr="00E35955">
        <w:rPr>
          <w:i/>
          <w:iCs/>
          <w:szCs w:val="18"/>
        </w:rPr>
        <w:t>Econometrica</w:t>
      </w:r>
      <w:proofErr w:type="spellEnd"/>
      <w:r w:rsidRPr="00E35955">
        <w:rPr>
          <w:szCs w:val="18"/>
        </w:rPr>
        <w:t>, 54, 607-622</w:t>
      </w:r>
      <w:r w:rsidR="00195925">
        <w:rPr>
          <w:szCs w:val="18"/>
        </w:rPr>
        <w:t>.</w:t>
      </w:r>
    </w:p>
    <w:p w14:paraId="31FE3C3E" w14:textId="09EE2A12" w:rsidR="00BA69C1" w:rsidRDefault="003F63DA" w:rsidP="001B3AE0">
      <w:pPr>
        <w:spacing w:before="0"/>
        <w:jc w:val="left"/>
      </w:pPr>
      <w:r w:rsidRPr="0016501C">
        <w:rPr>
          <w:szCs w:val="18"/>
          <w:lang w:val="en-US"/>
        </w:rPr>
        <w:t>Chen, D and J. Mintz</w:t>
      </w:r>
      <w:r>
        <w:rPr>
          <w:szCs w:val="18"/>
          <w:lang w:val="en-US"/>
        </w:rPr>
        <w:t>.</w:t>
      </w:r>
      <w:r w:rsidRPr="0016501C">
        <w:rPr>
          <w:szCs w:val="18"/>
          <w:lang w:val="en-US"/>
        </w:rPr>
        <w:t xml:space="preserve"> </w:t>
      </w:r>
      <w:r>
        <w:rPr>
          <w:szCs w:val="18"/>
          <w:lang w:val="en-US"/>
        </w:rPr>
        <w:t>(</w:t>
      </w:r>
      <w:r w:rsidRPr="0016501C">
        <w:rPr>
          <w:szCs w:val="18"/>
          <w:lang w:val="en-US"/>
        </w:rPr>
        <w:t>2009</w:t>
      </w:r>
      <w:r>
        <w:rPr>
          <w:szCs w:val="18"/>
          <w:lang w:val="en-US"/>
        </w:rPr>
        <w:t>).</w:t>
      </w:r>
      <w:r w:rsidRPr="0016501C">
        <w:rPr>
          <w:szCs w:val="18"/>
          <w:lang w:val="en-US"/>
        </w:rPr>
        <w:t xml:space="preserve"> </w:t>
      </w:r>
      <w:r w:rsidRPr="000E30EE">
        <w:rPr>
          <w:i/>
          <w:iCs/>
          <w:szCs w:val="18"/>
          <w:lang w:val="en-US"/>
        </w:rPr>
        <w:t>Capital taxation in New Zealand: a review from an international perspective</w:t>
      </w:r>
      <w:r>
        <w:rPr>
          <w:szCs w:val="18"/>
          <w:lang w:val="en-US"/>
        </w:rPr>
        <w:t>.</w:t>
      </w:r>
      <w:r>
        <w:rPr>
          <w:szCs w:val="18"/>
          <w:lang w:val="en-US"/>
        </w:rPr>
        <w:br/>
      </w:r>
      <w:hyperlink r:id="rId24" w:history="1">
        <w:r w:rsidRPr="0016501C">
          <w:rPr>
            <w:rStyle w:val="Hyperlink"/>
            <w:szCs w:val="18"/>
            <w:lang w:val="en-US"/>
          </w:rPr>
          <w:t>https://www.wgtn.ac.nz/cagtr/events/past-events/tax-working-group-2009/publications/4-capital-taxation-in-nz-intl-perspective.pdf</w:t>
        </w:r>
      </w:hyperlink>
    </w:p>
    <w:p w14:paraId="73107222" w14:textId="7C237B66" w:rsidR="00A11BCD" w:rsidRDefault="00A11BCD" w:rsidP="001B3AE0">
      <w:pPr>
        <w:spacing w:before="0"/>
        <w:jc w:val="left"/>
      </w:pPr>
      <w:r w:rsidRPr="001A7780">
        <w:rPr>
          <w:szCs w:val="18"/>
        </w:rPr>
        <w:t>De Mooij, R. &amp; Ederveen, S. (2003)</w:t>
      </w:r>
      <w:r>
        <w:rPr>
          <w:szCs w:val="18"/>
        </w:rPr>
        <w:t>.</w:t>
      </w:r>
      <w:r w:rsidRPr="001A7780">
        <w:rPr>
          <w:szCs w:val="18"/>
        </w:rPr>
        <w:t xml:space="preserve"> Taxation and foreign direct investment: a synthesis of empirical research</w:t>
      </w:r>
      <w:r>
        <w:rPr>
          <w:szCs w:val="18"/>
        </w:rPr>
        <w:t>.</w:t>
      </w:r>
      <w:r w:rsidRPr="001A7780">
        <w:rPr>
          <w:szCs w:val="18"/>
        </w:rPr>
        <w:t xml:space="preserve"> </w:t>
      </w:r>
      <w:r w:rsidRPr="001A7780">
        <w:rPr>
          <w:i/>
          <w:iCs/>
          <w:szCs w:val="18"/>
        </w:rPr>
        <w:t>International Tax and Public Finance</w:t>
      </w:r>
      <w:r w:rsidRPr="001A7780">
        <w:rPr>
          <w:szCs w:val="18"/>
        </w:rPr>
        <w:t>, Vol. 10, 673-693.</w:t>
      </w:r>
    </w:p>
    <w:p w14:paraId="59DB1F5F" w14:textId="63114D97" w:rsidR="00DD2D5D" w:rsidRDefault="00DD2D5D" w:rsidP="001B3AE0">
      <w:pPr>
        <w:spacing w:before="0"/>
        <w:jc w:val="left"/>
      </w:pPr>
      <w:r w:rsidRPr="00C9164E">
        <w:rPr>
          <w:szCs w:val="18"/>
        </w:rPr>
        <w:t>De Mooij, R. &amp; Liu, L. (2021)</w:t>
      </w:r>
      <w:r>
        <w:rPr>
          <w:szCs w:val="18"/>
        </w:rPr>
        <w:t>.</w:t>
      </w:r>
      <w:r w:rsidRPr="00C9164E">
        <w:rPr>
          <w:szCs w:val="18"/>
        </w:rPr>
        <w:t xml:space="preserve"> </w:t>
      </w:r>
      <w:r w:rsidRPr="00C9164E">
        <w:rPr>
          <w:i/>
          <w:iCs/>
          <w:szCs w:val="18"/>
        </w:rPr>
        <w:t>At a cost: the real effects of thin capitalisation rules,</w:t>
      </w:r>
      <w:r w:rsidRPr="00C9164E">
        <w:rPr>
          <w:szCs w:val="18"/>
        </w:rPr>
        <w:t xml:space="preserve"> IMF Working Paper WP/21/23.</w:t>
      </w:r>
    </w:p>
    <w:p w14:paraId="4DAEB4DE" w14:textId="3DBFC61F" w:rsidR="009C5C56" w:rsidRDefault="003579D4" w:rsidP="001B3AE0">
      <w:pPr>
        <w:spacing w:before="0"/>
        <w:jc w:val="left"/>
      </w:pPr>
      <w:r w:rsidRPr="001A7780">
        <w:rPr>
          <w:szCs w:val="18"/>
        </w:rPr>
        <w:t>Doan, T., Maré, D. &amp; Iyer, K. (2015)</w:t>
      </w:r>
      <w:r>
        <w:rPr>
          <w:szCs w:val="18"/>
        </w:rPr>
        <w:t>.</w:t>
      </w:r>
      <w:r w:rsidRPr="001A7780">
        <w:rPr>
          <w:szCs w:val="18"/>
        </w:rPr>
        <w:t xml:space="preserve"> Productivity spillovers from foreign direct investment in New Zealand</w:t>
      </w:r>
      <w:r>
        <w:rPr>
          <w:szCs w:val="18"/>
        </w:rPr>
        <w:t>.</w:t>
      </w:r>
      <w:r w:rsidRPr="001A7780">
        <w:rPr>
          <w:szCs w:val="18"/>
        </w:rPr>
        <w:t xml:space="preserve"> </w:t>
      </w:r>
      <w:r w:rsidRPr="001A7780">
        <w:rPr>
          <w:i/>
          <w:iCs/>
          <w:szCs w:val="18"/>
        </w:rPr>
        <w:t>New Zealand Economic Papers</w:t>
      </w:r>
      <w:r w:rsidRPr="001A7780">
        <w:rPr>
          <w:szCs w:val="18"/>
        </w:rPr>
        <w:t>, Vol. 49, No. 3, 249-75.</w:t>
      </w:r>
    </w:p>
    <w:p w14:paraId="55A788D8" w14:textId="022D11A9" w:rsidR="00DF3A05" w:rsidRDefault="00DF3A05" w:rsidP="001B3AE0">
      <w:pPr>
        <w:spacing w:before="0"/>
        <w:jc w:val="left"/>
      </w:pPr>
      <w:r w:rsidRPr="001A7780">
        <w:rPr>
          <w:szCs w:val="18"/>
          <w:lang w:val="en-US"/>
        </w:rPr>
        <w:t>Fabling, R. &amp; Sanderson, L. (2014)</w:t>
      </w:r>
      <w:r>
        <w:rPr>
          <w:szCs w:val="18"/>
          <w:lang w:val="en-US"/>
        </w:rPr>
        <w:t>.</w:t>
      </w:r>
      <w:r w:rsidRPr="001A7780">
        <w:rPr>
          <w:szCs w:val="18"/>
          <w:lang w:val="en-US"/>
        </w:rPr>
        <w:t xml:space="preserve"> Foreign acquisition and the performance of New Zealand firms</w:t>
      </w:r>
      <w:r>
        <w:rPr>
          <w:szCs w:val="18"/>
          <w:lang w:val="en-US"/>
        </w:rPr>
        <w:t>.</w:t>
      </w:r>
      <w:r w:rsidRPr="001A7780">
        <w:rPr>
          <w:szCs w:val="18"/>
          <w:lang w:val="en-US"/>
        </w:rPr>
        <w:t xml:space="preserve"> </w:t>
      </w:r>
      <w:r w:rsidRPr="001A7780">
        <w:rPr>
          <w:i/>
          <w:iCs/>
          <w:szCs w:val="18"/>
          <w:lang w:val="en-US"/>
        </w:rPr>
        <w:t>New Zealand Economic Papers</w:t>
      </w:r>
      <w:r w:rsidRPr="001A7780">
        <w:rPr>
          <w:szCs w:val="18"/>
          <w:lang w:val="en-US"/>
        </w:rPr>
        <w:t>, Vol. 48, No. 1, 1-20.</w:t>
      </w:r>
    </w:p>
    <w:p w14:paraId="3E7D0E90" w14:textId="45E6B1D4" w:rsidR="007F2213" w:rsidRDefault="007F2213" w:rsidP="001B3AE0">
      <w:pPr>
        <w:spacing w:before="0"/>
        <w:jc w:val="left"/>
      </w:pPr>
      <w:r w:rsidRPr="00733082">
        <w:rPr>
          <w:szCs w:val="18"/>
          <w:lang w:val="en-US"/>
        </w:rPr>
        <w:t>Freebairn, J. (2015)</w:t>
      </w:r>
      <w:r>
        <w:rPr>
          <w:szCs w:val="18"/>
          <w:lang w:val="en-US"/>
        </w:rPr>
        <w:t>.</w:t>
      </w:r>
      <w:r w:rsidRPr="00733082">
        <w:rPr>
          <w:szCs w:val="18"/>
          <w:lang w:val="en-US"/>
        </w:rPr>
        <w:t xml:space="preserve"> Who pays the Australian corporate income tax? </w:t>
      </w:r>
      <w:r w:rsidRPr="00733082">
        <w:rPr>
          <w:i/>
          <w:iCs/>
          <w:szCs w:val="18"/>
          <w:lang w:val="en-US"/>
        </w:rPr>
        <w:t>The Australian Economic Review</w:t>
      </w:r>
      <w:r w:rsidRPr="00733082">
        <w:rPr>
          <w:szCs w:val="18"/>
          <w:lang w:val="en-US"/>
        </w:rPr>
        <w:t>, Vol. 48, No. 4, 357-68.</w:t>
      </w:r>
    </w:p>
    <w:p w14:paraId="20A7479A" w14:textId="23939037" w:rsidR="009C5C56" w:rsidRDefault="0038745D" w:rsidP="001B3AE0">
      <w:pPr>
        <w:spacing w:before="0"/>
        <w:jc w:val="left"/>
        <w:rPr>
          <w:szCs w:val="18"/>
          <w:lang w:val="en-US"/>
        </w:rPr>
      </w:pPr>
      <w:r w:rsidRPr="001A7780">
        <w:rPr>
          <w:szCs w:val="18"/>
          <w:lang w:val="en-US"/>
        </w:rPr>
        <w:t>Gordon, R.H. &amp; Hines Jr., J.R. (2002)</w:t>
      </w:r>
      <w:r>
        <w:rPr>
          <w:szCs w:val="18"/>
          <w:lang w:val="en-US"/>
        </w:rPr>
        <w:t>.</w:t>
      </w:r>
      <w:r w:rsidRPr="001A7780">
        <w:rPr>
          <w:szCs w:val="18"/>
          <w:lang w:val="en-US"/>
        </w:rPr>
        <w:t xml:space="preserve"> </w:t>
      </w:r>
      <w:r w:rsidRPr="000E30EE">
        <w:rPr>
          <w:i/>
          <w:iCs/>
          <w:szCs w:val="18"/>
          <w:lang w:val="en-US"/>
        </w:rPr>
        <w:t>Chapter 28 - International Taxation</w:t>
      </w:r>
      <w:r w:rsidRPr="001A7780">
        <w:rPr>
          <w:szCs w:val="18"/>
          <w:lang w:val="en-US"/>
        </w:rPr>
        <w:t xml:space="preserve">, in A.J. Auerbach &amp; M.S Feldstein (Eds.), </w:t>
      </w:r>
      <w:r w:rsidRPr="001A7780">
        <w:rPr>
          <w:i/>
          <w:iCs/>
          <w:szCs w:val="18"/>
          <w:lang w:val="en-US"/>
        </w:rPr>
        <w:t>Handbook of Public Economics: Volume 4</w:t>
      </w:r>
      <w:r w:rsidRPr="001A7780">
        <w:rPr>
          <w:szCs w:val="18"/>
          <w:lang w:val="en-US"/>
        </w:rPr>
        <w:t>, North Holland.</w:t>
      </w:r>
    </w:p>
    <w:p w14:paraId="5AE03AFF" w14:textId="7ED1906A" w:rsidR="00CB4460" w:rsidRDefault="003629B6" w:rsidP="001B3AE0">
      <w:pPr>
        <w:spacing w:before="0"/>
        <w:jc w:val="left"/>
        <w:rPr>
          <w:szCs w:val="18"/>
          <w:lang w:val="en-US"/>
        </w:rPr>
      </w:pPr>
      <w:r w:rsidRPr="00235969">
        <w:rPr>
          <w:szCs w:val="18"/>
        </w:rPr>
        <w:t xml:space="preserve">Griffith, R., Hines, J., and </w:t>
      </w:r>
      <w:proofErr w:type="spellStart"/>
      <w:r w:rsidR="00AA2412">
        <w:rPr>
          <w:szCs w:val="18"/>
        </w:rPr>
        <w:t>Sørensen</w:t>
      </w:r>
      <w:proofErr w:type="spellEnd"/>
      <w:r w:rsidRPr="00235969">
        <w:rPr>
          <w:szCs w:val="18"/>
        </w:rPr>
        <w:t>, P. B. (2010)</w:t>
      </w:r>
      <w:r>
        <w:rPr>
          <w:szCs w:val="18"/>
        </w:rPr>
        <w:t>.</w:t>
      </w:r>
      <w:r w:rsidRPr="00235969">
        <w:rPr>
          <w:szCs w:val="18"/>
        </w:rPr>
        <w:t xml:space="preserve"> International Capital Taxation, in J. Mirrlees (ed.), </w:t>
      </w:r>
      <w:r w:rsidRPr="00235969">
        <w:rPr>
          <w:i/>
          <w:iCs/>
          <w:szCs w:val="18"/>
        </w:rPr>
        <w:t>Dimensions of tax design</w:t>
      </w:r>
      <w:r w:rsidRPr="00235969">
        <w:rPr>
          <w:szCs w:val="18"/>
        </w:rPr>
        <w:t xml:space="preserve"> (pp. 914-996), Oxford University Press.</w:t>
      </w:r>
    </w:p>
    <w:p w14:paraId="5C4901D0" w14:textId="77D7811E" w:rsidR="00594661" w:rsidRPr="00F67B7F" w:rsidRDefault="00594661" w:rsidP="001B3AE0">
      <w:pPr>
        <w:spacing w:before="0"/>
        <w:jc w:val="left"/>
        <w:rPr>
          <w:lang w:val="en-US"/>
        </w:rPr>
      </w:pPr>
      <w:r w:rsidRPr="008915C4">
        <w:rPr>
          <w:rStyle w:val="FooterChar"/>
          <w:sz w:val="20"/>
        </w:rPr>
        <w:t xml:space="preserve">Hanappi, T. (2018). Corporate effective tax rates: model description and results from 36 OECD and non-OECD countries. </w:t>
      </w:r>
      <w:r w:rsidRPr="008915C4">
        <w:rPr>
          <w:rStyle w:val="FooterChar"/>
          <w:i/>
          <w:iCs/>
          <w:sz w:val="20"/>
        </w:rPr>
        <w:t>OECD Taxation Working Papers No. 38</w:t>
      </w:r>
      <w:r w:rsidRPr="008915C4">
        <w:rPr>
          <w:rStyle w:val="FooterChar"/>
          <w:sz w:val="20"/>
        </w:rPr>
        <w:t xml:space="preserve">. </w:t>
      </w:r>
      <w:hyperlink r:id="rId25" w:history="1">
        <w:r w:rsidRPr="00E55636">
          <w:rPr>
            <w:rStyle w:val="Hyperlink"/>
          </w:rPr>
          <w:t>https://www.oecd-ilibra</w:t>
        </w:r>
        <w:r w:rsidRPr="00B11E65">
          <w:rPr>
            <w:rStyle w:val="Hyperlink"/>
          </w:rPr>
          <w:t>ry.org/taxation/corporate-effective-tax-rates_a07f9958-en</w:t>
        </w:r>
      </w:hyperlink>
    </w:p>
    <w:p w14:paraId="4E621A27" w14:textId="249229C7" w:rsidR="00283DF9" w:rsidRDefault="00283DF9" w:rsidP="001B3AE0">
      <w:pPr>
        <w:spacing w:before="0"/>
        <w:jc w:val="left"/>
        <w:rPr>
          <w:szCs w:val="18"/>
        </w:rPr>
      </w:pPr>
      <w:proofErr w:type="spellStart"/>
      <w:r w:rsidRPr="00733082">
        <w:rPr>
          <w:szCs w:val="18"/>
        </w:rPr>
        <w:t>Hassett</w:t>
      </w:r>
      <w:proofErr w:type="spellEnd"/>
      <w:r w:rsidRPr="00733082">
        <w:rPr>
          <w:szCs w:val="18"/>
        </w:rPr>
        <w:t>, K.A. and Hubbard, R.G. (2002)</w:t>
      </w:r>
      <w:r>
        <w:rPr>
          <w:szCs w:val="18"/>
        </w:rPr>
        <w:t>.</w:t>
      </w:r>
      <w:r w:rsidRPr="00733082">
        <w:rPr>
          <w:szCs w:val="18"/>
        </w:rPr>
        <w:t xml:space="preserve"> Tax policy and investment </w:t>
      </w:r>
      <w:proofErr w:type="spellStart"/>
      <w:r w:rsidRPr="00733082">
        <w:rPr>
          <w:szCs w:val="18"/>
        </w:rPr>
        <w:t>behavior</w:t>
      </w:r>
      <w:proofErr w:type="spellEnd"/>
      <w:r>
        <w:rPr>
          <w:szCs w:val="18"/>
        </w:rPr>
        <w:t>.</w:t>
      </w:r>
      <w:r w:rsidRPr="00733082">
        <w:rPr>
          <w:szCs w:val="18"/>
        </w:rPr>
        <w:t xml:space="preserve"> Chapter 20, in A.J. Auerbach and M.S. Feldstein (Eds.), </w:t>
      </w:r>
      <w:r w:rsidRPr="00733082">
        <w:rPr>
          <w:i/>
          <w:iCs/>
          <w:szCs w:val="18"/>
        </w:rPr>
        <w:t>Handbook of Public Economics</w:t>
      </w:r>
      <w:r w:rsidRPr="00733082">
        <w:rPr>
          <w:szCs w:val="18"/>
        </w:rPr>
        <w:t>, Vol. 3, North Holland.</w:t>
      </w:r>
    </w:p>
    <w:p w14:paraId="7117D18E" w14:textId="39CF1D90" w:rsidR="003540CB" w:rsidRDefault="003540CB" w:rsidP="001B3AE0">
      <w:pPr>
        <w:spacing w:before="0"/>
        <w:jc w:val="left"/>
        <w:rPr>
          <w:szCs w:val="18"/>
        </w:rPr>
      </w:pPr>
      <w:r w:rsidRPr="009D545F">
        <w:rPr>
          <w:szCs w:val="18"/>
        </w:rPr>
        <w:lastRenderedPageBreak/>
        <w:t>Hebous, S. and Klemm, A. (2019)</w:t>
      </w:r>
      <w:r>
        <w:rPr>
          <w:szCs w:val="18"/>
        </w:rPr>
        <w:t>.</w:t>
      </w:r>
      <w:r w:rsidRPr="009D545F">
        <w:rPr>
          <w:szCs w:val="18"/>
        </w:rPr>
        <w:t xml:space="preserve"> A destination-based allowance for corporate equity</w:t>
      </w:r>
      <w:r>
        <w:rPr>
          <w:szCs w:val="18"/>
        </w:rPr>
        <w:t>.</w:t>
      </w:r>
      <w:r w:rsidRPr="009D545F">
        <w:rPr>
          <w:szCs w:val="18"/>
        </w:rPr>
        <w:t xml:space="preserve"> </w:t>
      </w:r>
      <w:r w:rsidRPr="009D545F">
        <w:rPr>
          <w:i/>
          <w:iCs/>
          <w:szCs w:val="18"/>
        </w:rPr>
        <w:t xml:space="preserve">International Tax and Public Finance </w:t>
      </w:r>
      <w:r w:rsidRPr="009D545F">
        <w:rPr>
          <w:szCs w:val="18"/>
        </w:rPr>
        <w:t>(2020) 27:753-777.</w:t>
      </w:r>
    </w:p>
    <w:p w14:paraId="4FC0847E" w14:textId="27A7BED3" w:rsidR="00F11033" w:rsidRDefault="00F11033" w:rsidP="001B3AE0">
      <w:pPr>
        <w:spacing w:before="0"/>
        <w:jc w:val="left"/>
      </w:pPr>
      <w:r w:rsidRPr="004078DE">
        <w:rPr>
          <w:szCs w:val="18"/>
        </w:rPr>
        <w:t>Hebous, S. and Ruf, M. (2017)</w:t>
      </w:r>
      <w:r>
        <w:rPr>
          <w:szCs w:val="18"/>
        </w:rPr>
        <w:t>.</w:t>
      </w:r>
      <w:r w:rsidRPr="004078DE">
        <w:rPr>
          <w:szCs w:val="18"/>
        </w:rPr>
        <w:t xml:space="preserve"> Evaluating the effects of ACE systems on multinational debt financing and investment</w:t>
      </w:r>
      <w:r>
        <w:rPr>
          <w:szCs w:val="18"/>
        </w:rPr>
        <w:t>.</w:t>
      </w:r>
      <w:r w:rsidRPr="004078DE">
        <w:rPr>
          <w:szCs w:val="18"/>
        </w:rPr>
        <w:t xml:space="preserve"> </w:t>
      </w:r>
      <w:r w:rsidRPr="004078DE">
        <w:rPr>
          <w:i/>
          <w:iCs/>
          <w:szCs w:val="18"/>
        </w:rPr>
        <w:t>Journal of Public Economics, 156</w:t>
      </w:r>
      <w:r w:rsidRPr="004078DE">
        <w:rPr>
          <w:szCs w:val="18"/>
        </w:rPr>
        <w:t>, 131-149.</w:t>
      </w:r>
    </w:p>
    <w:p w14:paraId="27C1CF01" w14:textId="214AEE1C" w:rsidR="006A67F0" w:rsidRDefault="006A67F0" w:rsidP="001B3AE0">
      <w:pPr>
        <w:spacing w:before="0"/>
        <w:jc w:val="left"/>
      </w:pPr>
      <w:r w:rsidRPr="001A7780">
        <w:rPr>
          <w:szCs w:val="18"/>
          <w:lang w:val="en-US"/>
        </w:rPr>
        <w:t>Hines, J. (1999)</w:t>
      </w:r>
      <w:r>
        <w:rPr>
          <w:szCs w:val="18"/>
          <w:lang w:val="en-US"/>
        </w:rPr>
        <w:t>.</w:t>
      </w:r>
      <w:r w:rsidRPr="001A7780">
        <w:rPr>
          <w:szCs w:val="18"/>
          <w:lang w:val="en-US"/>
        </w:rPr>
        <w:t xml:space="preserve"> Lessons from behavioral responses to international taxation</w:t>
      </w:r>
      <w:r>
        <w:rPr>
          <w:szCs w:val="18"/>
          <w:lang w:val="en-US"/>
        </w:rPr>
        <w:t>.</w:t>
      </w:r>
      <w:r w:rsidRPr="001A7780">
        <w:rPr>
          <w:szCs w:val="18"/>
          <w:lang w:val="en-US"/>
        </w:rPr>
        <w:t xml:space="preserve"> </w:t>
      </w:r>
      <w:r w:rsidRPr="001A7780">
        <w:rPr>
          <w:i/>
          <w:iCs/>
          <w:szCs w:val="18"/>
          <w:lang w:val="en-US"/>
        </w:rPr>
        <w:t>National Tax Journal</w:t>
      </w:r>
      <w:r w:rsidRPr="001A7780">
        <w:rPr>
          <w:szCs w:val="18"/>
          <w:lang w:val="en-US"/>
        </w:rPr>
        <w:t>, Vol. 52, No. 2, 305-322.</w:t>
      </w:r>
    </w:p>
    <w:p w14:paraId="6C37BFC3" w14:textId="3CCBB420" w:rsidR="0074163D" w:rsidRDefault="00907EA0" w:rsidP="001B3AE0">
      <w:pPr>
        <w:spacing w:before="0"/>
        <w:jc w:val="left"/>
        <w:rPr>
          <w:szCs w:val="18"/>
        </w:rPr>
      </w:pPr>
      <w:r w:rsidRPr="00844E24">
        <w:rPr>
          <w:szCs w:val="18"/>
          <w:lang w:val="en-US"/>
        </w:rPr>
        <w:t>Inland Revenue and Treasury</w:t>
      </w:r>
      <w:r>
        <w:rPr>
          <w:szCs w:val="18"/>
          <w:lang w:val="en-US"/>
        </w:rPr>
        <w:t>.</w:t>
      </w:r>
      <w:r w:rsidRPr="00844E24">
        <w:rPr>
          <w:szCs w:val="18"/>
          <w:lang w:val="en-US"/>
        </w:rPr>
        <w:t xml:space="preserve"> (2009)</w:t>
      </w:r>
      <w:r>
        <w:rPr>
          <w:szCs w:val="18"/>
          <w:lang w:val="en-US"/>
        </w:rPr>
        <w:t>.</w:t>
      </w:r>
      <w:r w:rsidRPr="00844E24">
        <w:rPr>
          <w:szCs w:val="18"/>
          <w:lang w:val="en-US"/>
        </w:rPr>
        <w:t xml:space="preserve"> </w:t>
      </w:r>
      <w:r w:rsidRPr="000E30EE">
        <w:rPr>
          <w:i/>
          <w:iCs/>
          <w:szCs w:val="18"/>
          <w:lang w:val="en-US"/>
        </w:rPr>
        <w:t>Company tax issues facing New Zealand</w:t>
      </w:r>
      <w:r>
        <w:rPr>
          <w:szCs w:val="18"/>
          <w:lang w:val="en-US"/>
        </w:rPr>
        <w:t>.</w:t>
      </w:r>
      <w:r w:rsidRPr="00844E24">
        <w:rPr>
          <w:szCs w:val="18"/>
          <w:lang w:val="en-US"/>
        </w:rPr>
        <w:t xml:space="preserve"> Background paper for session 4 of the Victoria University of Wellington Tax Working Group </w:t>
      </w:r>
      <w:hyperlink r:id="rId26" w:history="1">
        <w:r w:rsidRPr="00844E24">
          <w:rPr>
            <w:rStyle w:val="Hyperlink"/>
            <w:szCs w:val="18"/>
            <w:lang w:val="en-US"/>
          </w:rPr>
          <w:t>https://www.wgtn.ac.nz/cagtr/events/past-events/tax-working-group-2009/publications/4-company-tax-issues-facing-nz.pdf</w:t>
        </w:r>
      </w:hyperlink>
    </w:p>
    <w:p w14:paraId="2D81FE47" w14:textId="258DBF13" w:rsidR="0066347B" w:rsidRDefault="0066347B" w:rsidP="001B3AE0">
      <w:pPr>
        <w:spacing w:before="0"/>
        <w:jc w:val="left"/>
      </w:pPr>
      <w:r w:rsidRPr="001A7780">
        <w:rPr>
          <w:szCs w:val="18"/>
        </w:rPr>
        <w:t>Inland Revenue and Treasury (2016)</w:t>
      </w:r>
      <w:r>
        <w:rPr>
          <w:szCs w:val="18"/>
        </w:rPr>
        <w:t>.</w:t>
      </w:r>
      <w:r w:rsidRPr="001A7780">
        <w:rPr>
          <w:szCs w:val="18"/>
        </w:rPr>
        <w:t xml:space="preserve"> </w:t>
      </w:r>
      <w:r w:rsidRPr="001A7780">
        <w:rPr>
          <w:i/>
          <w:iCs/>
          <w:szCs w:val="18"/>
        </w:rPr>
        <w:t>New Zealand’s taxation framework for inbound investment</w:t>
      </w:r>
      <w:r>
        <w:rPr>
          <w:szCs w:val="18"/>
        </w:rPr>
        <w:t>.</w:t>
      </w:r>
      <w:r w:rsidRPr="001A7780">
        <w:rPr>
          <w:szCs w:val="18"/>
        </w:rPr>
        <w:t xml:space="preserve"> </w:t>
      </w:r>
      <w:hyperlink r:id="rId27" w:history="1">
        <w:r w:rsidRPr="001A7780">
          <w:rPr>
            <w:rStyle w:val="Hyperlink"/>
            <w:szCs w:val="18"/>
          </w:rPr>
          <w:t>https://taxpolicy.ird.govt.nz/publications/2016/2016-other-nz-framework-inbound-investment</w:t>
        </w:r>
      </w:hyperlink>
    </w:p>
    <w:p w14:paraId="41278997" w14:textId="72FA5F47" w:rsidR="009C5C56" w:rsidRPr="00E7727C" w:rsidRDefault="009C5C56" w:rsidP="001B3AE0">
      <w:pPr>
        <w:spacing w:before="0"/>
        <w:jc w:val="left"/>
      </w:pPr>
      <w:r w:rsidRPr="001A7780">
        <w:rPr>
          <w:szCs w:val="18"/>
        </w:rPr>
        <w:t>Inland Revenue</w:t>
      </w:r>
      <w:r>
        <w:rPr>
          <w:szCs w:val="18"/>
        </w:rPr>
        <w:t>. (</w:t>
      </w:r>
      <w:r w:rsidRPr="001A7780">
        <w:rPr>
          <w:szCs w:val="18"/>
        </w:rPr>
        <w:t>2021</w:t>
      </w:r>
      <w:r>
        <w:rPr>
          <w:szCs w:val="18"/>
        </w:rPr>
        <w:t>).</w:t>
      </w:r>
      <w:r w:rsidRPr="001A7780">
        <w:rPr>
          <w:szCs w:val="18"/>
        </w:rPr>
        <w:t xml:space="preserve"> </w:t>
      </w:r>
      <w:r w:rsidRPr="000E30EE">
        <w:rPr>
          <w:i/>
          <w:iCs/>
          <w:szCs w:val="18"/>
        </w:rPr>
        <w:t xml:space="preserve">Tax, </w:t>
      </w:r>
      <w:proofErr w:type="gramStart"/>
      <w:r w:rsidRPr="000E30EE">
        <w:rPr>
          <w:i/>
          <w:iCs/>
          <w:szCs w:val="18"/>
        </w:rPr>
        <w:t>investment</w:t>
      </w:r>
      <w:proofErr w:type="gramEnd"/>
      <w:r w:rsidRPr="000E30EE">
        <w:rPr>
          <w:i/>
          <w:iCs/>
          <w:szCs w:val="18"/>
        </w:rPr>
        <w:t xml:space="preserve"> and productivity: consultation on the scope of Inland Revenue’s long-term insights briefing</w:t>
      </w:r>
      <w:r>
        <w:rPr>
          <w:szCs w:val="18"/>
        </w:rPr>
        <w:t>.</w:t>
      </w:r>
      <w:r w:rsidRPr="001A7780">
        <w:rPr>
          <w:szCs w:val="18"/>
        </w:rPr>
        <w:t xml:space="preserve"> </w:t>
      </w:r>
      <w:hyperlink r:id="rId28" w:history="1">
        <w:r w:rsidRPr="00663094">
          <w:rPr>
            <w:rStyle w:val="Hyperlink"/>
            <w:szCs w:val="18"/>
          </w:rPr>
          <w:t>https://taxpolicy.ird.govt.nz/publications/2021/2021-other-scope-ird-ltib-tax-liability-productivity</w:t>
        </w:r>
      </w:hyperlink>
    </w:p>
    <w:p w14:paraId="332FA6C0" w14:textId="5FEF4897" w:rsidR="005C74F8" w:rsidRDefault="00B11E65" w:rsidP="0018019D">
      <w:pPr>
        <w:jc w:val="left"/>
      </w:pPr>
      <w:r w:rsidRPr="00B42AEE">
        <w:rPr>
          <w:szCs w:val="24"/>
        </w:rPr>
        <w:t>Inland Revenu</w:t>
      </w:r>
      <w:r w:rsidR="008A27FD" w:rsidRPr="00B42AEE">
        <w:rPr>
          <w:szCs w:val="24"/>
        </w:rPr>
        <w:t>e. (2022)</w:t>
      </w:r>
      <w:r w:rsidR="00DD53B9" w:rsidRPr="00B42AEE">
        <w:rPr>
          <w:szCs w:val="24"/>
        </w:rPr>
        <w:t xml:space="preserve">. </w:t>
      </w:r>
      <w:r w:rsidR="00A83FEB" w:rsidRPr="00B42AEE">
        <w:rPr>
          <w:rStyle w:val="Emphasis"/>
          <w:szCs w:val="24"/>
        </w:rPr>
        <w:t xml:space="preserve">Tax, </w:t>
      </w:r>
      <w:r w:rsidR="00AC1AD4">
        <w:rPr>
          <w:rStyle w:val="Emphasis"/>
          <w:szCs w:val="24"/>
        </w:rPr>
        <w:t>foreign</w:t>
      </w:r>
      <w:r w:rsidR="00A83FEB" w:rsidRPr="00B42AEE">
        <w:rPr>
          <w:rStyle w:val="Emphasis"/>
          <w:szCs w:val="24"/>
        </w:rPr>
        <w:t xml:space="preserve"> </w:t>
      </w:r>
      <w:proofErr w:type="gramStart"/>
      <w:r w:rsidR="00A83FEB" w:rsidRPr="00B42AEE">
        <w:rPr>
          <w:rStyle w:val="Emphasis"/>
          <w:szCs w:val="24"/>
        </w:rPr>
        <w:t>investment</w:t>
      </w:r>
      <w:proofErr w:type="gramEnd"/>
      <w:r w:rsidR="00A83FEB" w:rsidRPr="00B42AEE">
        <w:rPr>
          <w:rStyle w:val="Emphasis"/>
          <w:szCs w:val="24"/>
        </w:rPr>
        <w:t xml:space="preserve"> and productivity: technical appendices to support draft long-term insights briefing (LTIB)</w:t>
      </w:r>
      <w:r w:rsidR="00EE2258" w:rsidRPr="008F735E">
        <w:t xml:space="preserve">. </w:t>
      </w:r>
      <w:hyperlink r:id="rId29" w:history="1">
        <w:r w:rsidR="005C74F8" w:rsidRPr="00FF3BF9">
          <w:rPr>
            <w:rStyle w:val="Hyperlink"/>
          </w:rPr>
          <w:t>https://taxpolicy.ird.govt.nz/publications/2022/2022-other-draft-ltib</w:t>
        </w:r>
      </w:hyperlink>
    </w:p>
    <w:p w14:paraId="50CB806D" w14:textId="2A0AB9A1" w:rsidR="00E0524C" w:rsidRPr="00EE2258" w:rsidRDefault="00E0524C" w:rsidP="001B3AE0">
      <w:pPr>
        <w:spacing w:before="0"/>
        <w:jc w:val="left"/>
      </w:pPr>
      <w:r w:rsidRPr="005F07D8">
        <w:rPr>
          <w:szCs w:val="18"/>
        </w:rPr>
        <w:t xml:space="preserve">International Monetary Fund; OECD; United Nations; World Bank. 2015. </w:t>
      </w:r>
      <w:r w:rsidRPr="005F07D8">
        <w:rPr>
          <w:rStyle w:val="italic"/>
          <w:rFonts w:cs="Calibri"/>
          <w:i/>
          <w:iCs/>
          <w:color w:val="000000"/>
          <w:szCs w:val="18"/>
        </w:rPr>
        <w:t>Options for Low Income Countries’ Effective and Efficient Use of Tax Incentives for Investment: Tools for the Assessment of Tax Incentives</w:t>
      </w:r>
      <w:r w:rsidRPr="005F07D8">
        <w:rPr>
          <w:szCs w:val="18"/>
        </w:rPr>
        <w:t xml:space="preserve">. World Bank, Washington, DC. © IMF, OECD, UN, and World Bank. </w:t>
      </w:r>
      <w:hyperlink r:id="rId30" w:history="1">
        <w:r w:rsidRPr="00663094">
          <w:rPr>
            <w:rStyle w:val="Hyperlink"/>
            <w:szCs w:val="18"/>
          </w:rPr>
          <w:t>https://openknowledge.worldbank.org/handle/10986/22924</w:t>
        </w:r>
      </w:hyperlink>
      <w:r>
        <w:rPr>
          <w:szCs w:val="18"/>
        </w:rPr>
        <w:t xml:space="preserve"> </w:t>
      </w:r>
      <w:r w:rsidRPr="005F07D8">
        <w:rPr>
          <w:szCs w:val="18"/>
        </w:rPr>
        <w:t>License: CC BY 3.0 IGO</w:t>
      </w:r>
    </w:p>
    <w:p w14:paraId="058C50C4" w14:textId="3121817B" w:rsidR="00195925" w:rsidRDefault="00195925" w:rsidP="001B3AE0">
      <w:pPr>
        <w:spacing w:before="0"/>
        <w:jc w:val="left"/>
      </w:pPr>
      <w:r>
        <w:rPr>
          <w:szCs w:val="18"/>
        </w:rPr>
        <w:t>J</w:t>
      </w:r>
      <w:r w:rsidRPr="00E35955">
        <w:rPr>
          <w:szCs w:val="18"/>
        </w:rPr>
        <w:t>udd, K. (1985)</w:t>
      </w:r>
      <w:r>
        <w:rPr>
          <w:szCs w:val="18"/>
        </w:rPr>
        <w:t>.</w:t>
      </w:r>
      <w:r w:rsidRPr="00E35955">
        <w:rPr>
          <w:szCs w:val="18"/>
        </w:rPr>
        <w:t xml:space="preserve"> Redistributive taxation in a simple perfect foresight model</w:t>
      </w:r>
      <w:r>
        <w:rPr>
          <w:szCs w:val="18"/>
        </w:rPr>
        <w:t>.</w:t>
      </w:r>
      <w:r w:rsidRPr="00E35955">
        <w:rPr>
          <w:szCs w:val="18"/>
        </w:rPr>
        <w:t xml:space="preserve"> </w:t>
      </w:r>
      <w:r w:rsidRPr="00E35955">
        <w:rPr>
          <w:i/>
          <w:iCs/>
          <w:szCs w:val="18"/>
        </w:rPr>
        <w:t>Journal of Public Economics</w:t>
      </w:r>
      <w:r w:rsidRPr="00E35955">
        <w:rPr>
          <w:szCs w:val="18"/>
        </w:rPr>
        <w:t>, 28, 59-83.</w:t>
      </w:r>
    </w:p>
    <w:p w14:paraId="32ED0178" w14:textId="1E1EDAC1" w:rsidR="00B0045D" w:rsidRDefault="00B0045D" w:rsidP="001B3AE0">
      <w:pPr>
        <w:spacing w:before="0"/>
        <w:jc w:val="left"/>
      </w:pPr>
      <w:r w:rsidRPr="0046448C">
        <w:rPr>
          <w:rFonts w:cs="Calibri"/>
          <w:color w:val="333333"/>
          <w:szCs w:val="18"/>
        </w:rPr>
        <w:t>Klemm</w:t>
      </w:r>
      <w:r w:rsidR="005339E5">
        <w:rPr>
          <w:rFonts w:cs="Calibri"/>
          <w:color w:val="333333"/>
          <w:szCs w:val="18"/>
        </w:rPr>
        <w:t>, A</w:t>
      </w:r>
      <w:r>
        <w:rPr>
          <w:rFonts w:cs="Calibri"/>
          <w:color w:val="333333"/>
          <w:szCs w:val="18"/>
        </w:rPr>
        <w:t>.</w:t>
      </w:r>
      <w:r w:rsidRPr="0046448C">
        <w:rPr>
          <w:rFonts w:cs="Calibri"/>
          <w:color w:val="333333"/>
          <w:szCs w:val="18"/>
        </w:rPr>
        <w:t xml:space="preserve"> </w:t>
      </w:r>
      <w:r>
        <w:rPr>
          <w:rFonts w:cs="Calibri"/>
          <w:color w:val="333333"/>
          <w:szCs w:val="18"/>
        </w:rPr>
        <w:t>(</w:t>
      </w:r>
      <w:r w:rsidRPr="0046448C">
        <w:rPr>
          <w:rFonts w:cs="Calibri"/>
          <w:color w:val="333333"/>
          <w:szCs w:val="18"/>
        </w:rPr>
        <w:t>2010</w:t>
      </w:r>
      <w:r>
        <w:rPr>
          <w:rFonts w:cs="Calibri"/>
          <w:color w:val="333333"/>
          <w:szCs w:val="18"/>
        </w:rPr>
        <w:t>)</w:t>
      </w:r>
      <w:r w:rsidRPr="0046448C">
        <w:rPr>
          <w:rFonts w:cs="Calibri"/>
          <w:color w:val="333333"/>
          <w:szCs w:val="18"/>
        </w:rPr>
        <w:t xml:space="preserve">. </w:t>
      </w:r>
      <w:r w:rsidRPr="000E30EE">
        <w:t>Causes, benefits, and risks of business tax incentives</w:t>
      </w:r>
      <w:r w:rsidRPr="009C5006">
        <w:rPr>
          <w:rFonts w:cs="Calibri"/>
          <w:color w:val="333333"/>
          <w:szCs w:val="18"/>
        </w:rPr>
        <w:t>.</w:t>
      </w:r>
      <w:r w:rsidRPr="0046448C">
        <w:rPr>
          <w:rFonts w:cs="Calibri"/>
          <w:color w:val="333333"/>
          <w:szCs w:val="18"/>
        </w:rPr>
        <w:t xml:space="preserve"> </w:t>
      </w:r>
      <w:r w:rsidRPr="000E30EE">
        <w:rPr>
          <w:i/>
          <w:iCs/>
        </w:rPr>
        <w:t>International Tax and Public Finance</w:t>
      </w:r>
      <w:r w:rsidRPr="0046448C">
        <w:rPr>
          <w:rFonts w:cs="Calibri"/>
          <w:color w:val="333333"/>
          <w:szCs w:val="18"/>
        </w:rPr>
        <w:t>, Springer; International Institute of Public Finance, vol. 17(3), pages 315-336, June.</w:t>
      </w:r>
      <w:r>
        <w:rPr>
          <w:rFonts w:cs="Calibri"/>
          <w:color w:val="333333"/>
          <w:szCs w:val="18"/>
        </w:rPr>
        <w:t xml:space="preserve"> </w:t>
      </w:r>
      <w:hyperlink r:id="rId31" w:history="1">
        <w:r w:rsidRPr="00663094">
          <w:rPr>
            <w:rStyle w:val="Hyperlink"/>
            <w:rFonts w:cs="Calibri"/>
            <w:szCs w:val="18"/>
          </w:rPr>
          <w:t>https://ideas.repec.org/a/kap/itaxpf/v17y2010i3p315-336.html</w:t>
        </w:r>
      </w:hyperlink>
    </w:p>
    <w:p w14:paraId="1F21FEED" w14:textId="7944CF16" w:rsidR="004915C6" w:rsidRDefault="004915C6" w:rsidP="001B3AE0">
      <w:pPr>
        <w:spacing w:before="0"/>
        <w:jc w:val="left"/>
      </w:pPr>
      <w:r w:rsidRPr="001A7780">
        <w:rPr>
          <w:szCs w:val="18"/>
        </w:rPr>
        <w:t>Markusen, J.R. (1995)</w:t>
      </w:r>
      <w:r>
        <w:rPr>
          <w:szCs w:val="18"/>
        </w:rPr>
        <w:t xml:space="preserve">. </w:t>
      </w:r>
      <w:r w:rsidRPr="001A7780">
        <w:rPr>
          <w:szCs w:val="18"/>
        </w:rPr>
        <w:t>The boundaries of multinational enterprises and the theory of international trade</w:t>
      </w:r>
      <w:r>
        <w:rPr>
          <w:szCs w:val="18"/>
        </w:rPr>
        <w:t>.</w:t>
      </w:r>
      <w:r w:rsidRPr="001A7780">
        <w:rPr>
          <w:szCs w:val="18"/>
        </w:rPr>
        <w:t xml:space="preserve"> </w:t>
      </w:r>
      <w:r w:rsidRPr="001A7780">
        <w:rPr>
          <w:i/>
          <w:iCs/>
          <w:szCs w:val="18"/>
        </w:rPr>
        <w:t>Journal of Economic Perspectives</w:t>
      </w:r>
      <w:r w:rsidRPr="001A7780">
        <w:rPr>
          <w:szCs w:val="18"/>
        </w:rPr>
        <w:t>, Vol. 9, No. 2, 169-89.</w:t>
      </w:r>
    </w:p>
    <w:p w14:paraId="293731C3" w14:textId="5AB4B687" w:rsidR="00837E5A" w:rsidRDefault="00283172" w:rsidP="001B3AE0">
      <w:pPr>
        <w:spacing w:before="0"/>
        <w:jc w:val="left"/>
      </w:pPr>
      <w:r w:rsidRPr="001A7780">
        <w:rPr>
          <w:szCs w:val="18"/>
        </w:rPr>
        <w:t>McKeehan, M.K. &amp; Zodrow, G.R. (2017)</w:t>
      </w:r>
      <w:r>
        <w:rPr>
          <w:szCs w:val="18"/>
        </w:rPr>
        <w:t>.</w:t>
      </w:r>
      <w:r w:rsidRPr="001A7780">
        <w:rPr>
          <w:szCs w:val="18"/>
        </w:rPr>
        <w:t xml:space="preserve"> Balancing act: factors affecting the taxation of capital in a small open economy</w:t>
      </w:r>
      <w:r>
        <w:rPr>
          <w:szCs w:val="18"/>
        </w:rPr>
        <w:t>.</w:t>
      </w:r>
      <w:r w:rsidRPr="001A7780">
        <w:rPr>
          <w:szCs w:val="18"/>
        </w:rPr>
        <w:t xml:space="preserve"> </w:t>
      </w:r>
      <w:r w:rsidRPr="001A7780">
        <w:rPr>
          <w:i/>
          <w:iCs/>
          <w:szCs w:val="18"/>
        </w:rPr>
        <w:t>International Tax and Public Finance</w:t>
      </w:r>
      <w:r w:rsidRPr="001A7780">
        <w:rPr>
          <w:szCs w:val="18"/>
        </w:rPr>
        <w:t>, 24, 1, 1-35.</w:t>
      </w:r>
    </w:p>
    <w:p w14:paraId="13F2FF57" w14:textId="77777777" w:rsidR="00EA701D" w:rsidRDefault="00EA701D" w:rsidP="00EA701D">
      <w:pPr>
        <w:pStyle w:val="FootnoteText"/>
        <w:rPr>
          <w:sz w:val="20"/>
        </w:rPr>
      </w:pPr>
      <w:r w:rsidRPr="008915C4">
        <w:rPr>
          <w:sz w:val="20"/>
        </w:rPr>
        <w:t xml:space="preserve">McKenzie, K.J. (2021). The taxation of capital income in Canada: analysis and directions for reform. </w:t>
      </w:r>
      <w:r w:rsidRPr="008915C4">
        <w:rPr>
          <w:i/>
          <w:iCs/>
          <w:sz w:val="20"/>
        </w:rPr>
        <w:t>National Tax Journal</w:t>
      </w:r>
      <w:r w:rsidRPr="008915C4">
        <w:rPr>
          <w:sz w:val="20"/>
        </w:rPr>
        <w:t>, Vol. 74, No. 2, 529-551.</w:t>
      </w:r>
    </w:p>
    <w:p w14:paraId="2CE35BB3" w14:textId="77777777" w:rsidR="00ED3A34" w:rsidRPr="008915C4" w:rsidRDefault="00ED3A34" w:rsidP="00EA701D">
      <w:pPr>
        <w:pStyle w:val="FootnoteText"/>
        <w:rPr>
          <w:sz w:val="20"/>
          <w:lang w:val="en-US"/>
        </w:rPr>
      </w:pPr>
    </w:p>
    <w:p w14:paraId="0F37DE50" w14:textId="57FFDBEE" w:rsidR="009236FE" w:rsidRDefault="001E0F88" w:rsidP="001B3AE0">
      <w:pPr>
        <w:spacing w:before="0"/>
        <w:jc w:val="left"/>
        <w:rPr>
          <w:rStyle w:val="Hyperlink"/>
          <w:szCs w:val="18"/>
        </w:rPr>
      </w:pPr>
      <w:r w:rsidRPr="001A7780">
        <w:rPr>
          <w:szCs w:val="18"/>
        </w:rPr>
        <w:t>McLeod Review</w:t>
      </w:r>
      <w:r>
        <w:rPr>
          <w:szCs w:val="18"/>
        </w:rPr>
        <w:t xml:space="preserve">. (2001). </w:t>
      </w:r>
      <w:r w:rsidRPr="000E30EE">
        <w:rPr>
          <w:i/>
          <w:iCs/>
          <w:szCs w:val="18"/>
        </w:rPr>
        <w:t>Tax Review 2001, Final Report</w:t>
      </w:r>
      <w:r>
        <w:rPr>
          <w:szCs w:val="18"/>
        </w:rPr>
        <w:t xml:space="preserve">. </w:t>
      </w:r>
      <w:hyperlink r:id="rId32" w:history="1">
        <w:r w:rsidRPr="001A7780">
          <w:rPr>
            <w:rStyle w:val="Hyperlink"/>
            <w:szCs w:val="18"/>
          </w:rPr>
          <w:t>https://www.treasury.govt.nz/sites/default/files/2007-11/taxreview2001-report.pdf</w:t>
        </w:r>
      </w:hyperlink>
      <w:r w:rsidR="007D1851">
        <w:rPr>
          <w:rStyle w:val="Hyperlink"/>
          <w:szCs w:val="18"/>
        </w:rPr>
        <w:t>.</w:t>
      </w:r>
    </w:p>
    <w:p w14:paraId="39ABDEA6" w14:textId="66E8BED6" w:rsidR="00C322E8" w:rsidRDefault="00AA351E" w:rsidP="001B3AE0">
      <w:pPr>
        <w:spacing w:before="0"/>
        <w:jc w:val="left"/>
      </w:pPr>
      <w:r w:rsidRPr="00733082">
        <w:rPr>
          <w:szCs w:val="18"/>
        </w:rPr>
        <w:t>Murphy, C. (2018)</w:t>
      </w:r>
      <w:r>
        <w:rPr>
          <w:szCs w:val="18"/>
        </w:rPr>
        <w:t>.</w:t>
      </w:r>
      <w:r w:rsidRPr="00733082">
        <w:rPr>
          <w:szCs w:val="18"/>
        </w:rPr>
        <w:t xml:space="preserve"> </w:t>
      </w:r>
      <w:r w:rsidRPr="000E30EE">
        <w:rPr>
          <w:i/>
          <w:iCs/>
          <w:szCs w:val="18"/>
        </w:rPr>
        <w:t>Modelling Australian Corporate Tax Reforms: Updated for the Recent US Corporate Tax Changes</w:t>
      </w:r>
      <w:r>
        <w:rPr>
          <w:i/>
          <w:iCs/>
          <w:szCs w:val="18"/>
        </w:rPr>
        <w:t>.</w:t>
      </w:r>
      <w:r w:rsidRPr="00733082">
        <w:rPr>
          <w:szCs w:val="18"/>
        </w:rPr>
        <w:t xml:space="preserve"> Working Paper, Tax and Transfer Policy Institute, ANU.</w:t>
      </w:r>
    </w:p>
    <w:p w14:paraId="61141999" w14:textId="003E8FFB" w:rsidR="00837E5A" w:rsidRDefault="00C7026B" w:rsidP="001B3AE0">
      <w:pPr>
        <w:spacing w:before="0"/>
        <w:jc w:val="left"/>
        <w:rPr>
          <w:szCs w:val="18"/>
        </w:rPr>
      </w:pPr>
      <w:r w:rsidRPr="00733082">
        <w:rPr>
          <w:szCs w:val="18"/>
        </w:rPr>
        <w:t>Nolan, G. &amp; Nolan, M. (2021)</w:t>
      </w:r>
      <w:r>
        <w:rPr>
          <w:szCs w:val="18"/>
        </w:rPr>
        <w:t>.</w:t>
      </w:r>
      <w:r w:rsidRPr="00733082">
        <w:rPr>
          <w:szCs w:val="18"/>
        </w:rPr>
        <w:t xml:space="preserve"> Taxation, user cost of capital and investment behaviour of New Zealand firms</w:t>
      </w:r>
      <w:r>
        <w:rPr>
          <w:szCs w:val="18"/>
        </w:rPr>
        <w:t>.</w:t>
      </w:r>
      <w:r w:rsidRPr="00733082">
        <w:rPr>
          <w:szCs w:val="18"/>
        </w:rPr>
        <w:t xml:space="preserve"> Working Papers in Public Finance, WP 01/2021, Victoria University of Wellington.</w:t>
      </w:r>
    </w:p>
    <w:p w14:paraId="1D49DFB9" w14:textId="1182F7A1" w:rsidR="00A92F24" w:rsidRDefault="00A92F24" w:rsidP="001B3AE0">
      <w:pPr>
        <w:spacing w:before="0"/>
        <w:jc w:val="left"/>
        <w:rPr>
          <w:szCs w:val="18"/>
        </w:rPr>
      </w:pPr>
      <w:proofErr w:type="spellStart"/>
      <w:r w:rsidRPr="00E35955">
        <w:rPr>
          <w:szCs w:val="18"/>
        </w:rPr>
        <w:lastRenderedPageBreak/>
        <w:t>Saez</w:t>
      </w:r>
      <w:proofErr w:type="spellEnd"/>
      <w:r w:rsidRPr="00E35955">
        <w:rPr>
          <w:szCs w:val="18"/>
        </w:rPr>
        <w:t>, E. and Zucman, G. (2019)</w:t>
      </w:r>
      <w:r>
        <w:rPr>
          <w:szCs w:val="18"/>
        </w:rPr>
        <w:t>.</w:t>
      </w:r>
      <w:r w:rsidRPr="00E35955">
        <w:rPr>
          <w:szCs w:val="18"/>
        </w:rPr>
        <w:t xml:space="preserve"> Progressive wealth taxation</w:t>
      </w:r>
      <w:r>
        <w:rPr>
          <w:szCs w:val="18"/>
        </w:rPr>
        <w:t>.</w:t>
      </w:r>
      <w:r w:rsidRPr="00E35955">
        <w:rPr>
          <w:szCs w:val="18"/>
        </w:rPr>
        <w:t xml:space="preserve"> Brookings Papers on Economic Activity</w:t>
      </w:r>
      <w:r w:rsidR="003B53BF">
        <w:rPr>
          <w:szCs w:val="18"/>
        </w:rPr>
        <w:t>.</w:t>
      </w:r>
    </w:p>
    <w:p w14:paraId="16896875" w14:textId="30790CAC" w:rsidR="003001A7" w:rsidRDefault="003001A7" w:rsidP="001B3AE0">
      <w:pPr>
        <w:spacing w:before="0"/>
        <w:jc w:val="left"/>
        <w:rPr>
          <w:szCs w:val="18"/>
        </w:rPr>
      </w:pPr>
      <w:r w:rsidRPr="00E35955">
        <w:rPr>
          <w:szCs w:val="18"/>
        </w:rPr>
        <w:t>Scheuer, F. and Slemrod, J. (2020)</w:t>
      </w:r>
      <w:r>
        <w:rPr>
          <w:szCs w:val="18"/>
        </w:rPr>
        <w:t>.</w:t>
      </w:r>
      <w:r w:rsidRPr="00E35955">
        <w:rPr>
          <w:szCs w:val="18"/>
        </w:rPr>
        <w:t xml:space="preserve"> Taxing our wealth</w:t>
      </w:r>
      <w:r>
        <w:rPr>
          <w:szCs w:val="18"/>
        </w:rPr>
        <w:t>.</w:t>
      </w:r>
      <w:r w:rsidRPr="00E35955">
        <w:rPr>
          <w:szCs w:val="18"/>
        </w:rPr>
        <w:t xml:space="preserve"> NBER Working Paper 28150.</w:t>
      </w:r>
    </w:p>
    <w:p w14:paraId="699DBFF5" w14:textId="63D9F976" w:rsidR="00BA179D" w:rsidRDefault="00BA179D" w:rsidP="001B3AE0">
      <w:pPr>
        <w:spacing w:before="0"/>
        <w:jc w:val="left"/>
        <w:rPr>
          <w:szCs w:val="18"/>
        </w:rPr>
      </w:pPr>
      <w:r w:rsidRPr="0016501C">
        <w:rPr>
          <w:szCs w:val="18"/>
        </w:rPr>
        <w:t xml:space="preserve">Smart, M. </w:t>
      </w:r>
      <w:r>
        <w:rPr>
          <w:szCs w:val="18"/>
        </w:rPr>
        <w:t>(</w:t>
      </w:r>
      <w:r w:rsidRPr="0016501C">
        <w:rPr>
          <w:szCs w:val="18"/>
        </w:rPr>
        <w:t>2021</w:t>
      </w:r>
      <w:r>
        <w:rPr>
          <w:szCs w:val="18"/>
        </w:rPr>
        <w:t>).</w:t>
      </w:r>
      <w:r w:rsidRPr="0016501C">
        <w:rPr>
          <w:szCs w:val="18"/>
        </w:rPr>
        <w:t xml:space="preserve"> Small business taxation and inequality: the view from Canada</w:t>
      </w:r>
      <w:r>
        <w:rPr>
          <w:szCs w:val="18"/>
        </w:rPr>
        <w:t>.</w:t>
      </w:r>
      <w:r w:rsidRPr="0016501C">
        <w:rPr>
          <w:szCs w:val="18"/>
        </w:rPr>
        <w:t xml:space="preserve"> </w:t>
      </w:r>
      <w:r w:rsidRPr="0016501C">
        <w:rPr>
          <w:i/>
          <w:iCs/>
          <w:szCs w:val="18"/>
        </w:rPr>
        <w:t>National Tax Journal</w:t>
      </w:r>
      <w:r w:rsidRPr="0016501C">
        <w:rPr>
          <w:szCs w:val="18"/>
        </w:rPr>
        <w:t>, Vol. 74, No. 2, 493-512.</w:t>
      </w:r>
    </w:p>
    <w:p w14:paraId="5B055F37" w14:textId="7822B3FE" w:rsidR="00152F13" w:rsidRDefault="00152F13" w:rsidP="001B3AE0">
      <w:pPr>
        <w:spacing w:before="0"/>
        <w:jc w:val="left"/>
        <w:rPr>
          <w:szCs w:val="18"/>
        </w:rPr>
      </w:pPr>
      <w:proofErr w:type="spellStart"/>
      <w:r w:rsidRPr="005F07D8">
        <w:rPr>
          <w:szCs w:val="18"/>
        </w:rPr>
        <w:t>Sørensen</w:t>
      </w:r>
      <w:proofErr w:type="spellEnd"/>
      <w:r w:rsidRPr="005F07D8">
        <w:rPr>
          <w:szCs w:val="18"/>
        </w:rPr>
        <w:t xml:space="preserve">, P.B. </w:t>
      </w:r>
      <w:r>
        <w:rPr>
          <w:szCs w:val="18"/>
        </w:rPr>
        <w:t xml:space="preserve">(2005). </w:t>
      </w:r>
      <w:r w:rsidRPr="005F07D8">
        <w:rPr>
          <w:szCs w:val="18"/>
        </w:rPr>
        <w:t>Neutral Taxation of Shareholder Income</w:t>
      </w:r>
      <w:r>
        <w:rPr>
          <w:szCs w:val="18"/>
        </w:rPr>
        <w:t xml:space="preserve">. </w:t>
      </w:r>
      <w:r w:rsidRPr="005F07D8">
        <w:rPr>
          <w:i/>
          <w:iCs/>
          <w:szCs w:val="18"/>
        </w:rPr>
        <w:t>International Tax and Public Finance</w:t>
      </w:r>
      <w:r w:rsidRPr="005F07D8">
        <w:rPr>
          <w:szCs w:val="18"/>
        </w:rPr>
        <w:t xml:space="preserve"> 777.</w:t>
      </w:r>
    </w:p>
    <w:p w14:paraId="3393DE5F" w14:textId="4AC6ACD7" w:rsidR="00843024" w:rsidRDefault="00843024" w:rsidP="001B3AE0">
      <w:pPr>
        <w:spacing w:before="0"/>
        <w:jc w:val="left"/>
        <w:rPr>
          <w:szCs w:val="18"/>
        </w:rPr>
      </w:pPr>
      <w:r w:rsidRPr="00E35955">
        <w:rPr>
          <w:szCs w:val="18"/>
        </w:rPr>
        <w:t xml:space="preserve">Sørenson, P.B. </w:t>
      </w:r>
      <w:r>
        <w:rPr>
          <w:szCs w:val="18"/>
        </w:rPr>
        <w:t xml:space="preserve">(2007). </w:t>
      </w:r>
      <w:r w:rsidRPr="00E35955">
        <w:rPr>
          <w:szCs w:val="18"/>
        </w:rPr>
        <w:t>The Nordic Dual Income Tax: Principles, Practices and Relevance for Canada</w:t>
      </w:r>
      <w:r>
        <w:rPr>
          <w:szCs w:val="18"/>
        </w:rPr>
        <w:t>.</w:t>
      </w:r>
      <w:r w:rsidRPr="00E35955">
        <w:rPr>
          <w:szCs w:val="18"/>
        </w:rPr>
        <w:t xml:space="preserve"> </w:t>
      </w:r>
      <w:r w:rsidRPr="00E35955">
        <w:rPr>
          <w:i/>
          <w:iCs/>
          <w:szCs w:val="18"/>
        </w:rPr>
        <w:t>Canadian Tax Journal</w:t>
      </w:r>
      <w:r w:rsidRPr="00E35955">
        <w:rPr>
          <w:szCs w:val="18"/>
        </w:rPr>
        <w:t xml:space="preserve"> 557 at 565-566.</w:t>
      </w:r>
    </w:p>
    <w:p w14:paraId="4FA281B3" w14:textId="19980AF9" w:rsidR="00A92F24" w:rsidRDefault="00A92F24" w:rsidP="001B3AE0">
      <w:pPr>
        <w:spacing w:before="0"/>
        <w:jc w:val="left"/>
      </w:pPr>
      <w:r w:rsidRPr="00E35955">
        <w:rPr>
          <w:szCs w:val="18"/>
        </w:rPr>
        <w:t xml:space="preserve">Straub, L. and </w:t>
      </w:r>
      <w:proofErr w:type="spellStart"/>
      <w:r w:rsidRPr="00E35955">
        <w:rPr>
          <w:szCs w:val="18"/>
        </w:rPr>
        <w:t>Werning</w:t>
      </w:r>
      <w:proofErr w:type="spellEnd"/>
      <w:r w:rsidRPr="00E35955">
        <w:rPr>
          <w:szCs w:val="18"/>
        </w:rPr>
        <w:t>, I</w:t>
      </w:r>
      <w:r>
        <w:rPr>
          <w:szCs w:val="18"/>
        </w:rPr>
        <w:t>.</w:t>
      </w:r>
      <w:r w:rsidRPr="00E35955">
        <w:rPr>
          <w:szCs w:val="18"/>
        </w:rPr>
        <w:t xml:space="preserve"> (2020)</w:t>
      </w:r>
      <w:r>
        <w:rPr>
          <w:szCs w:val="18"/>
        </w:rPr>
        <w:t>.</w:t>
      </w:r>
      <w:r w:rsidRPr="00E35955">
        <w:rPr>
          <w:szCs w:val="18"/>
        </w:rPr>
        <w:t xml:space="preserve"> Positive long-run capital taxation: </w:t>
      </w:r>
      <w:proofErr w:type="spellStart"/>
      <w:r w:rsidRPr="00E35955">
        <w:rPr>
          <w:szCs w:val="18"/>
        </w:rPr>
        <w:t>Chamely</w:t>
      </w:r>
      <w:proofErr w:type="spellEnd"/>
      <w:r w:rsidRPr="00E35955">
        <w:rPr>
          <w:szCs w:val="18"/>
        </w:rPr>
        <w:t>-Judd revisited</w:t>
      </w:r>
      <w:r>
        <w:rPr>
          <w:szCs w:val="18"/>
        </w:rPr>
        <w:t>.</w:t>
      </w:r>
      <w:r w:rsidRPr="00E35955">
        <w:rPr>
          <w:szCs w:val="18"/>
        </w:rPr>
        <w:t xml:space="preserve"> Vol. 110, No. 1, 86-119</w:t>
      </w:r>
      <w:r>
        <w:rPr>
          <w:szCs w:val="18"/>
        </w:rPr>
        <w:t>.</w:t>
      </w:r>
    </w:p>
    <w:p w14:paraId="15F277F3" w14:textId="62C1825F" w:rsidR="00AA351E" w:rsidRDefault="00AA351E" w:rsidP="001B3AE0">
      <w:pPr>
        <w:spacing w:before="0"/>
        <w:jc w:val="left"/>
      </w:pPr>
      <w:r w:rsidRPr="00733082">
        <w:rPr>
          <w:szCs w:val="18"/>
        </w:rPr>
        <w:t>Swan, P. (2019)</w:t>
      </w:r>
      <w:r>
        <w:rPr>
          <w:szCs w:val="18"/>
        </w:rPr>
        <w:t>.</w:t>
      </w:r>
      <w:r w:rsidRPr="00733082">
        <w:rPr>
          <w:szCs w:val="18"/>
        </w:rPr>
        <w:t xml:space="preserve"> Investment, the Corporate Tax Rate, and the Pricing of Franking Credits</w:t>
      </w:r>
      <w:r>
        <w:rPr>
          <w:szCs w:val="18"/>
        </w:rPr>
        <w:t>.</w:t>
      </w:r>
      <w:r w:rsidRPr="00733082">
        <w:rPr>
          <w:szCs w:val="18"/>
        </w:rPr>
        <w:t xml:space="preserve"> </w:t>
      </w:r>
      <w:r w:rsidRPr="000E30EE">
        <w:rPr>
          <w:i/>
          <w:iCs/>
          <w:szCs w:val="18"/>
        </w:rPr>
        <w:t>Economic Record</w:t>
      </w:r>
      <w:r w:rsidRPr="00733082">
        <w:rPr>
          <w:szCs w:val="18"/>
        </w:rPr>
        <w:t>, August.</w:t>
      </w:r>
    </w:p>
    <w:p w14:paraId="6EC3F4C7" w14:textId="4F6140E7" w:rsidR="00C7026B" w:rsidRDefault="00283DF9" w:rsidP="00D86886">
      <w:pPr>
        <w:spacing w:before="0"/>
        <w:jc w:val="left"/>
      </w:pPr>
      <w:r w:rsidRPr="00733082">
        <w:rPr>
          <w:szCs w:val="18"/>
          <w:lang w:val="en-US"/>
        </w:rPr>
        <w:t>Szeto, K.L. &amp; Ryan, M. (2009)</w:t>
      </w:r>
      <w:r>
        <w:rPr>
          <w:szCs w:val="18"/>
          <w:lang w:val="en-US"/>
        </w:rPr>
        <w:t>.</w:t>
      </w:r>
      <w:r w:rsidRPr="00733082">
        <w:rPr>
          <w:szCs w:val="18"/>
          <w:lang w:val="en-US"/>
        </w:rPr>
        <w:t xml:space="preserve"> An introduction to the New Zealand Treasury model</w:t>
      </w:r>
      <w:r>
        <w:rPr>
          <w:szCs w:val="18"/>
          <w:lang w:val="en-US"/>
        </w:rPr>
        <w:t>.</w:t>
      </w:r>
      <w:r w:rsidRPr="00733082">
        <w:rPr>
          <w:szCs w:val="18"/>
          <w:lang w:val="en-US"/>
        </w:rPr>
        <w:t xml:space="preserve"> </w:t>
      </w:r>
      <w:r w:rsidRPr="00733082">
        <w:rPr>
          <w:i/>
          <w:iCs/>
          <w:szCs w:val="18"/>
          <w:lang w:val="en-US"/>
        </w:rPr>
        <w:t>Treasury Working Paper Series</w:t>
      </w:r>
      <w:r w:rsidRPr="00733082">
        <w:rPr>
          <w:szCs w:val="18"/>
          <w:lang w:val="en-US"/>
        </w:rPr>
        <w:t>, No. 09/02.</w:t>
      </w:r>
    </w:p>
    <w:sectPr w:rsidR="00C7026B" w:rsidSect="00C61E9C">
      <w:headerReference w:type="even" r:id="rId33"/>
      <w:headerReference w:type="default" r:id="rId34"/>
      <w:footerReference w:type="default" r:id="rId35"/>
      <w:headerReference w:type="first" r:id="rId36"/>
      <w:footerReference w:type="first" r:id="rId37"/>
      <w:type w:val="oddPage"/>
      <w:pgSz w:w="11906" w:h="16838" w:code="9"/>
      <w:pgMar w:top="1304" w:right="1559" w:bottom="1134"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0E591" w14:textId="77777777" w:rsidR="00AB1F84" w:rsidRDefault="00AB1F84">
      <w:r>
        <w:separator/>
      </w:r>
    </w:p>
    <w:p w14:paraId="1CE3A466" w14:textId="77777777" w:rsidR="00AB1F84" w:rsidRDefault="00AB1F84"/>
  </w:endnote>
  <w:endnote w:type="continuationSeparator" w:id="0">
    <w:p w14:paraId="396641D8" w14:textId="77777777" w:rsidR="00AB1F84" w:rsidRDefault="00AB1F84">
      <w:r>
        <w:continuationSeparator/>
      </w:r>
    </w:p>
    <w:p w14:paraId="22F8BD8F" w14:textId="77777777" w:rsidR="00AB1F84" w:rsidRDefault="00AB1F84"/>
  </w:endnote>
  <w:endnote w:type="continuationNotice" w:id="1">
    <w:p w14:paraId="246F3B90" w14:textId="77777777" w:rsidR="00AB1F84" w:rsidRDefault="00AB1F8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368371"/>
      <w:docPartObj>
        <w:docPartGallery w:val="Page Numbers (Bottom of Page)"/>
        <w:docPartUnique/>
      </w:docPartObj>
    </w:sdtPr>
    <w:sdtEndPr>
      <w:rPr>
        <w:noProof/>
      </w:rPr>
    </w:sdtEndPr>
    <w:sdtContent>
      <w:p w14:paraId="59283C76" w14:textId="319F4DBA" w:rsidR="00AB7E9A" w:rsidRDefault="00AB7E9A" w:rsidP="00AB7E9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B702" w14:textId="77777777" w:rsidR="001A3EBC" w:rsidRDefault="001A3EBC">
    <w:pPr>
      <w:pStyle w:val="Footer"/>
      <w:jc w:val="right"/>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A2C0E" w14:textId="77777777" w:rsidR="00AB1F84" w:rsidRDefault="00AB1F84" w:rsidP="0018019D">
      <w:pPr>
        <w:spacing w:after="0"/>
      </w:pPr>
      <w:r>
        <w:separator/>
      </w:r>
    </w:p>
  </w:footnote>
  <w:footnote w:type="continuationSeparator" w:id="0">
    <w:p w14:paraId="4925F21B" w14:textId="77777777" w:rsidR="00AB1F84" w:rsidRDefault="00AB1F84">
      <w:r>
        <w:continuationSeparator/>
      </w:r>
    </w:p>
    <w:p w14:paraId="4FC5D950" w14:textId="77777777" w:rsidR="00AB1F84" w:rsidRDefault="00AB1F84"/>
  </w:footnote>
  <w:footnote w:type="continuationNotice" w:id="1">
    <w:p w14:paraId="3EC7801B" w14:textId="77777777" w:rsidR="00AB1F84" w:rsidRDefault="00AB1F84">
      <w:pPr>
        <w:spacing w:before="0"/>
      </w:pPr>
    </w:p>
  </w:footnote>
  <w:footnote w:id="2">
    <w:p w14:paraId="2666F19E" w14:textId="79081A1E" w:rsidR="00C4467A" w:rsidRDefault="00705648" w:rsidP="003272BC">
      <w:pPr>
        <w:pStyle w:val="FootnoteText"/>
      </w:pPr>
      <w:r w:rsidRPr="000B7839">
        <w:rPr>
          <w:rStyle w:val="FootnoteReference"/>
        </w:rPr>
        <w:footnoteRef/>
      </w:r>
      <w:r w:rsidRPr="000B7839">
        <w:t xml:space="preserve"> </w:t>
      </w:r>
      <w:hyperlink r:id="rId1" w:history="1">
        <w:r w:rsidR="00F8557F" w:rsidRPr="00796C81">
          <w:rPr>
            <w:rStyle w:val="Hyperlink"/>
          </w:rPr>
          <w:t>https://taxpolicy.ird.govt.nz/publications/2022/2022-other-final-ltib</w:t>
        </w:r>
      </w:hyperlink>
    </w:p>
    <w:p w14:paraId="7C220249" w14:textId="3D96C5DD" w:rsidR="00601D39" w:rsidRPr="00694310" w:rsidRDefault="00601D39" w:rsidP="003272BC">
      <w:pPr>
        <w:pStyle w:val="FootnoteText"/>
      </w:pPr>
    </w:p>
  </w:footnote>
  <w:footnote w:id="3">
    <w:p w14:paraId="5DECC5D6" w14:textId="11141CE0" w:rsidR="00916874" w:rsidRPr="000B7839" w:rsidRDefault="00916874" w:rsidP="00320B15">
      <w:pPr>
        <w:pStyle w:val="FootnoteText"/>
        <w:rPr>
          <w:szCs w:val="18"/>
        </w:rPr>
      </w:pPr>
      <w:r w:rsidRPr="000B7839">
        <w:rPr>
          <w:rStyle w:val="FootnoteReference"/>
        </w:rPr>
        <w:footnoteRef/>
      </w:r>
      <w:r w:rsidRPr="000B7839">
        <w:t xml:space="preserve"> </w:t>
      </w:r>
      <w:r w:rsidRPr="000B7839">
        <w:rPr>
          <w:szCs w:val="18"/>
        </w:rPr>
        <w:t>Inland Revenue</w:t>
      </w:r>
      <w:r w:rsidR="00792593" w:rsidRPr="000B7839">
        <w:rPr>
          <w:szCs w:val="18"/>
        </w:rPr>
        <w:t>. (</w:t>
      </w:r>
      <w:r w:rsidRPr="000B7839">
        <w:rPr>
          <w:szCs w:val="18"/>
        </w:rPr>
        <w:t>2021</w:t>
      </w:r>
      <w:r w:rsidR="00792593" w:rsidRPr="000B7839">
        <w:rPr>
          <w:szCs w:val="18"/>
        </w:rPr>
        <w:t>).</w:t>
      </w:r>
      <w:r w:rsidRPr="000B7839">
        <w:rPr>
          <w:szCs w:val="18"/>
        </w:rPr>
        <w:t xml:space="preserve"> </w:t>
      </w:r>
      <w:r w:rsidRPr="000B7839">
        <w:rPr>
          <w:i/>
          <w:iCs/>
          <w:szCs w:val="18"/>
        </w:rPr>
        <w:t>Tax, investment and productivity: consultation on the scope of Inland Revenue’s long-term insights briefing</w:t>
      </w:r>
      <w:r w:rsidR="00792593" w:rsidRPr="000B7839">
        <w:rPr>
          <w:szCs w:val="18"/>
        </w:rPr>
        <w:t>.</w:t>
      </w:r>
      <w:r w:rsidRPr="000B7839">
        <w:rPr>
          <w:szCs w:val="18"/>
        </w:rPr>
        <w:t xml:space="preserve"> </w:t>
      </w:r>
      <w:hyperlink r:id="rId2" w:history="1">
        <w:r w:rsidR="00C4467A" w:rsidRPr="00FF3BF9">
          <w:rPr>
            <w:rStyle w:val="Hyperlink"/>
            <w:szCs w:val="18"/>
          </w:rPr>
          <w:t>https://taxpolicy.ird.govt.nz/publications/2021/2021-other-scope-ird-ltib-tax-liability-productivity</w:t>
        </w:r>
      </w:hyperlink>
    </w:p>
  </w:footnote>
  <w:footnote w:id="4">
    <w:p w14:paraId="5F6E8A4B" w14:textId="79EEF8BF" w:rsidR="00916874" w:rsidRPr="000B7839" w:rsidRDefault="00916874" w:rsidP="00916874">
      <w:pPr>
        <w:pStyle w:val="FootnoteText"/>
        <w:rPr>
          <w:szCs w:val="18"/>
        </w:rPr>
      </w:pPr>
      <w:r w:rsidRPr="000B7839">
        <w:rPr>
          <w:rStyle w:val="FootnoteReference"/>
        </w:rPr>
        <w:footnoteRef/>
      </w:r>
      <w:r w:rsidRPr="000B7839">
        <w:t xml:space="preserve"> </w:t>
      </w:r>
      <w:r w:rsidRPr="000B7839">
        <w:rPr>
          <w:szCs w:val="18"/>
        </w:rPr>
        <w:t>Ministry of Business, Innovation and Employment</w:t>
      </w:r>
      <w:r w:rsidR="00792593" w:rsidRPr="000B7839">
        <w:rPr>
          <w:szCs w:val="18"/>
        </w:rPr>
        <w:t>.</w:t>
      </w:r>
      <w:r w:rsidRPr="000B7839">
        <w:rPr>
          <w:szCs w:val="18"/>
        </w:rPr>
        <w:t xml:space="preserve"> (2021)</w:t>
      </w:r>
      <w:r w:rsidR="00792593" w:rsidRPr="000B7839">
        <w:rPr>
          <w:szCs w:val="18"/>
        </w:rPr>
        <w:t>.</w:t>
      </w:r>
      <w:r w:rsidRPr="000B7839">
        <w:rPr>
          <w:szCs w:val="18"/>
        </w:rPr>
        <w:t xml:space="preserve"> </w:t>
      </w:r>
      <w:r w:rsidRPr="000B7839">
        <w:rPr>
          <w:rStyle w:val="Emphasis"/>
          <w:szCs w:val="18"/>
        </w:rPr>
        <w:t>The future of business for Aotearoa New Zealand:</w:t>
      </w:r>
      <w:r w:rsidR="00657EE8">
        <w:rPr>
          <w:rStyle w:val="Emphasis"/>
          <w:szCs w:val="18"/>
        </w:rPr>
        <w:t xml:space="preserve"> </w:t>
      </w:r>
      <w:r w:rsidR="00CB003D">
        <w:rPr>
          <w:rStyle w:val="Emphasis"/>
          <w:szCs w:val="18"/>
        </w:rPr>
        <w:t>an exploration of two trends influencing productivity and wellbeing – purpose-led business and the use of block</w:t>
      </w:r>
      <w:r w:rsidR="0079292B">
        <w:rPr>
          <w:rStyle w:val="Emphasis"/>
          <w:szCs w:val="18"/>
        </w:rPr>
        <w:t>chain technology</w:t>
      </w:r>
      <w:r w:rsidR="00C35F94">
        <w:rPr>
          <w:rStyle w:val="Emphasis"/>
          <w:i w:val="0"/>
          <w:iCs w:val="0"/>
          <w:szCs w:val="18"/>
        </w:rPr>
        <w:t>,</w:t>
      </w:r>
      <w:r w:rsidRPr="000B7839">
        <w:rPr>
          <w:rStyle w:val="Emphasis"/>
          <w:szCs w:val="18"/>
        </w:rPr>
        <w:t xml:space="preserve"> </w:t>
      </w:r>
      <w:hyperlink r:id="rId3" w:history="1">
        <w:r w:rsidR="00C61FD6" w:rsidRPr="008A5E27">
          <w:rPr>
            <w:rStyle w:val="Hyperlink"/>
            <w:szCs w:val="18"/>
          </w:rPr>
          <w:t>https://www.mbie.govt.nz/dmsdocument/20250-the-future-of-business-for-aotearoa-new-zealand</w:t>
        </w:r>
      </w:hyperlink>
    </w:p>
  </w:footnote>
  <w:footnote w:id="5">
    <w:p w14:paraId="2EBC5123" w14:textId="77777777" w:rsidR="00916874" w:rsidRPr="000B7839" w:rsidRDefault="00916874" w:rsidP="00916874">
      <w:pPr>
        <w:pStyle w:val="FootnoteText"/>
        <w:rPr>
          <w:szCs w:val="18"/>
        </w:rPr>
      </w:pPr>
      <w:r w:rsidRPr="000B7839">
        <w:rPr>
          <w:rStyle w:val="FootnoteReference"/>
        </w:rPr>
        <w:footnoteRef/>
      </w:r>
      <w:r w:rsidRPr="000B7839">
        <w:t xml:space="preserve"> </w:t>
      </w:r>
      <w:r w:rsidRPr="000B7839">
        <w:rPr>
          <w:szCs w:val="18"/>
        </w:rPr>
        <w:t>See schedule 6, clauses 8 and 9 of the Public Service Act 2020.</w:t>
      </w:r>
    </w:p>
  </w:footnote>
  <w:footnote w:id="6">
    <w:p w14:paraId="09818927" w14:textId="7751B052" w:rsidR="00916874" w:rsidRPr="00075D72" w:rsidRDefault="00916874" w:rsidP="00916874">
      <w:pPr>
        <w:pStyle w:val="FootnoteText"/>
        <w:rPr>
          <w:szCs w:val="18"/>
        </w:rPr>
      </w:pPr>
      <w:r w:rsidRPr="000B7839">
        <w:rPr>
          <w:rStyle w:val="FootnoteReference"/>
        </w:rPr>
        <w:footnoteRef/>
      </w:r>
      <w:r w:rsidRPr="000B7839">
        <w:t xml:space="preserve"> </w:t>
      </w:r>
      <w:r w:rsidRPr="000B7839">
        <w:rPr>
          <w:szCs w:val="18"/>
        </w:rPr>
        <w:t>Data for figures 1.1 to 1.</w:t>
      </w:r>
      <w:r w:rsidR="00C27E8D">
        <w:rPr>
          <w:szCs w:val="18"/>
        </w:rPr>
        <w:t>5</w:t>
      </w:r>
      <w:r w:rsidRPr="000B7839">
        <w:rPr>
          <w:szCs w:val="18"/>
        </w:rPr>
        <w:t xml:space="preserve"> </w:t>
      </w:r>
      <w:r w:rsidR="00155BE5" w:rsidRPr="000B7839">
        <w:rPr>
          <w:szCs w:val="18"/>
        </w:rPr>
        <w:t>is</w:t>
      </w:r>
      <w:r w:rsidRPr="000B7839">
        <w:rPr>
          <w:szCs w:val="18"/>
        </w:rPr>
        <w:t xml:space="preserve"> available on the OECD website at </w:t>
      </w:r>
      <w:hyperlink r:id="rId4" w:history="1">
        <w:r w:rsidRPr="000B7839">
          <w:rPr>
            <w:rStyle w:val="Hyperlink"/>
            <w:szCs w:val="18"/>
          </w:rPr>
          <w:t>https://stats.oecd.org/</w:t>
        </w:r>
      </w:hyperlink>
      <w:r w:rsidRPr="000B7839">
        <w:rPr>
          <w:szCs w:val="18"/>
        </w:rPr>
        <w:t xml:space="preserve"> Data for figure 1.1 was supplemented by some additional information for early years provided to us by the OECD but not available on their website.</w:t>
      </w:r>
      <w:r w:rsidR="002C3377">
        <w:rPr>
          <w:szCs w:val="18"/>
        </w:rPr>
        <w:t xml:space="preserve"> </w:t>
      </w:r>
      <w:r w:rsidR="00A22FC9">
        <w:rPr>
          <w:szCs w:val="18"/>
        </w:rPr>
        <w:t xml:space="preserve">Data </w:t>
      </w:r>
      <w:r w:rsidR="00EC3AE1">
        <w:rPr>
          <w:szCs w:val="18"/>
        </w:rPr>
        <w:t xml:space="preserve">for figure 1.1. </w:t>
      </w:r>
      <w:r w:rsidR="00A22FC9">
        <w:rPr>
          <w:szCs w:val="18"/>
        </w:rPr>
        <w:t xml:space="preserve">is from Public </w:t>
      </w:r>
      <w:r w:rsidR="00F40CF8">
        <w:rPr>
          <w:szCs w:val="18"/>
        </w:rPr>
        <w:t>s</w:t>
      </w:r>
      <w:r w:rsidR="00A22FC9">
        <w:rPr>
          <w:szCs w:val="18"/>
        </w:rPr>
        <w:t xml:space="preserve">ector, </w:t>
      </w:r>
      <w:r w:rsidR="00F40CF8">
        <w:rPr>
          <w:szCs w:val="18"/>
        </w:rPr>
        <w:t>t</w:t>
      </w:r>
      <w:r w:rsidR="00A22FC9">
        <w:rPr>
          <w:szCs w:val="18"/>
        </w:rPr>
        <w:t xml:space="preserve">axation and </w:t>
      </w:r>
      <w:r w:rsidR="00F40CF8">
        <w:rPr>
          <w:szCs w:val="18"/>
        </w:rPr>
        <w:t>m</w:t>
      </w:r>
      <w:r w:rsidR="00A22FC9">
        <w:rPr>
          <w:szCs w:val="18"/>
        </w:rPr>
        <w:t xml:space="preserve">arket </w:t>
      </w:r>
      <w:r w:rsidR="00F40CF8">
        <w:rPr>
          <w:szCs w:val="18"/>
        </w:rPr>
        <w:t>r</w:t>
      </w:r>
      <w:r w:rsidR="00A22FC9">
        <w:rPr>
          <w:szCs w:val="18"/>
        </w:rPr>
        <w:t xml:space="preserve">egulation&gt;Corporate </w:t>
      </w:r>
      <w:r w:rsidR="00F40CF8">
        <w:rPr>
          <w:szCs w:val="18"/>
        </w:rPr>
        <w:t>t</w:t>
      </w:r>
      <w:r w:rsidR="00A22FC9">
        <w:rPr>
          <w:szCs w:val="18"/>
        </w:rPr>
        <w:t xml:space="preserve">ax </w:t>
      </w:r>
      <w:r w:rsidR="00F40CF8">
        <w:rPr>
          <w:szCs w:val="18"/>
        </w:rPr>
        <w:t>s</w:t>
      </w:r>
      <w:r w:rsidR="00A22FC9">
        <w:rPr>
          <w:szCs w:val="18"/>
        </w:rPr>
        <w:t>tatistic</w:t>
      </w:r>
      <w:r w:rsidR="00EC3AE1">
        <w:rPr>
          <w:szCs w:val="18"/>
        </w:rPr>
        <w:t>s&gt;</w:t>
      </w:r>
      <w:r w:rsidR="001F78F4">
        <w:rPr>
          <w:szCs w:val="18"/>
        </w:rPr>
        <w:t xml:space="preserve">Statutory </w:t>
      </w:r>
      <w:r w:rsidR="00F40CF8">
        <w:rPr>
          <w:szCs w:val="18"/>
        </w:rPr>
        <w:t>c</w:t>
      </w:r>
      <w:r w:rsidR="001F78F4">
        <w:rPr>
          <w:szCs w:val="18"/>
        </w:rPr>
        <w:t xml:space="preserve">orporate </w:t>
      </w:r>
      <w:r w:rsidR="00F40CF8">
        <w:rPr>
          <w:szCs w:val="18"/>
        </w:rPr>
        <w:t>i</w:t>
      </w:r>
      <w:r w:rsidR="001F78F4">
        <w:rPr>
          <w:szCs w:val="18"/>
        </w:rPr>
        <w:t xml:space="preserve">ncome </w:t>
      </w:r>
      <w:r w:rsidR="00F40CF8">
        <w:rPr>
          <w:szCs w:val="18"/>
        </w:rPr>
        <w:t>t</w:t>
      </w:r>
      <w:r w:rsidR="001F78F4">
        <w:rPr>
          <w:szCs w:val="18"/>
        </w:rPr>
        <w:t xml:space="preserve">ax </w:t>
      </w:r>
      <w:r w:rsidR="00F40CF8">
        <w:rPr>
          <w:szCs w:val="18"/>
        </w:rPr>
        <w:t>r</w:t>
      </w:r>
      <w:r w:rsidR="001F78F4">
        <w:rPr>
          <w:szCs w:val="18"/>
        </w:rPr>
        <w:t>ates&gt;</w:t>
      </w:r>
      <w:r w:rsidR="009A2FB4">
        <w:rPr>
          <w:szCs w:val="18"/>
        </w:rPr>
        <w:t>Combined corporate income tax rate.</w:t>
      </w:r>
    </w:p>
  </w:footnote>
  <w:footnote w:id="7">
    <w:p w14:paraId="3F4035B5" w14:textId="3B47AC77" w:rsidR="000E6B8F" w:rsidRPr="00526B75" w:rsidRDefault="00FD141B">
      <w:pPr>
        <w:pStyle w:val="FootnoteText"/>
      </w:pPr>
      <w:r>
        <w:rPr>
          <w:rStyle w:val="FootnoteReference"/>
        </w:rPr>
        <w:footnoteRef/>
      </w:r>
      <w:r>
        <w:t xml:space="preserve"> </w:t>
      </w:r>
      <w:r w:rsidR="00E06BCF">
        <w:t>New Zealand Productivity Commission, 2021, ‘Cut to the chase</w:t>
      </w:r>
      <w:r w:rsidR="000E6B8F">
        <w:t>: New Zealand firms: reaching for the frontier’, April.</w:t>
      </w:r>
    </w:p>
  </w:footnote>
  <w:footnote w:id="8">
    <w:p w14:paraId="5592DFAC" w14:textId="4FEA8B56" w:rsidR="007247B8" w:rsidRPr="00E316F9" w:rsidRDefault="007247B8">
      <w:pPr>
        <w:pStyle w:val="FootnoteText"/>
        <w:rPr>
          <w:lang w:val="en-US"/>
        </w:rPr>
      </w:pPr>
      <w:r>
        <w:rPr>
          <w:rStyle w:val="FootnoteReference"/>
        </w:rPr>
        <w:footnoteRef/>
      </w:r>
      <w:r>
        <w:t xml:space="preserve"> </w:t>
      </w:r>
      <w:r w:rsidR="00F45235">
        <w:t>Data for figures 1.2 and 1.3 is</w:t>
      </w:r>
      <w:r w:rsidR="00FE6021">
        <w:t xml:space="preserve"> access</w:t>
      </w:r>
      <w:r w:rsidR="00521EAF">
        <w:t>ed though links to</w:t>
      </w:r>
      <w:r w:rsidR="005B270B">
        <w:t xml:space="preserve"> </w:t>
      </w:r>
      <w:r w:rsidR="005B270B" w:rsidRPr="00FD795C">
        <w:rPr>
          <w:rStyle w:val="Hyperlink"/>
          <w:color w:val="auto"/>
          <w:szCs w:val="18"/>
          <w:u w:val="none"/>
        </w:rPr>
        <w:t>Globalisation&gt;FDI statistics according to benchmark definition 4</w:t>
      </w:r>
      <w:r w:rsidR="005B270B" w:rsidRPr="00FD795C">
        <w:rPr>
          <w:rStyle w:val="Hyperlink"/>
          <w:color w:val="auto"/>
          <w:szCs w:val="18"/>
          <w:u w:val="none"/>
          <w:vertAlign w:val="superscript"/>
        </w:rPr>
        <w:t>th</w:t>
      </w:r>
      <w:r w:rsidR="005B270B" w:rsidRPr="00FD795C">
        <w:rPr>
          <w:rStyle w:val="Hyperlink"/>
          <w:color w:val="auto"/>
          <w:szCs w:val="18"/>
          <w:u w:val="none"/>
        </w:rPr>
        <w:t xml:space="preserve"> edition (BMD4)&gt;FDI positions – as a share of GDP</w:t>
      </w:r>
      <w:r w:rsidR="00F45235">
        <w:t xml:space="preserve"> </w:t>
      </w:r>
      <w:r w:rsidR="00521EAF">
        <w:t xml:space="preserve">on </w:t>
      </w:r>
      <w:hyperlink r:id="rId5" w:history="1">
        <w:r w:rsidR="007648AA" w:rsidRPr="000B7839">
          <w:rPr>
            <w:rStyle w:val="Hyperlink"/>
            <w:szCs w:val="18"/>
          </w:rPr>
          <w:t>https://stats.oecd.org/</w:t>
        </w:r>
      </w:hyperlink>
    </w:p>
  </w:footnote>
  <w:footnote w:id="9">
    <w:p w14:paraId="2235115E" w14:textId="4D73FAD0" w:rsidR="00940D63" w:rsidRPr="00786202" w:rsidRDefault="00940D63">
      <w:pPr>
        <w:pStyle w:val="FootnoteText"/>
        <w:rPr>
          <w:lang w:val="en-US"/>
        </w:rPr>
      </w:pPr>
      <w:r>
        <w:rPr>
          <w:rStyle w:val="FootnoteReference"/>
        </w:rPr>
        <w:footnoteRef/>
      </w:r>
      <w:r>
        <w:t xml:space="preserve"> </w:t>
      </w:r>
      <w:r>
        <w:rPr>
          <w:lang w:val="en-US"/>
        </w:rPr>
        <w:t>See the discussion in</w:t>
      </w:r>
      <w:r w:rsidR="00B33057">
        <w:rPr>
          <w:lang w:val="en-US"/>
        </w:rPr>
        <w:t xml:space="preserve"> New Zealand Productivity Commission, 2021, ‘New Zealand firms: reaching for the frontier</w:t>
      </w:r>
      <w:r w:rsidR="00FF2201">
        <w:rPr>
          <w:lang w:val="en-US"/>
        </w:rPr>
        <w:t xml:space="preserve">’, April, page </w:t>
      </w:r>
      <w:r w:rsidR="00547FB2">
        <w:rPr>
          <w:lang w:val="en-US"/>
        </w:rPr>
        <w:t>84</w:t>
      </w:r>
      <w:r w:rsidR="00FF2201">
        <w:rPr>
          <w:lang w:val="en-US"/>
        </w:rPr>
        <w:t>.</w:t>
      </w:r>
    </w:p>
  </w:footnote>
  <w:footnote w:id="10">
    <w:p w14:paraId="7E88DA73" w14:textId="1DB55B0F" w:rsidR="00C473C8" w:rsidRPr="00F6550C" w:rsidRDefault="00C473C8">
      <w:pPr>
        <w:pStyle w:val="FootnoteText"/>
        <w:rPr>
          <w:lang w:val="en-US"/>
        </w:rPr>
      </w:pPr>
      <w:r>
        <w:rPr>
          <w:rStyle w:val="FootnoteReference"/>
        </w:rPr>
        <w:footnoteRef/>
      </w:r>
      <w:r>
        <w:t xml:space="preserve"> Data for figure 1.4 is from </w:t>
      </w:r>
      <w:hyperlink r:id="rId6" w:history="1">
        <w:r w:rsidRPr="000B7839">
          <w:rPr>
            <w:rStyle w:val="Hyperlink"/>
            <w:szCs w:val="18"/>
          </w:rPr>
          <w:t>https://stats.oecd.org/</w:t>
        </w:r>
      </w:hyperlink>
      <w:r w:rsidRPr="00696D57">
        <w:rPr>
          <w:rStyle w:val="Hyperlink"/>
          <w:color w:val="auto"/>
          <w:szCs w:val="18"/>
          <w:u w:val="none"/>
        </w:rPr>
        <w:t>,</w:t>
      </w:r>
      <w:r w:rsidR="000D5138" w:rsidRPr="00696D57">
        <w:rPr>
          <w:rStyle w:val="Hyperlink"/>
          <w:color w:val="auto"/>
          <w:szCs w:val="18"/>
          <w:u w:val="none"/>
        </w:rPr>
        <w:t xml:space="preserve"> National accounts&gt;Annual national accounts&gt;</w:t>
      </w:r>
      <w:r w:rsidR="006930EE" w:rsidRPr="00696D57">
        <w:rPr>
          <w:rStyle w:val="Hyperlink"/>
          <w:color w:val="auto"/>
          <w:szCs w:val="18"/>
          <w:u w:val="none"/>
        </w:rPr>
        <w:t>Detailed tables and simplified accounts.</w:t>
      </w:r>
    </w:p>
  </w:footnote>
  <w:footnote w:id="11">
    <w:p w14:paraId="1A1B3E63" w14:textId="70C1D955" w:rsidR="00D90033" w:rsidRPr="00DE266B" w:rsidRDefault="00D90033">
      <w:pPr>
        <w:pStyle w:val="FootnoteText"/>
        <w:rPr>
          <w:lang w:val="en-US"/>
        </w:rPr>
      </w:pPr>
      <w:r>
        <w:rPr>
          <w:rStyle w:val="FootnoteReference"/>
        </w:rPr>
        <w:footnoteRef/>
      </w:r>
      <w:r>
        <w:t xml:space="preserve"> In </w:t>
      </w:r>
      <w:r>
        <w:rPr>
          <w:i/>
          <w:iCs/>
        </w:rPr>
        <w:t xml:space="preserve">Productivity by the </w:t>
      </w:r>
      <w:r w:rsidR="00FA0967">
        <w:rPr>
          <w:i/>
          <w:iCs/>
        </w:rPr>
        <w:t>numbers</w:t>
      </w:r>
      <w:r w:rsidR="00FA0967">
        <w:t>, May 2021</w:t>
      </w:r>
      <w:r w:rsidR="00A82EB2">
        <w:t xml:space="preserve">, </w:t>
      </w:r>
      <w:r w:rsidR="00E66AEF">
        <w:t xml:space="preserve">page 21, </w:t>
      </w:r>
      <w:hyperlink r:id="rId7" w:history="1">
        <w:r w:rsidR="00E66AEF" w:rsidRPr="00E66AEF">
          <w:rPr>
            <w:rStyle w:val="Hyperlink"/>
          </w:rPr>
          <w:t>http://www.productivity.govt.nz/research/productivity-by-the-numbers/</w:t>
        </w:r>
      </w:hyperlink>
      <w:r w:rsidR="00E66AEF">
        <w:t xml:space="preserve"> , the New Zealand Productivity Commission</w:t>
      </w:r>
      <w:r w:rsidR="00A2643B">
        <w:t xml:space="preserve"> provides a longer time series using Conference Board Total Economy Data. This suggest</w:t>
      </w:r>
      <w:r w:rsidR="006E3679">
        <w:t>s</w:t>
      </w:r>
      <w:r w:rsidR="00A2643B">
        <w:t xml:space="preserve"> New Zealand’s GDP per capital declined from 101% to 67% of that in the United States over the period from 1950 to </w:t>
      </w:r>
      <w:r w:rsidR="008267CE">
        <w:t>2019.</w:t>
      </w:r>
    </w:p>
  </w:footnote>
  <w:footnote w:id="12">
    <w:p w14:paraId="10924957" w14:textId="714A43D7" w:rsidR="00F167BC" w:rsidRPr="00C31146" w:rsidRDefault="00F167BC" w:rsidP="00F167BC">
      <w:pPr>
        <w:pStyle w:val="FootnoteText"/>
        <w:rPr>
          <w:lang w:val="en-US"/>
        </w:rPr>
      </w:pPr>
      <w:r>
        <w:rPr>
          <w:rStyle w:val="FootnoteReference"/>
        </w:rPr>
        <w:footnoteRef/>
      </w:r>
      <w:r>
        <w:t xml:space="preserve"> These figures and data for figure 1.5 is from </w:t>
      </w:r>
      <w:hyperlink r:id="rId8" w:history="1">
        <w:r w:rsidRPr="000B7839">
          <w:rPr>
            <w:rStyle w:val="Hyperlink"/>
            <w:szCs w:val="18"/>
          </w:rPr>
          <w:t>https://stats.oecd.org/</w:t>
        </w:r>
      </w:hyperlink>
      <w:r w:rsidRPr="0000129A">
        <w:rPr>
          <w:rStyle w:val="Hyperlink"/>
          <w:color w:val="auto"/>
          <w:szCs w:val="18"/>
          <w:u w:val="none"/>
        </w:rPr>
        <w:t>,</w:t>
      </w:r>
      <w:r w:rsidR="00C748A3">
        <w:rPr>
          <w:rStyle w:val="Hyperlink"/>
          <w:color w:val="auto"/>
          <w:szCs w:val="18"/>
          <w:u w:val="none"/>
        </w:rPr>
        <w:t xml:space="preserve"> </w:t>
      </w:r>
      <w:r w:rsidR="00C748A3" w:rsidRPr="00DE266B">
        <w:t>Productivity &gt; Productivity and ULC – Annual total economy &gt; Level of GDP per capita and productivity</w:t>
      </w:r>
      <w:r w:rsidRPr="005267FB">
        <w:rPr>
          <w:rStyle w:val="Hyperlink"/>
          <w:color w:val="auto"/>
          <w:szCs w:val="18"/>
          <w:u w:val="none"/>
        </w:rPr>
        <w:t>.</w:t>
      </w:r>
    </w:p>
  </w:footnote>
  <w:footnote w:id="13">
    <w:p w14:paraId="035A5756" w14:textId="6B494901" w:rsidR="002065FB" w:rsidRPr="00FF3BFF" w:rsidRDefault="002065FB">
      <w:pPr>
        <w:pStyle w:val="FootnoteText"/>
        <w:rPr>
          <w:lang w:val="en-US"/>
        </w:rPr>
      </w:pPr>
      <w:r>
        <w:rPr>
          <w:rStyle w:val="FootnoteReference"/>
        </w:rPr>
        <w:footnoteRef/>
      </w:r>
      <w:r>
        <w:t xml:space="preserve"> </w:t>
      </w:r>
      <w:r w:rsidR="006405C3">
        <w:t xml:space="preserve">Professor Jack Mintz is President’s Fellow, School of Public Policy, University </w:t>
      </w:r>
      <w:r w:rsidR="00CC2B6A">
        <w:t>of Calgary</w:t>
      </w:r>
      <w:r w:rsidR="00524A58">
        <w:t xml:space="preserve"> and </w:t>
      </w:r>
      <w:r w:rsidR="00E643CC">
        <w:t xml:space="preserve">Professor </w:t>
      </w:r>
      <w:r w:rsidR="005B5E5E">
        <w:t xml:space="preserve">Michael Keen </w:t>
      </w:r>
      <w:r w:rsidR="00AE533E">
        <w:t xml:space="preserve">is </w:t>
      </w:r>
      <w:r w:rsidR="00C160AE">
        <w:t xml:space="preserve">currently at Tokyo </w:t>
      </w:r>
      <w:r w:rsidR="00DC6EB8">
        <w:t xml:space="preserve">College, University of Tokyo and prior to that </w:t>
      </w:r>
      <w:r w:rsidR="00B9718D">
        <w:t xml:space="preserve">was </w:t>
      </w:r>
      <w:r w:rsidR="005B5E5E">
        <w:t>Deputy Director of the Fiscal Affairs Department</w:t>
      </w:r>
      <w:r w:rsidR="000544FF">
        <w:t xml:space="preserve"> at the IMF</w:t>
      </w:r>
      <w:r w:rsidR="00D254AE">
        <w:t>. Both a</w:t>
      </w:r>
      <w:r w:rsidR="00432877">
        <w:t>re leading international experts on the economic</w:t>
      </w:r>
      <w:r w:rsidR="00871B36">
        <w:t>s</w:t>
      </w:r>
      <w:r w:rsidR="00432877">
        <w:t xml:space="preserve"> of tax policy</w:t>
      </w:r>
      <w:r w:rsidR="00EF7B4C">
        <w:t>.</w:t>
      </w:r>
    </w:p>
  </w:footnote>
  <w:footnote w:id="14">
    <w:p w14:paraId="476B611F" w14:textId="158C781F" w:rsidR="00716B70" w:rsidRDefault="00716B70">
      <w:pPr>
        <w:pStyle w:val="FootnoteText"/>
      </w:pPr>
      <w:r>
        <w:rPr>
          <w:rStyle w:val="FootnoteReference"/>
        </w:rPr>
        <w:footnoteRef/>
      </w:r>
      <w:r>
        <w:t xml:space="preserve"> </w:t>
      </w:r>
      <w:hyperlink r:id="rId9" w:history="1">
        <w:r w:rsidR="008B2E44" w:rsidRPr="00796C81">
          <w:rPr>
            <w:rStyle w:val="Hyperlink"/>
          </w:rPr>
          <w:t>https://www.taxpolicy.ird.govt.nz/publications/2022/2022-ir-draft-ltib-submissions-external-reviews</w:t>
        </w:r>
      </w:hyperlink>
    </w:p>
    <w:p w14:paraId="1AB8B61D" w14:textId="77777777" w:rsidR="005067A9" w:rsidRDefault="005067A9">
      <w:pPr>
        <w:pStyle w:val="FootnoteText"/>
      </w:pPr>
    </w:p>
  </w:footnote>
  <w:footnote w:id="15">
    <w:p w14:paraId="49336FE0" w14:textId="4FC37F9B" w:rsidR="00AE70CC" w:rsidRPr="000B7839" w:rsidRDefault="00AE70CC" w:rsidP="003272BC">
      <w:pPr>
        <w:pStyle w:val="FootnoteText"/>
      </w:pPr>
      <w:r w:rsidRPr="000B7839">
        <w:rPr>
          <w:rStyle w:val="FootnoteReference"/>
        </w:rPr>
        <w:footnoteRef/>
      </w:r>
      <w:r w:rsidRPr="000B7839">
        <w:t xml:space="preserve"> </w:t>
      </w:r>
      <w:r w:rsidR="00672539">
        <w:t xml:space="preserve">Inland Revenue. (2022). </w:t>
      </w:r>
      <w:r w:rsidR="003272BC" w:rsidRPr="00586800">
        <w:rPr>
          <w:rStyle w:val="Emphasis"/>
        </w:rPr>
        <w:t xml:space="preserve">Tax, foreign investment and productivity – </w:t>
      </w:r>
      <w:r w:rsidR="003272BC">
        <w:rPr>
          <w:rStyle w:val="Emphasis"/>
        </w:rPr>
        <w:t>T</w:t>
      </w:r>
      <w:r w:rsidR="003272BC" w:rsidRPr="00586800">
        <w:rPr>
          <w:rStyle w:val="Emphasis"/>
        </w:rPr>
        <w:t>echnical appendices to support Inland Revenue’s long-term insights briefing (LTIB).</w:t>
      </w:r>
      <w:r w:rsidR="003272BC">
        <w:t xml:space="preserve"> </w:t>
      </w:r>
      <w:hyperlink r:id="rId10" w:history="1">
        <w:r w:rsidR="0028129E" w:rsidRPr="0028129E">
          <w:rPr>
            <w:rStyle w:val="Hyperlink"/>
          </w:rPr>
          <w:t>https://taxpolicy.ird.govt.nz/publications/2022/2022-other-final</w:t>
        </w:r>
        <w:r w:rsidR="0028129E" w:rsidRPr="00A127AB">
          <w:rPr>
            <w:rStyle w:val="Hyperlink"/>
          </w:rPr>
          <w:t>-ltib</w:t>
        </w:r>
      </w:hyperlink>
      <w:r w:rsidR="00323BBB">
        <w:rPr>
          <w:rStyle w:val="Hyperlink"/>
        </w:rPr>
        <w:t>-tech-appendices</w:t>
      </w:r>
      <w:r w:rsidR="00541FC2">
        <w:t xml:space="preserve"> </w:t>
      </w:r>
    </w:p>
  </w:footnote>
  <w:footnote w:id="16">
    <w:p w14:paraId="73AF5F1C" w14:textId="64654204" w:rsidR="007272BC" w:rsidRPr="000B7839" w:rsidRDefault="007272BC" w:rsidP="00320B15">
      <w:pPr>
        <w:pStyle w:val="FootnoteText"/>
        <w:rPr>
          <w:szCs w:val="18"/>
        </w:rPr>
      </w:pPr>
      <w:r w:rsidRPr="000B7839">
        <w:rPr>
          <w:rStyle w:val="FootnoteReference"/>
        </w:rPr>
        <w:footnoteRef/>
      </w:r>
      <w:r w:rsidRPr="000B7839">
        <w:t xml:space="preserve"> </w:t>
      </w:r>
      <w:r w:rsidRPr="000B7839">
        <w:rPr>
          <w:szCs w:val="18"/>
        </w:rPr>
        <w:t>McLeod Review</w:t>
      </w:r>
      <w:r w:rsidR="00792593" w:rsidRPr="000B7839">
        <w:rPr>
          <w:szCs w:val="18"/>
        </w:rPr>
        <w:t xml:space="preserve">. </w:t>
      </w:r>
      <w:r w:rsidR="00464898" w:rsidRPr="000B7839">
        <w:rPr>
          <w:szCs w:val="18"/>
        </w:rPr>
        <w:t xml:space="preserve">(2001). </w:t>
      </w:r>
      <w:r w:rsidRPr="000B7839">
        <w:rPr>
          <w:i/>
          <w:iCs/>
          <w:szCs w:val="18"/>
        </w:rPr>
        <w:t>Tax Review 2001, Final Report</w:t>
      </w:r>
      <w:r w:rsidR="00464898" w:rsidRPr="000B7839">
        <w:rPr>
          <w:szCs w:val="18"/>
        </w:rPr>
        <w:t xml:space="preserve">. </w:t>
      </w:r>
      <w:hyperlink r:id="rId11" w:history="1">
        <w:r w:rsidRPr="000B7839">
          <w:rPr>
            <w:rStyle w:val="Hyperlink"/>
            <w:szCs w:val="18"/>
          </w:rPr>
          <w:t>https://www.treasury.govt.nz/sites/default/files/2007-11/taxreview2001-report.pdf</w:t>
        </w:r>
      </w:hyperlink>
    </w:p>
  </w:footnote>
  <w:footnote w:id="17">
    <w:p w14:paraId="29E0B5FA" w14:textId="1BA28EA3" w:rsidR="007272BC" w:rsidRPr="000B7839" w:rsidRDefault="007272BC" w:rsidP="007272BC">
      <w:pPr>
        <w:pStyle w:val="FootnoteText"/>
        <w:rPr>
          <w:szCs w:val="18"/>
        </w:rPr>
      </w:pPr>
      <w:r w:rsidRPr="000B7839">
        <w:rPr>
          <w:rStyle w:val="FootnoteReference"/>
          <w:szCs w:val="18"/>
        </w:rPr>
        <w:footnoteRef/>
      </w:r>
      <w:r w:rsidRPr="000B7839">
        <w:rPr>
          <w:szCs w:val="18"/>
        </w:rPr>
        <w:t xml:space="preserve"> Inland Revenue and Treasury (2016)</w:t>
      </w:r>
      <w:r w:rsidR="00464898" w:rsidRPr="000B7839">
        <w:rPr>
          <w:szCs w:val="18"/>
        </w:rPr>
        <w:t>.</w:t>
      </w:r>
      <w:r w:rsidRPr="000B7839">
        <w:rPr>
          <w:szCs w:val="18"/>
        </w:rPr>
        <w:t xml:space="preserve"> </w:t>
      </w:r>
      <w:r w:rsidRPr="000B7839">
        <w:rPr>
          <w:i/>
          <w:iCs/>
          <w:szCs w:val="18"/>
        </w:rPr>
        <w:t>New Zealand’s taxation framework for inbound investment</w:t>
      </w:r>
      <w:r w:rsidR="00464898" w:rsidRPr="000B7839">
        <w:rPr>
          <w:szCs w:val="18"/>
        </w:rPr>
        <w:t>.</w:t>
      </w:r>
      <w:r w:rsidRPr="000B7839">
        <w:rPr>
          <w:szCs w:val="18"/>
        </w:rPr>
        <w:t xml:space="preserve"> </w:t>
      </w:r>
      <w:hyperlink r:id="rId12" w:history="1">
        <w:r w:rsidRPr="000B7839">
          <w:rPr>
            <w:rStyle w:val="Hyperlink"/>
            <w:szCs w:val="18"/>
          </w:rPr>
          <w:t>https://taxpolicy.ird.govt.nz/publications/2016/2016-other-nz-framework-inbound-investment</w:t>
        </w:r>
      </w:hyperlink>
    </w:p>
  </w:footnote>
  <w:footnote w:id="18">
    <w:p w14:paraId="4201043F" w14:textId="0001D907" w:rsidR="007272BC" w:rsidRPr="00586800" w:rsidRDefault="007272BC" w:rsidP="007272BC">
      <w:pPr>
        <w:pStyle w:val="FootnoteText"/>
        <w:rPr>
          <w:szCs w:val="18"/>
        </w:rPr>
      </w:pPr>
      <w:r w:rsidRPr="000B7839">
        <w:rPr>
          <w:rStyle w:val="FootnoteReference"/>
        </w:rPr>
        <w:footnoteRef/>
      </w:r>
      <w:r w:rsidRPr="000B7839">
        <w:t xml:space="preserve"> </w:t>
      </w:r>
      <w:r w:rsidRPr="000B7839">
        <w:rPr>
          <w:szCs w:val="18"/>
        </w:rPr>
        <w:t>For the year to June 2021</w:t>
      </w:r>
      <w:r w:rsidR="00AF5BA8">
        <w:rPr>
          <w:szCs w:val="18"/>
        </w:rPr>
        <w:t>,</w:t>
      </w:r>
      <w:r w:rsidRPr="000B7839">
        <w:rPr>
          <w:szCs w:val="18"/>
        </w:rPr>
        <w:t xml:space="preserve"> net corporate tax revenue (inclusive of NRWT) was $18,405</w:t>
      </w:r>
      <w:r w:rsidR="00464898" w:rsidRPr="000B7839">
        <w:rPr>
          <w:szCs w:val="18"/>
        </w:rPr>
        <w:t xml:space="preserve"> </w:t>
      </w:r>
      <w:r w:rsidRPr="000B7839">
        <w:rPr>
          <w:szCs w:val="18"/>
        </w:rPr>
        <w:t>m</w:t>
      </w:r>
      <w:r w:rsidR="00464898" w:rsidRPr="000B7839">
        <w:rPr>
          <w:szCs w:val="18"/>
        </w:rPr>
        <w:t>illion</w:t>
      </w:r>
      <w:r w:rsidRPr="000B7839">
        <w:rPr>
          <w:szCs w:val="18"/>
        </w:rPr>
        <w:t>. This amounted to 16.6</w:t>
      </w:r>
      <w:r w:rsidR="00464898" w:rsidRPr="000B7839">
        <w:rPr>
          <w:szCs w:val="18"/>
        </w:rPr>
        <w:t xml:space="preserve"> percent</w:t>
      </w:r>
      <w:r w:rsidRPr="000B7839">
        <w:rPr>
          <w:szCs w:val="18"/>
        </w:rPr>
        <w:t xml:space="preserve"> of total tax of $110,753</w:t>
      </w:r>
      <w:r w:rsidR="00464898" w:rsidRPr="000B7839">
        <w:rPr>
          <w:szCs w:val="18"/>
        </w:rPr>
        <w:t xml:space="preserve"> </w:t>
      </w:r>
      <w:r w:rsidRPr="000B7839">
        <w:rPr>
          <w:szCs w:val="18"/>
        </w:rPr>
        <w:t>m</w:t>
      </w:r>
      <w:r w:rsidR="00464898" w:rsidRPr="000B7839">
        <w:rPr>
          <w:szCs w:val="18"/>
        </w:rPr>
        <w:t>illion</w:t>
      </w:r>
      <w:r w:rsidRPr="000B7839">
        <w:rPr>
          <w:szCs w:val="18"/>
        </w:rPr>
        <w:t xml:space="preserve">. See </w:t>
      </w:r>
      <w:r w:rsidR="00464898" w:rsidRPr="000B7839">
        <w:t>Tax Outturn Data - June 2021</w:t>
      </w:r>
      <w:r w:rsidR="00464898" w:rsidRPr="000B7839">
        <w:rPr>
          <w:szCs w:val="18"/>
        </w:rPr>
        <w:t xml:space="preserve">, </w:t>
      </w:r>
      <w:hyperlink r:id="rId13" w:history="1">
        <w:r w:rsidR="00464898" w:rsidRPr="000B7839">
          <w:rPr>
            <w:rStyle w:val="Hyperlink"/>
            <w:szCs w:val="18"/>
          </w:rPr>
          <w:t>https://www.treasury.govt.nz/publications/tax-outturn-data/tax-outturn-data-june-2021</w:t>
        </w:r>
      </w:hyperlink>
      <w:r w:rsidR="00F83950">
        <w:rPr>
          <w:rStyle w:val="Hyperlink"/>
          <w:szCs w:val="18"/>
        </w:rPr>
        <w:t>.</w:t>
      </w:r>
      <w:r w:rsidR="00464898" w:rsidRPr="000B7839">
        <w:rPr>
          <w:szCs w:val="18"/>
        </w:rPr>
        <w:t xml:space="preserve"> </w:t>
      </w:r>
      <w:r w:rsidRPr="000B7839">
        <w:rPr>
          <w:szCs w:val="18"/>
        </w:rPr>
        <w:t>Inland Revenue data reveals that roughly one-third of net corporate tax revenue is from foreign controlled companies.</w:t>
      </w:r>
    </w:p>
  </w:footnote>
  <w:footnote w:id="19">
    <w:p w14:paraId="15C73AE4" w14:textId="0AAF2C7F" w:rsidR="00416C50" w:rsidRPr="00E94892" w:rsidRDefault="00416C50">
      <w:pPr>
        <w:pStyle w:val="FootnoteText"/>
        <w:rPr>
          <w:lang w:val="en-US"/>
        </w:rPr>
      </w:pPr>
      <w:r>
        <w:rPr>
          <w:rStyle w:val="FootnoteReference"/>
        </w:rPr>
        <w:footnoteRef/>
      </w:r>
      <w:r>
        <w:t xml:space="preserve"> </w:t>
      </w:r>
      <w:r w:rsidRPr="00E94892">
        <w:t>These estimate</w:t>
      </w:r>
      <w:r w:rsidR="00F30313" w:rsidRPr="00E94892">
        <w:t>s</w:t>
      </w:r>
      <w:r w:rsidRPr="00E94892">
        <w:t xml:space="preserve"> have been </w:t>
      </w:r>
      <w:r w:rsidR="00E57B09">
        <w:t xml:space="preserve">updated and </w:t>
      </w:r>
      <w:r w:rsidRPr="00E94892">
        <w:t xml:space="preserve">corrected from those provided in </w:t>
      </w:r>
      <w:r w:rsidR="0022564C" w:rsidRPr="00E94892">
        <w:t>the draft</w:t>
      </w:r>
      <w:r w:rsidR="00E57B09">
        <w:t xml:space="preserve"> LTIB</w:t>
      </w:r>
      <w:r w:rsidR="0022564C" w:rsidRPr="00E94892">
        <w:t>. The</w:t>
      </w:r>
      <w:r w:rsidR="001F70D3" w:rsidRPr="00E94892">
        <w:t>y are calculated assuming that imputation credits claimed by HWI</w:t>
      </w:r>
      <w:r w:rsidR="00182380">
        <w:t xml:space="preserve"> individuals and trust</w:t>
      </w:r>
      <w:r w:rsidR="001F70D3" w:rsidRPr="00E94892">
        <w:t xml:space="preserve">s are in respect of dividends from companies owned and </w:t>
      </w:r>
      <w:r w:rsidR="00DD52F2" w:rsidRPr="00E94892">
        <w:t>controlled by the HWIs.</w:t>
      </w:r>
      <w:r w:rsidR="0002075E">
        <w:t xml:space="preserve"> Company tax payments </w:t>
      </w:r>
      <w:r w:rsidR="00210AC0">
        <w:t>which le</w:t>
      </w:r>
      <w:r w:rsidR="00261835">
        <w:t xml:space="preserve">ad to these imputation credits are treated as part of </w:t>
      </w:r>
      <w:r w:rsidR="009822B1">
        <w:t>personal or trust</w:t>
      </w:r>
      <w:r w:rsidR="005239F3">
        <w:t>ee</w:t>
      </w:r>
      <w:r w:rsidR="009822B1">
        <w:t xml:space="preserve"> taxation.</w:t>
      </w:r>
    </w:p>
  </w:footnote>
  <w:footnote w:id="20">
    <w:p w14:paraId="37B48DC8" w14:textId="77777777" w:rsidR="00BD0653" w:rsidRPr="00221909" w:rsidRDefault="00BD0653" w:rsidP="00BD0653">
      <w:pPr>
        <w:pStyle w:val="FootnoteText"/>
        <w:rPr>
          <w:lang w:val="en-US"/>
        </w:rPr>
      </w:pPr>
      <w:r>
        <w:rPr>
          <w:rStyle w:val="FootnoteReference"/>
        </w:rPr>
        <w:footnoteRef/>
      </w:r>
      <w:r>
        <w:t xml:space="preserve"> </w:t>
      </w:r>
      <w:r>
        <w:rPr>
          <w:lang w:val="en-US"/>
        </w:rPr>
        <w:t>See the discussion in New Zealand Productivity Commission, 2021, ‘New Zealand firms: reaching for the frontier’, April, page 53.</w:t>
      </w:r>
    </w:p>
  </w:footnote>
  <w:footnote w:id="21">
    <w:p w14:paraId="03A86ABF" w14:textId="6DFEAD97" w:rsidR="00DA0138" w:rsidRPr="00E94892" w:rsidRDefault="00DA0138">
      <w:pPr>
        <w:pStyle w:val="FootnoteText"/>
        <w:rPr>
          <w:lang w:val="en-US"/>
        </w:rPr>
      </w:pPr>
      <w:r>
        <w:rPr>
          <w:rStyle w:val="FootnoteReference"/>
        </w:rPr>
        <w:footnoteRef/>
      </w:r>
      <w:r>
        <w:t xml:space="preserve"> </w:t>
      </w:r>
      <w:r>
        <w:rPr>
          <w:lang w:val="en-US"/>
        </w:rPr>
        <w:t>It should be noted that this elasticity i</w:t>
      </w:r>
      <w:r w:rsidR="00F30313">
        <w:rPr>
          <w:lang w:val="en-US"/>
        </w:rPr>
        <w:t>s</w:t>
      </w:r>
      <w:r>
        <w:rPr>
          <w:lang w:val="en-US"/>
        </w:rPr>
        <w:t xml:space="preserve"> for total capital stock and not just </w:t>
      </w:r>
      <w:r w:rsidR="005A6660">
        <w:rPr>
          <w:lang w:val="en-US"/>
        </w:rPr>
        <w:t>FDI.</w:t>
      </w:r>
    </w:p>
  </w:footnote>
  <w:footnote w:id="22">
    <w:p w14:paraId="5C7D279F" w14:textId="3E82AB29" w:rsidR="00DA1139" w:rsidRPr="00703520" w:rsidRDefault="00DA1139">
      <w:pPr>
        <w:pStyle w:val="FootnoteText"/>
        <w:rPr>
          <w:lang w:val="en-US"/>
        </w:rPr>
      </w:pPr>
      <w:r>
        <w:rPr>
          <w:rStyle w:val="FootnoteReference"/>
        </w:rPr>
        <w:footnoteRef/>
      </w:r>
      <w:r>
        <w:t xml:space="preserve"> </w:t>
      </w:r>
      <w:r w:rsidR="00775F9B">
        <w:t>EATRs may affect decisions whether firms with high levels of mobile economic rents choose to set up operations in New Zealand. (Mobile economic rents are high returns that can be derived from setting up in any country</w:t>
      </w:r>
      <w:r w:rsidR="002A04DB">
        <w:t>.</w:t>
      </w:r>
      <w:r w:rsidR="00775F9B">
        <w:t>) However, analysis of EATRs is left for future work</w:t>
      </w:r>
      <w:r w:rsidR="00F52C60">
        <w:t xml:space="preserve">. </w:t>
      </w:r>
      <w:r w:rsidR="00775F9B">
        <w:t>We suspect that</w:t>
      </w:r>
      <w:r w:rsidR="00F10793">
        <w:t>,</w:t>
      </w:r>
      <w:r w:rsidR="00775F9B">
        <w:t xml:space="preserve"> because of New Zealand’s extreme remoteness</w:t>
      </w:r>
      <w:r w:rsidR="00F10793">
        <w:t>,</w:t>
      </w:r>
      <w:r w:rsidR="00775F9B">
        <w:t xml:space="preserve"> decisions on whether to set up in New Zealand are more likely to be driven by whether there are non-tax reasons to set up in New Zealand </w:t>
      </w:r>
      <w:r w:rsidR="00922F6F">
        <w:t xml:space="preserve">rather </w:t>
      </w:r>
      <w:r w:rsidR="00775F9B">
        <w:t>than because New Zealand might be an attractive place to earn mobile economic rents. Also</w:t>
      </w:r>
      <w:r w:rsidR="00922F6F">
        <w:t>,</w:t>
      </w:r>
      <w:r w:rsidR="00775F9B">
        <w:t xml:space="preserve"> for firms with very high mobile economic rents, the EATR can be closely approximated by the statutory company tax rate</w:t>
      </w:r>
      <w:r w:rsidR="00062C54">
        <w:t>,</w:t>
      </w:r>
      <w:r w:rsidR="00775F9B">
        <w:t xml:space="preserve"> </w:t>
      </w:r>
      <w:r w:rsidR="00062C54">
        <w:t>which</w:t>
      </w:r>
      <w:r w:rsidR="00775F9B">
        <w:t xml:space="preserve"> can be observed easily without any complex economic modelling.</w:t>
      </w:r>
    </w:p>
  </w:footnote>
  <w:footnote w:id="23">
    <w:p w14:paraId="063EAE3D" w14:textId="2E7C56FF" w:rsidR="00831BF0" w:rsidRDefault="00831BF0">
      <w:pPr>
        <w:pStyle w:val="FootnoteText"/>
      </w:pPr>
      <w:r>
        <w:rPr>
          <w:rStyle w:val="FootnoteReference"/>
        </w:rPr>
        <w:footnoteRef/>
      </w:r>
      <w:r>
        <w:t xml:space="preserve"> </w:t>
      </w:r>
      <w:r w:rsidRPr="00831BF0">
        <w:t xml:space="preserve">OECD. </w:t>
      </w:r>
      <w:r w:rsidRPr="00586800">
        <w:rPr>
          <w:rStyle w:val="Emphasis"/>
        </w:rPr>
        <w:t>OECD.Stat</w:t>
      </w:r>
      <w:r w:rsidRPr="00831BF0">
        <w:t xml:space="preserve">. Public Sector, Taxation and Market Regulation </w:t>
      </w:r>
      <w:r w:rsidR="00BA4E3E">
        <w:t>/</w:t>
      </w:r>
      <w:r w:rsidRPr="00831BF0">
        <w:t xml:space="preserve"> Taxation </w:t>
      </w:r>
      <w:r w:rsidR="00BA4E3E">
        <w:t>/</w:t>
      </w:r>
      <w:r w:rsidRPr="00831BF0">
        <w:t xml:space="preserve"> Corporate Tax Statistics </w:t>
      </w:r>
      <w:r w:rsidR="00BA4E3E">
        <w:t>/</w:t>
      </w:r>
      <w:r w:rsidRPr="00831BF0">
        <w:t xml:space="preserve"> Effective Tax Rates. </w:t>
      </w:r>
      <w:hyperlink r:id="rId14" w:history="1">
        <w:r w:rsidRPr="00EE48E0">
          <w:rPr>
            <w:rStyle w:val="Hyperlink"/>
          </w:rPr>
          <w:t>https://stats.oecd.org/</w:t>
        </w:r>
      </w:hyperlink>
    </w:p>
  </w:footnote>
  <w:footnote w:id="24">
    <w:p w14:paraId="20EF4F6E" w14:textId="57448D9D" w:rsidR="00644621" w:rsidRPr="009061E9" w:rsidRDefault="00644621" w:rsidP="00644621">
      <w:pPr>
        <w:pStyle w:val="FootnoteText"/>
        <w:rPr>
          <w:szCs w:val="18"/>
        </w:rPr>
      </w:pPr>
      <w:r w:rsidRPr="000B7839">
        <w:rPr>
          <w:rStyle w:val="FootnoteReference"/>
        </w:rPr>
        <w:footnoteRef/>
      </w:r>
      <w:r w:rsidRPr="000B7839">
        <w:t xml:space="preserve"> </w:t>
      </w:r>
      <w:r w:rsidRPr="000B7839">
        <w:rPr>
          <w:szCs w:val="18"/>
        </w:rPr>
        <w:t>Support for this approach in the Australian context is provided by Murphy, C. (2018)</w:t>
      </w:r>
      <w:r w:rsidR="00320B15" w:rsidRPr="000B7839">
        <w:rPr>
          <w:szCs w:val="18"/>
        </w:rPr>
        <w:t>.</w:t>
      </w:r>
      <w:r w:rsidRPr="000B7839">
        <w:rPr>
          <w:szCs w:val="18"/>
        </w:rPr>
        <w:t xml:space="preserve"> Murphy provides an extensive review of academic literature on this issue. For a contrary approach, see Swan, P. (2019)</w:t>
      </w:r>
      <w:r w:rsidR="00320B15" w:rsidRPr="000B7839">
        <w:rPr>
          <w:szCs w:val="18"/>
        </w:rPr>
        <w:t>.</w:t>
      </w:r>
      <w:r w:rsidRPr="000B7839">
        <w:rPr>
          <w:szCs w:val="18"/>
        </w:rPr>
        <w:t xml:space="preserve"> Swan provides evidence suggesting marginal investment is supplied by residents who can make use of imputation credits and who can borrow on international capital markets to finance investment.</w:t>
      </w:r>
      <w:r w:rsidR="00AD7D84">
        <w:rPr>
          <w:szCs w:val="18"/>
        </w:rPr>
        <w:t xml:space="preserve"> This is likely to be more consistent with </w:t>
      </w:r>
      <w:r w:rsidR="008207CB">
        <w:rPr>
          <w:szCs w:val="18"/>
        </w:rPr>
        <w:t>the</w:t>
      </w:r>
      <w:r w:rsidR="00AD7D84">
        <w:rPr>
          <w:szCs w:val="18"/>
        </w:rPr>
        <w:t xml:space="preserve"> alternative model that</w:t>
      </w:r>
      <w:r w:rsidR="009061E9">
        <w:rPr>
          <w:szCs w:val="18"/>
        </w:rPr>
        <w:t xml:space="preserve"> we analyse in Appendix 1 of the </w:t>
      </w:r>
      <w:r w:rsidR="009061E9">
        <w:rPr>
          <w:i/>
          <w:iCs/>
          <w:szCs w:val="18"/>
        </w:rPr>
        <w:t>Technical Appendices</w:t>
      </w:r>
      <w:r w:rsidR="009061E9">
        <w:rPr>
          <w:szCs w:val="18"/>
        </w:rPr>
        <w:t>.</w:t>
      </w:r>
    </w:p>
  </w:footnote>
  <w:footnote w:id="25">
    <w:p w14:paraId="17C6FA7E" w14:textId="77777777" w:rsidR="00644621" w:rsidRPr="00586800" w:rsidRDefault="00644621" w:rsidP="00644621">
      <w:pPr>
        <w:pStyle w:val="FootnoteText"/>
        <w:rPr>
          <w:szCs w:val="18"/>
        </w:rPr>
      </w:pPr>
      <w:r w:rsidRPr="000B7839">
        <w:rPr>
          <w:rStyle w:val="FootnoteReference"/>
          <w:szCs w:val="18"/>
        </w:rPr>
        <w:footnoteRef/>
      </w:r>
      <w:r w:rsidRPr="000B7839">
        <w:rPr>
          <w:szCs w:val="18"/>
        </w:rPr>
        <w:t xml:space="preserve"> </w:t>
      </w:r>
      <w:r w:rsidRPr="00586800">
        <w:rPr>
          <w:szCs w:val="18"/>
        </w:rPr>
        <w:t>To understand the example, it is easiest to consider investment in an asset that maintains its value through time where no depreciation deductions are allowed. For assets that fall in value over time, economic income would be fully taxed if depreciation deductions mirrored economic depreciation (that is, the fall in the market value of assets).</w:t>
      </w:r>
    </w:p>
  </w:footnote>
  <w:footnote w:id="26">
    <w:p w14:paraId="47846AD8" w14:textId="16F3276E" w:rsidR="00644621" w:rsidRPr="009C4851" w:rsidRDefault="00644621" w:rsidP="00644621">
      <w:pPr>
        <w:pStyle w:val="FootnoteText"/>
        <w:rPr>
          <w:rStyle w:val="FooterChar"/>
          <w:szCs w:val="18"/>
        </w:rPr>
      </w:pPr>
      <w:r w:rsidRPr="009C4851">
        <w:rPr>
          <w:rStyle w:val="FootnoteReference"/>
          <w:szCs w:val="18"/>
        </w:rPr>
        <w:footnoteRef/>
      </w:r>
      <w:r w:rsidRPr="009C4851">
        <w:rPr>
          <w:szCs w:val="18"/>
        </w:rPr>
        <w:t xml:space="preserve"> </w:t>
      </w:r>
      <w:r w:rsidRPr="009C4851">
        <w:rPr>
          <w:rStyle w:val="FooterChar"/>
          <w:szCs w:val="18"/>
        </w:rPr>
        <w:t xml:space="preserve">The OECD refers to this as the ‘low interest and inflation rates’ option, but it is now the only standardised interest rate and inflation option they report. Previously, they considered a real interest rate of 5% and an inflation rate of 2% as well. To be able to purchase 3% more real goods and services, we need a nominal interest rate of 4.03% because 1.03 </w:t>
      </w:r>
      <w:r w:rsidR="00831BF0" w:rsidRPr="009C4851">
        <w:rPr>
          <w:rStyle w:val="FooterChar"/>
          <w:szCs w:val="18"/>
        </w:rPr>
        <w:t>×</w:t>
      </w:r>
      <w:r w:rsidRPr="009C4851">
        <w:rPr>
          <w:rStyle w:val="FooterChar"/>
          <w:szCs w:val="18"/>
        </w:rPr>
        <w:t xml:space="preserve"> 1.01 = 1.0403.</w:t>
      </w:r>
    </w:p>
  </w:footnote>
  <w:footnote w:id="27">
    <w:p w14:paraId="3E03CDB7" w14:textId="4F0B8548" w:rsidR="00644621" w:rsidRPr="00541AF9" w:rsidRDefault="00644621" w:rsidP="00644621">
      <w:pPr>
        <w:pStyle w:val="FootnoteText"/>
        <w:rPr>
          <w:rStyle w:val="FooterChar"/>
        </w:rPr>
      </w:pPr>
      <w:r w:rsidRPr="000B7839">
        <w:rPr>
          <w:rStyle w:val="FootnoteReference"/>
        </w:rPr>
        <w:footnoteRef/>
      </w:r>
      <w:r w:rsidRPr="000B7839">
        <w:t xml:space="preserve"> </w:t>
      </w:r>
      <w:r w:rsidRPr="000B7839">
        <w:rPr>
          <w:rStyle w:val="FooterChar"/>
        </w:rPr>
        <w:t xml:space="preserve">Our model provides identical cost of capital estimates to the OECD model for the case </w:t>
      </w:r>
      <w:r w:rsidR="002910E4" w:rsidRPr="000B7839">
        <w:rPr>
          <w:rStyle w:val="FooterChar"/>
        </w:rPr>
        <w:t>that</w:t>
      </w:r>
      <w:r w:rsidRPr="000B7839">
        <w:rPr>
          <w:rStyle w:val="FooterChar"/>
        </w:rPr>
        <w:t xml:space="preserve"> underlies the OECD’s estimates of costs of capital reported on their website when non-residents are marginal investors in companies. The OECD model is more flexible and can be extended to consider other marginal investors as well, but this comes with additional complexity.</w:t>
      </w:r>
      <w:r w:rsidR="00D209EC">
        <w:rPr>
          <w:rStyle w:val="FooterChar"/>
        </w:rPr>
        <w:t xml:space="preserve"> As is discussed </w:t>
      </w:r>
      <w:r w:rsidR="00541AF9">
        <w:rPr>
          <w:rStyle w:val="FooterChar"/>
        </w:rPr>
        <w:t xml:space="preserve">further </w:t>
      </w:r>
      <w:r w:rsidR="00541AF9" w:rsidRPr="007C2205">
        <w:rPr>
          <w:rStyle w:val="FooterChar"/>
        </w:rPr>
        <w:t xml:space="preserve">in footnote </w:t>
      </w:r>
      <w:r w:rsidR="001C5451" w:rsidRPr="00BE4747">
        <w:rPr>
          <w:rStyle w:val="FooterChar"/>
        </w:rPr>
        <w:t>4</w:t>
      </w:r>
      <w:r w:rsidR="00541AF9" w:rsidRPr="007C2205">
        <w:rPr>
          <w:rStyle w:val="FooterChar"/>
        </w:rPr>
        <w:t xml:space="preserve"> of the</w:t>
      </w:r>
      <w:r w:rsidR="00541AF9">
        <w:rPr>
          <w:rStyle w:val="FooterChar"/>
        </w:rPr>
        <w:t xml:space="preserve"> </w:t>
      </w:r>
      <w:r w:rsidR="00541AF9">
        <w:rPr>
          <w:rStyle w:val="FooterChar"/>
          <w:i/>
          <w:iCs/>
        </w:rPr>
        <w:t>Technical Appendices</w:t>
      </w:r>
      <w:r w:rsidR="00541AF9">
        <w:rPr>
          <w:rStyle w:val="FooterChar"/>
        </w:rPr>
        <w:t>, there may be some differences in our EMTR measures.</w:t>
      </w:r>
    </w:p>
  </w:footnote>
  <w:footnote w:id="28">
    <w:p w14:paraId="4E6A61F9" w14:textId="0334506C" w:rsidR="00A24486" w:rsidRPr="000B7839" w:rsidRDefault="00A24486" w:rsidP="004A7009">
      <w:pPr>
        <w:pStyle w:val="FootnoteText"/>
        <w:rPr>
          <w:rStyle w:val="FooterChar"/>
        </w:rPr>
      </w:pPr>
      <w:r w:rsidRPr="000B7839">
        <w:rPr>
          <w:rStyle w:val="FootnoteReference"/>
        </w:rPr>
        <w:footnoteRef/>
      </w:r>
      <w:r w:rsidRPr="00586800">
        <w:t xml:space="preserve"> </w:t>
      </w:r>
      <w:r w:rsidR="003C2278" w:rsidRPr="003C2278">
        <w:t xml:space="preserve">OECD. (2022). OECD Economic Surveys: New Zealand 2022. (p. 54) </w:t>
      </w:r>
      <w:hyperlink r:id="rId15" w:history="1">
        <w:r w:rsidR="003C2278" w:rsidRPr="00FF3BF9">
          <w:rPr>
            <w:rStyle w:val="Hyperlink"/>
          </w:rPr>
          <w:t>https://doi.org/10.1787/a4fd214c-en</w:t>
        </w:r>
      </w:hyperlink>
      <w:r w:rsidR="003C2278">
        <w:t xml:space="preserve"> </w:t>
      </w:r>
      <w:hyperlink r:id="rId16" w:history="1">
        <w:r w:rsidR="003C2278" w:rsidRPr="00FF3BF9">
          <w:rPr>
            <w:rStyle w:val="Hyperlink"/>
          </w:rPr>
          <w:t>https://stat.link/en6415</w:t>
        </w:r>
      </w:hyperlink>
      <w:r w:rsidR="003C2278">
        <w:t xml:space="preserve"> </w:t>
      </w:r>
    </w:p>
  </w:footnote>
  <w:footnote w:id="29">
    <w:p w14:paraId="26142346" w14:textId="1783E099" w:rsidR="00B079BB" w:rsidRPr="005D149C" w:rsidRDefault="00B079BB">
      <w:pPr>
        <w:pStyle w:val="FootnoteText"/>
        <w:rPr>
          <w:lang w:val="en-US"/>
        </w:rPr>
      </w:pPr>
      <w:r>
        <w:rPr>
          <w:rStyle w:val="FootnoteReference"/>
        </w:rPr>
        <w:footnoteRef/>
      </w:r>
      <w:r>
        <w:t xml:space="preserve"> </w:t>
      </w:r>
      <w:r>
        <w:rPr>
          <w:lang w:val="en-US"/>
        </w:rPr>
        <w:t>Submissions have also suggested that the company tax rate can</w:t>
      </w:r>
      <w:r w:rsidR="00C509E9">
        <w:rPr>
          <w:lang w:val="en-US"/>
        </w:rPr>
        <w:t xml:space="preserve"> </w:t>
      </w:r>
      <w:r w:rsidR="006131B9">
        <w:rPr>
          <w:lang w:val="en-US"/>
        </w:rPr>
        <w:t xml:space="preserve">be </w:t>
      </w:r>
      <w:r w:rsidR="0056016C">
        <w:rPr>
          <w:lang w:val="en-US"/>
        </w:rPr>
        <w:t xml:space="preserve">an important “headline” </w:t>
      </w:r>
      <w:r w:rsidR="006131B9">
        <w:rPr>
          <w:lang w:val="en-US"/>
        </w:rPr>
        <w:t xml:space="preserve">in </w:t>
      </w:r>
      <w:r w:rsidR="00F62FF3">
        <w:rPr>
          <w:lang w:val="en-US"/>
        </w:rPr>
        <w:t>the most preliminary analyses of whether</w:t>
      </w:r>
      <w:r w:rsidR="006131B9">
        <w:rPr>
          <w:lang w:val="en-US"/>
        </w:rPr>
        <w:t xml:space="preserve"> a country is </w:t>
      </w:r>
      <w:r w:rsidR="00333003">
        <w:rPr>
          <w:lang w:val="en-US"/>
        </w:rPr>
        <w:t>likely to be an attractive place to invest in</w:t>
      </w:r>
      <w:r w:rsidR="00F62FF3">
        <w:rPr>
          <w:lang w:val="en-US"/>
        </w:rPr>
        <w:t>.</w:t>
      </w:r>
    </w:p>
  </w:footnote>
  <w:footnote w:id="30">
    <w:p w14:paraId="5F6B3BD1" w14:textId="4F3FAF5F" w:rsidR="00042EFF" w:rsidRPr="00147FB2" w:rsidRDefault="00042EFF" w:rsidP="00042EFF">
      <w:pPr>
        <w:pStyle w:val="FootnoteText"/>
        <w:rPr>
          <w:lang w:val="en-US"/>
        </w:rPr>
      </w:pPr>
      <w:r>
        <w:rPr>
          <w:rStyle w:val="FootnoteReference"/>
        </w:rPr>
        <w:footnoteRef/>
      </w:r>
      <w:r>
        <w:t xml:space="preserve"> </w:t>
      </w:r>
      <w:r>
        <w:rPr>
          <w:lang w:val="en-US"/>
        </w:rPr>
        <w:t xml:space="preserve">Online data from Oxford Centre for Business Taxation available at </w:t>
      </w:r>
      <w:hyperlink r:id="rId17" w:history="1">
        <w:r w:rsidR="00A672AA" w:rsidRPr="0081269E">
          <w:rPr>
            <w:rStyle w:val="Hyperlink"/>
            <w:lang w:val="en-US"/>
          </w:rPr>
          <w:t>https://oxfordtax.sbs.ox.ac.uk/cbt-tax-database</w:t>
        </w:r>
      </w:hyperlink>
      <w:r w:rsidR="00A672AA">
        <w:rPr>
          <w:lang w:val="en-US"/>
        </w:rPr>
        <w:t xml:space="preserve"> </w:t>
      </w:r>
    </w:p>
  </w:footnote>
  <w:footnote w:id="31">
    <w:p w14:paraId="33783EE5" w14:textId="4EB5486E" w:rsidR="00DE57FD" w:rsidRPr="00D848D8" w:rsidRDefault="00DE57FD">
      <w:pPr>
        <w:pStyle w:val="FootnoteText"/>
        <w:rPr>
          <w:lang w:val="en-US"/>
        </w:rPr>
      </w:pPr>
      <w:r>
        <w:rPr>
          <w:rStyle w:val="FootnoteReference"/>
        </w:rPr>
        <w:footnoteRef/>
      </w:r>
      <w:r>
        <w:t xml:space="preserve"> </w:t>
      </w:r>
      <w:r>
        <w:rPr>
          <w:lang w:val="en-US"/>
        </w:rPr>
        <w:t>Bazel, Mintz and Thompson</w:t>
      </w:r>
      <w:r w:rsidR="00155DFE">
        <w:rPr>
          <w:lang w:val="en-US"/>
        </w:rPr>
        <w:t xml:space="preserve"> (2018) provides a breakdown of how these different additional taxes can affect EMTRs </w:t>
      </w:r>
      <w:r w:rsidR="009D7BE0">
        <w:rPr>
          <w:lang w:val="en-US"/>
        </w:rPr>
        <w:t>in many countries. They increase EMTRs in many other countries bu</w:t>
      </w:r>
      <w:r w:rsidR="00EF35DD">
        <w:rPr>
          <w:lang w:val="en-US"/>
        </w:rPr>
        <w:t>t not in New Zealand as New Zealand does not have these taxes.</w:t>
      </w:r>
    </w:p>
  </w:footnote>
  <w:footnote w:id="32">
    <w:p w14:paraId="1B95BAAF" w14:textId="45C26E36" w:rsidR="00F119EE" w:rsidRPr="00504A13" w:rsidRDefault="00F119EE" w:rsidP="00F119EE">
      <w:pPr>
        <w:pStyle w:val="FootnoteText"/>
        <w:rPr>
          <w:i/>
          <w:iCs/>
          <w:lang w:val="en-US"/>
        </w:rPr>
      </w:pPr>
      <w:r>
        <w:rPr>
          <w:rStyle w:val="FootnoteReference"/>
        </w:rPr>
        <w:footnoteRef/>
      </w:r>
      <w:r>
        <w:t xml:space="preserve"> </w:t>
      </w:r>
      <w:r w:rsidRPr="006D2AC3">
        <w:rPr>
          <w:lang w:val="en-US"/>
        </w:rPr>
        <w:t xml:space="preserve">See McLeod Review (2001) </w:t>
      </w:r>
      <w:r w:rsidR="001C2513" w:rsidRPr="006D2AC3">
        <w:rPr>
          <w:i/>
          <w:iCs/>
          <w:lang w:val="en-US"/>
        </w:rPr>
        <w:t>Tax review 2001</w:t>
      </w:r>
      <w:r w:rsidR="007F5621" w:rsidRPr="006D2AC3">
        <w:rPr>
          <w:i/>
          <w:iCs/>
          <w:lang w:val="en-US"/>
        </w:rPr>
        <w:t>:</w:t>
      </w:r>
      <w:r w:rsidR="00E64B69">
        <w:rPr>
          <w:i/>
          <w:iCs/>
          <w:lang w:val="en-US"/>
        </w:rPr>
        <w:t xml:space="preserve"> </w:t>
      </w:r>
      <w:r w:rsidRPr="006D2AC3">
        <w:rPr>
          <w:i/>
          <w:iCs/>
          <w:lang w:val="en-US"/>
        </w:rPr>
        <w:t>Final Report</w:t>
      </w:r>
      <w:r w:rsidR="007F5621" w:rsidRPr="006D2AC3">
        <w:rPr>
          <w:i/>
          <w:iCs/>
          <w:lang w:val="en-US"/>
        </w:rPr>
        <w:t>.</w:t>
      </w:r>
    </w:p>
  </w:footnote>
  <w:footnote w:id="33">
    <w:p w14:paraId="5A277D7A" w14:textId="69219FA8" w:rsidR="00F119EE" w:rsidRPr="006C0BDE" w:rsidRDefault="00F119EE" w:rsidP="00F119EE">
      <w:pPr>
        <w:pStyle w:val="FootnoteText"/>
        <w:rPr>
          <w:lang w:val="en-US"/>
        </w:rPr>
      </w:pPr>
      <w:r>
        <w:rPr>
          <w:rStyle w:val="FootnoteReference"/>
        </w:rPr>
        <w:footnoteRef/>
      </w:r>
      <w:r>
        <w:t xml:space="preserve"> Sometimes non-resident withholding tax on dividends may be paid by a New Zealand subsidiary on unimputed dividends paid to a foreign parent</w:t>
      </w:r>
      <w:r w:rsidR="00F12930">
        <w:t>,</w:t>
      </w:r>
      <w:r>
        <w:t xml:space="preserve"> </w:t>
      </w:r>
      <w:r w:rsidR="00F12930">
        <w:t>b</w:t>
      </w:r>
      <w:r>
        <w:t>ut double tax agreements can reduce this to 0% in many case</w:t>
      </w:r>
      <w:r w:rsidR="00404BEB">
        <w:t>s</w:t>
      </w:r>
      <w:r>
        <w:t>. We ignore dividend withholding tax. Some additional complications can be introduced by New Zealand’s foreign investor tax credit for dividends paid to portfolio shareholders. Again</w:t>
      </w:r>
      <w:r w:rsidR="00404BEB">
        <w:t>,</w:t>
      </w:r>
      <w:r>
        <w:t xml:space="preserve"> we </w:t>
      </w:r>
      <w:r w:rsidR="009B05AE">
        <w:t>ignore</w:t>
      </w:r>
      <w:r>
        <w:t xml:space="preserve"> these complications in the analysis in this chapter. Th</w:t>
      </w:r>
      <w:r w:rsidR="00AA7256">
        <w:t>ese are</w:t>
      </w:r>
      <w:r>
        <w:t xml:space="preserve"> extension</w:t>
      </w:r>
      <w:r w:rsidR="00AA7256">
        <w:t>s</w:t>
      </w:r>
      <w:r>
        <w:t xml:space="preserve"> that might be considered in future work.</w:t>
      </w:r>
    </w:p>
  </w:footnote>
  <w:footnote w:id="34">
    <w:p w14:paraId="38058A1C" w14:textId="1D1DE983" w:rsidR="00F119EE" w:rsidRPr="000B7839" w:rsidRDefault="00F119EE" w:rsidP="00F119EE">
      <w:pPr>
        <w:pStyle w:val="FootnoteText"/>
      </w:pPr>
      <w:r w:rsidRPr="000B7839">
        <w:rPr>
          <w:rStyle w:val="FootnoteReference"/>
        </w:rPr>
        <w:footnoteRef/>
      </w:r>
      <w:r w:rsidRPr="000B7839">
        <w:t xml:space="preserve"> </w:t>
      </w:r>
      <w:r w:rsidRPr="00586800">
        <w:t xml:space="preserve">See, for example, the discussion in </w:t>
      </w:r>
      <w:r w:rsidRPr="000B7839">
        <w:t xml:space="preserve">Inland Revenue and Treasury (2004) </w:t>
      </w:r>
      <w:r w:rsidRPr="000B7839">
        <w:rPr>
          <w:i/>
          <w:iCs/>
        </w:rPr>
        <w:t>Repairs and maintenance to tax depreciation rules - an officials’ issues paper</w:t>
      </w:r>
      <w:r w:rsidRPr="000B7839">
        <w:t xml:space="preserve">. </w:t>
      </w:r>
      <w:hyperlink r:id="rId18" w:history="1">
        <w:r w:rsidRPr="000B7839">
          <w:rPr>
            <w:rStyle w:val="Hyperlink"/>
          </w:rPr>
          <w:t>https://taxpolicy.ird.govt.nz/publications/2004/2004-ip-depreciation</w:t>
        </w:r>
      </w:hyperlink>
    </w:p>
  </w:footnote>
  <w:footnote w:id="35">
    <w:p w14:paraId="47903760" w14:textId="47980073" w:rsidR="00F119EE" w:rsidRPr="00586800" w:rsidRDefault="00F119EE" w:rsidP="00F119EE">
      <w:pPr>
        <w:pStyle w:val="FootnoteText"/>
        <w:rPr>
          <w:szCs w:val="18"/>
        </w:rPr>
      </w:pPr>
      <w:r w:rsidRPr="000B7839">
        <w:rPr>
          <w:rStyle w:val="FootnoteReference"/>
          <w:szCs w:val="18"/>
        </w:rPr>
        <w:footnoteRef/>
      </w:r>
      <w:r w:rsidRPr="000B7839">
        <w:rPr>
          <w:szCs w:val="18"/>
        </w:rPr>
        <w:t xml:space="preserve"> </w:t>
      </w:r>
      <w:r>
        <w:rPr>
          <w:lang w:val="en-US"/>
        </w:rPr>
        <w:t xml:space="preserve">As is discussed in </w:t>
      </w:r>
      <w:r w:rsidR="00B13561">
        <w:rPr>
          <w:lang w:val="en-US"/>
        </w:rPr>
        <w:t>a</w:t>
      </w:r>
      <w:r>
        <w:rPr>
          <w:lang w:val="en-US"/>
        </w:rPr>
        <w:t xml:space="preserve">ppendix 2, the domestic real interest rate would be expected </w:t>
      </w:r>
      <w:r>
        <w:rPr>
          <w:lang w:val="en-US"/>
        </w:rPr>
        <w:t>to rise to</w:t>
      </w:r>
      <w:r w:rsidRPr="000B7839">
        <w:rPr>
          <w:szCs w:val="18"/>
        </w:rPr>
        <w:t xml:space="preserve"> </w:t>
      </w:r>
      <w:r w:rsidRPr="000B7839">
        <w:rPr>
          <w:position w:val="-10"/>
          <w:szCs w:val="18"/>
        </w:rPr>
        <w:object w:dxaOrig="1778" w:dyaOrig="300" w14:anchorId="5D8D3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9.25pt;height:15pt" o:ole="">
            <v:imagedata r:id="rId19" o:title=""/>
          </v:shape>
          <o:OLEObject Type="Embed" ProgID="Equation.DSMT4" ShapeID="_x0000_i1028" DrawAspect="Content" ObjectID="_1723470720" r:id="rId20"/>
        </w:object>
      </w:r>
      <w:r>
        <w:rPr>
          <w:lang w:val="en-US"/>
        </w:rPr>
        <w:t xml:space="preserve"> where </w:t>
      </w:r>
      <w:r>
        <w:rPr>
          <w:i/>
          <w:iCs/>
          <w:lang w:val="en-US"/>
        </w:rPr>
        <w:t>r</w:t>
      </w:r>
      <w:r>
        <w:rPr>
          <w:lang w:val="en-US"/>
        </w:rPr>
        <w:t xml:space="preserve"> is the world real interest rate, </w:t>
      </w:r>
      <w:r w:rsidRPr="00BF46ED">
        <w:rPr>
          <w:position w:val="-6"/>
          <w:lang w:val="en-US"/>
        </w:rPr>
        <w:object w:dxaOrig="210" w:dyaOrig="210" w14:anchorId="0E06052B">
          <v:shape id="_x0000_i1030" type="#_x0000_t75" style="width:10.5pt;height:10.5pt" o:ole="">
            <v:imagedata r:id="rId21" o:title=""/>
          </v:shape>
          <o:OLEObject Type="Embed" ProgID="Equation.DSMT4" ShapeID="_x0000_i1030" DrawAspect="Content" ObjectID="_1723470721" r:id="rId22"/>
        </w:object>
      </w:r>
      <w:r>
        <w:rPr>
          <w:lang w:val="en-US"/>
        </w:rPr>
        <w:t xml:space="preserve"> is the inflation rate and </w:t>
      </w:r>
      <w:r w:rsidRPr="004D7EF6">
        <w:rPr>
          <w:position w:val="-10"/>
          <w:lang w:val="en-US"/>
        </w:rPr>
        <w:object w:dxaOrig="165" w:dyaOrig="285" w14:anchorId="1800F93F">
          <v:shape id="_x0000_i1032" type="#_x0000_t75" style="width:8.25pt;height:14.25pt">
            <v:imagedata r:id="rId23" o:title=""/>
          </v:shape>
          <o:OLEObject Type="Embed" ProgID="Equation.DSMT4" ShapeID="_x0000_i1032" DrawAspect="Content" ObjectID="_1723470722" r:id="rId24"/>
        </w:object>
      </w:r>
      <w:r>
        <w:rPr>
          <w:lang w:val="en-US"/>
        </w:rPr>
        <w:t xml:space="preserve"> is the rate of AIL.</w:t>
      </w:r>
    </w:p>
  </w:footnote>
  <w:footnote w:id="36">
    <w:p w14:paraId="0B254617" w14:textId="644E4A63" w:rsidR="00DB22AC" w:rsidRPr="00025CA7" w:rsidRDefault="00DB22AC">
      <w:pPr>
        <w:pStyle w:val="FootnoteText"/>
        <w:rPr>
          <w:lang w:val="en-US"/>
        </w:rPr>
      </w:pPr>
      <w:r>
        <w:rPr>
          <w:rStyle w:val="FootnoteReference"/>
        </w:rPr>
        <w:footnoteRef/>
      </w:r>
      <w:r>
        <w:t xml:space="preserve"> One submission suggested that </w:t>
      </w:r>
      <w:r w:rsidR="00757859">
        <w:t xml:space="preserve">the low EMTRs we report for expensing arise only for appreciating assets but Appendix 5 of the </w:t>
      </w:r>
      <w:r w:rsidR="00757859">
        <w:rPr>
          <w:i/>
          <w:iCs/>
        </w:rPr>
        <w:t>Technical appendices</w:t>
      </w:r>
      <w:r w:rsidR="00757859">
        <w:t xml:space="preserve"> </w:t>
      </w:r>
      <w:r w:rsidR="007D2BCB">
        <w:t xml:space="preserve">shows that the </w:t>
      </w:r>
      <w:r w:rsidR="00757859">
        <w:t>low EMTRs arise for depreciating assets as well.</w:t>
      </w:r>
    </w:p>
  </w:footnote>
  <w:footnote w:id="37">
    <w:p w14:paraId="1F509B1F" w14:textId="77777777" w:rsidR="00987CEC" w:rsidRDefault="00987CEC" w:rsidP="00987CEC">
      <w:pPr>
        <w:pStyle w:val="FootnoteText"/>
        <w:rPr>
          <w:lang w:val="en-US"/>
        </w:rPr>
      </w:pPr>
      <w:r>
        <w:rPr>
          <w:rStyle w:val="FootnoteReference"/>
        </w:rPr>
        <w:footnoteRef/>
      </w:r>
      <w:r>
        <w:t xml:space="preserve"> Even for assets that depreciate extremely quickly and are fully depreciated over the year they are first used, there is an important difference between economic depreciation and expensing. An asset acquired at the end of year 0 that is subject to economic depreciation is assumed to be depreciable in year 1, whereas an asset that can be expensed is assumed to be depreciable in year 0, the year in which it is acquired. This is consistent with the OECD methodology. </w:t>
      </w:r>
      <w:r w:rsidRPr="00164D52">
        <w:t>This is discussed further in Appendix 3</w:t>
      </w:r>
      <w:r>
        <w:t xml:space="preserve"> of the </w:t>
      </w:r>
      <w:r>
        <w:rPr>
          <w:i/>
          <w:iCs/>
        </w:rPr>
        <w:t>Technical appendices.</w:t>
      </w:r>
    </w:p>
  </w:footnote>
  <w:footnote w:id="38">
    <w:p w14:paraId="02A94A9A" w14:textId="2EBAC9E5" w:rsidR="00F119EE" w:rsidRPr="000B7839" w:rsidRDefault="00F119EE" w:rsidP="00F119EE">
      <w:pPr>
        <w:pStyle w:val="FootnoteText"/>
        <w:rPr>
          <w:szCs w:val="18"/>
        </w:rPr>
      </w:pPr>
      <w:r w:rsidRPr="000B7839">
        <w:rPr>
          <w:rStyle w:val="FootnoteReference"/>
        </w:rPr>
        <w:footnoteRef/>
      </w:r>
      <w:r w:rsidRPr="000B7839">
        <w:t xml:space="preserve"> </w:t>
      </w:r>
      <w:r>
        <w:rPr>
          <w:szCs w:val="18"/>
        </w:rPr>
        <w:t xml:space="preserve">As is discussed in </w:t>
      </w:r>
      <w:r w:rsidR="005A722F">
        <w:rPr>
          <w:szCs w:val="18"/>
        </w:rPr>
        <w:t>a</w:t>
      </w:r>
      <w:r>
        <w:rPr>
          <w:szCs w:val="18"/>
        </w:rPr>
        <w:t>ppendix 1</w:t>
      </w:r>
      <w:r w:rsidR="005A722F">
        <w:rPr>
          <w:szCs w:val="18"/>
        </w:rPr>
        <w:t>,</w:t>
      </w:r>
      <w:r>
        <w:rPr>
          <w:szCs w:val="18"/>
        </w:rPr>
        <w:t xml:space="preserve"> t</w:t>
      </w:r>
      <w:r w:rsidRPr="000B7839">
        <w:rPr>
          <w:szCs w:val="18"/>
        </w:rPr>
        <w:t xml:space="preserve">he real interest </w:t>
      </w:r>
      <w:r w:rsidRPr="000B7839">
        <w:rPr>
          <w:szCs w:val="18"/>
        </w:rPr>
        <w:t xml:space="preserve">rate rises to </w:t>
      </w:r>
      <w:r w:rsidR="00F17A08" w:rsidRPr="00F17A08">
        <w:rPr>
          <w:position w:val="-10"/>
          <w:szCs w:val="18"/>
        </w:rPr>
        <w:object w:dxaOrig="2940" w:dyaOrig="300" w14:anchorId="08B4A1B2">
          <v:shape id="_x0000_i1034" type="#_x0000_t75" style="width:147pt;height:15pt">
            <v:imagedata r:id="rId25" o:title=""/>
          </v:shape>
          <o:OLEObject Type="Embed" ProgID="Equation.DSMT4" ShapeID="_x0000_i1034" DrawAspect="Content" ObjectID="_1723470723" r:id="rId26"/>
        </w:object>
      </w:r>
      <w:r w:rsidRPr="000B7839">
        <w:rPr>
          <w:szCs w:val="18"/>
        </w:rPr>
        <w:t xml:space="preserve">where </w:t>
      </w:r>
      <w:r w:rsidR="00C25EA9" w:rsidRPr="00C25EA9">
        <w:rPr>
          <w:position w:val="-10"/>
          <w:szCs w:val="18"/>
        </w:rPr>
        <w:object w:dxaOrig="240" w:dyaOrig="300" w14:anchorId="5C156F47">
          <v:shape id="_x0000_i1036" type="#_x0000_t75" style="width:12pt;height:15pt">
            <v:imagedata r:id="rId27" o:title=""/>
          </v:shape>
          <o:OLEObject Type="Embed" ProgID="Equation.DSMT4" ShapeID="_x0000_i1036" DrawAspect="Content" ObjectID="_1723470724" r:id="rId28"/>
        </w:object>
      </w:r>
      <w:r w:rsidRPr="000B7839">
        <w:rPr>
          <w:szCs w:val="18"/>
        </w:rPr>
        <w:t xml:space="preserve"> is the rate of NRWT.</w:t>
      </w:r>
    </w:p>
  </w:footnote>
  <w:footnote w:id="39">
    <w:p w14:paraId="339F9890" w14:textId="417E1FA8" w:rsidR="00F119EE" w:rsidRPr="006C0BDE" w:rsidRDefault="00F119EE" w:rsidP="00F119EE">
      <w:pPr>
        <w:pStyle w:val="FootnoteText"/>
        <w:rPr>
          <w:lang w:val="en-US"/>
        </w:rPr>
      </w:pPr>
      <w:r>
        <w:rPr>
          <w:rStyle w:val="FootnoteReference"/>
        </w:rPr>
        <w:footnoteRef/>
      </w:r>
      <w:r>
        <w:t xml:space="preserve"> </w:t>
      </w:r>
      <w:r w:rsidR="00A53DD3">
        <w:t>This issue is discussed in f</w:t>
      </w:r>
      <w:r w:rsidR="001D7CB9">
        <w:t xml:space="preserve">ootnote 18 </w:t>
      </w:r>
      <w:r w:rsidR="00A53DD3">
        <w:t xml:space="preserve">of Appendix 2 in the </w:t>
      </w:r>
      <w:r w:rsidR="00A53DD3">
        <w:rPr>
          <w:i/>
          <w:iCs/>
        </w:rPr>
        <w:t>Technical appendices</w:t>
      </w:r>
      <w:r w:rsidR="00A53DD3">
        <w:t>.</w:t>
      </w:r>
    </w:p>
  </w:footnote>
  <w:footnote w:id="40">
    <w:p w14:paraId="7E03287D" w14:textId="4A9804A8" w:rsidR="00250309" w:rsidRPr="00983235" w:rsidRDefault="00250309">
      <w:pPr>
        <w:pStyle w:val="FootnoteText"/>
        <w:rPr>
          <w:lang w:val="en-US"/>
        </w:rPr>
      </w:pPr>
      <w:r>
        <w:rPr>
          <w:rStyle w:val="FootnoteReference"/>
        </w:rPr>
        <w:footnoteRef/>
      </w:r>
      <w:r>
        <w:t xml:space="preserve"> In later chapters we discuss the possibility of inflation indexation and of a dual income tax with </w:t>
      </w:r>
      <w:r w:rsidR="009F0C7F">
        <w:t xml:space="preserve">a possibly lower flat rate of tax on capital income. Either of these might relieve tax biases not by taxing business income from SMEs more heavily but by </w:t>
      </w:r>
      <w:r w:rsidR="00FE1385">
        <w:t>reducing taxes on some relatively heavily taxed forms of saving.</w:t>
      </w:r>
    </w:p>
  </w:footnote>
  <w:footnote w:id="41">
    <w:p w14:paraId="13E6EAA9" w14:textId="6F3C503E" w:rsidR="00493E38" w:rsidRPr="00075A44" w:rsidRDefault="00493E38">
      <w:pPr>
        <w:pStyle w:val="FootnoteText"/>
        <w:rPr>
          <w:lang w:val="en-US"/>
        </w:rPr>
      </w:pPr>
      <w:r>
        <w:rPr>
          <w:rStyle w:val="FootnoteReference"/>
        </w:rPr>
        <w:footnoteRef/>
      </w:r>
      <w:r w:rsidR="009C4851">
        <w:t xml:space="preserve"> </w:t>
      </w:r>
      <w:r w:rsidR="00C845B1">
        <w:t>Treasury</w:t>
      </w:r>
      <w:r w:rsidR="00C5264C">
        <w:t>, ‘He tirohanga mokopu</w:t>
      </w:r>
      <w:r w:rsidR="00715D65">
        <w:t>na</w:t>
      </w:r>
      <w:r w:rsidR="00615444">
        <w:t xml:space="preserve"> 2021</w:t>
      </w:r>
      <w:r w:rsidR="00643A6E">
        <w:t>: the Treasury’s combined statement on the long</w:t>
      </w:r>
      <w:r w:rsidR="00893D35">
        <w:t>-</w:t>
      </w:r>
      <w:r w:rsidR="00643A6E">
        <w:t xml:space="preserve">term fiscal position and the </w:t>
      </w:r>
      <w:r w:rsidR="00893D35">
        <w:t>long-term insights briefing’</w:t>
      </w:r>
      <w:r w:rsidR="00C5264C">
        <w:t xml:space="preserve"> </w:t>
      </w:r>
      <w:hyperlink r:id="rId29" w:history="1">
        <w:r w:rsidR="00075A44" w:rsidRPr="0069757C">
          <w:rPr>
            <w:rStyle w:val="Hyperlink"/>
          </w:rPr>
          <w:t>https://www.treasury.govt.nz/publications/strategies-and-plans/long-term-insights-briefings</w:t>
        </w:r>
      </w:hyperlink>
    </w:p>
  </w:footnote>
  <w:footnote w:id="42">
    <w:p w14:paraId="4E6E8BE3" w14:textId="02862DBA" w:rsidR="001B3AE0" w:rsidRPr="00586800" w:rsidRDefault="001B3AE0" w:rsidP="001B3AE0">
      <w:pPr>
        <w:pStyle w:val="FootnoteText"/>
        <w:rPr>
          <w:szCs w:val="18"/>
        </w:rPr>
      </w:pPr>
      <w:r w:rsidRPr="000B7839">
        <w:rPr>
          <w:rStyle w:val="FootnoteReference"/>
        </w:rPr>
        <w:footnoteRef/>
      </w:r>
      <w:r w:rsidRPr="000B7839">
        <w:t xml:space="preserve"> </w:t>
      </w:r>
      <w:r w:rsidR="009477DB">
        <w:t>See</w:t>
      </w:r>
      <w:r w:rsidRPr="00586800">
        <w:rPr>
          <w:szCs w:val="18"/>
        </w:rPr>
        <w:t xml:space="preserve"> Inland Revenue and Treasury (2009).</w:t>
      </w:r>
    </w:p>
  </w:footnote>
  <w:footnote w:id="43">
    <w:p w14:paraId="01F96BB2" w14:textId="7F46B19B" w:rsidR="001B3AE0" w:rsidRPr="00586800" w:rsidRDefault="001B3AE0" w:rsidP="001B3AE0">
      <w:pPr>
        <w:pStyle w:val="FootnoteText"/>
      </w:pPr>
      <w:r w:rsidRPr="000B7839">
        <w:rPr>
          <w:rStyle w:val="FootnoteReference"/>
        </w:rPr>
        <w:footnoteRef/>
      </w:r>
      <w:r w:rsidRPr="000B7839">
        <w:t xml:space="preserve"> </w:t>
      </w:r>
      <w:r w:rsidRPr="00586800">
        <w:t xml:space="preserve">At the same time, countries </w:t>
      </w:r>
      <w:r w:rsidR="001B0DF8" w:rsidRPr="00586800">
        <w:t>that</w:t>
      </w:r>
      <w:r w:rsidRPr="00586800">
        <w:t xml:space="preserve"> have introduced an allowance for corporate equity have most often restricted this allowance to new equity only</w:t>
      </w:r>
      <w:r w:rsidR="001B0DF8" w:rsidRPr="00586800">
        <w:t>,</w:t>
      </w:r>
      <w:r w:rsidRPr="00586800">
        <w:t xml:space="preserve"> which raises some of the same issues. This is discussed in chapter 10.</w:t>
      </w:r>
    </w:p>
  </w:footnote>
  <w:footnote w:id="44">
    <w:p w14:paraId="6C17CE94" w14:textId="5C5968E9" w:rsidR="00D94677" w:rsidRPr="00586800" w:rsidRDefault="00D94677">
      <w:pPr>
        <w:pStyle w:val="FootnoteText"/>
      </w:pPr>
      <w:r w:rsidRPr="000B7839">
        <w:rPr>
          <w:rStyle w:val="FootnoteReference"/>
        </w:rPr>
        <w:footnoteRef/>
      </w:r>
      <w:r w:rsidRPr="000B7839">
        <w:t xml:space="preserve"> </w:t>
      </w:r>
      <w:r w:rsidR="007A3079" w:rsidRPr="000B7839">
        <w:t xml:space="preserve">These are, of course, identical to the estimates provided </w:t>
      </w:r>
      <w:r w:rsidR="007A3079" w:rsidRPr="00375A06">
        <w:t xml:space="preserve">in </w:t>
      </w:r>
      <w:r w:rsidR="003F5DCE" w:rsidRPr="00375A06">
        <w:t>t</w:t>
      </w:r>
      <w:r w:rsidR="007A3079" w:rsidRPr="00375A06">
        <w:t>able 4.</w:t>
      </w:r>
      <w:r w:rsidR="00015BC9">
        <w:t>1</w:t>
      </w:r>
      <w:r w:rsidR="00535906" w:rsidRPr="000B7839">
        <w:t xml:space="preserve"> for domestic companies with marginal </w:t>
      </w:r>
      <w:r w:rsidR="004D4472">
        <w:t>foreign portfolio shareholders in the case where debt is 43% and inflation is 2%</w:t>
      </w:r>
      <w:r w:rsidR="004834BE" w:rsidRPr="000B7839">
        <w:t>.</w:t>
      </w:r>
    </w:p>
  </w:footnote>
  <w:footnote w:id="45">
    <w:p w14:paraId="5482D020" w14:textId="0B65CFA7" w:rsidR="001B3AE0" w:rsidRPr="00586800" w:rsidRDefault="001B3AE0" w:rsidP="001B3AE0">
      <w:pPr>
        <w:pStyle w:val="FootnoteText"/>
        <w:rPr>
          <w:szCs w:val="18"/>
        </w:rPr>
      </w:pPr>
      <w:r w:rsidRPr="000B7839">
        <w:rPr>
          <w:rStyle w:val="FootnoteReference"/>
          <w:szCs w:val="18"/>
        </w:rPr>
        <w:footnoteRef/>
      </w:r>
      <w:r w:rsidRPr="000B7839">
        <w:rPr>
          <w:szCs w:val="18"/>
        </w:rPr>
        <w:t xml:space="preserve"> If $100 is earned as company income and this is taxed at the 28% company tax rate, this leaves $72 net of company tax. If this is taxed at 15.2% when shares are sold, this would mean a further $11 of tax, leaving a shareholder on the 39% marginal tax rate with approximately $61 of after-tax income. This tax on gains could be achieved by including 39% of the gain as taxable income because 39% × 39% is approximately 15.2%. This </w:t>
      </w:r>
      <w:r w:rsidR="00F35BD4">
        <w:rPr>
          <w:szCs w:val="18"/>
        </w:rPr>
        <w:t>ignores</w:t>
      </w:r>
      <w:r w:rsidR="006D30B8">
        <w:rPr>
          <w:szCs w:val="18"/>
        </w:rPr>
        <w:t xml:space="preserve"> some</w:t>
      </w:r>
      <w:r w:rsidRPr="000B7839">
        <w:rPr>
          <w:szCs w:val="18"/>
        </w:rPr>
        <w:t xml:space="preserve"> timing issues. With a 39% tax on share gains</w:t>
      </w:r>
      <w:r w:rsidR="00A53D85" w:rsidRPr="000B7839">
        <w:rPr>
          <w:szCs w:val="18"/>
        </w:rPr>
        <w:t>,</w:t>
      </w:r>
      <w:r w:rsidRPr="000B7839">
        <w:rPr>
          <w:szCs w:val="18"/>
        </w:rPr>
        <w:t xml:space="preserve"> there could still be advantages in those on the top marginal tax rate accumulating profits in companies for lengthy periods before selling these to generate capital gains.</w:t>
      </w:r>
    </w:p>
  </w:footnote>
  <w:footnote w:id="46">
    <w:p w14:paraId="15E3C8B0" w14:textId="77777777" w:rsidR="001B3AE0" w:rsidRPr="00586800" w:rsidRDefault="001B3AE0" w:rsidP="001B3AE0">
      <w:pPr>
        <w:pStyle w:val="FootnoteText"/>
        <w:rPr>
          <w:szCs w:val="18"/>
        </w:rPr>
      </w:pPr>
      <w:r w:rsidRPr="000B7839">
        <w:rPr>
          <w:rStyle w:val="FootnoteReference"/>
          <w:szCs w:val="18"/>
        </w:rPr>
        <w:footnoteRef/>
      </w:r>
      <w:r w:rsidRPr="000B7839">
        <w:rPr>
          <w:szCs w:val="18"/>
        </w:rPr>
        <w:t xml:space="preserve"> </w:t>
      </w:r>
      <w:r w:rsidRPr="00586800">
        <w:t>Statistics NZ National Accounts Data for the year to 31 March 2021.</w:t>
      </w:r>
    </w:p>
  </w:footnote>
  <w:footnote w:id="47">
    <w:p w14:paraId="5E96D0C4" w14:textId="5E4524CA" w:rsidR="001B3AE0" w:rsidRPr="000B7839" w:rsidRDefault="001B3AE0" w:rsidP="001B3AE0">
      <w:pPr>
        <w:pStyle w:val="FootnoteText"/>
        <w:rPr>
          <w:szCs w:val="18"/>
        </w:rPr>
      </w:pPr>
      <w:r w:rsidRPr="000B7839">
        <w:rPr>
          <w:rStyle w:val="FootnoteReference"/>
        </w:rPr>
        <w:footnoteRef/>
      </w:r>
      <w:r w:rsidRPr="000B7839">
        <w:t xml:space="preserve"> </w:t>
      </w:r>
      <w:r w:rsidRPr="000B7839">
        <w:rPr>
          <w:szCs w:val="18"/>
        </w:rPr>
        <w:t>Tax Working Group</w:t>
      </w:r>
      <w:r w:rsidR="00E402A4">
        <w:rPr>
          <w:szCs w:val="18"/>
        </w:rPr>
        <w:t>.</w:t>
      </w:r>
      <w:r w:rsidRPr="000B7839">
        <w:rPr>
          <w:szCs w:val="18"/>
        </w:rPr>
        <w:t xml:space="preserve"> (2018)</w:t>
      </w:r>
      <w:r w:rsidR="00E402A4">
        <w:rPr>
          <w:szCs w:val="18"/>
        </w:rPr>
        <w:t>.</w:t>
      </w:r>
      <w:r w:rsidRPr="000B7839">
        <w:rPr>
          <w:szCs w:val="18"/>
        </w:rPr>
        <w:t xml:space="preserve"> Appendix E – Inflation indexing the tax system</w:t>
      </w:r>
      <w:r w:rsidR="006A2DA6">
        <w:rPr>
          <w:szCs w:val="18"/>
        </w:rPr>
        <w:t xml:space="preserve"> </w:t>
      </w:r>
      <w:hyperlink r:id="rId30" w:history="1">
        <w:r w:rsidR="006A2DA6" w:rsidRPr="0081687C">
          <w:rPr>
            <w:rStyle w:val="Hyperlink"/>
            <w:szCs w:val="18"/>
          </w:rPr>
          <w:t>https://taxworkinggroup.govt.nz/resources/twg-bg-3985472-appendix-e-inflation-indexing-the-tax-system</w:t>
        </w:r>
      </w:hyperlink>
    </w:p>
  </w:footnote>
  <w:footnote w:id="48">
    <w:p w14:paraId="5AD3DE52" w14:textId="4BC0EF44" w:rsidR="001B3AE0" w:rsidRPr="000B7839" w:rsidRDefault="001B3AE0" w:rsidP="001B3AE0">
      <w:pPr>
        <w:pStyle w:val="FootnoteText"/>
        <w:rPr>
          <w:szCs w:val="18"/>
        </w:rPr>
      </w:pPr>
      <w:r w:rsidRPr="000B7839">
        <w:rPr>
          <w:rStyle w:val="FootnoteReference"/>
          <w:szCs w:val="18"/>
        </w:rPr>
        <w:footnoteRef/>
      </w:r>
      <w:r w:rsidRPr="000B7839">
        <w:rPr>
          <w:szCs w:val="18"/>
        </w:rPr>
        <w:t xml:space="preserve"> Consultative Document on the Taxation of Income from Capital (December 1989)</w:t>
      </w:r>
      <w:r w:rsidR="00840957">
        <w:rPr>
          <w:szCs w:val="18"/>
        </w:rPr>
        <w:t xml:space="preserve"> </w:t>
      </w:r>
      <w:hyperlink r:id="rId31" w:history="1">
        <w:r w:rsidR="00840957" w:rsidRPr="00036C99">
          <w:rPr>
            <w:rStyle w:val="Hyperlink"/>
            <w:szCs w:val="18"/>
          </w:rPr>
          <w:t>https://taxpolicy.ird.govt.nz/-/media/project/ir/tp/publications/1989/1989-dd-taxation-income-capital/1989-dd-taxation-income-capital-pdf.pdf?modified=20200910102401&amp;modified=20200910102401</w:t>
        </w:r>
      </w:hyperlink>
      <w:r w:rsidRPr="000B7839">
        <w:rPr>
          <w:szCs w:val="18"/>
        </w:rPr>
        <w:t>.</w:t>
      </w:r>
    </w:p>
  </w:footnote>
  <w:footnote w:id="49">
    <w:p w14:paraId="0D04D7F1" w14:textId="09B7F613" w:rsidR="001B3AE0" w:rsidRPr="00586800" w:rsidRDefault="001B3AE0" w:rsidP="001B3AE0">
      <w:pPr>
        <w:pStyle w:val="FootnoteText"/>
        <w:rPr>
          <w:szCs w:val="18"/>
        </w:rPr>
      </w:pPr>
      <w:r w:rsidRPr="000B7839">
        <w:rPr>
          <w:rStyle w:val="FootnoteReference"/>
        </w:rPr>
        <w:footnoteRef/>
      </w:r>
      <w:r w:rsidRPr="000B7839">
        <w:t xml:space="preserve"> </w:t>
      </w:r>
      <w:r w:rsidRPr="00586800">
        <w:rPr>
          <w:szCs w:val="18"/>
        </w:rPr>
        <w:t>As discussed in chapter 4, costs of capital and EMTRs would be slightly lower for foreign</w:t>
      </w:r>
      <w:r w:rsidR="006A4EE2" w:rsidRPr="00586800">
        <w:rPr>
          <w:szCs w:val="18"/>
        </w:rPr>
        <w:t>-</w:t>
      </w:r>
      <w:r w:rsidRPr="00586800">
        <w:rPr>
          <w:szCs w:val="18"/>
        </w:rPr>
        <w:t xml:space="preserve">controlled companies </w:t>
      </w:r>
      <w:r w:rsidR="006A4EE2" w:rsidRPr="00586800">
        <w:rPr>
          <w:szCs w:val="18"/>
        </w:rPr>
        <w:t>that</w:t>
      </w:r>
      <w:r w:rsidRPr="00586800">
        <w:rPr>
          <w:szCs w:val="18"/>
        </w:rPr>
        <w:t xml:space="preserve"> are able to claim foreign tax credits for NRWT levied in New Zealand and somewhat higher for firms that are unable to claim foreign tax credits. </w:t>
      </w:r>
      <w:r w:rsidR="006A4EE2" w:rsidRPr="00586800">
        <w:rPr>
          <w:szCs w:val="18"/>
        </w:rPr>
        <w:t>However,</w:t>
      </w:r>
      <w:r w:rsidRPr="00586800">
        <w:rPr>
          <w:szCs w:val="18"/>
        </w:rPr>
        <w:t xml:space="preserve"> </w:t>
      </w:r>
      <w:r w:rsidR="006A4EE2" w:rsidRPr="00586800">
        <w:rPr>
          <w:szCs w:val="18"/>
        </w:rPr>
        <w:t xml:space="preserve">the </w:t>
      </w:r>
      <w:r w:rsidRPr="00586800">
        <w:rPr>
          <w:szCs w:val="18"/>
        </w:rPr>
        <w:t>differences are not very large.</w:t>
      </w:r>
    </w:p>
  </w:footnote>
  <w:footnote w:id="50">
    <w:p w14:paraId="7F35C47C" w14:textId="77777777" w:rsidR="0051775E" w:rsidRPr="00586800" w:rsidRDefault="0051775E" w:rsidP="0051775E">
      <w:pPr>
        <w:pStyle w:val="FootnoteText"/>
        <w:rPr>
          <w:szCs w:val="18"/>
        </w:rPr>
      </w:pPr>
      <w:r w:rsidRPr="000B7839">
        <w:rPr>
          <w:rStyle w:val="FootnoteReference"/>
        </w:rPr>
        <w:footnoteRef/>
      </w:r>
      <w:r w:rsidRPr="000B7839">
        <w:t xml:space="preserve"> </w:t>
      </w:r>
      <w:r w:rsidRPr="000B7839">
        <w:rPr>
          <w:szCs w:val="18"/>
        </w:rPr>
        <w:t xml:space="preserve">See the OECD’s Effective Tax Rates Explanatory Index, </w:t>
      </w:r>
      <w:hyperlink r:id="rId32" w:history="1">
        <w:r>
          <w:rPr>
            <w:rStyle w:val="Hyperlink"/>
          </w:rPr>
          <w:t>Corporate Effective Tax Rates Explanatory Annex (oecd.org)</w:t>
        </w:r>
      </w:hyperlink>
      <w:r w:rsidRPr="000B7839">
        <w:rPr>
          <w:szCs w:val="18"/>
        </w:rPr>
        <w:t xml:space="preserve"> </w:t>
      </w:r>
    </w:p>
  </w:footnote>
  <w:footnote w:id="51">
    <w:p w14:paraId="721ABA66" w14:textId="77777777" w:rsidR="001B3AE0" w:rsidRPr="000B7839" w:rsidRDefault="001B3AE0" w:rsidP="001B3AE0">
      <w:pPr>
        <w:pStyle w:val="FootnoteText"/>
      </w:pPr>
      <w:r w:rsidRPr="000B7839">
        <w:rPr>
          <w:rStyle w:val="FootnoteReference"/>
        </w:rPr>
        <w:footnoteRef/>
      </w:r>
      <w:r w:rsidRPr="000B7839">
        <w:t xml:space="preserve"> If taxed profits were fully distributed and taxed at the shareholders’ tax rates each year, there would be no debt-equity bias for firms owned by New Zealand residents. There can, however, be a timing tax bias favouring equity finance when the company tax rate is less than the tax rates of shareholders and profits are retained in a company for several years before being distributed as dividends.</w:t>
      </w:r>
    </w:p>
  </w:footnote>
  <w:footnote w:id="52">
    <w:p w14:paraId="066DCA7A" w14:textId="77777777" w:rsidR="001B3AE0" w:rsidRPr="000B7839" w:rsidRDefault="001B3AE0" w:rsidP="001B3AE0">
      <w:pPr>
        <w:pStyle w:val="FootnoteText"/>
        <w:rPr>
          <w:szCs w:val="18"/>
        </w:rPr>
      </w:pPr>
      <w:r w:rsidRPr="000B7839">
        <w:rPr>
          <w:rStyle w:val="FootnoteReference"/>
        </w:rPr>
        <w:footnoteRef/>
      </w:r>
      <w:r w:rsidRPr="000B7839">
        <w:t xml:space="preserve"> </w:t>
      </w:r>
      <w:r w:rsidRPr="000B7839">
        <w:rPr>
          <w:szCs w:val="18"/>
        </w:rPr>
        <w:t>Calculated as debt/(debt+equity).</w:t>
      </w:r>
    </w:p>
  </w:footnote>
  <w:footnote w:id="53">
    <w:p w14:paraId="3CFD61B1" w14:textId="77777777" w:rsidR="001B3AE0" w:rsidRPr="000B7839" w:rsidRDefault="001B3AE0" w:rsidP="001B3AE0">
      <w:pPr>
        <w:pStyle w:val="FootnoteText"/>
        <w:rPr>
          <w:szCs w:val="18"/>
        </w:rPr>
      </w:pPr>
      <w:r w:rsidRPr="000B7839">
        <w:rPr>
          <w:rStyle w:val="FootnoteReference"/>
          <w:szCs w:val="18"/>
        </w:rPr>
        <w:footnoteRef/>
      </w:r>
      <w:r w:rsidRPr="000B7839">
        <w:rPr>
          <w:szCs w:val="18"/>
        </w:rPr>
        <w:t xml:space="preserve"> There is also a separate 75% safe harbour ratio for outbound investment. We do not discuss this further given our focus on inbound investment.</w:t>
      </w:r>
    </w:p>
  </w:footnote>
  <w:footnote w:id="54">
    <w:p w14:paraId="5F99A60E" w14:textId="77777777" w:rsidR="001B3AE0" w:rsidRPr="000B7839" w:rsidRDefault="001B3AE0" w:rsidP="001B3AE0">
      <w:pPr>
        <w:pStyle w:val="FootnoteText"/>
        <w:rPr>
          <w:szCs w:val="18"/>
        </w:rPr>
      </w:pPr>
      <w:r w:rsidRPr="000B7839">
        <w:rPr>
          <w:rStyle w:val="FootnoteReference"/>
          <w:szCs w:val="18"/>
        </w:rPr>
        <w:footnoteRef/>
      </w:r>
      <w:r w:rsidRPr="000B7839">
        <w:rPr>
          <w:szCs w:val="18"/>
        </w:rPr>
        <w:t xml:space="preserve"> Debt percentage calculated using the multinational’s total group debt, total group assets, and total group non-debt liabilities in accordance with generally accepted accounting practice or the financial reporting standards of the country where the worldwide group’s consolidated financial accounts are prepared.</w:t>
      </w:r>
    </w:p>
  </w:footnote>
  <w:footnote w:id="55">
    <w:p w14:paraId="7416B56E" w14:textId="77777777" w:rsidR="001B3AE0" w:rsidRPr="00586800" w:rsidRDefault="001B3AE0" w:rsidP="001B3AE0">
      <w:pPr>
        <w:pStyle w:val="FootnoteText"/>
        <w:rPr>
          <w:szCs w:val="18"/>
        </w:rPr>
      </w:pPr>
      <w:r w:rsidRPr="000B7839">
        <w:rPr>
          <w:rStyle w:val="FootnoteReference"/>
        </w:rPr>
        <w:footnoteRef/>
      </w:r>
      <w:r w:rsidRPr="000B7839">
        <w:t xml:space="preserve"> </w:t>
      </w:r>
      <w:r w:rsidRPr="000B7839">
        <w:rPr>
          <w:szCs w:val="18"/>
        </w:rPr>
        <w:t>In presenting this data, we ignore a relatively small group of 40 firms with negative or zero levels of equity.</w:t>
      </w:r>
    </w:p>
  </w:footnote>
  <w:footnote w:id="56">
    <w:p w14:paraId="5F4F4B4F" w14:textId="6A43A375" w:rsidR="001B3AE0" w:rsidRPr="00586800" w:rsidRDefault="001B3AE0" w:rsidP="001B3AE0">
      <w:pPr>
        <w:pStyle w:val="FootnoteText"/>
        <w:rPr>
          <w:szCs w:val="18"/>
        </w:rPr>
      </w:pPr>
      <w:r w:rsidRPr="000B7839">
        <w:rPr>
          <w:rStyle w:val="FootnoteReference"/>
          <w:szCs w:val="18"/>
        </w:rPr>
        <w:footnoteRef/>
      </w:r>
      <w:r w:rsidRPr="000B7839">
        <w:rPr>
          <w:szCs w:val="18"/>
        </w:rPr>
        <w:t xml:space="preserve"> </w:t>
      </w:r>
      <w:r w:rsidRPr="00586800">
        <w:rPr>
          <w:szCs w:val="18"/>
        </w:rPr>
        <w:t>This is because $28 x 0.05 = $1.40. Paying the tax bill in year 2</w:t>
      </w:r>
      <w:r w:rsidR="00AE7BE7" w:rsidRPr="00586800">
        <w:rPr>
          <w:szCs w:val="18"/>
        </w:rPr>
        <w:t>,</w:t>
      </w:r>
      <w:r w:rsidRPr="00586800">
        <w:rPr>
          <w:szCs w:val="18"/>
        </w:rPr>
        <w:t xml:space="preserve"> rather than year </w:t>
      </w:r>
      <w:r w:rsidR="00AE7BE7" w:rsidRPr="00586800">
        <w:rPr>
          <w:szCs w:val="18"/>
        </w:rPr>
        <w:t xml:space="preserve">1, </w:t>
      </w:r>
      <w:r w:rsidRPr="00586800">
        <w:rPr>
          <w:szCs w:val="18"/>
        </w:rPr>
        <w:t xml:space="preserve">has a future </w:t>
      </w:r>
      <w:r w:rsidR="00645D10">
        <w:rPr>
          <w:szCs w:val="18"/>
        </w:rPr>
        <w:t xml:space="preserve">value </w:t>
      </w:r>
      <w:r w:rsidRPr="00586800">
        <w:rPr>
          <w:szCs w:val="18"/>
        </w:rPr>
        <w:t>(year 2 value) of $1.40.</w:t>
      </w:r>
    </w:p>
  </w:footnote>
  <w:footnote w:id="57">
    <w:p w14:paraId="30719EBC" w14:textId="7CCEC330" w:rsidR="00144AD2" w:rsidRPr="00820763" w:rsidRDefault="00144AD2">
      <w:pPr>
        <w:pStyle w:val="FootnoteText"/>
        <w:rPr>
          <w:lang w:val="en-US"/>
        </w:rPr>
      </w:pPr>
      <w:r>
        <w:rPr>
          <w:rStyle w:val="FootnoteReference"/>
        </w:rPr>
        <w:footnoteRef/>
      </w:r>
      <w:r>
        <w:t xml:space="preserve"> Auerbach, Devereux, Keen and Vella</w:t>
      </w:r>
      <w:r w:rsidR="00BB3965">
        <w:t>, 2017, suggest a destination-based cash flow tax which, in addition to the neutrality benef</w:t>
      </w:r>
      <w:r w:rsidR="00495B1E">
        <w:t>its of a cash flow tax would also alleviate international tax avoidance pressures.</w:t>
      </w:r>
    </w:p>
  </w:footnote>
  <w:footnote w:id="58">
    <w:p w14:paraId="7A91BA36" w14:textId="0BF2C917" w:rsidR="001B3AE0" w:rsidRPr="00586800" w:rsidRDefault="001B3AE0" w:rsidP="001B3AE0">
      <w:pPr>
        <w:pStyle w:val="FootnoteText"/>
        <w:rPr>
          <w:szCs w:val="18"/>
        </w:rPr>
      </w:pPr>
      <w:r w:rsidRPr="000B7839">
        <w:rPr>
          <w:rStyle w:val="FootnoteReference"/>
        </w:rPr>
        <w:footnoteRef/>
      </w:r>
      <w:r w:rsidRPr="000B7839">
        <w:t xml:space="preserve"> See paragraph</w:t>
      </w:r>
      <w:r w:rsidRPr="000B7839">
        <w:rPr>
          <w:rStyle w:val="normaltextrun"/>
          <w:color w:val="000000"/>
          <w:szCs w:val="18"/>
        </w:rPr>
        <w:t xml:space="preserve"> 2.12 of </w:t>
      </w:r>
      <w:r w:rsidR="00E402A4">
        <w:rPr>
          <w:rStyle w:val="normaltextrun"/>
          <w:color w:val="000000"/>
          <w:szCs w:val="18"/>
        </w:rPr>
        <w:t xml:space="preserve">the </w:t>
      </w:r>
      <w:r w:rsidRPr="000B7839">
        <w:rPr>
          <w:rStyle w:val="normaltextrun"/>
          <w:color w:val="000000"/>
          <w:szCs w:val="18"/>
        </w:rPr>
        <w:t>final report</w:t>
      </w:r>
      <w:r w:rsidR="005D0382">
        <w:rPr>
          <w:rStyle w:val="normaltextrun"/>
          <w:color w:val="000000"/>
          <w:szCs w:val="18"/>
        </w:rPr>
        <w:t>, McLeod Review (2021)</w:t>
      </w:r>
      <w:r w:rsidR="00E402A4">
        <w:rPr>
          <w:rStyle w:val="normaltextrun"/>
          <w:color w:val="000000"/>
          <w:szCs w:val="18"/>
        </w:rPr>
        <w:t>.</w:t>
      </w:r>
    </w:p>
  </w:footnote>
  <w:footnote w:id="59">
    <w:p w14:paraId="43A1AA45" w14:textId="20FE9D64" w:rsidR="001B3AE0" w:rsidRPr="00586800" w:rsidRDefault="001B3AE0" w:rsidP="001B3AE0">
      <w:pPr>
        <w:pStyle w:val="FootnoteText"/>
      </w:pPr>
      <w:r w:rsidRPr="000B7839">
        <w:rPr>
          <w:rStyle w:val="FootnoteReference"/>
          <w:szCs w:val="18"/>
        </w:rPr>
        <w:footnoteRef/>
      </w:r>
      <w:r w:rsidRPr="000B7839">
        <w:rPr>
          <w:szCs w:val="18"/>
        </w:rPr>
        <w:t xml:space="preserve"> Ministry of Petroleum and Energy, Norwegian Petroleum Directorate. </w:t>
      </w:r>
      <w:r w:rsidRPr="000B7839">
        <w:rPr>
          <w:rStyle w:val="normaltextrun"/>
          <w:i/>
          <w:iCs/>
          <w:color w:val="000000"/>
          <w:szCs w:val="18"/>
        </w:rPr>
        <w:t>The Petroleum Tax System</w:t>
      </w:r>
      <w:r w:rsidRPr="000B7839">
        <w:rPr>
          <w:rStyle w:val="normaltextrun"/>
          <w:color w:val="000000"/>
          <w:szCs w:val="18"/>
        </w:rPr>
        <w:t xml:space="preserve">. </w:t>
      </w:r>
      <w:hyperlink r:id="rId33" w:history="1">
        <w:r w:rsidRPr="000B7839">
          <w:rPr>
            <w:rStyle w:val="Hyperlink"/>
            <w:szCs w:val="18"/>
          </w:rPr>
          <w:t>https://www.norskpetroleum.no/en/economy/petroleum-tax</w:t>
        </w:r>
      </w:hyperlink>
    </w:p>
  </w:footnote>
  <w:footnote w:id="60">
    <w:p w14:paraId="2D7A47F9" w14:textId="2EBCEDE1" w:rsidR="001B3AE0" w:rsidRPr="00586800" w:rsidRDefault="001B3AE0" w:rsidP="001B3AE0">
      <w:pPr>
        <w:pStyle w:val="FootnoteText"/>
        <w:rPr>
          <w:szCs w:val="18"/>
        </w:rPr>
      </w:pPr>
      <w:r w:rsidRPr="000B7839">
        <w:rPr>
          <w:rStyle w:val="FootnoteReference"/>
          <w:rFonts w:cs="Calibri"/>
          <w:color w:val="000000"/>
          <w:szCs w:val="18"/>
        </w:rPr>
        <w:footnoteRef/>
      </w:r>
      <w:r w:rsidRPr="000B7839">
        <w:rPr>
          <w:szCs w:val="18"/>
        </w:rPr>
        <w:t xml:space="preserve"> OECD. (2020). </w:t>
      </w:r>
      <w:r w:rsidRPr="000B7839">
        <w:rPr>
          <w:i/>
          <w:iCs/>
          <w:szCs w:val="18"/>
        </w:rPr>
        <w:t>Tax Policy Reforms 2020: OECD and Selected Partner Economies.</w:t>
      </w:r>
      <w:r w:rsidRPr="000B7839">
        <w:rPr>
          <w:szCs w:val="18"/>
        </w:rPr>
        <w:t xml:space="preserve"> OECD Publishing, Paris. </w:t>
      </w:r>
      <w:hyperlink r:id="rId34" w:history="1">
        <w:r w:rsidRPr="000B7839">
          <w:rPr>
            <w:rStyle w:val="Hyperlink"/>
            <w:szCs w:val="18"/>
          </w:rPr>
          <w:t>https://doi.org/10.1787/7af51916-en</w:t>
        </w:r>
      </w:hyperlink>
    </w:p>
  </w:footnote>
  <w:footnote w:id="61">
    <w:p w14:paraId="4727E7CF" w14:textId="706BB849" w:rsidR="001B3AE0" w:rsidRPr="00586800" w:rsidRDefault="001B3AE0" w:rsidP="001B3AE0">
      <w:pPr>
        <w:pStyle w:val="FootnoteText"/>
        <w:rPr>
          <w:szCs w:val="18"/>
        </w:rPr>
      </w:pPr>
      <w:r w:rsidRPr="000B7839">
        <w:rPr>
          <w:rStyle w:val="FootnoteReference"/>
          <w:rFonts w:cs="Calibri"/>
          <w:color w:val="000000"/>
        </w:rPr>
        <w:footnoteRef/>
      </w:r>
      <w:r w:rsidRPr="000B7839">
        <w:t xml:space="preserve"> </w:t>
      </w:r>
      <w:r w:rsidR="00F53AB4">
        <w:t>PwC. (2022).</w:t>
      </w:r>
      <w:r w:rsidR="002A071F" w:rsidRPr="002A071F">
        <w:t>Worldwide Tax Summaries Online</w:t>
      </w:r>
      <w:r w:rsidR="002A071F">
        <w:t>.</w:t>
      </w:r>
      <w:r w:rsidR="00F53AB4">
        <w:t xml:space="preserve"> </w:t>
      </w:r>
      <w:r w:rsidR="00F53AB4" w:rsidRPr="006129FC">
        <w:rPr>
          <w:rStyle w:val="Emphasis"/>
        </w:rPr>
        <w:t>Republic of Korea: Corporate tax credits and incentives</w:t>
      </w:r>
      <w:r w:rsidR="00F53AB4">
        <w:t xml:space="preserve">. </w:t>
      </w:r>
      <w:hyperlink r:id="rId35" w:history="1">
        <w:r w:rsidR="00F53AB4" w:rsidRPr="00F53AB4">
          <w:rPr>
            <w:rStyle w:val="Hyperlink"/>
            <w:szCs w:val="18"/>
          </w:rPr>
          <w:t>https://taxsummaries.pwc.com/republic-of-korea/corporate/tax-credits-and-incentives</w:t>
        </w:r>
      </w:hyperlink>
    </w:p>
  </w:footnote>
  <w:footnote w:id="62">
    <w:p w14:paraId="60F4CD8F" w14:textId="3BFA0D39" w:rsidR="001B3AE0" w:rsidRPr="00586800" w:rsidRDefault="001B3AE0" w:rsidP="001B3AE0">
      <w:pPr>
        <w:pStyle w:val="FootnoteText"/>
        <w:rPr>
          <w:szCs w:val="18"/>
        </w:rPr>
      </w:pPr>
      <w:r w:rsidRPr="000B7839">
        <w:rPr>
          <w:rStyle w:val="FootnoteReference"/>
          <w:rFonts w:cs="Calibri"/>
          <w:color w:val="000000"/>
          <w:szCs w:val="18"/>
        </w:rPr>
        <w:footnoteRef/>
      </w:r>
      <w:r w:rsidRPr="000B7839">
        <w:rPr>
          <w:szCs w:val="18"/>
        </w:rPr>
        <w:t xml:space="preserve"> </w:t>
      </w:r>
      <w:r w:rsidRPr="00586800">
        <w:rPr>
          <w:szCs w:val="18"/>
        </w:rPr>
        <w:t xml:space="preserve">For example, see </w:t>
      </w:r>
      <w:r w:rsidRPr="000B7839">
        <w:rPr>
          <w:szCs w:val="18"/>
        </w:rPr>
        <w:t>International Monetary Fund; OECD; United Nations; World Bank. 2015.</w:t>
      </w:r>
    </w:p>
  </w:footnote>
  <w:footnote w:id="63">
    <w:p w14:paraId="05A2686C" w14:textId="0DC9E6FB" w:rsidR="002B1C06" w:rsidRPr="00545BDC" w:rsidRDefault="002B1C06">
      <w:pPr>
        <w:pStyle w:val="FootnoteText"/>
        <w:rPr>
          <w:lang w:val="en-US"/>
        </w:rPr>
      </w:pPr>
      <w:r>
        <w:rPr>
          <w:rStyle w:val="FootnoteReference"/>
        </w:rPr>
        <w:footnoteRef/>
      </w:r>
      <w:r>
        <w:t xml:space="preserve"> </w:t>
      </w:r>
      <w:r w:rsidR="00015B08">
        <w:t>Portfolio investment entities are collective investment vehicles tha</w:t>
      </w:r>
      <w:r w:rsidR="00E85912">
        <w:t xml:space="preserve">t </w:t>
      </w:r>
      <w:r w:rsidR="00E72619">
        <w:t xml:space="preserve">attract funds for investment on a passive </w:t>
      </w:r>
      <w:r w:rsidR="00BD2B89">
        <w:t xml:space="preserve">basis from </w:t>
      </w:r>
      <w:r w:rsidR="00D10E31">
        <w:t xml:space="preserve">a group of </w:t>
      </w:r>
      <w:r w:rsidR="00BD2B89">
        <w:t>investors.</w:t>
      </w:r>
    </w:p>
  </w:footnote>
  <w:footnote w:id="64">
    <w:p w14:paraId="5D940196" w14:textId="77777777" w:rsidR="001B3AE0" w:rsidRPr="000B7839" w:rsidRDefault="001B3AE0" w:rsidP="001B3AE0">
      <w:pPr>
        <w:pStyle w:val="FootnoteText"/>
        <w:rPr>
          <w:szCs w:val="18"/>
        </w:rPr>
      </w:pPr>
      <w:r w:rsidRPr="000B7839">
        <w:rPr>
          <w:rStyle w:val="FootnoteReference"/>
        </w:rPr>
        <w:footnoteRef/>
      </w:r>
      <w:r w:rsidRPr="000B7839">
        <w:t xml:space="preserve"> </w:t>
      </w:r>
      <w:r w:rsidRPr="000B7839">
        <w:rPr>
          <w:szCs w:val="18"/>
        </w:rPr>
        <w:t>For example, Sweden’s and Iceland’s corporate tax rates differ from their capital income tax rates; Norway does not provide full double tax relief for corporate equity income; Finland and Denmark do not apply a flat tax to capital income.</w:t>
      </w:r>
    </w:p>
  </w:footnote>
  <w:footnote w:id="65">
    <w:p w14:paraId="120DB754" w14:textId="0E4B5C82" w:rsidR="001B3AE0" w:rsidRPr="000B7839" w:rsidRDefault="001B3AE0" w:rsidP="001B3AE0">
      <w:pPr>
        <w:pStyle w:val="FootnoteText"/>
        <w:rPr>
          <w:szCs w:val="18"/>
        </w:rPr>
      </w:pPr>
      <w:r w:rsidRPr="000B7839">
        <w:rPr>
          <w:rStyle w:val="FootnoteReference"/>
          <w:szCs w:val="18"/>
        </w:rPr>
        <w:footnoteRef/>
      </w:r>
      <w:r w:rsidRPr="000B7839">
        <w:rPr>
          <w:szCs w:val="18"/>
        </w:rPr>
        <w:t xml:space="preserve"> Apart from Norway, the Nordic countries’ corporate tax bases appear to be narrower than New Zealand’s (despite the larger differential between corporate and personal tax rates). New Zealand’s company tax collected 4.0% of GDP in 2019 and Norway’s collected 5.7% of GDP, while the other Nordic countries’ corporate tax only collected between 2.1% to 3.0% of GDP.</w:t>
      </w:r>
      <w:r w:rsidR="000E1F9F">
        <w:rPr>
          <w:szCs w:val="18"/>
        </w:rPr>
        <w:t xml:space="preserve"> Norway’s result is likely driven by </w:t>
      </w:r>
      <w:r w:rsidR="00BB7371">
        <w:rPr>
          <w:szCs w:val="18"/>
        </w:rPr>
        <w:t>the significant resource profits from oil and gas.</w:t>
      </w:r>
    </w:p>
  </w:footnote>
  <w:footnote w:id="66">
    <w:p w14:paraId="333ED135" w14:textId="77777777" w:rsidR="001B3AE0" w:rsidRPr="000B7839" w:rsidRDefault="001B3AE0" w:rsidP="001B3AE0">
      <w:pPr>
        <w:pStyle w:val="FootnoteText"/>
        <w:rPr>
          <w:szCs w:val="18"/>
        </w:rPr>
      </w:pPr>
      <w:r w:rsidRPr="000B7839">
        <w:rPr>
          <w:rStyle w:val="FootnoteReference"/>
        </w:rPr>
        <w:footnoteRef/>
      </w:r>
      <w:r w:rsidRPr="000B7839">
        <w:t xml:space="preserve"> </w:t>
      </w:r>
      <w:r w:rsidRPr="000B7839">
        <w:rPr>
          <w:szCs w:val="18"/>
        </w:rPr>
        <w:t>Fifty percent of rental income is taxed at 22%, with the remaining 50% exempt.</w:t>
      </w:r>
    </w:p>
  </w:footnote>
  <w:footnote w:id="67">
    <w:p w14:paraId="0BECA0DE" w14:textId="4CFC5330" w:rsidR="001B3AE0" w:rsidRPr="000B7839" w:rsidRDefault="001B3AE0" w:rsidP="001B3AE0">
      <w:pPr>
        <w:pStyle w:val="FootnoteText"/>
        <w:rPr>
          <w:szCs w:val="18"/>
        </w:rPr>
      </w:pPr>
      <w:r w:rsidRPr="000B7839">
        <w:rPr>
          <w:rStyle w:val="FootnoteReference"/>
          <w:szCs w:val="18"/>
        </w:rPr>
        <w:footnoteRef/>
      </w:r>
      <w:r w:rsidRPr="000B7839">
        <w:rPr>
          <w:szCs w:val="18"/>
        </w:rPr>
        <w:t xml:space="preserve"> See also Sørenson, P.B. (2007).</w:t>
      </w:r>
    </w:p>
  </w:footnote>
  <w:footnote w:id="68">
    <w:p w14:paraId="0FE42A7C" w14:textId="2C837512" w:rsidR="001B3AE0" w:rsidRPr="00586800" w:rsidRDefault="001B3AE0" w:rsidP="001B3AE0">
      <w:pPr>
        <w:pStyle w:val="FootnoteText"/>
        <w:rPr>
          <w:szCs w:val="18"/>
        </w:rPr>
      </w:pPr>
      <w:r w:rsidRPr="000B7839">
        <w:rPr>
          <w:rStyle w:val="FootnoteReference"/>
          <w:szCs w:val="18"/>
        </w:rPr>
        <w:footnoteRef/>
      </w:r>
      <w:r w:rsidRPr="000B7839">
        <w:rPr>
          <w:szCs w:val="18"/>
        </w:rPr>
        <w:t xml:space="preserve"> Key papers are Atkinson, A. and Stiglitz, J. (1976)</w:t>
      </w:r>
      <w:r w:rsidR="000326A3" w:rsidRPr="000B7839">
        <w:rPr>
          <w:szCs w:val="18"/>
        </w:rPr>
        <w:t>;</w:t>
      </w:r>
      <w:r w:rsidR="0089185F" w:rsidRPr="000B7839">
        <w:rPr>
          <w:szCs w:val="18"/>
        </w:rPr>
        <w:t xml:space="preserve"> </w:t>
      </w:r>
      <w:r w:rsidRPr="000B7839">
        <w:rPr>
          <w:szCs w:val="18"/>
        </w:rPr>
        <w:t>Chamley, C. (1986)</w:t>
      </w:r>
      <w:r w:rsidR="000326A3" w:rsidRPr="000B7839">
        <w:rPr>
          <w:szCs w:val="18"/>
        </w:rPr>
        <w:t>;</w:t>
      </w:r>
      <w:r w:rsidRPr="000B7839">
        <w:rPr>
          <w:szCs w:val="18"/>
        </w:rPr>
        <w:t xml:space="preserve"> and Judd, K. (1985). </w:t>
      </w:r>
    </w:p>
  </w:footnote>
  <w:footnote w:id="69">
    <w:p w14:paraId="3F3E959D" w14:textId="1DC24310" w:rsidR="001B3AE0" w:rsidRPr="00586800" w:rsidRDefault="001B3AE0" w:rsidP="001B3AE0">
      <w:pPr>
        <w:pStyle w:val="FootnoteText"/>
        <w:rPr>
          <w:szCs w:val="18"/>
        </w:rPr>
      </w:pPr>
      <w:r w:rsidRPr="000B7839">
        <w:rPr>
          <w:rStyle w:val="FootnoteReference"/>
          <w:szCs w:val="18"/>
        </w:rPr>
        <w:footnoteRef/>
      </w:r>
      <w:r w:rsidRPr="000B7839">
        <w:rPr>
          <w:szCs w:val="18"/>
        </w:rPr>
        <w:t xml:space="preserve"> See, for example, Straub, L. and Werning, I. (2020), wh</w:t>
      </w:r>
      <w:r w:rsidR="007F7ABA">
        <w:rPr>
          <w:szCs w:val="18"/>
        </w:rPr>
        <w:t>o</w:t>
      </w:r>
      <w:r w:rsidRPr="000B7839">
        <w:rPr>
          <w:szCs w:val="18"/>
        </w:rPr>
        <w:t xml:space="preserve"> argue that standard models did not establish what many claimed they establish</w:t>
      </w:r>
      <w:r w:rsidR="0019431F" w:rsidRPr="000B7839">
        <w:rPr>
          <w:szCs w:val="18"/>
        </w:rPr>
        <w:t>ed,</w:t>
      </w:r>
      <w:r w:rsidRPr="000B7839">
        <w:rPr>
          <w:szCs w:val="18"/>
        </w:rPr>
        <w:t xml:space="preserve"> and Saez, E. and Zucman, G. (2019)</w:t>
      </w:r>
      <w:r w:rsidR="007F7ABA">
        <w:rPr>
          <w:szCs w:val="18"/>
        </w:rPr>
        <w:t>,</w:t>
      </w:r>
      <w:r w:rsidRPr="000B7839">
        <w:rPr>
          <w:szCs w:val="18"/>
        </w:rPr>
        <w:t xml:space="preserve"> wh</w:t>
      </w:r>
      <w:r w:rsidR="007F7ABA">
        <w:rPr>
          <w:szCs w:val="18"/>
        </w:rPr>
        <w:t>o</w:t>
      </w:r>
      <w:r w:rsidRPr="000B7839">
        <w:rPr>
          <w:szCs w:val="18"/>
        </w:rPr>
        <w:t xml:space="preserve"> argue for high and progressive taxes on wealth.</w:t>
      </w:r>
    </w:p>
  </w:footnote>
  <w:footnote w:id="70">
    <w:p w14:paraId="3743AE96" w14:textId="77777777" w:rsidR="006C1738" w:rsidRPr="000B7839" w:rsidRDefault="006C1738" w:rsidP="006C1738">
      <w:pPr>
        <w:pStyle w:val="FootnoteText"/>
        <w:rPr>
          <w:szCs w:val="18"/>
        </w:rPr>
      </w:pPr>
      <w:r w:rsidRPr="000B7839">
        <w:rPr>
          <w:rStyle w:val="FootnoteReference"/>
        </w:rPr>
        <w:footnoteRef/>
      </w:r>
      <w:r w:rsidRPr="000B7839">
        <w:t xml:space="preserve"> </w:t>
      </w:r>
      <w:r w:rsidRPr="000B7839">
        <w:rPr>
          <w:szCs w:val="18"/>
        </w:rPr>
        <w:t>OECD Revenue Statistics 2020.</w:t>
      </w:r>
    </w:p>
  </w:footnote>
  <w:footnote w:id="71">
    <w:p w14:paraId="3A8D8623" w14:textId="77777777" w:rsidR="006C1738" w:rsidRPr="000B7839" w:rsidRDefault="006C1738" w:rsidP="006C1738">
      <w:pPr>
        <w:pStyle w:val="FootnoteText"/>
        <w:rPr>
          <w:szCs w:val="18"/>
        </w:rPr>
      </w:pPr>
      <w:r w:rsidRPr="000B7839">
        <w:rPr>
          <w:rStyle w:val="FootnoteReference"/>
          <w:szCs w:val="18"/>
        </w:rPr>
        <w:footnoteRef/>
      </w:r>
      <w:r w:rsidRPr="000B7839">
        <w:rPr>
          <w:szCs w:val="18"/>
        </w:rPr>
        <w:t xml:space="preserve"> In the case of Norway, on economic rents as well.</w:t>
      </w:r>
    </w:p>
  </w:footnote>
  <w:footnote w:id="72">
    <w:p w14:paraId="64DBD2B5" w14:textId="7F9FC106" w:rsidR="001B3AE0" w:rsidRPr="000B7839" w:rsidRDefault="001B3AE0" w:rsidP="001B3AE0">
      <w:pPr>
        <w:pStyle w:val="FootnoteText"/>
        <w:rPr>
          <w:szCs w:val="18"/>
        </w:rPr>
      </w:pPr>
      <w:r w:rsidRPr="000B7839">
        <w:rPr>
          <w:rStyle w:val="FootnoteReference"/>
        </w:rPr>
        <w:footnoteRef/>
      </w:r>
      <w:r w:rsidRPr="000B7839">
        <w:t xml:space="preserve"> </w:t>
      </w:r>
      <w:r w:rsidRPr="000B7839">
        <w:rPr>
          <w:szCs w:val="18"/>
        </w:rPr>
        <w:t xml:space="preserve">The RRA is based on the 3-month interest rate for Treasury Bills: </w:t>
      </w:r>
      <w:hyperlink r:id="rId36" w:history="1">
        <w:r w:rsidRPr="000B7839">
          <w:rPr>
            <w:rStyle w:val="Hyperlink"/>
            <w:szCs w:val="18"/>
          </w:rPr>
          <w:t>https://www.skatteetaten.no/en/person/taxes/get-the-taxes-right/shares-and-securities/about-shares-and-securities/the-shareholder-model/</w:t>
        </w:r>
      </w:hyperlink>
    </w:p>
  </w:footnote>
  <w:footnote w:id="73">
    <w:p w14:paraId="602F4936" w14:textId="1F292DED" w:rsidR="001B3AE0" w:rsidRPr="000B7839" w:rsidRDefault="001B3AE0" w:rsidP="001B3AE0">
      <w:pPr>
        <w:pStyle w:val="FootnoteText"/>
        <w:rPr>
          <w:szCs w:val="18"/>
        </w:rPr>
      </w:pPr>
      <w:r w:rsidRPr="000B7839">
        <w:rPr>
          <w:rStyle w:val="FootnoteReference"/>
        </w:rPr>
        <w:footnoteRef/>
      </w:r>
      <w:r w:rsidRPr="000B7839">
        <w:t xml:space="preserve"> $</w:t>
      </w:r>
      <w:r w:rsidRPr="000B7839">
        <w:rPr>
          <w:szCs w:val="18"/>
        </w:rPr>
        <w:t>100 profit − $22 tax = $78 available for distribution. $78 × 31.68% = $24.7</w:t>
      </w:r>
      <w:r w:rsidR="001E69E9" w:rsidRPr="000B7839">
        <w:rPr>
          <w:szCs w:val="18"/>
        </w:rPr>
        <w:t>0</w:t>
      </w:r>
      <w:r w:rsidRPr="000B7839">
        <w:rPr>
          <w:szCs w:val="18"/>
        </w:rPr>
        <w:t xml:space="preserve"> tax. Total tax = $22 + $24.7</w:t>
      </w:r>
      <w:r w:rsidR="001E69E9" w:rsidRPr="000B7839">
        <w:rPr>
          <w:szCs w:val="18"/>
        </w:rPr>
        <w:t>0</w:t>
      </w:r>
      <w:r w:rsidRPr="000B7839">
        <w:rPr>
          <w:szCs w:val="18"/>
        </w:rPr>
        <w:t xml:space="preserve"> = $46.7</w:t>
      </w:r>
      <w:r w:rsidR="001E69E9" w:rsidRPr="000B7839">
        <w:rPr>
          <w:szCs w:val="18"/>
        </w:rPr>
        <w:t>0</w:t>
      </w:r>
      <w:r w:rsidRPr="000B7839">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42E6" w14:textId="51E10AB5" w:rsidR="00C61E9C" w:rsidRDefault="00BD5091" w:rsidP="005A0858">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D90C" w14:textId="075AD55D" w:rsidR="006F7C42" w:rsidRDefault="005A0858" w:rsidP="005A0858">
    <w:pPr>
      <w:pStyle w:val="Header"/>
      <w:jc w:val="right"/>
    </w:pPr>
    <w:r>
      <w:tab/>
    </w:r>
    <w:r>
      <w:tab/>
      <w:t>G74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CF05" w14:textId="12D875D8" w:rsidR="006F7C42" w:rsidRDefault="006F7C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063F" w14:textId="33298245" w:rsidR="006F7C42" w:rsidRDefault="006F7C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4595" w14:textId="0481E5B8" w:rsidR="006F7C42" w:rsidRDefault="00BB4B9E">
    <w:pPr>
      <w:pStyle w:val="Header"/>
    </w:pPr>
    <w:r>
      <w:rPr>
        <w:noProof/>
      </w:rPr>
      <mc:AlternateContent>
        <mc:Choice Requires="wps">
          <w:drawing>
            <wp:anchor distT="0" distB="0" distL="114300" distR="114300" simplePos="1" relativeHeight="251658241" behindDoc="0" locked="0" layoutInCell="0" allowOverlap="1" wp14:anchorId="06567021" wp14:editId="0A4671E7">
              <wp:simplePos x="0" y="190500"/>
              <wp:positionH relativeFrom="page">
                <wp:posOffset>0</wp:posOffset>
              </wp:positionH>
              <wp:positionV relativeFrom="page">
                <wp:posOffset>190500</wp:posOffset>
              </wp:positionV>
              <wp:extent cx="7560310" cy="273050"/>
              <wp:effectExtent l="0" t="0" r="0" b="12700"/>
              <wp:wrapNone/>
              <wp:docPr id="17" name="MSIPCMa80f4e448091a7417d269de5" descr="{&quot;HashCode&quot;:-1208233518,&quot;Height&quot;:841.0,&quot;Width&quot;:595.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0D8CBC" w14:textId="003FC535" w:rsidR="00BB4B9E" w:rsidRPr="00CE2204" w:rsidRDefault="00CE2204" w:rsidP="00CE2204">
                          <w:pPr>
                            <w:spacing w:before="0" w:after="0"/>
                            <w:jc w:val="center"/>
                            <w:rPr>
                              <w:rFonts w:ascii="Calibri" w:hAnsi="Calibri" w:cs="Calibri"/>
                              <w:color w:val="000000"/>
                            </w:rPr>
                          </w:pPr>
                          <w:r w:rsidRPr="00CE2204">
                            <w:rPr>
                              <w:rFonts w:ascii="Calibri" w:hAnsi="Calibri" w:cs="Calibri"/>
                              <w:color w:val="000000"/>
                            </w:rPr>
                            <w:t>[IN CONFIDENCE RELEASE EXTERNAL]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6567021" id="_x0000_t202" coordsize="21600,21600" o:spt="202" path="m,l,21600r21600,l21600,xe">
              <v:stroke joinstyle="miter"/>
              <v:path gradientshapeok="t" o:connecttype="rect"/>
            </v:shapetype>
            <v:shape id="MSIPCMa80f4e448091a7417d269de5" o:spid="_x0000_s1028" type="#_x0000_t202" alt="{&quot;HashCode&quot;:-1208233518,&quot;Height&quot;:841.0,&quot;Width&quot;:595.0,&quot;Placement&quot;:&quot;Header&quot;,&quot;Index&quot;:&quot;FirstPage&quot;,&quot;Section&quot;:3,&quot;Top&quot;:0.0,&quot;Left&quot;:0.0}" style="position:absolute;left:0;text-align:left;margin-left:0;margin-top:1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770D8CBC" w14:textId="003FC535" w:rsidR="00BB4B9E" w:rsidRPr="00CE2204" w:rsidRDefault="00CE2204" w:rsidP="00CE2204">
                    <w:pPr>
                      <w:spacing w:before="0" w:after="0"/>
                      <w:jc w:val="center"/>
                      <w:rPr>
                        <w:rFonts w:ascii="Calibri" w:hAnsi="Calibri" w:cs="Calibri"/>
                        <w:color w:val="000000"/>
                      </w:rPr>
                    </w:pPr>
                    <w:r w:rsidRPr="00CE2204">
                      <w:rPr>
                        <w:rFonts w:ascii="Calibri" w:hAnsi="Calibri" w:cs="Calibri"/>
                        <w:color w:val="000000"/>
                      </w:rPr>
                      <w:t>[IN CONFIDENCE RELEASE EXTERNAL]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54CF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4A7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E2F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45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9AFC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2A9A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4238D9F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D72914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9806AB0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06EE136D"/>
    <w:multiLevelType w:val="multilevel"/>
    <w:tmpl w:val="DDD499D4"/>
    <w:lvl w:ilvl="0">
      <w:start w:val="1"/>
      <w:numFmt w:val="decimal"/>
      <w:suff w:val="nothing"/>
      <w:lvlText w:val="CHAPTER %1"/>
      <w:lvlJc w:val="left"/>
      <w:pPr>
        <w:ind w:left="3970" w:firstLine="0"/>
      </w:pPr>
      <w:rPr>
        <w:rFonts w:ascii="Verdana" w:hAnsi="Verdana" w:hint="default"/>
        <w:b/>
        <w:i w:val="0"/>
        <w:caps w:val="0"/>
        <w:strike w:val="0"/>
        <w:dstrike w:val="0"/>
        <w:vanish w:val="0"/>
        <w:sz w:val="24"/>
        <w:szCs w:val="24"/>
        <w:vertAlign w:val="baseline"/>
      </w:rPr>
    </w:lvl>
    <w:lvl w:ilvl="1">
      <w:start w:val="1"/>
      <w:numFmt w:val="decimal"/>
      <w:lvlText w:val="%1.%2"/>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1" w15:restartNumberingAfterBreak="0">
    <w:nsid w:val="16CE2375"/>
    <w:multiLevelType w:val="hybridMultilevel"/>
    <w:tmpl w:val="DB1078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90935F8"/>
    <w:multiLevelType w:val="multilevel"/>
    <w:tmpl w:val="58AE67B0"/>
    <w:lvl w:ilvl="0">
      <w:start w:val="1"/>
      <w:numFmt w:val="decimal"/>
      <w:suff w:val="nothing"/>
      <w:lvlText w:val="CHAPTER %1"/>
      <w:lvlJc w:val="left"/>
      <w:pPr>
        <w:ind w:left="3970" w:firstLine="0"/>
      </w:pPr>
      <w:rPr>
        <w:rFonts w:ascii="Verdana" w:hAnsi="Verdana" w:hint="default"/>
        <w:b/>
        <w:i w:val="0"/>
        <w:caps w:val="0"/>
        <w:strike w:val="0"/>
        <w:dstrike w:val="0"/>
        <w:vanish w:val="0"/>
        <w:sz w:val="24"/>
        <w:szCs w:val="24"/>
        <w:vertAlign w:val="baseline"/>
      </w:rPr>
    </w:lvl>
    <w:lvl w:ilvl="1">
      <w:start w:val="1"/>
      <w:numFmt w:val="decimal"/>
      <w:lvlText w:val="%1.%2"/>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3"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05D4690"/>
    <w:multiLevelType w:val="hybridMultilevel"/>
    <w:tmpl w:val="96C204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2A726AA"/>
    <w:multiLevelType w:val="multilevel"/>
    <w:tmpl w:val="5FA25E5C"/>
    <w:lvl w:ilvl="0">
      <w:start w:val="3"/>
      <w:numFmt w:val="decimal"/>
      <w:suff w:val="nothing"/>
      <w:lvlText w:val="APPENDIX 4.%1"/>
      <w:lvlJc w:val="left"/>
      <w:pPr>
        <w:ind w:left="0" w:firstLine="0"/>
      </w:pPr>
      <w:rPr>
        <w:rFonts w:ascii="Verdana" w:hAnsi="Verdana" w:hint="default"/>
        <w:b/>
        <w:i w:val="0"/>
        <w:caps w:val="0"/>
        <w:strike w:val="0"/>
        <w:dstrike w:val="0"/>
        <w:vanish w:val="0"/>
        <w:sz w:val="24"/>
        <w:vertAlign w:val="baseline"/>
      </w:rPr>
    </w:lvl>
    <w:lvl w:ilvl="1">
      <w:start w:val="1"/>
      <w:numFmt w:val="decimal"/>
      <w:lvlText w:val="4.%1.%2"/>
      <w:lvlJc w:val="left"/>
      <w:pPr>
        <w:tabs>
          <w:tab w:val="num" w:pos="851"/>
        </w:tabs>
        <w:ind w:left="851" w:hanging="851"/>
      </w:pPr>
      <w:rPr>
        <w:rFonts w:ascii="Verdana" w:hAnsi="Verdana" w:hint="default"/>
        <w:b w:val="0"/>
        <w:i w:val="0"/>
        <w:caps w:val="0"/>
        <w:strike w:val="0"/>
        <w:dstrike w:val="0"/>
        <w:vanish w:val="0"/>
        <w:sz w:val="20"/>
        <w:vertAlign w:val="baseline"/>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6" w15:restartNumberingAfterBreak="0">
    <w:nsid w:val="24F15A7B"/>
    <w:multiLevelType w:val="hybridMultilevel"/>
    <w:tmpl w:val="BA04A6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CBC55FE"/>
    <w:multiLevelType w:val="hybridMultilevel"/>
    <w:tmpl w:val="FDB82C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0333541"/>
    <w:multiLevelType w:val="hybridMultilevel"/>
    <w:tmpl w:val="6FB637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24460CB"/>
    <w:multiLevelType w:val="multilevel"/>
    <w:tmpl w:val="41A028FC"/>
    <w:lvl w:ilvl="0">
      <w:start w:val="1"/>
      <w:numFmt w:val="decimal"/>
      <w:suff w:val="nothing"/>
      <w:lvlText w:val="CHAPTER %1"/>
      <w:lvlJc w:val="left"/>
      <w:pPr>
        <w:ind w:left="3970" w:firstLine="0"/>
      </w:pPr>
      <w:rPr>
        <w:rFonts w:ascii="Verdana" w:hAnsi="Verdana" w:hint="default"/>
        <w:b/>
        <w:i w:val="0"/>
        <w:caps w:val="0"/>
        <w:strike w:val="0"/>
        <w:dstrike w:val="0"/>
        <w:vanish w:val="0"/>
        <w:sz w:val="24"/>
        <w:szCs w:val="24"/>
        <w:vertAlign w:val="baseline"/>
      </w:rPr>
    </w:lvl>
    <w:lvl w:ilvl="1">
      <w:start w:val="1"/>
      <w:numFmt w:val="decimal"/>
      <w:lvlText w:val="%1.%2"/>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1" w15:restartNumberingAfterBreak="0">
    <w:nsid w:val="430E3B15"/>
    <w:multiLevelType w:val="multilevel"/>
    <w:tmpl w:val="2354BF38"/>
    <w:lvl w:ilvl="0">
      <w:start w:val="2"/>
      <w:numFmt w:val="decimal"/>
      <w:suff w:val="nothing"/>
      <w:lvlText w:val="APPENDIX 4.%1"/>
      <w:lvlJc w:val="left"/>
      <w:pPr>
        <w:ind w:left="0" w:firstLine="0"/>
      </w:pPr>
      <w:rPr>
        <w:rFonts w:ascii="Verdana" w:hAnsi="Verdana" w:hint="default"/>
        <w:b/>
        <w:i w:val="0"/>
        <w:caps w:val="0"/>
        <w:strike w:val="0"/>
        <w:dstrike w:val="0"/>
        <w:vanish w:val="0"/>
        <w:sz w:val="24"/>
        <w:vertAlign w:val="baseline"/>
      </w:rPr>
    </w:lvl>
    <w:lvl w:ilvl="1">
      <w:start w:val="1"/>
      <w:numFmt w:val="decimal"/>
      <w:lvlText w:val="4.%1.%2"/>
      <w:lvlJc w:val="left"/>
      <w:pPr>
        <w:tabs>
          <w:tab w:val="num" w:pos="851"/>
        </w:tabs>
        <w:ind w:left="851" w:hanging="851"/>
      </w:pPr>
      <w:rPr>
        <w:rFonts w:ascii="Verdana" w:hAnsi="Verdana" w:hint="default"/>
        <w:b w:val="0"/>
        <w:i w:val="0"/>
        <w:caps w:val="0"/>
        <w:strike w:val="0"/>
        <w:dstrike w:val="0"/>
        <w:vanish w:val="0"/>
        <w:sz w:val="20"/>
        <w:vertAlign w:val="baseline"/>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2" w15:restartNumberingAfterBreak="0">
    <w:nsid w:val="44BB017B"/>
    <w:multiLevelType w:val="multilevel"/>
    <w:tmpl w:val="75FA6454"/>
    <w:lvl w:ilvl="0">
      <w:start w:val="1"/>
      <w:numFmt w:val="decimal"/>
      <w:suff w:val="nothing"/>
      <w:lvlText w:val="CHAPTER %1"/>
      <w:lvlJc w:val="left"/>
      <w:pPr>
        <w:ind w:left="3970" w:firstLine="0"/>
      </w:pPr>
      <w:rPr>
        <w:rFonts w:ascii="Verdana" w:hAnsi="Verdana" w:hint="default"/>
        <w:b/>
        <w:i w:val="0"/>
        <w:caps w:val="0"/>
        <w:strike w:val="0"/>
        <w:dstrike w:val="0"/>
        <w:vanish w:val="0"/>
        <w:sz w:val="24"/>
        <w:szCs w:val="24"/>
        <w:vertAlign w:val="baseline"/>
      </w:rPr>
    </w:lvl>
    <w:lvl w:ilvl="1">
      <w:start w:val="1"/>
      <w:numFmt w:val="decimal"/>
      <w:lvlText w:val="%1.%2"/>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3" w15:restartNumberingAfterBreak="0">
    <w:nsid w:val="44D560B6"/>
    <w:multiLevelType w:val="hybridMultilevel"/>
    <w:tmpl w:val="BCA8EC40"/>
    <w:lvl w:ilvl="0" w:tplc="1C80C91E">
      <w:start w:val="1"/>
      <w:numFmt w:val="bullet"/>
      <w:lvlText w:val=""/>
      <w:lvlJc w:val="left"/>
      <w:pPr>
        <w:ind w:left="1080" w:hanging="360"/>
      </w:pPr>
      <w:rPr>
        <w:rFonts w:ascii="Symbol" w:hAnsi="Symbol" w:hint="default"/>
      </w:rPr>
    </w:lvl>
    <w:lvl w:ilvl="1" w:tplc="14090003" w:tentative="1">
      <w:start w:val="1"/>
      <w:numFmt w:val="bullet"/>
      <w:lvlText w:val="o"/>
      <w:lvlJc w:val="left"/>
      <w:pPr>
        <w:ind w:left="937" w:hanging="360"/>
      </w:pPr>
      <w:rPr>
        <w:rFonts w:ascii="Courier New" w:hAnsi="Courier New" w:cs="Courier New" w:hint="default"/>
      </w:rPr>
    </w:lvl>
    <w:lvl w:ilvl="2" w:tplc="14090005" w:tentative="1">
      <w:start w:val="1"/>
      <w:numFmt w:val="bullet"/>
      <w:lvlText w:val=""/>
      <w:lvlJc w:val="left"/>
      <w:pPr>
        <w:ind w:left="1657" w:hanging="360"/>
      </w:pPr>
      <w:rPr>
        <w:rFonts w:ascii="Wingdings" w:hAnsi="Wingdings" w:hint="default"/>
      </w:rPr>
    </w:lvl>
    <w:lvl w:ilvl="3" w:tplc="14090001" w:tentative="1">
      <w:start w:val="1"/>
      <w:numFmt w:val="bullet"/>
      <w:lvlText w:val=""/>
      <w:lvlJc w:val="left"/>
      <w:pPr>
        <w:ind w:left="2377" w:hanging="360"/>
      </w:pPr>
      <w:rPr>
        <w:rFonts w:ascii="Symbol" w:hAnsi="Symbol" w:hint="default"/>
      </w:rPr>
    </w:lvl>
    <w:lvl w:ilvl="4" w:tplc="14090003" w:tentative="1">
      <w:start w:val="1"/>
      <w:numFmt w:val="bullet"/>
      <w:lvlText w:val="o"/>
      <w:lvlJc w:val="left"/>
      <w:pPr>
        <w:ind w:left="3097" w:hanging="360"/>
      </w:pPr>
      <w:rPr>
        <w:rFonts w:ascii="Courier New" w:hAnsi="Courier New" w:cs="Courier New" w:hint="default"/>
      </w:rPr>
    </w:lvl>
    <w:lvl w:ilvl="5" w:tplc="14090005" w:tentative="1">
      <w:start w:val="1"/>
      <w:numFmt w:val="bullet"/>
      <w:lvlText w:val=""/>
      <w:lvlJc w:val="left"/>
      <w:pPr>
        <w:ind w:left="3817" w:hanging="360"/>
      </w:pPr>
      <w:rPr>
        <w:rFonts w:ascii="Wingdings" w:hAnsi="Wingdings" w:hint="default"/>
      </w:rPr>
    </w:lvl>
    <w:lvl w:ilvl="6" w:tplc="14090001" w:tentative="1">
      <w:start w:val="1"/>
      <w:numFmt w:val="bullet"/>
      <w:lvlText w:val=""/>
      <w:lvlJc w:val="left"/>
      <w:pPr>
        <w:ind w:left="4537" w:hanging="360"/>
      </w:pPr>
      <w:rPr>
        <w:rFonts w:ascii="Symbol" w:hAnsi="Symbol" w:hint="default"/>
      </w:rPr>
    </w:lvl>
    <w:lvl w:ilvl="7" w:tplc="14090003" w:tentative="1">
      <w:start w:val="1"/>
      <w:numFmt w:val="bullet"/>
      <w:lvlText w:val="o"/>
      <w:lvlJc w:val="left"/>
      <w:pPr>
        <w:ind w:left="5257" w:hanging="360"/>
      </w:pPr>
      <w:rPr>
        <w:rFonts w:ascii="Courier New" w:hAnsi="Courier New" w:cs="Courier New" w:hint="default"/>
      </w:rPr>
    </w:lvl>
    <w:lvl w:ilvl="8" w:tplc="14090005" w:tentative="1">
      <w:start w:val="1"/>
      <w:numFmt w:val="bullet"/>
      <w:lvlText w:val=""/>
      <w:lvlJc w:val="left"/>
      <w:pPr>
        <w:ind w:left="5977" w:hanging="360"/>
      </w:pPr>
      <w:rPr>
        <w:rFonts w:ascii="Wingdings" w:hAnsi="Wingdings" w:hint="default"/>
      </w:rPr>
    </w:lvl>
  </w:abstractNum>
  <w:abstractNum w:abstractNumId="24" w15:restartNumberingAfterBreak="0">
    <w:nsid w:val="47AE2DEE"/>
    <w:multiLevelType w:val="multilevel"/>
    <w:tmpl w:val="9AEA7340"/>
    <w:lvl w:ilvl="0">
      <w:start w:val="1"/>
      <w:numFmt w:val="decimal"/>
      <w:pStyle w:val="Heading1"/>
      <w:suff w:val="nothing"/>
      <w:lvlText w:val="CHAPTER %1"/>
      <w:lvlJc w:val="left"/>
      <w:pPr>
        <w:ind w:left="3544" w:firstLine="0"/>
      </w:pPr>
      <w:rPr>
        <w:rFonts w:ascii="Verdana" w:hAnsi="Verdana" w:hint="default"/>
        <w:b/>
        <w:i w:val="0"/>
        <w:caps w:val="0"/>
        <w:strike w:val="0"/>
        <w:dstrike w:val="0"/>
        <w:vanish w:val="0"/>
        <w:sz w:val="24"/>
        <w:szCs w:val="24"/>
        <w:vertAlign w:val="baseline"/>
      </w:rPr>
    </w:lvl>
    <w:lvl w:ilvl="1">
      <w:start w:val="1"/>
      <w:numFmt w:val="decimal"/>
      <w:pStyle w:val="NumberedParagraph"/>
      <w:lvlText w:val="%1.%2"/>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bullet"/>
      <w:pStyle w:val="NumberedParagraph-BulletL1"/>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pStyle w:val="NumberedParagraph-BulletL2"/>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5" w15:restartNumberingAfterBreak="0">
    <w:nsid w:val="49296A6D"/>
    <w:multiLevelType w:val="hybridMultilevel"/>
    <w:tmpl w:val="2BDCDCC4"/>
    <w:lvl w:ilvl="0" w:tplc="E78A3D20">
      <w:start w:val="1"/>
      <w:numFmt w:val="bullet"/>
      <w:pStyle w:val="SummaryandQFS-BulletL1"/>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6" w15:restartNumberingAfterBreak="0">
    <w:nsid w:val="495E5C8C"/>
    <w:multiLevelType w:val="hybridMultilevel"/>
    <w:tmpl w:val="6936DC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AD16A41"/>
    <w:multiLevelType w:val="hybridMultilevel"/>
    <w:tmpl w:val="767AA8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CD706A0"/>
    <w:multiLevelType w:val="multilevel"/>
    <w:tmpl w:val="D8A86770"/>
    <w:numStyleLink w:val="NumberedList"/>
  </w:abstractNum>
  <w:abstractNum w:abstractNumId="29" w15:restartNumberingAfterBreak="0">
    <w:nsid w:val="4D201353"/>
    <w:multiLevelType w:val="multilevel"/>
    <w:tmpl w:val="F5B4A89A"/>
    <w:lvl w:ilvl="0">
      <w:start w:val="3"/>
      <w:numFmt w:val="decimal"/>
      <w:suff w:val="nothing"/>
      <w:lvlText w:val="APPENDIX %1.1"/>
      <w:lvlJc w:val="left"/>
      <w:pPr>
        <w:ind w:left="0" w:firstLine="0"/>
      </w:pPr>
      <w:rPr>
        <w:rFonts w:ascii="Verdana" w:hAnsi="Verdana" w:hint="default"/>
        <w:b/>
        <w:i w:val="0"/>
        <w:caps w:val="0"/>
        <w:strike w:val="0"/>
        <w:dstrike w:val="0"/>
        <w:vanish w:val="0"/>
        <w:sz w:val="24"/>
        <w:vertAlign w:val="baseline"/>
      </w:rPr>
    </w:lvl>
    <w:lvl w:ilvl="1">
      <w:start w:val="3"/>
      <w:numFmt w:val="decimal"/>
      <w:lvlText w:val="4.1.%2"/>
      <w:lvlJc w:val="left"/>
      <w:pPr>
        <w:ind w:left="360" w:hanging="360"/>
      </w:pPr>
      <w:rPr>
        <w:rFonts w:ascii="Verdana" w:hAnsi="Verdana" w:hint="default"/>
        <w:sz w:val="20"/>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0" w15:restartNumberingAfterBreak="0">
    <w:nsid w:val="4F872CE9"/>
    <w:multiLevelType w:val="hybridMultilevel"/>
    <w:tmpl w:val="957A161C"/>
    <w:lvl w:ilvl="0" w:tplc="B1744CDE">
      <w:start w:val="1"/>
      <w:numFmt w:val="decimal"/>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31" w15:restartNumberingAfterBreak="0">
    <w:nsid w:val="54463F1E"/>
    <w:multiLevelType w:val="hybridMultilevel"/>
    <w:tmpl w:val="51082C7C"/>
    <w:lvl w:ilvl="0" w:tplc="9D729144">
      <w:start w:val="1"/>
      <w:numFmt w:val="decimal"/>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32" w15:restartNumberingAfterBreak="0">
    <w:nsid w:val="579064A7"/>
    <w:multiLevelType w:val="multilevel"/>
    <w:tmpl w:val="ABDE0030"/>
    <w:lvl w:ilvl="0">
      <w:start w:val="1"/>
      <w:numFmt w:val="decimal"/>
      <w:lvlText w:val="%1."/>
      <w:lvlJc w:val="left"/>
      <w:pPr>
        <w:tabs>
          <w:tab w:val="num" w:pos="567"/>
        </w:tabs>
        <w:ind w:left="567" w:hanging="567"/>
      </w:pPr>
      <w:rPr>
        <w:rFonts w:hint="default"/>
        <w:i w:val="0"/>
        <w:iCs w:val="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AC57DF9"/>
    <w:multiLevelType w:val="multilevel"/>
    <w:tmpl w:val="21EE2864"/>
    <w:lvl w:ilvl="0">
      <w:start w:val="3"/>
      <w:numFmt w:val="decimal"/>
      <w:suff w:val="nothing"/>
      <w:lvlText w:val="APPENDIX %1.1"/>
      <w:lvlJc w:val="left"/>
      <w:pPr>
        <w:ind w:left="0" w:firstLine="0"/>
      </w:pPr>
      <w:rPr>
        <w:rFonts w:ascii="Verdana" w:hAnsi="Verdana" w:hint="default"/>
        <w:b/>
        <w:i w:val="0"/>
        <w:caps w:val="0"/>
        <w:strike w:val="0"/>
        <w:dstrike w:val="0"/>
        <w:vanish w:val="0"/>
        <w:sz w:val="24"/>
        <w:vertAlign w:val="baseline"/>
      </w:rPr>
    </w:lvl>
    <w:lvl w:ilvl="1">
      <w:start w:val="1"/>
      <w:numFmt w:val="decimal"/>
      <w:lvlText w:val="3.1.%2"/>
      <w:lvlJc w:val="left"/>
      <w:pPr>
        <w:ind w:left="360" w:hanging="360"/>
      </w:pPr>
      <w:rPr>
        <w:rFonts w:ascii="Verdana" w:hAnsi="Verdana" w:hint="default"/>
        <w:sz w:val="20"/>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4" w15:restartNumberingAfterBreak="0">
    <w:nsid w:val="5B587CB2"/>
    <w:multiLevelType w:val="multilevel"/>
    <w:tmpl w:val="4D900B60"/>
    <w:lvl w:ilvl="0">
      <w:start w:val="3"/>
      <w:numFmt w:val="decimal"/>
      <w:suff w:val="nothing"/>
      <w:lvlText w:val="APPENDIX %1.1"/>
      <w:lvlJc w:val="left"/>
      <w:pPr>
        <w:ind w:left="0" w:firstLine="0"/>
      </w:pPr>
      <w:rPr>
        <w:rFonts w:ascii="Verdana" w:hAnsi="Verdana" w:hint="default"/>
        <w:b/>
        <w:i w:val="0"/>
        <w:caps w:val="0"/>
        <w:strike w:val="0"/>
        <w:dstrike w:val="0"/>
        <w:vanish w:val="0"/>
        <w:sz w:val="24"/>
        <w:vertAlign w:val="baseline"/>
      </w:rPr>
    </w:lvl>
    <w:lvl w:ilvl="1">
      <w:start w:val="1"/>
      <w:numFmt w:val="decimal"/>
      <w:lvlText w:val="4.1.%2"/>
      <w:lvlJc w:val="left"/>
      <w:pPr>
        <w:ind w:left="360" w:hanging="360"/>
      </w:pPr>
      <w:rPr>
        <w:rFonts w:ascii="Verdana" w:hAnsi="Verdana" w:hint="default"/>
        <w:sz w:val="20"/>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5" w15:restartNumberingAfterBreak="0">
    <w:nsid w:val="6204755D"/>
    <w:multiLevelType w:val="multilevel"/>
    <w:tmpl w:val="D8A86770"/>
    <w:styleLink w:val="Numbered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69A756F"/>
    <w:multiLevelType w:val="hybridMultilevel"/>
    <w:tmpl w:val="D35885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7DA665C"/>
    <w:multiLevelType w:val="multilevel"/>
    <w:tmpl w:val="787492D8"/>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8" w15:restartNumberingAfterBreak="0">
    <w:nsid w:val="6A981CA4"/>
    <w:multiLevelType w:val="multilevel"/>
    <w:tmpl w:val="FC2A69F2"/>
    <w:lvl w:ilvl="0">
      <w:start w:val="3"/>
      <w:numFmt w:val="decimal"/>
      <w:suff w:val="nothing"/>
      <w:lvlText w:val="APPENDIX %1.1"/>
      <w:lvlJc w:val="left"/>
      <w:pPr>
        <w:ind w:left="0" w:firstLine="0"/>
      </w:pPr>
      <w:rPr>
        <w:rFonts w:ascii="Verdana" w:hAnsi="Verdana" w:hint="default"/>
        <w:b/>
        <w:i w:val="0"/>
        <w:caps w:val="0"/>
        <w:strike w:val="0"/>
        <w:dstrike w:val="0"/>
        <w:vanish w:val="0"/>
        <w:sz w:val="24"/>
        <w:vertAlign w:val="baseline"/>
      </w:rPr>
    </w:lvl>
    <w:lvl w:ilvl="1">
      <w:start w:val="1"/>
      <w:numFmt w:val="decimal"/>
      <w:lvlText w:val="%1.1.%2"/>
      <w:lvlJc w:val="left"/>
      <w:pPr>
        <w:tabs>
          <w:tab w:val="num" w:pos="851"/>
        </w:tabs>
        <w:ind w:left="851" w:hanging="851"/>
      </w:pPr>
      <w:rPr>
        <w:rFonts w:ascii="Verdana" w:hAnsi="Verdana" w:hint="default"/>
        <w:b w:val="0"/>
        <w:i w:val="0"/>
        <w:caps w:val="0"/>
        <w:strike w:val="0"/>
        <w:dstrike w:val="0"/>
        <w:vanish w:val="0"/>
        <w:sz w:val="20"/>
        <w:vertAlign w:val="baseline"/>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9" w15:restartNumberingAfterBreak="0">
    <w:nsid w:val="6C2210EE"/>
    <w:multiLevelType w:val="multilevel"/>
    <w:tmpl w:val="79309486"/>
    <w:lvl w:ilvl="0">
      <w:start w:val="1"/>
      <w:numFmt w:val="decimal"/>
      <w:suff w:val="nothing"/>
      <w:lvlText w:val="CHAPTER %1"/>
      <w:lvlJc w:val="left"/>
      <w:pPr>
        <w:ind w:left="3970" w:firstLine="0"/>
      </w:pPr>
      <w:rPr>
        <w:rFonts w:ascii="Verdana" w:hAnsi="Verdana" w:hint="default"/>
        <w:b/>
        <w:i w:val="0"/>
        <w:caps w:val="0"/>
        <w:strike w:val="0"/>
        <w:dstrike w:val="0"/>
        <w:vanish w:val="0"/>
        <w:sz w:val="24"/>
        <w:szCs w:val="24"/>
        <w:vertAlign w:val="baseline"/>
      </w:rPr>
    </w:lvl>
    <w:lvl w:ilvl="1">
      <w:start w:val="1"/>
      <w:numFmt w:val="decimal"/>
      <w:lvlText w:val="%1.%2"/>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40" w15:restartNumberingAfterBreak="0">
    <w:nsid w:val="6E1A283E"/>
    <w:multiLevelType w:val="multilevel"/>
    <w:tmpl w:val="6CBC0200"/>
    <w:lvl w:ilvl="0">
      <w:start w:val="1"/>
      <w:numFmt w:val="bullet"/>
      <w:pStyle w:val="Example-ListBullet1"/>
      <w:lvlText w:val=""/>
      <w:lvlJc w:val="left"/>
      <w:pPr>
        <w:ind w:left="0" w:firstLine="284"/>
      </w:pPr>
      <w:rPr>
        <w:rFonts w:ascii="Symbol" w:hAnsi="Symbol" w:hint="default"/>
      </w:rPr>
    </w:lvl>
    <w:lvl w:ilvl="1">
      <w:start w:val="1"/>
      <w:numFmt w:val="bullet"/>
      <w:lvlText w:val="–"/>
      <w:lvlJc w:val="left"/>
      <w:pPr>
        <w:ind w:left="284" w:hanging="284"/>
      </w:pPr>
      <w:rPr>
        <w:rFonts w:ascii="Times New Roman" w:hAnsi="Times New Roman" w:cs="Times New Roman"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41" w15:restartNumberingAfterBreak="0">
    <w:nsid w:val="74436CC6"/>
    <w:multiLevelType w:val="hybridMultilevel"/>
    <w:tmpl w:val="6262AD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2" w15:restartNumberingAfterBreak="0">
    <w:nsid w:val="77A24DBA"/>
    <w:multiLevelType w:val="hybridMultilevel"/>
    <w:tmpl w:val="3FA62B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9F46A38"/>
    <w:multiLevelType w:val="multilevel"/>
    <w:tmpl w:val="0C6606AA"/>
    <w:lvl w:ilvl="0">
      <w:start w:val="1"/>
      <w:numFmt w:val="decimal"/>
      <w:pStyle w:val="NumberedParagraph-NumberedLists"/>
      <w:lvlText w:val="%1."/>
      <w:lvlJc w:val="left"/>
      <w:pPr>
        <w:tabs>
          <w:tab w:val="num" w:pos="1418"/>
        </w:tabs>
        <w:ind w:left="1418" w:hanging="567"/>
      </w:pPr>
      <w:rPr>
        <w:rFonts w:ascii="Times New Roman" w:hAnsi="Times New Roman" w:hint="default"/>
        <w:sz w:val="24"/>
      </w:rPr>
    </w:lvl>
    <w:lvl w:ilvl="1">
      <w:start w:val="1"/>
      <w:numFmt w:val="lowerLetter"/>
      <w:lvlText w:val="%2."/>
      <w:lvlJc w:val="left"/>
      <w:pPr>
        <w:tabs>
          <w:tab w:val="num" w:pos="1985"/>
        </w:tabs>
        <w:ind w:left="1985" w:hanging="567"/>
      </w:pPr>
      <w:rPr>
        <w:rFonts w:ascii="Verdana" w:hAnsi="Verdana" w:hint="default"/>
        <w:sz w:val="24"/>
      </w:rPr>
    </w:lvl>
    <w:lvl w:ilvl="2">
      <w:start w:val="1"/>
      <w:numFmt w:val="lowerRoman"/>
      <w:lvlText w:val="%3."/>
      <w:lvlJc w:val="right"/>
      <w:pPr>
        <w:tabs>
          <w:tab w:val="num" w:pos="2552"/>
        </w:tabs>
        <w:ind w:left="2552" w:hanging="426"/>
      </w:pPr>
      <w:rPr>
        <w:rFonts w:ascii="Times New Roman" w:hAnsi="Times New Roman" w:hint="default"/>
        <w:sz w:val="24"/>
      </w:rPr>
    </w:lvl>
    <w:lvl w:ilvl="3">
      <w:start w:val="1"/>
      <w:numFmt w:val="decimal"/>
      <w:lvlText w:val="%4."/>
      <w:lvlJc w:val="left"/>
      <w:pPr>
        <w:tabs>
          <w:tab w:val="num" w:pos="2977"/>
        </w:tabs>
        <w:ind w:left="3119" w:hanging="567"/>
      </w:pPr>
      <w:rPr>
        <w:rFonts w:hint="default"/>
      </w:rPr>
    </w:lvl>
    <w:lvl w:ilvl="4">
      <w:start w:val="1"/>
      <w:numFmt w:val="lowerLetter"/>
      <w:lvlText w:val="%5."/>
      <w:lvlJc w:val="left"/>
      <w:pPr>
        <w:tabs>
          <w:tab w:val="num" w:pos="3544"/>
        </w:tabs>
        <w:ind w:left="3686" w:hanging="567"/>
      </w:pPr>
      <w:rPr>
        <w:rFonts w:hint="default"/>
      </w:rPr>
    </w:lvl>
    <w:lvl w:ilvl="5">
      <w:start w:val="1"/>
      <w:numFmt w:val="lowerRoman"/>
      <w:lvlText w:val="%6."/>
      <w:lvlJc w:val="right"/>
      <w:pPr>
        <w:tabs>
          <w:tab w:val="num" w:pos="4111"/>
        </w:tabs>
        <w:ind w:left="4253" w:hanging="567"/>
      </w:pPr>
      <w:rPr>
        <w:rFonts w:hint="default"/>
      </w:rPr>
    </w:lvl>
    <w:lvl w:ilvl="6">
      <w:start w:val="1"/>
      <w:numFmt w:val="decimal"/>
      <w:lvlText w:val="%7."/>
      <w:lvlJc w:val="left"/>
      <w:pPr>
        <w:tabs>
          <w:tab w:val="num" w:pos="4678"/>
        </w:tabs>
        <w:ind w:left="4820" w:hanging="567"/>
      </w:pPr>
      <w:rPr>
        <w:rFonts w:hint="default"/>
      </w:rPr>
    </w:lvl>
    <w:lvl w:ilvl="7">
      <w:start w:val="1"/>
      <w:numFmt w:val="lowerLetter"/>
      <w:lvlText w:val="%8."/>
      <w:lvlJc w:val="left"/>
      <w:pPr>
        <w:tabs>
          <w:tab w:val="num" w:pos="5245"/>
        </w:tabs>
        <w:ind w:left="5387" w:hanging="567"/>
      </w:pPr>
      <w:rPr>
        <w:rFonts w:hint="default"/>
      </w:rPr>
    </w:lvl>
    <w:lvl w:ilvl="8">
      <w:start w:val="1"/>
      <w:numFmt w:val="lowerRoman"/>
      <w:lvlText w:val="%9."/>
      <w:lvlJc w:val="right"/>
      <w:pPr>
        <w:tabs>
          <w:tab w:val="num" w:pos="5812"/>
        </w:tabs>
        <w:ind w:left="5954" w:hanging="567"/>
      </w:pPr>
      <w:rPr>
        <w:rFonts w:hint="default"/>
      </w:rPr>
    </w:lvl>
  </w:abstractNum>
  <w:abstractNum w:abstractNumId="44" w15:restartNumberingAfterBreak="0">
    <w:nsid w:val="7E460C25"/>
    <w:multiLevelType w:val="multilevel"/>
    <w:tmpl w:val="1C3C83FA"/>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43"/>
  </w:num>
  <w:num w:numId="4">
    <w:abstractNumId w:val="40"/>
  </w:num>
  <w:num w:numId="5">
    <w:abstractNumId w:val="43"/>
  </w:num>
  <w:num w:numId="6">
    <w:abstractNumId w:val="9"/>
  </w:num>
  <w:num w:numId="7">
    <w:abstractNumId w:val="13"/>
  </w:num>
  <w:num w:numId="8">
    <w:abstractNumId w:val="18"/>
  </w:num>
  <w:num w:numId="9">
    <w:abstractNumId w:val="44"/>
  </w:num>
  <w:num w:numId="10">
    <w:abstractNumId w:val="22"/>
  </w:num>
  <w:num w:numId="11">
    <w:abstractNumId w:val="8"/>
  </w:num>
  <w:num w:numId="12">
    <w:abstractNumId w:val="25"/>
  </w:num>
  <w:num w:numId="13">
    <w:abstractNumId w:val="6"/>
  </w:num>
  <w:num w:numId="14">
    <w:abstractNumId w:val="42"/>
  </w:num>
  <w:num w:numId="15">
    <w:abstractNumId w:val="14"/>
  </w:num>
  <w:num w:numId="16">
    <w:abstractNumId w:val="16"/>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8"/>
  </w:num>
  <w:num w:numId="20">
    <w:abstractNumId w:val="5"/>
  </w:num>
  <w:num w:numId="21">
    <w:abstractNumId w:val="4"/>
  </w:num>
  <w:num w:numId="22">
    <w:abstractNumId w:val="7"/>
  </w:num>
  <w:num w:numId="23">
    <w:abstractNumId w:val="3"/>
  </w:num>
  <w:num w:numId="24">
    <w:abstractNumId w:val="2"/>
  </w:num>
  <w:num w:numId="25">
    <w:abstractNumId w:val="1"/>
  </w:num>
  <w:num w:numId="26">
    <w:abstractNumId w:val="0"/>
  </w:num>
  <w:num w:numId="27">
    <w:abstractNumId w:val="32"/>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3"/>
  </w:num>
  <w:num w:numId="31">
    <w:abstractNumId w:val="41"/>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7"/>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2"/>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2"/>
    <w:lvlOverride w:ilvl="0">
      <w:lvl w:ilvl="0">
        <w:start w:val="1"/>
        <w:numFmt w:val="decimal"/>
        <w:suff w:val="nothing"/>
        <w:lvlText w:val="CHAPTER %1"/>
        <w:lvlJc w:val="left"/>
        <w:pPr>
          <w:ind w:left="3970" w:firstLine="0"/>
        </w:pPr>
        <w:rPr>
          <w:rFonts w:ascii="Verdana" w:hAnsi="Verdana" w:hint="default"/>
          <w:b/>
          <w:i w:val="0"/>
          <w:caps w:val="0"/>
          <w:strike w:val="0"/>
          <w:dstrike w:val="0"/>
          <w:vanish w:val="0"/>
          <w:sz w:val="24"/>
          <w:szCs w:val="24"/>
          <w:vertAlign w:val="baseline"/>
        </w:rPr>
      </w:lvl>
    </w:lvlOverride>
    <w:lvlOverride w:ilvl="1">
      <w:lvl w:ilvl="1">
        <w:start w:val="1"/>
        <w:numFmt w:val="decimal"/>
        <w:lvlText w:val="%1.%2"/>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Override>
    <w:lvlOverride w:ilvl="3">
      <w:lvl w:ilvl="3">
        <w:start w:val="1"/>
        <w:numFmt w:val="bullet"/>
        <w:lvlText w:val="–"/>
        <w:lvlJc w:val="left"/>
        <w:pPr>
          <w:tabs>
            <w:tab w:val="num" w:pos="1985"/>
          </w:tabs>
          <w:ind w:left="1985" w:hanging="567"/>
        </w:pPr>
        <w:rPr>
          <w:rFonts w:ascii="Times New Roman" w:hAnsi="Times New Roman" w:cs="Times New Roman" w:hint="default"/>
        </w:rPr>
      </w:lvl>
    </w:lvlOverride>
    <w:lvlOverride w:ilvl="4">
      <w:lvl w:ilvl="4">
        <w:start w:val="1"/>
        <w:numFmt w:val="none"/>
        <w:lvlText w:val=""/>
        <w:lvlJc w:val="left"/>
        <w:pPr>
          <w:tabs>
            <w:tab w:val="num" w:pos="851"/>
          </w:tabs>
          <w:ind w:left="851" w:hanging="851"/>
        </w:pPr>
        <w:rPr>
          <w:rFonts w:hint="default"/>
        </w:rPr>
      </w:lvl>
    </w:lvlOverride>
    <w:lvlOverride w:ilvl="5">
      <w:lvl w:ilvl="5">
        <w:start w:val="1"/>
        <w:numFmt w:val="none"/>
        <w:lvlText w:val=""/>
        <w:lvlJc w:val="left"/>
        <w:pPr>
          <w:tabs>
            <w:tab w:val="num" w:pos="851"/>
          </w:tabs>
          <w:ind w:left="851" w:hanging="851"/>
        </w:pPr>
        <w:rPr>
          <w:rFonts w:hint="default"/>
        </w:rPr>
      </w:lvl>
    </w:lvlOverride>
    <w:lvlOverride w:ilvl="6">
      <w:lvl w:ilvl="6">
        <w:start w:val="1"/>
        <w:numFmt w:val="none"/>
        <w:lvlText w:val=""/>
        <w:lvlJc w:val="left"/>
        <w:pPr>
          <w:tabs>
            <w:tab w:val="num" w:pos="851"/>
          </w:tabs>
          <w:ind w:left="851" w:hanging="851"/>
        </w:pPr>
        <w:rPr>
          <w:rFonts w:hint="default"/>
        </w:rPr>
      </w:lvl>
    </w:lvlOverride>
    <w:lvlOverride w:ilvl="7">
      <w:lvl w:ilvl="7">
        <w:start w:val="1"/>
        <w:numFmt w:val="none"/>
        <w:lvlText w:val=""/>
        <w:lvlJc w:val="left"/>
        <w:pPr>
          <w:tabs>
            <w:tab w:val="num" w:pos="851"/>
          </w:tabs>
          <w:ind w:left="851" w:hanging="851"/>
        </w:pPr>
        <w:rPr>
          <w:rFonts w:hint="default"/>
        </w:rPr>
      </w:lvl>
    </w:lvlOverride>
    <w:lvlOverride w:ilvl="8">
      <w:lvl w:ilvl="8">
        <w:start w:val="1"/>
        <w:numFmt w:val="none"/>
        <w:lvlText w:val=""/>
        <w:lvlJc w:val="left"/>
        <w:pPr>
          <w:tabs>
            <w:tab w:val="num" w:pos="851"/>
          </w:tabs>
          <w:ind w:left="851" w:hanging="851"/>
        </w:pPr>
        <w:rPr>
          <w:rFonts w:hint="default"/>
        </w:rPr>
      </w:lvl>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10"/>
  </w:num>
  <w:num w:numId="52">
    <w:abstractNumId w:val="10"/>
  </w:num>
  <w:num w:numId="53">
    <w:abstractNumId w:val="20"/>
  </w:num>
  <w:num w:numId="54">
    <w:abstractNumId w:val="20"/>
  </w:num>
  <w:num w:numId="55">
    <w:abstractNumId w:val="20"/>
  </w:num>
  <w:num w:numId="56">
    <w:abstractNumId w:val="20"/>
  </w:num>
  <w:num w:numId="57">
    <w:abstractNumId w:val="20"/>
  </w:num>
  <w:num w:numId="58">
    <w:abstractNumId w:val="24"/>
  </w:num>
  <w:num w:numId="59">
    <w:abstractNumId w:val="24"/>
  </w:num>
  <w:num w:numId="60">
    <w:abstractNumId w:val="24"/>
  </w:num>
  <w:num w:numId="61">
    <w:abstractNumId w:val="24"/>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num>
  <w:num w:numId="66">
    <w:abstractNumId w:val="24"/>
  </w:num>
  <w:num w:numId="67">
    <w:abstractNumId w:val="24"/>
  </w:num>
  <w:num w:numId="68">
    <w:abstractNumId w:val="38"/>
  </w:num>
  <w:num w:numId="69">
    <w:abstractNumId w:val="24"/>
  </w:num>
  <w:num w:numId="70">
    <w:abstractNumId w:val="38"/>
  </w:num>
  <w:num w:numId="71">
    <w:abstractNumId w:val="38"/>
  </w:num>
  <w:num w:numId="72">
    <w:abstractNumId w:val="21"/>
  </w:num>
  <w:num w:numId="73">
    <w:abstractNumId w:val="15"/>
  </w:num>
  <w:num w:numId="74">
    <w:abstractNumId w:val="38"/>
  </w:num>
  <w:num w:numId="75">
    <w:abstractNumId w:val="38"/>
  </w:num>
  <w:num w:numId="76">
    <w:abstractNumId w:val="38"/>
  </w:num>
  <w:num w:numId="77">
    <w:abstractNumId w:val="38"/>
  </w:num>
  <w:num w:numId="78">
    <w:abstractNumId w:val="38"/>
  </w:num>
  <w:num w:numId="79">
    <w:abstractNumId w:val="38"/>
  </w:num>
  <w:num w:numId="80">
    <w:abstractNumId w:val="38"/>
  </w:num>
  <w:num w:numId="81">
    <w:abstractNumId w:val="38"/>
  </w:num>
  <w:num w:numId="82">
    <w:abstractNumId w:val="38"/>
  </w:num>
  <w:num w:numId="83">
    <w:abstractNumId w:val="38"/>
  </w:num>
  <w:num w:numId="84">
    <w:abstractNumId w:val="38"/>
  </w:num>
  <w:num w:numId="85">
    <w:abstractNumId w:val="38"/>
  </w:num>
  <w:num w:numId="86">
    <w:abstractNumId w:val="38"/>
  </w:num>
  <w:num w:numId="87">
    <w:abstractNumId w:val="38"/>
  </w:num>
  <w:num w:numId="88">
    <w:abstractNumId w:val="38"/>
  </w:num>
  <w:num w:numId="89">
    <w:abstractNumId w:val="38"/>
  </w:num>
  <w:num w:numId="90">
    <w:abstractNumId w:val="38"/>
  </w:num>
  <w:num w:numId="91">
    <w:abstractNumId w:val="38"/>
  </w:num>
  <w:num w:numId="92">
    <w:abstractNumId w:val="38"/>
  </w:num>
  <w:num w:numId="93">
    <w:abstractNumId w:val="38"/>
  </w:num>
  <w:num w:numId="94">
    <w:abstractNumId w:val="38"/>
  </w:num>
  <w:num w:numId="95">
    <w:abstractNumId w:val="38"/>
  </w:num>
  <w:num w:numId="96">
    <w:abstractNumId w:val="38"/>
  </w:num>
  <w:num w:numId="97">
    <w:abstractNumId w:val="29"/>
  </w:num>
  <w:num w:numId="98">
    <w:abstractNumId w:val="33"/>
  </w:num>
  <w:num w:numId="99">
    <w:abstractNumId w:val="33"/>
  </w:num>
  <w:num w:numId="100">
    <w:abstractNumId w:val="34"/>
  </w:num>
  <w:num w:numId="101">
    <w:abstractNumId w:val="30"/>
  </w:num>
  <w:num w:numId="102">
    <w:abstractNumId w:val="31"/>
  </w:num>
  <w:num w:numId="103">
    <w:abstractNumId w:val="24"/>
  </w:num>
  <w:num w:numId="104">
    <w:abstractNumId w:val="24"/>
  </w:num>
  <w:num w:numId="105">
    <w:abstractNumId w:val="24"/>
  </w:num>
  <w:num w:numId="106">
    <w:abstractNumId w:val="17"/>
  </w:num>
  <w:num w:numId="107">
    <w:abstractNumId w:val="26"/>
  </w:num>
  <w:num w:numId="108">
    <w:abstractNumId w:val="36"/>
  </w:num>
  <w:num w:numId="109">
    <w:abstractNumId w:val="2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DD"/>
    <w:rsid w:val="00000135"/>
    <w:rsid w:val="0000013B"/>
    <w:rsid w:val="0000036F"/>
    <w:rsid w:val="0000040C"/>
    <w:rsid w:val="000008DC"/>
    <w:rsid w:val="000009C6"/>
    <w:rsid w:val="00000B6E"/>
    <w:rsid w:val="000010C9"/>
    <w:rsid w:val="0000129A"/>
    <w:rsid w:val="00001344"/>
    <w:rsid w:val="00001386"/>
    <w:rsid w:val="00001A21"/>
    <w:rsid w:val="00001F30"/>
    <w:rsid w:val="000021ED"/>
    <w:rsid w:val="000022BC"/>
    <w:rsid w:val="000024DD"/>
    <w:rsid w:val="00002858"/>
    <w:rsid w:val="00002A20"/>
    <w:rsid w:val="00002B5E"/>
    <w:rsid w:val="0000357F"/>
    <w:rsid w:val="000036F9"/>
    <w:rsid w:val="000039E6"/>
    <w:rsid w:val="00003ECC"/>
    <w:rsid w:val="0000424A"/>
    <w:rsid w:val="00004370"/>
    <w:rsid w:val="000045A3"/>
    <w:rsid w:val="000046C1"/>
    <w:rsid w:val="00004AC3"/>
    <w:rsid w:val="00004BD5"/>
    <w:rsid w:val="0000511A"/>
    <w:rsid w:val="000055A9"/>
    <w:rsid w:val="00005688"/>
    <w:rsid w:val="0000596E"/>
    <w:rsid w:val="000059F0"/>
    <w:rsid w:val="00005C02"/>
    <w:rsid w:val="00005C51"/>
    <w:rsid w:val="00005CF3"/>
    <w:rsid w:val="00005D63"/>
    <w:rsid w:val="00005DD3"/>
    <w:rsid w:val="0000602C"/>
    <w:rsid w:val="00006122"/>
    <w:rsid w:val="0000676C"/>
    <w:rsid w:val="000068B2"/>
    <w:rsid w:val="00006F0F"/>
    <w:rsid w:val="000108D5"/>
    <w:rsid w:val="00010AFB"/>
    <w:rsid w:val="00010DD0"/>
    <w:rsid w:val="00011BEF"/>
    <w:rsid w:val="000121B3"/>
    <w:rsid w:val="000125D0"/>
    <w:rsid w:val="00012950"/>
    <w:rsid w:val="00012B9E"/>
    <w:rsid w:val="00012D86"/>
    <w:rsid w:val="00012FAD"/>
    <w:rsid w:val="00013D54"/>
    <w:rsid w:val="00013FCF"/>
    <w:rsid w:val="00014181"/>
    <w:rsid w:val="000142F3"/>
    <w:rsid w:val="00014903"/>
    <w:rsid w:val="000150AE"/>
    <w:rsid w:val="000154E7"/>
    <w:rsid w:val="00015828"/>
    <w:rsid w:val="00015856"/>
    <w:rsid w:val="00015976"/>
    <w:rsid w:val="00015B08"/>
    <w:rsid w:val="00015BC9"/>
    <w:rsid w:val="00015ED5"/>
    <w:rsid w:val="00015F77"/>
    <w:rsid w:val="00016410"/>
    <w:rsid w:val="00016671"/>
    <w:rsid w:val="00016867"/>
    <w:rsid w:val="000169BF"/>
    <w:rsid w:val="00017908"/>
    <w:rsid w:val="000179C2"/>
    <w:rsid w:val="00017CCD"/>
    <w:rsid w:val="000201A9"/>
    <w:rsid w:val="0002075E"/>
    <w:rsid w:val="00020945"/>
    <w:rsid w:val="00020CF1"/>
    <w:rsid w:val="00020D32"/>
    <w:rsid w:val="00020D4A"/>
    <w:rsid w:val="0002100F"/>
    <w:rsid w:val="00021019"/>
    <w:rsid w:val="00021385"/>
    <w:rsid w:val="0002154C"/>
    <w:rsid w:val="00022083"/>
    <w:rsid w:val="0002209B"/>
    <w:rsid w:val="0002259C"/>
    <w:rsid w:val="00022609"/>
    <w:rsid w:val="0002270A"/>
    <w:rsid w:val="00022727"/>
    <w:rsid w:val="00022768"/>
    <w:rsid w:val="00022A5E"/>
    <w:rsid w:val="00022AF2"/>
    <w:rsid w:val="00022DD0"/>
    <w:rsid w:val="00022F65"/>
    <w:rsid w:val="00023219"/>
    <w:rsid w:val="00023397"/>
    <w:rsid w:val="00023582"/>
    <w:rsid w:val="00023590"/>
    <w:rsid w:val="00023FA5"/>
    <w:rsid w:val="00025861"/>
    <w:rsid w:val="00025CA7"/>
    <w:rsid w:val="0002641D"/>
    <w:rsid w:val="0002771D"/>
    <w:rsid w:val="00027CA9"/>
    <w:rsid w:val="00027D79"/>
    <w:rsid w:val="00030187"/>
    <w:rsid w:val="00030302"/>
    <w:rsid w:val="00030475"/>
    <w:rsid w:val="000306B7"/>
    <w:rsid w:val="00030A28"/>
    <w:rsid w:val="00030C70"/>
    <w:rsid w:val="00030E54"/>
    <w:rsid w:val="000313D3"/>
    <w:rsid w:val="00031484"/>
    <w:rsid w:val="000314D7"/>
    <w:rsid w:val="0003155F"/>
    <w:rsid w:val="00031929"/>
    <w:rsid w:val="000319DE"/>
    <w:rsid w:val="00031D95"/>
    <w:rsid w:val="00032282"/>
    <w:rsid w:val="000326A3"/>
    <w:rsid w:val="00032C78"/>
    <w:rsid w:val="00033325"/>
    <w:rsid w:val="00033410"/>
    <w:rsid w:val="00033CF2"/>
    <w:rsid w:val="000340AF"/>
    <w:rsid w:val="000342D7"/>
    <w:rsid w:val="00034742"/>
    <w:rsid w:val="000349DE"/>
    <w:rsid w:val="00035414"/>
    <w:rsid w:val="00035ACD"/>
    <w:rsid w:val="00035FDE"/>
    <w:rsid w:val="00036354"/>
    <w:rsid w:val="00036BD7"/>
    <w:rsid w:val="00036BE2"/>
    <w:rsid w:val="00036C99"/>
    <w:rsid w:val="00037026"/>
    <w:rsid w:val="000371EA"/>
    <w:rsid w:val="00037628"/>
    <w:rsid w:val="000376A2"/>
    <w:rsid w:val="000377EA"/>
    <w:rsid w:val="00037B0E"/>
    <w:rsid w:val="00037EC6"/>
    <w:rsid w:val="00040013"/>
    <w:rsid w:val="000403F4"/>
    <w:rsid w:val="000406E5"/>
    <w:rsid w:val="0004178E"/>
    <w:rsid w:val="000419D3"/>
    <w:rsid w:val="00041BDF"/>
    <w:rsid w:val="00041C42"/>
    <w:rsid w:val="00042EFF"/>
    <w:rsid w:val="000434DA"/>
    <w:rsid w:val="00043A7F"/>
    <w:rsid w:val="00043B53"/>
    <w:rsid w:val="00043DAB"/>
    <w:rsid w:val="00043F09"/>
    <w:rsid w:val="00044518"/>
    <w:rsid w:val="00044AC0"/>
    <w:rsid w:val="00044C9D"/>
    <w:rsid w:val="000451BF"/>
    <w:rsid w:val="0004586C"/>
    <w:rsid w:val="00045B32"/>
    <w:rsid w:val="00045CE2"/>
    <w:rsid w:val="000462FD"/>
    <w:rsid w:val="000465CE"/>
    <w:rsid w:val="000470B9"/>
    <w:rsid w:val="000471E9"/>
    <w:rsid w:val="0004732B"/>
    <w:rsid w:val="0004756F"/>
    <w:rsid w:val="00047E92"/>
    <w:rsid w:val="000503D6"/>
    <w:rsid w:val="00050918"/>
    <w:rsid w:val="00050936"/>
    <w:rsid w:val="0005152B"/>
    <w:rsid w:val="000517AF"/>
    <w:rsid w:val="00051FB9"/>
    <w:rsid w:val="000520D5"/>
    <w:rsid w:val="000522D3"/>
    <w:rsid w:val="000524FB"/>
    <w:rsid w:val="00053642"/>
    <w:rsid w:val="000537B3"/>
    <w:rsid w:val="00053ED8"/>
    <w:rsid w:val="0005428D"/>
    <w:rsid w:val="000544FF"/>
    <w:rsid w:val="0005467B"/>
    <w:rsid w:val="00054696"/>
    <w:rsid w:val="00054732"/>
    <w:rsid w:val="00054865"/>
    <w:rsid w:val="00054C10"/>
    <w:rsid w:val="00054D06"/>
    <w:rsid w:val="00054D47"/>
    <w:rsid w:val="0005532B"/>
    <w:rsid w:val="000554B3"/>
    <w:rsid w:val="00055997"/>
    <w:rsid w:val="00055B7C"/>
    <w:rsid w:val="00055CD4"/>
    <w:rsid w:val="00055EE2"/>
    <w:rsid w:val="00056313"/>
    <w:rsid w:val="000567C4"/>
    <w:rsid w:val="000568CE"/>
    <w:rsid w:val="00060060"/>
    <w:rsid w:val="000602D4"/>
    <w:rsid w:val="000605C5"/>
    <w:rsid w:val="000607D1"/>
    <w:rsid w:val="00060BAC"/>
    <w:rsid w:val="00060DBD"/>
    <w:rsid w:val="00061002"/>
    <w:rsid w:val="00061305"/>
    <w:rsid w:val="000619B9"/>
    <w:rsid w:val="00061A4F"/>
    <w:rsid w:val="00061F0C"/>
    <w:rsid w:val="00061F23"/>
    <w:rsid w:val="000620D3"/>
    <w:rsid w:val="00062C54"/>
    <w:rsid w:val="00062E42"/>
    <w:rsid w:val="00062E68"/>
    <w:rsid w:val="00063111"/>
    <w:rsid w:val="0006311E"/>
    <w:rsid w:val="0006341F"/>
    <w:rsid w:val="000637FD"/>
    <w:rsid w:val="00063B76"/>
    <w:rsid w:val="00063CF6"/>
    <w:rsid w:val="00063D50"/>
    <w:rsid w:val="00064216"/>
    <w:rsid w:val="00064297"/>
    <w:rsid w:val="000642E9"/>
    <w:rsid w:val="000648D4"/>
    <w:rsid w:val="000650C5"/>
    <w:rsid w:val="00065463"/>
    <w:rsid w:val="000658AB"/>
    <w:rsid w:val="00065B07"/>
    <w:rsid w:val="00066175"/>
    <w:rsid w:val="000663D1"/>
    <w:rsid w:val="000664FD"/>
    <w:rsid w:val="0006661F"/>
    <w:rsid w:val="000666D7"/>
    <w:rsid w:val="00066782"/>
    <w:rsid w:val="00066824"/>
    <w:rsid w:val="00067010"/>
    <w:rsid w:val="0006740C"/>
    <w:rsid w:val="00067ACF"/>
    <w:rsid w:val="00067D35"/>
    <w:rsid w:val="00067E03"/>
    <w:rsid w:val="00067F59"/>
    <w:rsid w:val="00067FC8"/>
    <w:rsid w:val="000702F9"/>
    <w:rsid w:val="00070E0E"/>
    <w:rsid w:val="0007163C"/>
    <w:rsid w:val="00071DC1"/>
    <w:rsid w:val="00072567"/>
    <w:rsid w:val="00072B45"/>
    <w:rsid w:val="00072DC1"/>
    <w:rsid w:val="00073469"/>
    <w:rsid w:val="000738E8"/>
    <w:rsid w:val="00073937"/>
    <w:rsid w:val="00073B25"/>
    <w:rsid w:val="000741A3"/>
    <w:rsid w:val="00074667"/>
    <w:rsid w:val="00074734"/>
    <w:rsid w:val="00074F26"/>
    <w:rsid w:val="0007560B"/>
    <w:rsid w:val="00075A44"/>
    <w:rsid w:val="00075AC4"/>
    <w:rsid w:val="00075D72"/>
    <w:rsid w:val="00076376"/>
    <w:rsid w:val="0007648E"/>
    <w:rsid w:val="00076D0E"/>
    <w:rsid w:val="00076E9B"/>
    <w:rsid w:val="0007712D"/>
    <w:rsid w:val="00077139"/>
    <w:rsid w:val="000773D9"/>
    <w:rsid w:val="000775AA"/>
    <w:rsid w:val="00077964"/>
    <w:rsid w:val="000779EC"/>
    <w:rsid w:val="00077A03"/>
    <w:rsid w:val="00077F7A"/>
    <w:rsid w:val="000800D8"/>
    <w:rsid w:val="000800DA"/>
    <w:rsid w:val="000809AC"/>
    <w:rsid w:val="00081022"/>
    <w:rsid w:val="00081715"/>
    <w:rsid w:val="000818E6"/>
    <w:rsid w:val="00081C0A"/>
    <w:rsid w:val="00081DE8"/>
    <w:rsid w:val="00081EF2"/>
    <w:rsid w:val="00082198"/>
    <w:rsid w:val="000825C6"/>
    <w:rsid w:val="000826E0"/>
    <w:rsid w:val="00082A83"/>
    <w:rsid w:val="000834E7"/>
    <w:rsid w:val="00083AAB"/>
    <w:rsid w:val="00083C6F"/>
    <w:rsid w:val="0008490C"/>
    <w:rsid w:val="00084A1D"/>
    <w:rsid w:val="00085D97"/>
    <w:rsid w:val="00085F2E"/>
    <w:rsid w:val="00085FF0"/>
    <w:rsid w:val="00086761"/>
    <w:rsid w:val="000867D1"/>
    <w:rsid w:val="0008682C"/>
    <w:rsid w:val="00086C01"/>
    <w:rsid w:val="00086E74"/>
    <w:rsid w:val="00087216"/>
    <w:rsid w:val="000872D5"/>
    <w:rsid w:val="00087654"/>
    <w:rsid w:val="00087DB3"/>
    <w:rsid w:val="00090128"/>
    <w:rsid w:val="00090341"/>
    <w:rsid w:val="000903C7"/>
    <w:rsid w:val="000904AC"/>
    <w:rsid w:val="000905C0"/>
    <w:rsid w:val="00090A78"/>
    <w:rsid w:val="00090B26"/>
    <w:rsid w:val="00091195"/>
    <w:rsid w:val="00091230"/>
    <w:rsid w:val="000912A0"/>
    <w:rsid w:val="00091464"/>
    <w:rsid w:val="0009166B"/>
    <w:rsid w:val="00091AD6"/>
    <w:rsid w:val="00091EB0"/>
    <w:rsid w:val="000923A0"/>
    <w:rsid w:val="00092A5D"/>
    <w:rsid w:val="00093C89"/>
    <w:rsid w:val="00093F79"/>
    <w:rsid w:val="0009415B"/>
    <w:rsid w:val="000948C6"/>
    <w:rsid w:val="00094998"/>
    <w:rsid w:val="00094B89"/>
    <w:rsid w:val="00094DAA"/>
    <w:rsid w:val="00094DBB"/>
    <w:rsid w:val="00095430"/>
    <w:rsid w:val="00095461"/>
    <w:rsid w:val="00095A7D"/>
    <w:rsid w:val="00095BDE"/>
    <w:rsid w:val="00095D78"/>
    <w:rsid w:val="00096307"/>
    <w:rsid w:val="000967B8"/>
    <w:rsid w:val="00096962"/>
    <w:rsid w:val="00097DA1"/>
    <w:rsid w:val="00097E05"/>
    <w:rsid w:val="00097E9F"/>
    <w:rsid w:val="000A064B"/>
    <w:rsid w:val="000A0657"/>
    <w:rsid w:val="000A0C94"/>
    <w:rsid w:val="000A0D19"/>
    <w:rsid w:val="000A0DD5"/>
    <w:rsid w:val="000A0E27"/>
    <w:rsid w:val="000A11C2"/>
    <w:rsid w:val="000A11EB"/>
    <w:rsid w:val="000A16EB"/>
    <w:rsid w:val="000A1709"/>
    <w:rsid w:val="000A17C4"/>
    <w:rsid w:val="000A20D3"/>
    <w:rsid w:val="000A268C"/>
    <w:rsid w:val="000A289A"/>
    <w:rsid w:val="000A33D1"/>
    <w:rsid w:val="000A356B"/>
    <w:rsid w:val="000A38C8"/>
    <w:rsid w:val="000A3DE6"/>
    <w:rsid w:val="000A4368"/>
    <w:rsid w:val="000A45EA"/>
    <w:rsid w:val="000A491C"/>
    <w:rsid w:val="000A4D99"/>
    <w:rsid w:val="000A4F17"/>
    <w:rsid w:val="000A4FBB"/>
    <w:rsid w:val="000A4FDF"/>
    <w:rsid w:val="000A5089"/>
    <w:rsid w:val="000A5149"/>
    <w:rsid w:val="000A53F2"/>
    <w:rsid w:val="000A5AC8"/>
    <w:rsid w:val="000A5DA6"/>
    <w:rsid w:val="000A5FD0"/>
    <w:rsid w:val="000A65E7"/>
    <w:rsid w:val="000A664A"/>
    <w:rsid w:val="000A6D5F"/>
    <w:rsid w:val="000A6E3B"/>
    <w:rsid w:val="000A70D6"/>
    <w:rsid w:val="000A71D5"/>
    <w:rsid w:val="000A72D5"/>
    <w:rsid w:val="000A7C89"/>
    <w:rsid w:val="000A7CE8"/>
    <w:rsid w:val="000B036F"/>
    <w:rsid w:val="000B0719"/>
    <w:rsid w:val="000B0CFB"/>
    <w:rsid w:val="000B0FAC"/>
    <w:rsid w:val="000B10BF"/>
    <w:rsid w:val="000B13AA"/>
    <w:rsid w:val="000B1A0F"/>
    <w:rsid w:val="000B1A37"/>
    <w:rsid w:val="000B1AAA"/>
    <w:rsid w:val="000B298C"/>
    <w:rsid w:val="000B2E49"/>
    <w:rsid w:val="000B37C0"/>
    <w:rsid w:val="000B3908"/>
    <w:rsid w:val="000B3D06"/>
    <w:rsid w:val="000B3D92"/>
    <w:rsid w:val="000B3F4D"/>
    <w:rsid w:val="000B450A"/>
    <w:rsid w:val="000B50CC"/>
    <w:rsid w:val="000B51E1"/>
    <w:rsid w:val="000B5EBA"/>
    <w:rsid w:val="000B602F"/>
    <w:rsid w:val="000B648E"/>
    <w:rsid w:val="000B69E6"/>
    <w:rsid w:val="000B6B01"/>
    <w:rsid w:val="000B779E"/>
    <w:rsid w:val="000B7839"/>
    <w:rsid w:val="000B7A82"/>
    <w:rsid w:val="000B7A86"/>
    <w:rsid w:val="000C0C83"/>
    <w:rsid w:val="000C0D2C"/>
    <w:rsid w:val="000C0D52"/>
    <w:rsid w:val="000C10CE"/>
    <w:rsid w:val="000C114A"/>
    <w:rsid w:val="000C1388"/>
    <w:rsid w:val="000C140C"/>
    <w:rsid w:val="000C24F6"/>
    <w:rsid w:val="000C2EB4"/>
    <w:rsid w:val="000C30E7"/>
    <w:rsid w:val="000C3CCD"/>
    <w:rsid w:val="000C4BBB"/>
    <w:rsid w:val="000C4D12"/>
    <w:rsid w:val="000C5069"/>
    <w:rsid w:val="000C5229"/>
    <w:rsid w:val="000C5ADF"/>
    <w:rsid w:val="000C6315"/>
    <w:rsid w:val="000C6898"/>
    <w:rsid w:val="000C6B27"/>
    <w:rsid w:val="000C7393"/>
    <w:rsid w:val="000C7505"/>
    <w:rsid w:val="000C78FA"/>
    <w:rsid w:val="000C7A9B"/>
    <w:rsid w:val="000C7AFC"/>
    <w:rsid w:val="000C7CB9"/>
    <w:rsid w:val="000C7E77"/>
    <w:rsid w:val="000D051F"/>
    <w:rsid w:val="000D0A5B"/>
    <w:rsid w:val="000D0AAF"/>
    <w:rsid w:val="000D0B76"/>
    <w:rsid w:val="000D0D4A"/>
    <w:rsid w:val="000D0F7D"/>
    <w:rsid w:val="000D13C0"/>
    <w:rsid w:val="000D17D2"/>
    <w:rsid w:val="000D1996"/>
    <w:rsid w:val="000D2E72"/>
    <w:rsid w:val="000D2F5E"/>
    <w:rsid w:val="000D312E"/>
    <w:rsid w:val="000D39C6"/>
    <w:rsid w:val="000D3DDE"/>
    <w:rsid w:val="000D3FB6"/>
    <w:rsid w:val="000D3FD0"/>
    <w:rsid w:val="000D41E1"/>
    <w:rsid w:val="000D4344"/>
    <w:rsid w:val="000D481F"/>
    <w:rsid w:val="000D4F08"/>
    <w:rsid w:val="000D50E1"/>
    <w:rsid w:val="000D5138"/>
    <w:rsid w:val="000D575D"/>
    <w:rsid w:val="000D57AE"/>
    <w:rsid w:val="000D5957"/>
    <w:rsid w:val="000D5A68"/>
    <w:rsid w:val="000D5DF5"/>
    <w:rsid w:val="000D5ED4"/>
    <w:rsid w:val="000D5FB8"/>
    <w:rsid w:val="000D61EA"/>
    <w:rsid w:val="000D6280"/>
    <w:rsid w:val="000D6456"/>
    <w:rsid w:val="000D64B4"/>
    <w:rsid w:val="000D653B"/>
    <w:rsid w:val="000D6A58"/>
    <w:rsid w:val="000D714C"/>
    <w:rsid w:val="000D72EC"/>
    <w:rsid w:val="000D7429"/>
    <w:rsid w:val="000D77AB"/>
    <w:rsid w:val="000D7BCA"/>
    <w:rsid w:val="000E0455"/>
    <w:rsid w:val="000E13F8"/>
    <w:rsid w:val="000E1516"/>
    <w:rsid w:val="000E1D36"/>
    <w:rsid w:val="000E1F9F"/>
    <w:rsid w:val="000E21BA"/>
    <w:rsid w:val="000E260A"/>
    <w:rsid w:val="000E276A"/>
    <w:rsid w:val="000E28B1"/>
    <w:rsid w:val="000E292C"/>
    <w:rsid w:val="000E30EE"/>
    <w:rsid w:val="000E31A0"/>
    <w:rsid w:val="000E3222"/>
    <w:rsid w:val="000E36FE"/>
    <w:rsid w:val="000E463F"/>
    <w:rsid w:val="000E465C"/>
    <w:rsid w:val="000E4769"/>
    <w:rsid w:val="000E4BC4"/>
    <w:rsid w:val="000E4C48"/>
    <w:rsid w:val="000E50EB"/>
    <w:rsid w:val="000E568B"/>
    <w:rsid w:val="000E573A"/>
    <w:rsid w:val="000E5AA1"/>
    <w:rsid w:val="000E5E5F"/>
    <w:rsid w:val="000E677D"/>
    <w:rsid w:val="000E6A9A"/>
    <w:rsid w:val="000E6B8F"/>
    <w:rsid w:val="000E6C55"/>
    <w:rsid w:val="000E7F09"/>
    <w:rsid w:val="000F006E"/>
    <w:rsid w:val="000F0FB9"/>
    <w:rsid w:val="000F12CE"/>
    <w:rsid w:val="000F19B3"/>
    <w:rsid w:val="000F1A7F"/>
    <w:rsid w:val="000F1DEF"/>
    <w:rsid w:val="000F1E9D"/>
    <w:rsid w:val="000F20CC"/>
    <w:rsid w:val="000F20DA"/>
    <w:rsid w:val="000F2130"/>
    <w:rsid w:val="000F294E"/>
    <w:rsid w:val="000F2D2F"/>
    <w:rsid w:val="000F2DD6"/>
    <w:rsid w:val="000F32DA"/>
    <w:rsid w:val="000F33D8"/>
    <w:rsid w:val="000F35B5"/>
    <w:rsid w:val="000F365D"/>
    <w:rsid w:val="000F3B96"/>
    <w:rsid w:val="000F3CCA"/>
    <w:rsid w:val="000F3DD9"/>
    <w:rsid w:val="000F435B"/>
    <w:rsid w:val="000F49DB"/>
    <w:rsid w:val="000F4C62"/>
    <w:rsid w:val="000F4D48"/>
    <w:rsid w:val="000F4F58"/>
    <w:rsid w:val="000F542C"/>
    <w:rsid w:val="000F6E5A"/>
    <w:rsid w:val="000F7AC5"/>
    <w:rsid w:val="000F7BBB"/>
    <w:rsid w:val="000F7BD1"/>
    <w:rsid w:val="00100350"/>
    <w:rsid w:val="001003F9"/>
    <w:rsid w:val="001008BB"/>
    <w:rsid w:val="00100943"/>
    <w:rsid w:val="001014B7"/>
    <w:rsid w:val="00101847"/>
    <w:rsid w:val="00101924"/>
    <w:rsid w:val="00101B9E"/>
    <w:rsid w:val="00101CCD"/>
    <w:rsid w:val="00101E16"/>
    <w:rsid w:val="00102121"/>
    <w:rsid w:val="00102911"/>
    <w:rsid w:val="00102BAE"/>
    <w:rsid w:val="001030F8"/>
    <w:rsid w:val="00103180"/>
    <w:rsid w:val="001032FC"/>
    <w:rsid w:val="0010330A"/>
    <w:rsid w:val="001037AC"/>
    <w:rsid w:val="00103D31"/>
    <w:rsid w:val="00103D9A"/>
    <w:rsid w:val="00103DB4"/>
    <w:rsid w:val="00103E13"/>
    <w:rsid w:val="001042F8"/>
    <w:rsid w:val="00104531"/>
    <w:rsid w:val="00104770"/>
    <w:rsid w:val="001047AD"/>
    <w:rsid w:val="00105162"/>
    <w:rsid w:val="00105601"/>
    <w:rsid w:val="001059B7"/>
    <w:rsid w:val="001062F9"/>
    <w:rsid w:val="0010641E"/>
    <w:rsid w:val="00106AC9"/>
    <w:rsid w:val="00106C07"/>
    <w:rsid w:val="00106F80"/>
    <w:rsid w:val="00107105"/>
    <w:rsid w:val="00107537"/>
    <w:rsid w:val="001079E6"/>
    <w:rsid w:val="00107CCC"/>
    <w:rsid w:val="00107E96"/>
    <w:rsid w:val="0011111E"/>
    <w:rsid w:val="00111387"/>
    <w:rsid w:val="00111676"/>
    <w:rsid w:val="00111AC9"/>
    <w:rsid w:val="00111CCD"/>
    <w:rsid w:val="00111E2F"/>
    <w:rsid w:val="00111ECD"/>
    <w:rsid w:val="00112051"/>
    <w:rsid w:val="0011214E"/>
    <w:rsid w:val="001121BA"/>
    <w:rsid w:val="001126B7"/>
    <w:rsid w:val="001128A7"/>
    <w:rsid w:val="00113274"/>
    <w:rsid w:val="00113361"/>
    <w:rsid w:val="00113594"/>
    <w:rsid w:val="00113642"/>
    <w:rsid w:val="0011384C"/>
    <w:rsid w:val="001139F0"/>
    <w:rsid w:val="00113D16"/>
    <w:rsid w:val="00114046"/>
    <w:rsid w:val="00114B01"/>
    <w:rsid w:val="00115A5B"/>
    <w:rsid w:val="00115CD2"/>
    <w:rsid w:val="00115E9D"/>
    <w:rsid w:val="00116313"/>
    <w:rsid w:val="00116343"/>
    <w:rsid w:val="001164A4"/>
    <w:rsid w:val="001165A9"/>
    <w:rsid w:val="001165AD"/>
    <w:rsid w:val="001165FD"/>
    <w:rsid w:val="001166F0"/>
    <w:rsid w:val="00116E74"/>
    <w:rsid w:val="00117449"/>
    <w:rsid w:val="00117805"/>
    <w:rsid w:val="00117B71"/>
    <w:rsid w:val="00117C76"/>
    <w:rsid w:val="001200B4"/>
    <w:rsid w:val="001203C1"/>
    <w:rsid w:val="001204DA"/>
    <w:rsid w:val="00120DF0"/>
    <w:rsid w:val="00121090"/>
    <w:rsid w:val="001213B9"/>
    <w:rsid w:val="001215B5"/>
    <w:rsid w:val="0012163C"/>
    <w:rsid w:val="00121893"/>
    <w:rsid w:val="0012223C"/>
    <w:rsid w:val="0012227D"/>
    <w:rsid w:val="00122474"/>
    <w:rsid w:val="001224B8"/>
    <w:rsid w:val="001225C0"/>
    <w:rsid w:val="0012267E"/>
    <w:rsid w:val="001226D1"/>
    <w:rsid w:val="001226FA"/>
    <w:rsid w:val="00122788"/>
    <w:rsid w:val="001227FF"/>
    <w:rsid w:val="00122989"/>
    <w:rsid w:val="001229B8"/>
    <w:rsid w:val="00122A39"/>
    <w:rsid w:val="00122C70"/>
    <w:rsid w:val="001236EF"/>
    <w:rsid w:val="00123AC5"/>
    <w:rsid w:val="00123E59"/>
    <w:rsid w:val="00124215"/>
    <w:rsid w:val="001243E3"/>
    <w:rsid w:val="00124931"/>
    <w:rsid w:val="00124A2C"/>
    <w:rsid w:val="00124C40"/>
    <w:rsid w:val="00124EBF"/>
    <w:rsid w:val="00125460"/>
    <w:rsid w:val="0012596F"/>
    <w:rsid w:val="00125CA7"/>
    <w:rsid w:val="001266C5"/>
    <w:rsid w:val="00126B0A"/>
    <w:rsid w:val="00127312"/>
    <w:rsid w:val="00127E0B"/>
    <w:rsid w:val="00127E91"/>
    <w:rsid w:val="00127FB6"/>
    <w:rsid w:val="00127FE0"/>
    <w:rsid w:val="00130246"/>
    <w:rsid w:val="0013037E"/>
    <w:rsid w:val="001308CE"/>
    <w:rsid w:val="001308FE"/>
    <w:rsid w:val="00130D96"/>
    <w:rsid w:val="00130D99"/>
    <w:rsid w:val="00130F81"/>
    <w:rsid w:val="001312B5"/>
    <w:rsid w:val="001313FC"/>
    <w:rsid w:val="0013162B"/>
    <w:rsid w:val="00131DEE"/>
    <w:rsid w:val="001320AA"/>
    <w:rsid w:val="00132295"/>
    <w:rsid w:val="001329E0"/>
    <w:rsid w:val="00132D3B"/>
    <w:rsid w:val="0013333F"/>
    <w:rsid w:val="00133527"/>
    <w:rsid w:val="001337AC"/>
    <w:rsid w:val="00133B38"/>
    <w:rsid w:val="00133F44"/>
    <w:rsid w:val="00134559"/>
    <w:rsid w:val="00134729"/>
    <w:rsid w:val="00135296"/>
    <w:rsid w:val="001359E0"/>
    <w:rsid w:val="00135ABC"/>
    <w:rsid w:val="00135B55"/>
    <w:rsid w:val="001361AD"/>
    <w:rsid w:val="00136679"/>
    <w:rsid w:val="00136774"/>
    <w:rsid w:val="00136973"/>
    <w:rsid w:val="00136F31"/>
    <w:rsid w:val="0013708D"/>
    <w:rsid w:val="00137166"/>
    <w:rsid w:val="0013723E"/>
    <w:rsid w:val="001373E7"/>
    <w:rsid w:val="001374E9"/>
    <w:rsid w:val="00137851"/>
    <w:rsid w:val="001379C2"/>
    <w:rsid w:val="00137AA6"/>
    <w:rsid w:val="00137D5C"/>
    <w:rsid w:val="001400EE"/>
    <w:rsid w:val="001407AA"/>
    <w:rsid w:val="001407F5"/>
    <w:rsid w:val="00140BE8"/>
    <w:rsid w:val="001411B0"/>
    <w:rsid w:val="001414F0"/>
    <w:rsid w:val="0014171E"/>
    <w:rsid w:val="001421EB"/>
    <w:rsid w:val="00142355"/>
    <w:rsid w:val="001424C4"/>
    <w:rsid w:val="00142CEF"/>
    <w:rsid w:val="00142E78"/>
    <w:rsid w:val="00143080"/>
    <w:rsid w:val="00143B83"/>
    <w:rsid w:val="00143FD8"/>
    <w:rsid w:val="0014412B"/>
    <w:rsid w:val="00144445"/>
    <w:rsid w:val="0014468E"/>
    <w:rsid w:val="001448F7"/>
    <w:rsid w:val="00144A59"/>
    <w:rsid w:val="00144A63"/>
    <w:rsid w:val="00144AD2"/>
    <w:rsid w:val="00144CDD"/>
    <w:rsid w:val="00144F1C"/>
    <w:rsid w:val="00145522"/>
    <w:rsid w:val="00145802"/>
    <w:rsid w:val="0014589D"/>
    <w:rsid w:val="00146242"/>
    <w:rsid w:val="0014646D"/>
    <w:rsid w:val="00146710"/>
    <w:rsid w:val="001467F6"/>
    <w:rsid w:val="001469D9"/>
    <w:rsid w:val="00146AEF"/>
    <w:rsid w:val="00146D40"/>
    <w:rsid w:val="00147238"/>
    <w:rsid w:val="0014742D"/>
    <w:rsid w:val="00147599"/>
    <w:rsid w:val="00147EDC"/>
    <w:rsid w:val="00147EEE"/>
    <w:rsid w:val="00150656"/>
    <w:rsid w:val="00150986"/>
    <w:rsid w:val="001511A1"/>
    <w:rsid w:val="00151296"/>
    <w:rsid w:val="00151C29"/>
    <w:rsid w:val="00151E06"/>
    <w:rsid w:val="0015225B"/>
    <w:rsid w:val="001522C6"/>
    <w:rsid w:val="0015252B"/>
    <w:rsid w:val="00152574"/>
    <w:rsid w:val="0015260C"/>
    <w:rsid w:val="00152648"/>
    <w:rsid w:val="00152923"/>
    <w:rsid w:val="0015293D"/>
    <w:rsid w:val="00152F13"/>
    <w:rsid w:val="00153012"/>
    <w:rsid w:val="00153071"/>
    <w:rsid w:val="001532B6"/>
    <w:rsid w:val="0015373E"/>
    <w:rsid w:val="001539F3"/>
    <w:rsid w:val="001541A5"/>
    <w:rsid w:val="00154564"/>
    <w:rsid w:val="00154719"/>
    <w:rsid w:val="0015489A"/>
    <w:rsid w:val="0015497F"/>
    <w:rsid w:val="00154BA2"/>
    <w:rsid w:val="001551A2"/>
    <w:rsid w:val="00155207"/>
    <w:rsid w:val="0015559B"/>
    <w:rsid w:val="00155A17"/>
    <w:rsid w:val="00155BE5"/>
    <w:rsid w:val="00155CF6"/>
    <w:rsid w:val="00155DFE"/>
    <w:rsid w:val="00155E06"/>
    <w:rsid w:val="00155EC3"/>
    <w:rsid w:val="00156117"/>
    <w:rsid w:val="0015632F"/>
    <w:rsid w:val="0015657C"/>
    <w:rsid w:val="00156A4F"/>
    <w:rsid w:val="00156C22"/>
    <w:rsid w:val="00156CCC"/>
    <w:rsid w:val="00157119"/>
    <w:rsid w:val="00157352"/>
    <w:rsid w:val="001573D2"/>
    <w:rsid w:val="001574D5"/>
    <w:rsid w:val="001579AF"/>
    <w:rsid w:val="00157AE2"/>
    <w:rsid w:val="00157E02"/>
    <w:rsid w:val="00157E6B"/>
    <w:rsid w:val="0016044B"/>
    <w:rsid w:val="001605FA"/>
    <w:rsid w:val="0016060A"/>
    <w:rsid w:val="001609E6"/>
    <w:rsid w:val="00160B46"/>
    <w:rsid w:val="00160ED3"/>
    <w:rsid w:val="001610B9"/>
    <w:rsid w:val="001614D9"/>
    <w:rsid w:val="0016156C"/>
    <w:rsid w:val="0016248F"/>
    <w:rsid w:val="00162585"/>
    <w:rsid w:val="0016274D"/>
    <w:rsid w:val="00162834"/>
    <w:rsid w:val="00162ADA"/>
    <w:rsid w:val="00162CD7"/>
    <w:rsid w:val="00162DF9"/>
    <w:rsid w:val="00163518"/>
    <w:rsid w:val="00163731"/>
    <w:rsid w:val="001637FC"/>
    <w:rsid w:val="00163FA5"/>
    <w:rsid w:val="0016448E"/>
    <w:rsid w:val="00164A27"/>
    <w:rsid w:val="00164AC9"/>
    <w:rsid w:val="00164B38"/>
    <w:rsid w:val="00164C0D"/>
    <w:rsid w:val="00164D52"/>
    <w:rsid w:val="0016501C"/>
    <w:rsid w:val="00165225"/>
    <w:rsid w:val="00165370"/>
    <w:rsid w:val="001654C7"/>
    <w:rsid w:val="00165655"/>
    <w:rsid w:val="00165C99"/>
    <w:rsid w:val="00165CE3"/>
    <w:rsid w:val="00165EAD"/>
    <w:rsid w:val="00165FF4"/>
    <w:rsid w:val="0016604D"/>
    <w:rsid w:val="001669F7"/>
    <w:rsid w:val="00166E72"/>
    <w:rsid w:val="00167973"/>
    <w:rsid w:val="00167D64"/>
    <w:rsid w:val="00170106"/>
    <w:rsid w:val="00170560"/>
    <w:rsid w:val="00170CA7"/>
    <w:rsid w:val="00170E59"/>
    <w:rsid w:val="00170F09"/>
    <w:rsid w:val="00171062"/>
    <w:rsid w:val="00171106"/>
    <w:rsid w:val="00171948"/>
    <w:rsid w:val="001720FE"/>
    <w:rsid w:val="00173066"/>
    <w:rsid w:val="00173122"/>
    <w:rsid w:val="001731F6"/>
    <w:rsid w:val="001737FC"/>
    <w:rsid w:val="00173DD6"/>
    <w:rsid w:val="00173F5C"/>
    <w:rsid w:val="00174090"/>
    <w:rsid w:val="001744E2"/>
    <w:rsid w:val="0017473C"/>
    <w:rsid w:val="0017499F"/>
    <w:rsid w:val="00174CB9"/>
    <w:rsid w:val="00174CDE"/>
    <w:rsid w:val="00174E78"/>
    <w:rsid w:val="00175773"/>
    <w:rsid w:val="001758DE"/>
    <w:rsid w:val="001758FB"/>
    <w:rsid w:val="00175B7F"/>
    <w:rsid w:val="0017691B"/>
    <w:rsid w:val="001772C5"/>
    <w:rsid w:val="00177BD4"/>
    <w:rsid w:val="00177C9D"/>
    <w:rsid w:val="00177F94"/>
    <w:rsid w:val="00180008"/>
    <w:rsid w:val="001800D0"/>
    <w:rsid w:val="001800D5"/>
    <w:rsid w:val="0018019D"/>
    <w:rsid w:val="0018038A"/>
    <w:rsid w:val="00180C3D"/>
    <w:rsid w:val="00180C9E"/>
    <w:rsid w:val="00180F43"/>
    <w:rsid w:val="001813F4"/>
    <w:rsid w:val="0018180F"/>
    <w:rsid w:val="00181BEC"/>
    <w:rsid w:val="00181FF1"/>
    <w:rsid w:val="001820ED"/>
    <w:rsid w:val="00182380"/>
    <w:rsid w:val="00182834"/>
    <w:rsid w:val="001828E8"/>
    <w:rsid w:val="00182AAF"/>
    <w:rsid w:val="00182B2F"/>
    <w:rsid w:val="00182CD9"/>
    <w:rsid w:val="00182D69"/>
    <w:rsid w:val="00183371"/>
    <w:rsid w:val="0018346C"/>
    <w:rsid w:val="00183780"/>
    <w:rsid w:val="001837C4"/>
    <w:rsid w:val="00184159"/>
    <w:rsid w:val="00184413"/>
    <w:rsid w:val="00184A2E"/>
    <w:rsid w:val="00184AAE"/>
    <w:rsid w:val="00184E89"/>
    <w:rsid w:val="0018521D"/>
    <w:rsid w:val="00185314"/>
    <w:rsid w:val="001853EF"/>
    <w:rsid w:val="001854C3"/>
    <w:rsid w:val="0018584E"/>
    <w:rsid w:val="0018597F"/>
    <w:rsid w:val="00185A8B"/>
    <w:rsid w:val="001861E4"/>
    <w:rsid w:val="0018628B"/>
    <w:rsid w:val="001863E5"/>
    <w:rsid w:val="001866AA"/>
    <w:rsid w:val="00186877"/>
    <w:rsid w:val="00186ED5"/>
    <w:rsid w:val="00187016"/>
    <w:rsid w:val="0018709E"/>
    <w:rsid w:val="00187B14"/>
    <w:rsid w:val="00187F3E"/>
    <w:rsid w:val="0019001F"/>
    <w:rsid w:val="001905BC"/>
    <w:rsid w:val="00190CC5"/>
    <w:rsid w:val="00191510"/>
    <w:rsid w:val="001918BC"/>
    <w:rsid w:val="001919A0"/>
    <w:rsid w:val="00191B67"/>
    <w:rsid w:val="00191CA7"/>
    <w:rsid w:val="00191DD8"/>
    <w:rsid w:val="00191DDC"/>
    <w:rsid w:val="00191E06"/>
    <w:rsid w:val="00191E71"/>
    <w:rsid w:val="001922A9"/>
    <w:rsid w:val="00192881"/>
    <w:rsid w:val="00192C16"/>
    <w:rsid w:val="00192F69"/>
    <w:rsid w:val="001935D2"/>
    <w:rsid w:val="001936AB"/>
    <w:rsid w:val="00193AC8"/>
    <w:rsid w:val="00193EFD"/>
    <w:rsid w:val="00194258"/>
    <w:rsid w:val="0019431F"/>
    <w:rsid w:val="00194350"/>
    <w:rsid w:val="0019475B"/>
    <w:rsid w:val="00194A31"/>
    <w:rsid w:val="00194AF9"/>
    <w:rsid w:val="00194DA3"/>
    <w:rsid w:val="00195016"/>
    <w:rsid w:val="0019591F"/>
    <w:rsid w:val="00195925"/>
    <w:rsid w:val="00195FB4"/>
    <w:rsid w:val="00196D7A"/>
    <w:rsid w:val="00196EFE"/>
    <w:rsid w:val="0019718A"/>
    <w:rsid w:val="00197573"/>
    <w:rsid w:val="00197B8B"/>
    <w:rsid w:val="00197C79"/>
    <w:rsid w:val="001A061F"/>
    <w:rsid w:val="001A0641"/>
    <w:rsid w:val="001A0662"/>
    <w:rsid w:val="001A0BFD"/>
    <w:rsid w:val="001A1265"/>
    <w:rsid w:val="001A17C1"/>
    <w:rsid w:val="001A186F"/>
    <w:rsid w:val="001A1987"/>
    <w:rsid w:val="001A1A1C"/>
    <w:rsid w:val="001A1A4A"/>
    <w:rsid w:val="001A1AC8"/>
    <w:rsid w:val="001A1C23"/>
    <w:rsid w:val="001A1D24"/>
    <w:rsid w:val="001A2260"/>
    <w:rsid w:val="001A28B6"/>
    <w:rsid w:val="001A29BB"/>
    <w:rsid w:val="001A2C68"/>
    <w:rsid w:val="001A2EEB"/>
    <w:rsid w:val="001A2EF6"/>
    <w:rsid w:val="001A2F6B"/>
    <w:rsid w:val="001A323C"/>
    <w:rsid w:val="001A3700"/>
    <w:rsid w:val="001A37EC"/>
    <w:rsid w:val="001A388E"/>
    <w:rsid w:val="001A38FD"/>
    <w:rsid w:val="001A39E3"/>
    <w:rsid w:val="001A3EBC"/>
    <w:rsid w:val="001A41D8"/>
    <w:rsid w:val="001A42EC"/>
    <w:rsid w:val="001A444D"/>
    <w:rsid w:val="001A4548"/>
    <w:rsid w:val="001A51BA"/>
    <w:rsid w:val="001A52A4"/>
    <w:rsid w:val="001A539E"/>
    <w:rsid w:val="001A545D"/>
    <w:rsid w:val="001A5619"/>
    <w:rsid w:val="001A5A9B"/>
    <w:rsid w:val="001A5C1B"/>
    <w:rsid w:val="001A5F08"/>
    <w:rsid w:val="001A6176"/>
    <w:rsid w:val="001A626A"/>
    <w:rsid w:val="001A6282"/>
    <w:rsid w:val="001A62FC"/>
    <w:rsid w:val="001A6835"/>
    <w:rsid w:val="001A6AA0"/>
    <w:rsid w:val="001A6FC8"/>
    <w:rsid w:val="001A6FF8"/>
    <w:rsid w:val="001A7780"/>
    <w:rsid w:val="001A7F84"/>
    <w:rsid w:val="001B0272"/>
    <w:rsid w:val="001B0932"/>
    <w:rsid w:val="001B0AFD"/>
    <w:rsid w:val="001B0B2E"/>
    <w:rsid w:val="001B0DF8"/>
    <w:rsid w:val="001B0E61"/>
    <w:rsid w:val="001B1228"/>
    <w:rsid w:val="001B122C"/>
    <w:rsid w:val="001B1916"/>
    <w:rsid w:val="001B1959"/>
    <w:rsid w:val="001B198A"/>
    <w:rsid w:val="001B1B3E"/>
    <w:rsid w:val="001B1C09"/>
    <w:rsid w:val="001B1FAD"/>
    <w:rsid w:val="001B1FE3"/>
    <w:rsid w:val="001B2433"/>
    <w:rsid w:val="001B26B2"/>
    <w:rsid w:val="001B3271"/>
    <w:rsid w:val="001B383F"/>
    <w:rsid w:val="001B39F9"/>
    <w:rsid w:val="001B3AE0"/>
    <w:rsid w:val="001B3CF1"/>
    <w:rsid w:val="001B3F7C"/>
    <w:rsid w:val="001B3F80"/>
    <w:rsid w:val="001B4009"/>
    <w:rsid w:val="001B41A7"/>
    <w:rsid w:val="001B44FD"/>
    <w:rsid w:val="001B4A63"/>
    <w:rsid w:val="001B4EF0"/>
    <w:rsid w:val="001B56DF"/>
    <w:rsid w:val="001B5841"/>
    <w:rsid w:val="001B5943"/>
    <w:rsid w:val="001B5B0D"/>
    <w:rsid w:val="001B5CD5"/>
    <w:rsid w:val="001B6019"/>
    <w:rsid w:val="001B601A"/>
    <w:rsid w:val="001B619A"/>
    <w:rsid w:val="001B6689"/>
    <w:rsid w:val="001B6778"/>
    <w:rsid w:val="001B6B13"/>
    <w:rsid w:val="001B6BE5"/>
    <w:rsid w:val="001B75DA"/>
    <w:rsid w:val="001B7A26"/>
    <w:rsid w:val="001B7C41"/>
    <w:rsid w:val="001C027B"/>
    <w:rsid w:val="001C0325"/>
    <w:rsid w:val="001C038F"/>
    <w:rsid w:val="001C09DA"/>
    <w:rsid w:val="001C0F18"/>
    <w:rsid w:val="001C1592"/>
    <w:rsid w:val="001C16EC"/>
    <w:rsid w:val="001C1BE8"/>
    <w:rsid w:val="001C20EC"/>
    <w:rsid w:val="001C2162"/>
    <w:rsid w:val="001C248D"/>
    <w:rsid w:val="001C2513"/>
    <w:rsid w:val="001C2BA5"/>
    <w:rsid w:val="001C378C"/>
    <w:rsid w:val="001C39A7"/>
    <w:rsid w:val="001C3A07"/>
    <w:rsid w:val="001C3A5F"/>
    <w:rsid w:val="001C3C30"/>
    <w:rsid w:val="001C3D44"/>
    <w:rsid w:val="001C3F9F"/>
    <w:rsid w:val="001C4123"/>
    <w:rsid w:val="001C4450"/>
    <w:rsid w:val="001C4AF2"/>
    <w:rsid w:val="001C501D"/>
    <w:rsid w:val="001C5451"/>
    <w:rsid w:val="001C5777"/>
    <w:rsid w:val="001C5C05"/>
    <w:rsid w:val="001C62FB"/>
    <w:rsid w:val="001C6907"/>
    <w:rsid w:val="001C6994"/>
    <w:rsid w:val="001C6CD3"/>
    <w:rsid w:val="001C6FA3"/>
    <w:rsid w:val="001C7024"/>
    <w:rsid w:val="001C7219"/>
    <w:rsid w:val="001C7584"/>
    <w:rsid w:val="001C7A3A"/>
    <w:rsid w:val="001C7B23"/>
    <w:rsid w:val="001C7DF2"/>
    <w:rsid w:val="001D026B"/>
    <w:rsid w:val="001D05CC"/>
    <w:rsid w:val="001D0E54"/>
    <w:rsid w:val="001D10C3"/>
    <w:rsid w:val="001D1229"/>
    <w:rsid w:val="001D1339"/>
    <w:rsid w:val="001D156C"/>
    <w:rsid w:val="001D1645"/>
    <w:rsid w:val="001D167E"/>
    <w:rsid w:val="001D170A"/>
    <w:rsid w:val="001D1922"/>
    <w:rsid w:val="001D2100"/>
    <w:rsid w:val="001D21FE"/>
    <w:rsid w:val="001D2696"/>
    <w:rsid w:val="001D2720"/>
    <w:rsid w:val="001D2F08"/>
    <w:rsid w:val="001D3144"/>
    <w:rsid w:val="001D37C7"/>
    <w:rsid w:val="001D3805"/>
    <w:rsid w:val="001D3CE8"/>
    <w:rsid w:val="001D3D7C"/>
    <w:rsid w:val="001D3FFA"/>
    <w:rsid w:val="001D4095"/>
    <w:rsid w:val="001D4813"/>
    <w:rsid w:val="001D4B00"/>
    <w:rsid w:val="001D4B31"/>
    <w:rsid w:val="001D4C0C"/>
    <w:rsid w:val="001D4E16"/>
    <w:rsid w:val="001D5008"/>
    <w:rsid w:val="001D576D"/>
    <w:rsid w:val="001D59B4"/>
    <w:rsid w:val="001D5D2E"/>
    <w:rsid w:val="001D5EE0"/>
    <w:rsid w:val="001D64AB"/>
    <w:rsid w:val="001D6BB2"/>
    <w:rsid w:val="001D6C3A"/>
    <w:rsid w:val="001D6EDB"/>
    <w:rsid w:val="001D76F7"/>
    <w:rsid w:val="001D77A6"/>
    <w:rsid w:val="001D79F7"/>
    <w:rsid w:val="001D7CB9"/>
    <w:rsid w:val="001D7DEE"/>
    <w:rsid w:val="001E0114"/>
    <w:rsid w:val="001E0F88"/>
    <w:rsid w:val="001E11F6"/>
    <w:rsid w:val="001E1318"/>
    <w:rsid w:val="001E1367"/>
    <w:rsid w:val="001E1A64"/>
    <w:rsid w:val="001E1A65"/>
    <w:rsid w:val="001E1B34"/>
    <w:rsid w:val="001E1D4B"/>
    <w:rsid w:val="001E2104"/>
    <w:rsid w:val="001E259C"/>
    <w:rsid w:val="001E2F8C"/>
    <w:rsid w:val="001E30B8"/>
    <w:rsid w:val="001E37F9"/>
    <w:rsid w:val="001E3975"/>
    <w:rsid w:val="001E3A05"/>
    <w:rsid w:val="001E3CA9"/>
    <w:rsid w:val="001E3D14"/>
    <w:rsid w:val="001E3DBB"/>
    <w:rsid w:val="001E4554"/>
    <w:rsid w:val="001E4734"/>
    <w:rsid w:val="001E4A1B"/>
    <w:rsid w:val="001E4BC2"/>
    <w:rsid w:val="001E4E09"/>
    <w:rsid w:val="001E547A"/>
    <w:rsid w:val="001E55B4"/>
    <w:rsid w:val="001E5E8B"/>
    <w:rsid w:val="001E6594"/>
    <w:rsid w:val="001E69E9"/>
    <w:rsid w:val="001E6ABE"/>
    <w:rsid w:val="001E6B6F"/>
    <w:rsid w:val="001E6BFB"/>
    <w:rsid w:val="001E6C18"/>
    <w:rsid w:val="001E6D84"/>
    <w:rsid w:val="001E6DC8"/>
    <w:rsid w:val="001E6E96"/>
    <w:rsid w:val="001E7682"/>
    <w:rsid w:val="001E7C9C"/>
    <w:rsid w:val="001F0195"/>
    <w:rsid w:val="001F02C4"/>
    <w:rsid w:val="001F0B72"/>
    <w:rsid w:val="001F0E77"/>
    <w:rsid w:val="001F0F59"/>
    <w:rsid w:val="001F17EE"/>
    <w:rsid w:val="001F1AD7"/>
    <w:rsid w:val="001F2003"/>
    <w:rsid w:val="001F2048"/>
    <w:rsid w:val="001F2AFA"/>
    <w:rsid w:val="001F2CAC"/>
    <w:rsid w:val="001F30E0"/>
    <w:rsid w:val="001F31A2"/>
    <w:rsid w:val="001F34D2"/>
    <w:rsid w:val="001F3624"/>
    <w:rsid w:val="001F371A"/>
    <w:rsid w:val="001F3849"/>
    <w:rsid w:val="001F384D"/>
    <w:rsid w:val="001F41B1"/>
    <w:rsid w:val="001F462F"/>
    <w:rsid w:val="001F4BFF"/>
    <w:rsid w:val="001F5754"/>
    <w:rsid w:val="001F58B5"/>
    <w:rsid w:val="001F58D9"/>
    <w:rsid w:val="001F5D27"/>
    <w:rsid w:val="001F6128"/>
    <w:rsid w:val="001F6140"/>
    <w:rsid w:val="001F61F0"/>
    <w:rsid w:val="001F671D"/>
    <w:rsid w:val="001F68E9"/>
    <w:rsid w:val="001F6E41"/>
    <w:rsid w:val="001F6F06"/>
    <w:rsid w:val="001F7056"/>
    <w:rsid w:val="001F70D3"/>
    <w:rsid w:val="001F743C"/>
    <w:rsid w:val="001F78F4"/>
    <w:rsid w:val="001F7A5C"/>
    <w:rsid w:val="001F7B57"/>
    <w:rsid w:val="001F7E2B"/>
    <w:rsid w:val="001F7E7D"/>
    <w:rsid w:val="0020016A"/>
    <w:rsid w:val="002002F5"/>
    <w:rsid w:val="00200331"/>
    <w:rsid w:val="00200338"/>
    <w:rsid w:val="002003B5"/>
    <w:rsid w:val="0020047C"/>
    <w:rsid w:val="00200711"/>
    <w:rsid w:val="002009DC"/>
    <w:rsid w:val="00200EE5"/>
    <w:rsid w:val="002012F4"/>
    <w:rsid w:val="0020198B"/>
    <w:rsid w:val="002019D5"/>
    <w:rsid w:val="00201CEC"/>
    <w:rsid w:val="002023E4"/>
    <w:rsid w:val="002024BC"/>
    <w:rsid w:val="002025EC"/>
    <w:rsid w:val="002028EB"/>
    <w:rsid w:val="00202EA4"/>
    <w:rsid w:val="00202F48"/>
    <w:rsid w:val="00202FF3"/>
    <w:rsid w:val="0020348C"/>
    <w:rsid w:val="00203886"/>
    <w:rsid w:val="00203A76"/>
    <w:rsid w:val="00203B06"/>
    <w:rsid w:val="00204336"/>
    <w:rsid w:val="002043DE"/>
    <w:rsid w:val="00204712"/>
    <w:rsid w:val="002047D0"/>
    <w:rsid w:val="00204B03"/>
    <w:rsid w:val="00204CDC"/>
    <w:rsid w:val="00205088"/>
    <w:rsid w:val="002050F6"/>
    <w:rsid w:val="00205124"/>
    <w:rsid w:val="00205206"/>
    <w:rsid w:val="00205229"/>
    <w:rsid w:val="002054D2"/>
    <w:rsid w:val="00205503"/>
    <w:rsid w:val="002057BC"/>
    <w:rsid w:val="00205898"/>
    <w:rsid w:val="002065FB"/>
    <w:rsid w:val="00206927"/>
    <w:rsid w:val="00206B24"/>
    <w:rsid w:val="00206DDA"/>
    <w:rsid w:val="002070D4"/>
    <w:rsid w:val="0020745E"/>
    <w:rsid w:val="0020795D"/>
    <w:rsid w:val="00207C93"/>
    <w:rsid w:val="00207FEF"/>
    <w:rsid w:val="0021004E"/>
    <w:rsid w:val="002103C5"/>
    <w:rsid w:val="0021078D"/>
    <w:rsid w:val="00210AC0"/>
    <w:rsid w:val="00210D5F"/>
    <w:rsid w:val="00211835"/>
    <w:rsid w:val="002119F0"/>
    <w:rsid w:val="00211A27"/>
    <w:rsid w:val="002120EF"/>
    <w:rsid w:val="00212163"/>
    <w:rsid w:val="002123E0"/>
    <w:rsid w:val="00212522"/>
    <w:rsid w:val="00212D69"/>
    <w:rsid w:val="00213761"/>
    <w:rsid w:val="00213984"/>
    <w:rsid w:val="0021406C"/>
    <w:rsid w:val="0021448B"/>
    <w:rsid w:val="00214539"/>
    <w:rsid w:val="00214BA3"/>
    <w:rsid w:val="00215032"/>
    <w:rsid w:val="00215920"/>
    <w:rsid w:val="00215C2F"/>
    <w:rsid w:val="00215F48"/>
    <w:rsid w:val="00216990"/>
    <w:rsid w:val="00216B9C"/>
    <w:rsid w:val="00216DEF"/>
    <w:rsid w:val="002176BF"/>
    <w:rsid w:val="002177F3"/>
    <w:rsid w:val="002178E7"/>
    <w:rsid w:val="00217A69"/>
    <w:rsid w:val="00217BD9"/>
    <w:rsid w:val="00217C2E"/>
    <w:rsid w:val="002209CA"/>
    <w:rsid w:val="00220C4C"/>
    <w:rsid w:val="00220DE4"/>
    <w:rsid w:val="00220EFC"/>
    <w:rsid w:val="002214A9"/>
    <w:rsid w:val="00221823"/>
    <w:rsid w:val="00221C79"/>
    <w:rsid w:val="00221CD8"/>
    <w:rsid w:val="002227CF"/>
    <w:rsid w:val="002228F2"/>
    <w:rsid w:val="00222B29"/>
    <w:rsid w:val="00222F87"/>
    <w:rsid w:val="00223305"/>
    <w:rsid w:val="00223DD2"/>
    <w:rsid w:val="002246D9"/>
    <w:rsid w:val="0022497B"/>
    <w:rsid w:val="00224B10"/>
    <w:rsid w:val="00224E81"/>
    <w:rsid w:val="00224F36"/>
    <w:rsid w:val="0022564C"/>
    <w:rsid w:val="00225EF6"/>
    <w:rsid w:val="0022668E"/>
    <w:rsid w:val="00226935"/>
    <w:rsid w:val="00226F5E"/>
    <w:rsid w:val="00226F69"/>
    <w:rsid w:val="00226FD1"/>
    <w:rsid w:val="002272C6"/>
    <w:rsid w:val="0022746F"/>
    <w:rsid w:val="00227795"/>
    <w:rsid w:val="00227A8F"/>
    <w:rsid w:val="00227BAF"/>
    <w:rsid w:val="00230414"/>
    <w:rsid w:val="00230781"/>
    <w:rsid w:val="00230B89"/>
    <w:rsid w:val="00230CAB"/>
    <w:rsid w:val="00231384"/>
    <w:rsid w:val="0023152F"/>
    <w:rsid w:val="002316BE"/>
    <w:rsid w:val="00231C5D"/>
    <w:rsid w:val="00231DCE"/>
    <w:rsid w:val="002324CE"/>
    <w:rsid w:val="00232700"/>
    <w:rsid w:val="00232921"/>
    <w:rsid w:val="00232B13"/>
    <w:rsid w:val="00232D1C"/>
    <w:rsid w:val="00232FBF"/>
    <w:rsid w:val="0023311F"/>
    <w:rsid w:val="00233A59"/>
    <w:rsid w:val="00233C59"/>
    <w:rsid w:val="0023475D"/>
    <w:rsid w:val="00234D39"/>
    <w:rsid w:val="00234F16"/>
    <w:rsid w:val="00235577"/>
    <w:rsid w:val="0023564B"/>
    <w:rsid w:val="00235969"/>
    <w:rsid w:val="00235E84"/>
    <w:rsid w:val="00235ECA"/>
    <w:rsid w:val="0023631C"/>
    <w:rsid w:val="0023689A"/>
    <w:rsid w:val="002368B6"/>
    <w:rsid w:val="00236A50"/>
    <w:rsid w:val="00236F98"/>
    <w:rsid w:val="002371B5"/>
    <w:rsid w:val="00237E49"/>
    <w:rsid w:val="00237EB4"/>
    <w:rsid w:val="002403C9"/>
    <w:rsid w:val="00240556"/>
    <w:rsid w:val="0024092E"/>
    <w:rsid w:val="00240945"/>
    <w:rsid w:val="00240FC7"/>
    <w:rsid w:val="002410F5"/>
    <w:rsid w:val="002411AB"/>
    <w:rsid w:val="00241AC4"/>
    <w:rsid w:val="00241E83"/>
    <w:rsid w:val="00241F22"/>
    <w:rsid w:val="00242119"/>
    <w:rsid w:val="00242156"/>
    <w:rsid w:val="00242403"/>
    <w:rsid w:val="0024255F"/>
    <w:rsid w:val="00242731"/>
    <w:rsid w:val="00242AD4"/>
    <w:rsid w:val="00242CF8"/>
    <w:rsid w:val="00242EB1"/>
    <w:rsid w:val="0024310E"/>
    <w:rsid w:val="0024375B"/>
    <w:rsid w:val="00243BA0"/>
    <w:rsid w:val="0024418B"/>
    <w:rsid w:val="0024419C"/>
    <w:rsid w:val="00244397"/>
    <w:rsid w:val="00244DB8"/>
    <w:rsid w:val="00244F56"/>
    <w:rsid w:val="00245874"/>
    <w:rsid w:val="00245D24"/>
    <w:rsid w:val="0024613C"/>
    <w:rsid w:val="00246743"/>
    <w:rsid w:val="002467BB"/>
    <w:rsid w:val="002467DC"/>
    <w:rsid w:val="00247209"/>
    <w:rsid w:val="00247219"/>
    <w:rsid w:val="0024727B"/>
    <w:rsid w:val="00247292"/>
    <w:rsid w:val="0024736E"/>
    <w:rsid w:val="00247F15"/>
    <w:rsid w:val="00247F93"/>
    <w:rsid w:val="00250309"/>
    <w:rsid w:val="002508AC"/>
    <w:rsid w:val="002508C9"/>
    <w:rsid w:val="00250B58"/>
    <w:rsid w:val="002511C1"/>
    <w:rsid w:val="00251906"/>
    <w:rsid w:val="002519B8"/>
    <w:rsid w:val="00252907"/>
    <w:rsid w:val="002529F4"/>
    <w:rsid w:val="002532B0"/>
    <w:rsid w:val="00253756"/>
    <w:rsid w:val="00253B45"/>
    <w:rsid w:val="00253BF7"/>
    <w:rsid w:val="002542A8"/>
    <w:rsid w:val="00254609"/>
    <w:rsid w:val="0025473B"/>
    <w:rsid w:val="00254C68"/>
    <w:rsid w:val="00254DA4"/>
    <w:rsid w:val="00254EEF"/>
    <w:rsid w:val="00255267"/>
    <w:rsid w:val="0025526D"/>
    <w:rsid w:val="002554D2"/>
    <w:rsid w:val="00255778"/>
    <w:rsid w:val="00255E7C"/>
    <w:rsid w:val="00256129"/>
    <w:rsid w:val="00256229"/>
    <w:rsid w:val="002562A1"/>
    <w:rsid w:val="002569B8"/>
    <w:rsid w:val="00256BC6"/>
    <w:rsid w:val="00256F35"/>
    <w:rsid w:val="00257046"/>
    <w:rsid w:val="00257B9A"/>
    <w:rsid w:val="002600D0"/>
    <w:rsid w:val="00260F4A"/>
    <w:rsid w:val="0026117C"/>
    <w:rsid w:val="00261508"/>
    <w:rsid w:val="0026150F"/>
    <w:rsid w:val="00261835"/>
    <w:rsid w:val="002618AD"/>
    <w:rsid w:val="00261AFE"/>
    <w:rsid w:val="00261FD7"/>
    <w:rsid w:val="0026209F"/>
    <w:rsid w:val="0026218B"/>
    <w:rsid w:val="002623BA"/>
    <w:rsid w:val="0026269B"/>
    <w:rsid w:val="00262769"/>
    <w:rsid w:val="0026287E"/>
    <w:rsid w:val="002632D9"/>
    <w:rsid w:val="0026345E"/>
    <w:rsid w:val="00263973"/>
    <w:rsid w:val="00263A19"/>
    <w:rsid w:val="002646C1"/>
    <w:rsid w:val="0026486F"/>
    <w:rsid w:val="00264CC0"/>
    <w:rsid w:val="00264DB6"/>
    <w:rsid w:val="00264FEE"/>
    <w:rsid w:val="002668DE"/>
    <w:rsid w:val="002669E1"/>
    <w:rsid w:val="00266B10"/>
    <w:rsid w:val="00266BBF"/>
    <w:rsid w:val="002673AC"/>
    <w:rsid w:val="002673E1"/>
    <w:rsid w:val="00267C89"/>
    <w:rsid w:val="00267E47"/>
    <w:rsid w:val="00267FC7"/>
    <w:rsid w:val="0027017E"/>
    <w:rsid w:val="002702D2"/>
    <w:rsid w:val="002703A4"/>
    <w:rsid w:val="00270727"/>
    <w:rsid w:val="0027090D"/>
    <w:rsid w:val="0027101C"/>
    <w:rsid w:val="00271175"/>
    <w:rsid w:val="00271277"/>
    <w:rsid w:val="002712F0"/>
    <w:rsid w:val="00271397"/>
    <w:rsid w:val="002714FB"/>
    <w:rsid w:val="0027156D"/>
    <w:rsid w:val="00271838"/>
    <w:rsid w:val="00272332"/>
    <w:rsid w:val="00272395"/>
    <w:rsid w:val="0027253B"/>
    <w:rsid w:val="0027272B"/>
    <w:rsid w:val="00272D03"/>
    <w:rsid w:val="00272E6C"/>
    <w:rsid w:val="00272F42"/>
    <w:rsid w:val="002730B1"/>
    <w:rsid w:val="00273302"/>
    <w:rsid w:val="0027488C"/>
    <w:rsid w:val="00274F7F"/>
    <w:rsid w:val="00275144"/>
    <w:rsid w:val="002754B5"/>
    <w:rsid w:val="00275683"/>
    <w:rsid w:val="00275843"/>
    <w:rsid w:val="00275959"/>
    <w:rsid w:val="002759F9"/>
    <w:rsid w:val="00275A52"/>
    <w:rsid w:val="00275BCF"/>
    <w:rsid w:val="00275CE9"/>
    <w:rsid w:val="002762A3"/>
    <w:rsid w:val="002762D1"/>
    <w:rsid w:val="00276B3B"/>
    <w:rsid w:val="00276E14"/>
    <w:rsid w:val="00277128"/>
    <w:rsid w:val="002772F4"/>
    <w:rsid w:val="002778BF"/>
    <w:rsid w:val="00277B3C"/>
    <w:rsid w:val="00277D06"/>
    <w:rsid w:val="00277DCE"/>
    <w:rsid w:val="00277F4C"/>
    <w:rsid w:val="00278E2A"/>
    <w:rsid w:val="0028004E"/>
    <w:rsid w:val="0028068D"/>
    <w:rsid w:val="00280A28"/>
    <w:rsid w:val="00280C4A"/>
    <w:rsid w:val="00280DD5"/>
    <w:rsid w:val="0028129E"/>
    <w:rsid w:val="00281521"/>
    <w:rsid w:val="00281700"/>
    <w:rsid w:val="00281962"/>
    <w:rsid w:val="00281D28"/>
    <w:rsid w:val="00281DA9"/>
    <w:rsid w:val="00281E34"/>
    <w:rsid w:val="002821A3"/>
    <w:rsid w:val="002824B9"/>
    <w:rsid w:val="00282591"/>
    <w:rsid w:val="00282A3C"/>
    <w:rsid w:val="00282B20"/>
    <w:rsid w:val="00283172"/>
    <w:rsid w:val="002831D6"/>
    <w:rsid w:val="00283369"/>
    <w:rsid w:val="00283901"/>
    <w:rsid w:val="00283C00"/>
    <w:rsid w:val="00283DF9"/>
    <w:rsid w:val="0028430C"/>
    <w:rsid w:val="00284653"/>
    <w:rsid w:val="00284916"/>
    <w:rsid w:val="00284DD6"/>
    <w:rsid w:val="00284EAC"/>
    <w:rsid w:val="0028532D"/>
    <w:rsid w:val="002853AF"/>
    <w:rsid w:val="0028543F"/>
    <w:rsid w:val="00285A8F"/>
    <w:rsid w:val="00285D6B"/>
    <w:rsid w:val="00286106"/>
    <w:rsid w:val="0028612B"/>
    <w:rsid w:val="002867E9"/>
    <w:rsid w:val="002868B3"/>
    <w:rsid w:val="00286A82"/>
    <w:rsid w:val="002870B8"/>
    <w:rsid w:val="00287352"/>
    <w:rsid w:val="00287551"/>
    <w:rsid w:val="00287C6B"/>
    <w:rsid w:val="00290280"/>
    <w:rsid w:val="00290726"/>
    <w:rsid w:val="002907C0"/>
    <w:rsid w:val="00290DF6"/>
    <w:rsid w:val="00290EB9"/>
    <w:rsid w:val="00291002"/>
    <w:rsid w:val="002910E4"/>
    <w:rsid w:val="00291674"/>
    <w:rsid w:val="0029171F"/>
    <w:rsid w:val="002917DD"/>
    <w:rsid w:val="002918C4"/>
    <w:rsid w:val="00291C1B"/>
    <w:rsid w:val="00291DE3"/>
    <w:rsid w:val="00292562"/>
    <w:rsid w:val="00292691"/>
    <w:rsid w:val="00292783"/>
    <w:rsid w:val="00292B50"/>
    <w:rsid w:val="00292BE5"/>
    <w:rsid w:val="00293719"/>
    <w:rsid w:val="00293992"/>
    <w:rsid w:val="00293C66"/>
    <w:rsid w:val="00293E77"/>
    <w:rsid w:val="0029412F"/>
    <w:rsid w:val="002941FE"/>
    <w:rsid w:val="0029480D"/>
    <w:rsid w:val="002948B6"/>
    <w:rsid w:val="002948E7"/>
    <w:rsid w:val="00294DE1"/>
    <w:rsid w:val="00295006"/>
    <w:rsid w:val="00295640"/>
    <w:rsid w:val="00296303"/>
    <w:rsid w:val="00296A65"/>
    <w:rsid w:val="002971B5"/>
    <w:rsid w:val="0029729D"/>
    <w:rsid w:val="00297A13"/>
    <w:rsid w:val="00297BE3"/>
    <w:rsid w:val="00297C9E"/>
    <w:rsid w:val="002A0168"/>
    <w:rsid w:val="002A04DB"/>
    <w:rsid w:val="002A04FB"/>
    <w:rsid w:val="002A071F"/>
    <w:rsid w:val="002A076F"/>
    <w:rsid w:val="002A0E2D"/>
    <w:rsid w:val="002A0E78"/>
    <w:rsid w:val="002A1C9B"/>
    <w:rsid w:val="002A1CA0"/>
    <w:rsid w:val="002A1D11"/>
    <w:rsid w:val="002A1F11"/>
    <w:rsid w:val="002A233D"/>
    <w:rsid w:val="002A26C8"/>
    <w:rsid w:val="002A2EF0"/>
    <w:rsid w:val="002A33C3"/>
    <w:rsid w:val="002A3571"/>
    <w:rsid w:val="002A3602"/>
    <w:rsid w:val="002A391F"/>
    <w:rsid w:val="002A3D7C"/>
    <w:rsid w:val="002A3DD8"/>
    <w:rsid w:val="002A4353"/>
    <w:rsid w:val="002A46AD"/>
    <w:rsid w:val="002A49E4"/>
    <w:rsid w:val="002A4F4C"/>
    <w:rsid w:val="002A5174"/>
    <w:rsid w:val="002A534C"/>
    <w:rsid w:val="002A5B33"/>
    <w:rsid w:val="002A67E2"/>
    <w:rsid w:val="002A6833"/>
    <w:rsid w:val="002A6B5B"/>
    <w:rsid w:val="002A7494"/>
    <w:rsid w:val="002A78C2"/>
    <w:rsid w:val="002A7FF9"/>
    <w:rsid w:val="002B011B"/>
    <w:rsid w:val="002B0B86"/>
    <w:rsid w:val="002B0D19"/>
    <w:rsid w:val="002B12E1"/>
    <w:rsid w:val="002B136D"/>
    <w:rsid w:val="002B13D0"/>
    <w:rsid w:val="002B1C06"/>
    <w:rsid w:val="002B1F00"/>
    <w:rsid w:val="002B2185"/>
    <w:rsid w:val="002B281A"/>
    <w:rsid w:val="002B2C89"/>
    <w:rsid w:val="002B2E5E"/>
    <w:rsid w:val="002B3920"/>
    <w:rsid w:val="002B3B12"/>
    <w:rsid w:val="002B3B1F"/>
    <w:rsid w:val="002B3C61"/>
    <w:rsid w:val="002B3EC5"/>
    <w:rsid w:val="002B3EE4"/>
    <w:rsid w:val="002B3FA2"/>
    <w:rsid w:val="002B42EF"/>
    <w:rsid w:val="002B43F0"/>
    <w:rsid w:val="002B4611"/>
    <w:rsid w:val="002B4707"/>
    <w:rsid w:val="002B4D0E"/>
    <w:rsid w:val="002B4E23"/>
    <w:rsid w:val="002B5395"/>
    <w:rsid w:val="002B53D6"/>
    <w:rsid w:val="002B5C98"/>
    <w:rsid w:val="002B6324"/>
    <w:rsid w:val="002B6577"/>
    <w:rsid w:val="002B6FAE"/>
    <w:rsid w:val="002B768F"/>
    <w:rsid w:val="002B7BCD"/>
    <w:rsid w:val="002C0174"/>
    <w:rsid w:val="002C030D"/>
    <w:rsid w:val="002C0571"/>
    <w:rsid w:val="002C0845"/>
    <w:rsid w:val="002C0846"/>
    <w:rsid w:val="002C089D"/>
    <w:rsid w:val="002C092C"/>
    <w:rsid w:val="002C0DAF"/>
    <w:rsid w:val="002C0E8D"/>
    <w:rsid w:val="002C0F2F"/>
    <w:rsid w:val="002C1004"/>
    <w:rsid w:val="002C1945"/>
    <w:rsid w:val="002C1A84"/>
    <w:rsid w:val="002C1E7C"/>
    <w:rsid w:val="002C20D9"/>
    <w:rsid w:val="002C2693"/>
    <w:rsid w:val="002C2776"/>
    <w:rsid w:val="002C2856"/>
    <w:rsid w:val="002C28C9"/>
    <w:rsid w:val="002C2B12"/>
    <w:rsid w:val="002C2C5B"/>
    <w:rsid w:val="002C3377"/>
    <w:rsid w:val="002C33B8"/>
    <w:rsid w:val="002C3668"/>
    <w:rsid w:val="002C42C6"/>
    <w:rsid w:val="002C4331"/>
    <w:rsid w:val="002C45B2"/>
    <w:rsid w:val="002C485A"/>
    <w:rsid w:val="002C48C4"/>
    <w:rsid w:val="002C5C25"/>
    <w:rsid w:val="002C6405"/>
    <w:rsid w:val="002C645C"/>
    <w:rsid w:val="002C666E"/>
    <w:rsid w:val="002C6A9F"/>
    <w:rsid w:val="002C6F00"/>
    <w:rsid w:val="002C7616"/>
    <w:rsid w:val="002C7837"/>
    <w:rsid w:val="002C7947"/>
    <w:rsid w:val="002D0405"/>
    <w:rsid w:val="002D05E1"/>
    <w:rsid w:val="002D0AE3"/>
    <w:rsid w:val="002D0B5C"/>
    <w:rsid w:val="002D0D84"/>
    <w:rsid w:val="002D0E2B"/>
    <w:rsid w:val="002D1374"/>
    <w:rsid w:val="002D1AF2"/>
    <w:rsid w:val="002D1AF7"/>
    <w:rsid w:val="002D1D91"/>
    <w:rsid w:val="002D27F1"/>
    <w:rsid w:val="002D295C"/>
    <w:rsid w:val="002D3223"/>
    <w:rsid w:val="002D3581"/>
    <w:rsid w:val="002D364B"/>
    <w:rsid w:val="002D38B2"/>
    <w:rsid w:val="002D392E"/>
    <w:rsid w:val="002D40CB"/>
    <w:rsid w:val="002D4921"/>
    <w:rsid w:val="002D4A9E"/>
    <w:rsid w:val="002D5853"/>
    <w:rsid w:val="002D648E"/>
    <w:rsid w:val="002D6C4A"/>
    <w:rsid w:val="002D700C"/>
    <w:rsid w:val="002D72DE"/>
    <w:rsid w:val="002D73AD"/>
    <w:rsid w:val="002D76B5"/>
    <w:rsid w:val="002E0676"/>
    <w:rsid w:val="002E078E"/>
    <w:rsid w:val="002E0A7A"/>
    <w:rsid w:val="002E0DFB"/>
    <w:rsid w:val="002E0F26"/>
    <w:rsid w:val="002E108A"/>
    <w:rsid w:val="002E1485"/>
    <w:rsid w:val="002E1BEB"/>
    <w:rsid w:val="002E214C"/>
    <w:rsid w:val="002E23F9"/>
    <w:rsid w:val="002E2438"/>
    <w:rsid w:val="002E2683"/>
    <w:rsid w:val="002E28FB"/>
    <w:rsid w:val="002E2B4D"/>
    <w:rsid w:val="002E2FD4"/>
    <w:rsid w:val="002E3380"/>
    <w:rsid w:val="002E3659"/>
    <w:rsid w:val="002E44A1"/>
    <w:rsid w:val="002E4C23"/>
    <w:rsid w:val="002E5430"/>
    <w:rsid w:val="002E5534"/>
    <w:rsid w:val="002E5841"/>
    <w:rsid w:val="002E5D46"/>
    <w:rsid w:val="002E5F87"/>
    <w:rsid w:val="002E6650"/>
    <w:rsid w:val="002E6DCC"/>
    <w:rsid w:val="002E7168"/>
    <w:rsid w:val="002E7D11"/>
    <w:rsid w:val="002E7F2A"/>
    <w:rsid w:val="002F0565"/>
    <w:rsid w:val="002F08C0"/>
    <w:rsid w:val="002F08E2"/>
    <w:rsid w:val="002F0D04"/>
    <w:rsid w:val="002F14B3"/>
    <w:rsid w:val="002F151E"/>
    <w:rsid w:val="002F1B57"/>
    <w:rsid w:val="002F23F9"/>
    <w:rsid w:val="002F2825"/>
    <w:rsid w:val="002F2A25"/>
    <w:rsid w:val="002F2BE4"/>
    <w:rsid w:val="002F2D42"/>
    <w:rsid w:val="002F3F3E"/>
    <w:rsid w:val="002F4274"/>
    <w:rsid w:val="002F447B"/>
    <w:rsid w:val="002F46DC"/>
    <w:rsid w:val="002F4854"/>
    <w:rsid w:val="002F51D7"/>
    <w:rsid w:val="002F5344"/>
    <w:rsid w:val="002F545F"/>
    <w:rsid w:val="002F547B"/>
    <w:rsid w:val="002F56A4"/>
    <w:rsid w:val="002F593E"/>
    <w:rsid w:val="002F5A22"/>
    <w:rsid w:val="002F605A"/>
    <w:rsid w:val="002F66CB"/>
    <w:rsid w:val="002F6744"/>
    <w:rsid w:val="002F67F7"/>
    <w:rsid w:val="002F6A5F"/>
    <w:rsid w:val="002F7824"/>
    <w:rsid w:val="002F788D"/>
    <w:rsid w:val="002F78A8"/>
    <w:rsid w:val="002F7BE0"/>
    <w:rsid w:val="002F7CC1"/>
    <w:rsid w:val="003001A7"/>
    <w:rsid w:val="0030043B"/>
    <w:rsid w:val="003005B7"/>
    <w:rsid w:val="00300AA2"/>
    <w:rsid w:val="00300C79"/>
    <w:rsid w:val="0030131E"/>
    <w:rsid w:val="00301572"/>
    <w:rsid w:val="00301C85"/>
    <w:rsid w:val="00301F71"/>
    <w:rsid w:val="00301FEF"/>
    <w:rsid w:val="003021DF"/>
    <w:rsid w:val="00302696"/>
    <w:rsid w:val="0030272E"/>
    <w:rsid w:val="00302EE8"/>
    <w:rsid w:val="00302FAE"/>
    <w:rsid w:val="0030335D"/>
    <w:rsid w:val="00303561"/>
    <w:rsid w:val="00303627"/>
    <w:rsid w:val="00303924"/>
    <w:rsid w:val="00303CC9"/>
    <w:rsid w:val="00303F0A"/>
    <w:rsid w:val="003043FB"/>
    <w:rsid w:val="00304916"/>
    <w:rsid w:val="003055AC"/>
    <w:rsid w:val="00305B1C"/>
    <w:rsid w:val="00305FCE"/>
    <w:rsid w:val="0030651C"/>
    <w:rsid w:val="00306529"/>
    <w:rsid w:val="00306817"/>
    <w:rsid w:val="00306893"/>
    <w:rsid w:val="00306BF5"/>
    <w:rsid w:val="0030700E"/>
    <w:rsid w:val="0030719F"/>
    <w:rsid w:val="003072D0"/>
    <w:rsid w:val="0030735D"/>
    <w:rsid w:val="0030785B"/>
    <w:rsid w:val="00307D82"/>
    <w:rsid w:val="00307EE4"/>
    <w:rsid w:val="00310B57"/>
    <w:rsid w:val="00310EAF"/>
    <w:rsid w:val="00310F7F"/>
    <w:rsid w:val="003110E1"/>
    <w:rsid w:val="00311DB6"/>
    <w:rsid w:val="00311F23"/>
    <w:rsid w:val="00312139"/>
    <w:rsid w:val="003124E2"/>
    <w:rsid w:val="00312947"/>
    <w:rsid w:val="003129A3"/>
    <w:rsid w:val="00312E1F"/>
    <w:rsid w:val="00313B65"/>
    <w:rsid w:val="00313C45"/>
    <w:rsid w:val="00313E28"/>
    <w:rsid w:val="00313EAE"/>
    <w:rsid w:val="00313EB8"/>
    <w:rsid w:val="0031425F"/>
    <w:rsid w:val="003143F0"/>
    <w:rsid w:val="0031447A"/>
    <w:rsid w:val="003147C1"/>
    <w:rsid w:val="00314850"/>
    <w:rsid w:val="0031493F"/>
    <w:rsid w:val="00314955"/>
    <w:rsid w:val="0031503D"/>
    <w:rsid w:val="00315276"/>
    <w:rsid w:val="003154F5"/>
    <w:rsid w:val="0031554B"/>
    <w:rsid w:val="003155EC"/>
    <w:rsid w:val="003157CB"/>
    <w:rsid w:val="003158C3"/>
    <w:rsid w:val="00315F47"/>
    <w:rsid w:val="00316119"/>
    <w:rsid w:val="00316609"/>
    <w:rsid w:val="00316691"/>
    <w:rsid w:val="003167CC"/>
    <w:rsid w:val="0031779D"/>
    <w:rsid w:val="00317890"/>
    <w:rsid w:val="00317C33"/>
    <w:rsid w:val="00320127"/>
    <w:rsid w:val="003203CA"/>
    <w:rsid w:val="00320551"/>
    <w:rsid w:val="003205CD"/>
    <w:rsid w:val="0032071C"/>
    <w:rsid w:val="00320B15"/>
    <w:rsid w:val="00321038"/>
    <w:rsid w:val="00321CD2"/>
    <w:rsid w:val="003224AA"/>
    <w:rsid w:val="0032259E"/>
    <w:rsid w:val="00322863"/>
    <w:rsid w:val="00322A37"/>
    <w:rsid w:val="00322C79"/>
    <w:rsid w:val="00322F1E"/>
    <w:rsid w:val="00323229"/>
    <w:rsid w:val="003232E5"/>
    <w:rsid w:val="003234EC"/>
    <w:rsid w:val="0032359E"/>
    <w:rsid w:val="003236BE"/>
    <w:rsid w:val="003236C0"/>
    <w:rsid w:val="003237E1"/>
    <w:rsid w:val="0032389A"/>
    <w:rsid w:val="00323BBB"/>
    <w:rsid w:val="00323CED"/>
    <w:rsid w:val="00323D40"/>
    <w:rsid w:val="003241EF"/>
    <w:rsid w:val="00324264"/>
    <w:rsid w:val="003242D4"/>
    <w:rsid w:val="0032448F"/>
    <w:rsid w:val="00324A64"/>
    <w:rsid w:val="00325353"/>
    <w:rsid w:val="00325672"/>
    <w:rsid w:val="003259AE"/>
    <w:rsid w:val="00325DB0"/>
    <w:rsid w:val="00325F22"/>
    <w:rsid w:val="00325FE8"/>
    <w:rsid w:val="0032613D"/>
    <w:rsid w:val="00326237"/>
    <w:rsid w:val="003267BA"/>
    <w:rsid w:val="00326D02"/>
    <w:rsid w:val="0032700A"/>
    <w:rsid w:val="00327296"/>
    <w:rsid w:val="003272BC"/>
    <w:rsid w:val="0032763C"/>
    <w:rsid w:val="0033015A"/>
    <w:rsid w:val="003304F0"/>
    <w:rsid w:val="003308E2"/>
    <w:rsid w:val="00330DB6"/>
    <w:rsid w:val="00330E17"/>
    <w:rsid w:val="0033250B"/>
    <w:rsid w:val="00332858"/>
    <w:rsid w:val="00332BD9"/>
    <w:rsid w:val="00332FFB"/>
    <w:rsid w:val="00333003"/>
    <w:rsid w:val="003334F5"/>
    <w:rsid w:val="00333C42"/>
    <w:rsid w:val="00333F89"/>
    <w:rsid w:val="00334297"/>
    <w:rsid w:val="00334433"/>
    <w:rsid w:val="00334555"/>
    <w:rsid w:val="003345E5"/>
    <w:rsid w:val="00334E13"/>
    <w:rsid w:val="003352CE"/>
    <w:rsid w:val="00336043"/>
    <w:rsid w:val="0033647B"/>
    <w:rsid w:val="00336581"/>
    <w:rsid w:val="0033679A"/>
    <w:rsid w:val="0033691F"/>
    <w:rsid w:val="0033709F"/>
    <w:rsid w:val="00337138"/>
    <w:rsid w:val="00337C12"/>
    <w:rsid w:val="00337D4C"/>
    <w:rsid w:val="00340037"/>
    <w:rsid w:val="00340784"/>
    <w:rsid w:val="0034091F"/>
    <w:rsid w:val="003410B3"/>
    <w:rsid w:val="00341627"/>
    <w:rsid w:val="0034190C"/>
    <w:rsid w:val="0034195B"/>
    <w:rsid w:val="00341A2F"/>
    <w:rsid w:val="00341AD4"/>
    <w:rsid w:val="00341B04"/>
    <w:rsid w:val="00341CC6"/>
    <w:rsid w:val="00342064"/>
    <w:rsid w:val="00342114"/>
    <w:rsid w:val="0034279C"/>
    <w:rsid w:val="00342BD0"/>
    <w:rsid w:val="003431ED"/>
    <w:rsid w:val="0034342B"/>
    <w:rsid w:val="00343590"/>
    <w:rsid w:val="00343B47"/>
    <w:rsid w:val="00343C6A"/>
    <w:rsid w:val="00343EC7"/>
    <w:rsid w:val="00343F4F"/>
    <w:rsid w:val="003441BF"/>
    <w:rsid w:val="00344354"/>
    <w:rsid w:val="003445AF"/>
    <w:rsid w:val="00344754"/>
    <w:rsid w:val="00344A9A"/>
    <w:rsid w:val="00344C36"/>
    <w:rsid w:val="003458A3"/>
    <w:rsid w:val="00345BD7"/>
    <w:rsid w:val="00345DEF"/>
    <w:rsid w:val="00345EC7"/>
    <w:rsid w:val="003464DF"/>
    <w:rsid w:val="00346642"/>
    <w:rsid w:val="00346FC8"/>
    <w:rsid w:val="00347026"/>
    <w:rsid w:val="00347A21"/>
    <w:rsid w:val="00347BDE"/>
    <w:rsid w:val="00347C7D"/>
    <w:rsid w:val="003501C6"/>
    <w:rsid w:val="00350387"/>
    <w:rsid w:val="00351013"/>
    <w:rsid w:val="003510D7"/>
    <w:rsid w:val="00351432"/>
    <w:rsid w:val="0035144B"/>
    <w:rsid w:val="0035158B"/>
    <w:rsid w:val="00351689"/>
    <w:rsid w:val="003518EE"/>
    <w:rsid w:val="003521CD"/>
    <w:rsid w:val="00352442"/>
    <w:rsid w:val="0035244C"/>
    <w:rsid w:val="00352BFC"/>
    <w:rsid w:val="00352E59"/>
    <w:rsid w:val="003530C1"/>
    <w:rsid w:val="003532A7"/>
    <w:rsid w:val="003533DC"/>
    <w:rsid w:val="003535B4"/>
    <w:rsid w:val="003535D3"/>
    <w:rsid w:val="00353723"/>
    <w:rsid w:val="0035380D"/>
    <w:rsid w:val="00353AF7"/>
    <w:rsid w:val="00353BB2"/>
    <w:rsid w:val="00353BBE"/>
    <w:rsid w:val="00353E02"/>
    <w:rsid w:val="003540CB"/>
    <w:rsid w:val="00354314"/>
    <w:rsid w:val="0035475E"/>
    <w:rsid w:val="00354A98"/>
    <w:rsid w:val="00354DDC"/>
    <w:rsid w:val="0035555C"/>
    <w:rsid w:val="003558CF"/>
    <w:rsid w:val="00356494"/>
    <w:rsid w:val="00356A5F"/>
    <w:rsid w:val="00356BD1"/>
    <w:rsid w:val="003570CB"/>
    <w:rsid w:val="0035713D"/>
    <w:rsid w:val="0035749F"/>
    <w:rsid w:val="00357911"/>
    <w:rsid w:val="003579D4"/>
    <w:rsid w:val="003600D6"/>
    <w:rsid w:val="0036032D"/>
    <w:rsid w:val="003606C4"/>
    <w:rsid w:val="00360C15"/>
    <w:rsid w:val="00360CF1"/>
    <w:rsid w:val="00360F11"/>
    <w:rsid w:val="00360FF3"/>
    <w:rsid w:val="00361372"/>
    <w:rsid w:val="0036156B"/>
    <w:rsid w:val="0036167C"/>
    <w:rsid w:val="00361A92"/>
    <w:rsid w:val="0036210E"/>
    <w:rsid w:val="00362127"/>
    <w:rsid w:val="003624BA"/>
    <w:rsid w:val="00362939"/>
    <w:rsid w:val="003629B6"/>
    <w:rsid w:val="00362A00"/>
    <w:rsid w:val="00362A38"/>
    <w:rsid w:val="00362B91"/>
    <w:rsid w:val="00363253"/>
    <w:rsid w:val="003634D3"/>
    <w:rsid w:val="00363510"/>
    <w:rsid w:val="00363C05"/>
    <w:rsid w:val="00363CF9"/>
    <w:rsid w:val="00364A2C"/>
    <w:rsid w:val="003652CC"/>
    <w:rsid w:val="003654E8"/>
    <w:rsid w:val="00365738"/>
    <w:rsid w:val="003658BA"/>
    <w:rsid w:val="00365EC9"/>
    <w:rsid w:val="003661D4"/>
    <w:rsid w:val="0036638B"/>
    <w:rsid w:val="0036651B"/>
    <w:rsid w:val="00366C7B"/>
    <w:rsid w:val="00366F3C"/>
    <w:rsid w:val="003671AA"/>
    <w:rsid w:val="00367841"/>
    <w:rsid w:val="003678B5"/>
    <w:rsid w:val="00367987"/>
    <w:rsid w:val="00367BB5"/>
    <w:rsid w:val="00367E4E"/>
    <w:rsid w:val="00367EEA"/>
    <w:rsid w:val="00370464"/>
    <w:rsid w:val="0037081D"/>
    <w:rsid w:val="00370A9F"/>
    <w:rsid w:val="00370F44"/>
    <w:rsid w:val="00371D68"/>
    <w:rsid w:val="0037241F"/>
    <w:rsid w:val="00372597"/>
    <w:rsid w:val="00372924"/>
    <w:rsid w:val="0037378A"/>
    <w:rsid w:val="003737A2"/>
    <w:rsid w:val="003738C5"/>
    <w:rsid w:val="00373D55"/>
    <w:rsid w:val="00373D76"/>
    <w:rsid w:val="00374387"/>
    <w:rsid w:val="00374408"/>
    <w:rsid w:val="00374434"/>
    <w:rsid w:val="003747C7"/>
    <w:rsid w:val="00374B4C"/>
    <w:rsid w:val="00374C42"/>
    <w:rsid w:val="00375018"/>
    <w:rsid w:val="0037505C"/>
    <w:rsid w:val="0037524C"/>
    <w:rsid w:val="0037564B"/>
    <w:rsid w:val="00375841"/>
    <w:rsid w:val="003759DA"/>
    <w:rsid w:val="00375A06"/>
    <w:rsid w:val="00375BD2"/>
    <w:rsid w:val="00375E06"/>
    <w:rsid w:val="00375F47"/>
    <w:rsid w:val="00376373"/>
    <w:rsid w:val="00376675"/>
    <w:rsid w:val="0037690C"/>
    <w:rsid w:val="00376B88"/>
    <w:rsid w:val="00376D73"/>
    <w:rsid w:val="00376EBF"/>
    <w:rsid w:val="00376F5C"/>
    <w:rsid w:val="003770A1"/>
    <w:rsid w:val="003775BF"/>
    <w:rsid w:val="003775DC"/>
    <w:rsid w:val="00377773"/>
    <w:rsid w:val="003779AE"/>
    <w:rsid w:val="00377C82"/>
    <w:rsid w:val="00380470"/>
    <w:rsid w:val="00380A81"/>
    <w:rsid w:val="00380D89"/>
    <w:rsid w:val="00380F42"/>
    <w:rsid w:val="0038103D"/>
    <w:rsid w:val="003810C8"/>
    <w:rsid w:val="003816A9"/>
    <w:rsid w:val="00382010"/>
    <w:rsid w:val="00382C17"/>
    <w:rsid w:val="00383109"/>
    <w:rsid w:val="003833C9"/>
    <w:rsid w:val="003835BD"/>
    <w:rsid w:val="0038389D"/>
    <w:rsid w:val="00383B15"/>
    <w:rsid w:val="00383F84"/>
    <w:rsid w:val="00383FEB"/>
    <w:rsid w:val="00384277"/>
    <w:rsid w:val="003847EB"/>
    <w:rsid w:val="003849C8"/>
    <w:rsid w:val="00385371"/>
    <w:rsid w:val="00385BDF"/>
    <w:rsid w:val="00385C3D"/>
    <w:rsid w:val="003861E3"/>
    <w:rsid w:val="00386762"/>
    <w:rsid w:val="00386AFD"/>
    <w:rsid w:val="00386DE4"/>
    <w:rsid w:val="003870E3"/>
    <w:rsid w:val="0038745D"/>
    <w:rsid w:val="00387A3B"/>
    <w:rsid w:val="00387A81"/>
    <w:rsid w:val="00387EDA"/>
    <w:rsid w:val="003901DB"/>
    <w:rsid w:val="003902C2"/>
    <w:rsid w:val="003905CD"/>
    <w:rsid w:val="00390698"/>
    <w:rsid w:val="00390C2B"/>
    <w:rsid w:val="00390D07"/>
    <w:rsid w:val="00390D9F"/>
    <w:rsid w:val="003911E9"/>
    <w:rsid w:val="003912A5"/>
    <w:rsid w:val="003912A7"/>
    <w:rsid w:val="00391439"/>
    <w:rsid w:val="0039154D"/>
    <w:rsid w:val="0039158C"/>
    <w:rsid w:val="0039179E"/>
    <w:rsid w:val="00391B47"/>
    <w:rsid w:val="00392A64"/>
    <w:rsid w:val="003936E0"/>
    <w:rsid w:val="00393AAA"/>
    <w:rsid w:val="00393B64"/>
    <w:rsid w:val="003942B5"/>
    <w:rsid w:val="003943E6"/>
    <w:rsid w:val="0039461A"/>
    <w:rsid w:val="003949DA"/>
    <w:rsid w:val="00394BA2"/>
    <w:rsid w:val="00394C8A"/>
    <w:rsid w:val="00394E93"/>
    <w:rsid w:val="00394F19"/>
    <w:rsid w:val="003953B0"/>
    <w:rsid w:val="0039542C"/>
    <w:rsid w:val="00395703"/>
    <w:rsid w:val="003958F0"/>
    <w:rsid w:val="003959E1"/>
    <w:rsid w:val="00395BA0"/>
    <w:rsid w:val="00395C16"/>
    <w:rsid w:val="00395D1E"/>
    <w:rsid w:val="00396BCE"/>
    <w:rsid w:val="003971A4"/>
    <w:rsid w:val="00397243"/>
    <w:rsid w:val="0039757F"/>
    <w:rsid w:val="00397854"/>
    <w:rsid w:val="003A0255"/>
    <w:rsid w:val="003A04E1"/>
    <w:rsid w:val="003A1106"/>
    <w:rsid w:val="003A1210"/>
    <w:rsid w:val="003A1541"/>
    <w:rsid w:val="003A1613"/>
    <w:rsid w:val="003A1758"/>
    <w:rsid w:val="003A1A68"/>
    <w:rsid w:val="003A1B14"/>
    <w:rsid w:val="003A1B7D"/>
    <w:rsid w:val="003A1C4D"/>
    <w:rsid w:val="003A1D5C"/>
    <w:rsid w:val="003A1F58"/>
    <w:rsid w:val="003A239B"/>
    <w:rsid w:val="003A2440"/>
    <w:rsid w:val="003A2FCF"/>
    <w:rsid w:val="003A30C6"/>
    <w:rsid w:val="003A3349"/>
    <w:rsid w:val="003A3679"/>
    <w:rsid w:val="003A3932"/>
    <w:rsid w:val="003A3B6F"/>
    <w:rsid w:val="003A3E57"/>
    <w:rsid w:val="003A3FA4"/>
    <w:rsid w:val="003A441F"/>
    <w:rsid w:val="003A4ABD"/>
    <w:rsid w:val="003A4B09"/>
    <w:rsid w:val="003A4B0A"/>
    <w:rsid w:val="003A4C15"/>
    <w:rsid w:val="003A57E0"/>
    <w:rsid w:val="003A57E7"/>
    <w:rsid w:val="003A58FB"/>
    <w:rsid w:val="003A5C7E"/>
    <w:rsid w:val="003A5E95"/>
    <w:rsid w:val="003A677F"/>
    <w:rsid w:val="003A68A9"/>
    <w:rsid w:val="003A6A74"/>
    <w:rsid w:val="003A6F8E"/>
    <w:rsid w:val="003A6FBC"/>
    <w:rsid w:val="003A72A8"/>
    <w:rsid w:val="003A76F5"/>
    <w:rsid w:val="003A78BD"/>
    <w:rsid w:val="003A7C41"/>
    <w:rsid w:val="003B00CF"/>
    <w:rsid w:val="003B1496"/>
    <w:rsid w:val="003B1B28"/>
    <w:rsid w:val="003B1DD9"/>
    <w:rsid w:val="003B2487"/>
    <w:rsid w:val="003B2747"/>
    <w:rsid w:val="003B2F97"/>
    <w:rsid w:val="003B32D5"/>
    <w:rsid w:val="003B35AB"/>
    <w:rsid w:val="003B3F04"/>
    <w:rsid w:val="003B4321"/>
    <w:rsid w:val="003B47A0"/>
    <w:rsid w:val="003B4A44"/>
    <w:rsid w:val="003B4F8C"/>
    <w:rsid w:val="003B53BF"/>
    <w:rsid w:val="003B55CF"/>
    <w:rsid w:val="003B56D4"/>
    <w:rsid w:val="003B5C38"/>
    <w:rsid w:val="003B640D"/>
    <w:rsid w:val="003B6477"/>
    <w:rsid w:val="003B6A1D"/>
    <w:rsid w:val="003B6A54"/>
    <w:rsid w:val="003B6F2B"/>
    <w:rsid w:val="003B7048"/>
    <w:rsid w:val="003B718F"/>
    <w:rsid w:val="003B7533"/>
    <w:rsid w:val="003B773B"/>
    <w:rsid w:val="003B78CE"/>
    <w:rsid w:val="003B7A7C"/>
    <w:rsid w:val="003C0736"/>
    <w:rsid w:val="003C097E"/>
    <w:rsid w:val="003C0A1F"/>
    <w:rsid w:val="003C0F4B"/>
    <w:rsid w:val="003C14BD"/>
    <w:rsid w:val="003C1BA6"/>
    <w:rsid w:val="003C2155"/>
    <w:rsid w:val="003C2278"/>
    <w:rsid w:val="003C23BE"/>
    <w:rsid w:val="003C2AED"/>
    <w:rsid w:val="003C309B"/>
    <w:rsid w:val="003C3463"/>
    <w:rsid w:val="003C363B"/>
    <w:rsid w:val="003C37BD"/>
    <w:rsid w:val="003C4007"/>
    <w:rsid w:val="003C4040"/>
    <w:rsid w:val="003C40E7"/>
    <w:rsid w:val="003C43EF"/>
    <w:rsid w:val="003C4799"/>
    <w:rsid w:val="003C5614"/>
    <w:rsid w:val="003C5F15"/>
    <w:rsid w:val="003C60C7"/>
    <w:rsid w:val="003C67D3"/>
    <w:rsid w:val="003C6AAA"/>
    <w:rsid w:val="003C6CE6"/>
    <w:rsid w:val="003C6D79"/>
    <w:rsid w:val="003C70CE"/>
    <w:rsid w:val="003C7296"/>
    <w:rsid w:val="003C74EA"/>
    <w:rsid w:val="003C7A93"/>
    <w:rsid w:val="003C7E6F"/>
    <w:rsid w:val="003C7F6F"/>
    <w:rsid w:val="003D0283"/>
    <w:rsid w:val="003D0707"/>
    <w:rsid w:val="003D089D"/>
    <w:rsid w:val="003D1865"/>
    <w:rsid w:val="003D1868"/>
    <w:rsid w:val="003D1890"/>
    <w:rsid w:val="003D21BE"/>
    <w:rsid w:val="003D2396"/>
    <w:rsid w:val="003D2450"/>
    <w:rsid w:val="003D26BF"/>
    <w:rsid w:val="003D2E89"/>
    <w:rsid w:val="003D3343"/>
    <w:rsid w:val="003D3428"/>
    <w:rsid w:val="003D362E"/>
    <w:rsid w:val="003D3BF9"/>
    <w:rsid w:val="003D3E62"/>
    <w:rsid w:val="003D40C2"/>
    <w:rsid w:val="003D4206"/>
    <w:rsid w:val="003D425C"/>
    <w:rsid w:val="003D43FD"/>
    <w:rsid w:val="003D4513"/>
    <w:rsid w:val="003D45EF"/>
    <w:rsid w:val="003D46BF"/>
    <w:rsid w:val="003D48C8"/>
    <w:rsid w:val="003D4DB8"/>
    <w:rsid w:val="003D5323"/>
    <w:rsid w:val="003D5672"/>
    <w:rsid w:val="003D56AB"/>
    <w:rsid w:val="003D5960"/>
    <w:rsid w:val="003D5EF2"/>
    <w:rsid w:val="003D6621"/>
    <w:rsid w:val="003D6685"/>
    <w:rsid w:val="003D66CD"/>
    <w:rsid w:val="003D676C"/>
    <w:rsid w:val="003D6A97"/>
    <w:rsid w:val="003D72B1"/>
    <w:rsid w:val="003D75E5"/>
    <w:rsid w:val="003D769F"/>
    <w:rsid w:val="003D7721"/>
    <w:rsid w:val="003D7FBC"/>
    <w:rsid w:val="003E0AFD"/>
    <w:rsid w:val="003E0CB2"/>
    <w:rsid w:val="003E0D7D"/>
    <w:rsid w:val="003E1107"/>
    <w:rsid w:val="003E1661"/>
    <w:rsid w:val="003E25EE"/>
    <w:rsid w:val="003E2625"/>
    <w:rsid w:val="003E269B"/>
    <w:rsid w:val="003E272F"/>
    <w:rsid w:val="003E2D1C"/>
    <w:rsid w:val="003E33AE"/>
    <w:rsid w:val="003E343D"/>
    <w:rsid w:val="003E3B74"/>
    <w:rsid w:val="003E3CFE"/>
    <w:rsid w:val="003E3DE8"/>
    <w:rsid w:val="003E3F2B"/>
    <w:rsid w:val="003E4232"/>
    <w:rsid w:val="003E434D"/>
    <w:rsid w:val="003E454E"/>
    <w:rsid w:val="003E4C90"/>
    <w:rsid w:val="003E4E5F"/>
    <w:rsid w:val="003E4F39"/>
    <w:rsid w:val="003E53E0"/>
    <w:rsid w:val="003E5402"/>
    <w:rsid w:val="003E5595"/>
    <w:rsid w:val="003E5A27"/>
    <w:rsid w:val="003E5B2C"/>
    <w:rsid w:val="003E5BE9"/>
    <w:rsid w:val="003E5D0B"/>
    <w:rsid w:val="003E5F6E"/>
    <w:rsid w:val="003E643A"/>
    <w:rsid w:val="003E6446"/>
    <w:rsid w:val="003E6756"/>
    <w:rsid w:val="003E686D"/>
    <w:rsid w:val="003E73AC"/>
    <w:rsid w:val="003E7D6A"/>
    <w:rsid w:val="003E7DA0"/>
    <w:rsid w:val="003F04EC"/>
    <w:rsid w:val="003F0A18"/>
    <w:rsid w:val="003F0B2E"/>
    <w:rsid w:val="003F0DE1"/>
    <w:rsid w:val="003F0E7D"/>
    <w:rsid w:val="003F1604"/>
    <w:rsid w:val="003F17DA"/>
    <w:rsid w:val="003F19C2"/>
    <w:rsid w:val="003F1D68"/>
    <w:rsid w:val="003F1E3F"/>
    <w:rsid w:val="003F1FBF"/>
    <w:rsid w:val="003F21E6"/>
    <w:rsid w:val="003F2C5F"/>
    <w:rsid w:val="003F2D68"/>
    <w:rsid w:val="003F2E70"/>
    <w:rsid w:val="003F31F4"/>
    <w:rsid w:val="003F393E"/>
    <w:rsid w:val="003F3D1F"/>
    <w:rsid w:val="003F4966"/>
    <w:rsid w:val="003F4A36"/>
    <w:rsid w:val="003F4BCB"/>
    <w:rsid w:val="003F57AD"/>
    <w:rsid w:val="003F57C8"/>
    <w:rsid w:val="003F5A7B"/>
    <w:rsid w:val="003F5AE4"/>
    <w:rsid w:val="003F5CF5"/>
    <w:rsid w:val="003F5D2F"/>
    <w:rsid w:val="003F5DCE"/>
    <w:rsid w:val="003F63DA"/>
    <w:rsid w:val="003F6887"/>
    <w:rsid w:val="003F6BC1"/>
    <w:rsid w:val="003F6C49"/>
    <w:rsid w:val="003F6DA0"/>
    <w:rsid w:val="003F6DFB"/>
    <w:rsid w:val="003F7441"/>
    <w:rsid w:val="003F752E"/>
    <w:rsid w:val="003F764C"/>
    <w:rsid w:val="0040039D"/>
    <w:rsid w:val="004003C7"/>
    <w:rsid w:val="00400753"/>
    <w:rsid w:val="004014E5"/>
    <w:rsid w:val="00401C93"/>
    <w:rsid w:val="00401CCC"/>
    <w:rsid w:val="00401E43"/>
    <w:rsid w:val="00402980"/>
    <w:rsid w:val="0040302E"/>
    <w:rsid w:val="004038DA"/>
    <w:rsid w:val="004038EF"/>
    <w:rsid w:val="00403AAD"/>
    <w:rsid w:val="00403B13"/>
    <w:rsid w:val="00403F11"/>
    <w:rsid w:val="00404261"/>
    <w:rsid w:val="00404342"/>
    <w:rsid w:val="004046CE"/>
    <w:rsid w:val="004047F2"/>
    <w:rsid w:val="00404BEB"/>
    <w:rsid w:val="00404E8B"/>
    <w:rsid w:val="004051C0"/>
    <w:rsid w:val="00405204"/>
    <w:rsid w:val="004055F4"/>
    <w:rsid w:val="004056D3"/>
    <w:rsid w:val="0040575B"/>
    <w:rsid w:val="004057C3"/>
    <w:rsid w:val="00405D43"/>
    <w:rsid w:val="00405EB8"/>
    <w:rsid w:val="00405EE9"/>
    <w:rsid w:val="00405F84"/>
    <w:rsid w:val="00406533"/>
    <w:rsid w:val="0040673C"/>
    <w:rsid w:val="00406791"/>
    <w:rsid w:val="00406BF7"/>
    <w:rsid w:val="00406CE6"/>
    <w:rsid w:val="00407466"/>
    <w:rsid w:val="00407516"/>
    <w:rsid w:val="00407881"/>
    <w:rsid w:val="004078DE"/>
    <w:rsid w:val="00407BC1"/>
    <w:rsid w:val="00407CB5"/>
    <w:rsid w:val="00407FAE"/>
    <w:rsid w:val="0041002F"/>
    <w:rsid w:val="004100B3"/>
    <w:rsid w:val="004108CA"/>
    <w:rsid w:val="00410933"/>
    <w:rsid w:val="00410B8C"/>
    <w:rsid w:val="00410C65"/>
    <w:rsid w:val="00410FF9"/>
    <w:rsid w:val="00411002"/>
    <w:rsid w:val="00412028"/>
    <w:rsid w:val="004120C8"/>
    <w:rsid w:val="00412193"/>
    <w:rsid w:val="004123A7"/>
    <w:rsid w:val="00412D3F"/>
    <w:rsid w:val="00413805"/>
    <w:rsid w:val="0041399F"/>
    <w:rsid w:val="00413A1A"/>
    <w:rsid w:val="00413C22"/>
    <w:rsid w:val="00413C78"/>
    <w:rsid w:val="00413C8E"/>
    <w:rsid w:val="00413E1C"/>
    <w:rsid w:val="00413E45"/>
    <w:rsid w:val="00413E9B"/>
    <w:rsid w:val="00413F64"/>
    <w:rsid w:val="004142D1"/>
    <w:rsid w:val="00414A28"/>
    <w:rsid w:val="00414AB8"/>
    <w:rsid w:val="004151EA"/>
    <w:rsid w:val="004155B0"/>
    <w:rsid w:val="00415DE0"/>
    <w:rsid w:val="00415EB7"/>
    <w:rsid w:val="00415ED8"/>
    <w:rsid w:val="00415FEF"/>
    <w:rsid w:val="00416418"/>
    <w:rsid w:val="0041650C"/>
    <w:rsid w:val="00416958"/>
    <w:rsid w:val="00416AE7"/>
    <w:rsid w:val="00416C50"/>
    <w:rsid w:val="00416CF4"/>
    <w:rsid w:val="00417C11"/>
    <w:rsid w:val="0042015F"/>
    <w:rsid w:val="00420196"/>
    <w:rsid w:val="004202BE"/>
    <w:rsid w:val="0042045C"/>
    <w:rsid w:val="004206F6"/>
    <w:rsid w:val="00420A92"/>
    <w:rsid w:val="00420C71"/>
    <w:rsid w:val="00420EEE"/>
    <w:rsid w:val="00421098"/>
    <w:rsid w:val="004210BE"/>
    <w:rsid w:val="0042188B"/>
    <w:rsid w:val="00422078"/>
    <w:rsid w:val="00422519"/>
    <w:rsid w:val="00422550"/>
    <w:rsid w:val="00422A27"/>
    <w:rsid w:val="0042346D"/>
    <w:rsid w:val="00424216"/>
    <w:rsid w:val="004245B9"/>
    <w:rsid w:val="00425221"/>
    <w:rsid w:val="00425320"/>
    <w:rsid w:val="00425331"/>
    <w:rsid w:val="00425835"/>
    <w:rsid w:val="00425CBC"/>
    <w:rsid w:val="00426155"/>
    <w:rsid w:val="004261E6"/>
    <w:rsid w:val="00426669"/>
    <w:rsid w:val="004268DC"/>
    <w:rsid w:val="00426F05"/>
    <w:rsid w:val="00427A00"/>
    <w:rsid w:val="00427B2C"/>
    <w:rsid w:val="0043018F"/>
    <w:rsid w:val="004306E5"/>
    <w:rsid w:val="004307DA"/>
    <w:rsid w:val="0043098E"/>
    <w:rsid w:val="004311E1"/>
    <w:rsid w:val="004318A6"/>
    <w:rsid w:val="00431996"/>
    <w:rsid w:val="00432534"/>
    <w:rsid w:val="004326B9"/>
    <w:rsid w:val="00432877"/>
    <w:rsid w:val="00432898"/>
    <w:rsid w:val="00433037"/>
    <w:rsid w:val="00433128"/>
    <w:rsid w:val="0043360F"/>
    <w:rsid w:val="00433747"/>
    <w:rsid w:val="004339C3"/>
    <w:rsid w:val="0043420F"/>
    <w:rsid w:val="00434458"/>
    <w:rsid w:val="00434CDB"/>
    <w:rsid w:val="0043508B"/>
    <w:rsid w:val="004351CA"/>
    <w:rsid w:val="004352B5"/>
    <w:rsid w:val="004354D8"/>
    <w:rsid w:val="004359EF"/>
    <w:rsid w:val="004361D3"/>
    <w:rsid w:val="004361F0"/>
    <w:rsid w:val="004363A1"/>
    <w:rsid w:val="004368CF"/>
    <w:rsid w:val="00436B7E"/>
    <w:rsid w:val="00436E66"/>
    <w:rsid w:val="00437374"/>
    <w:rsid w:val="00437433"/>
    <w:rsid w:val="0043751E"/>
    <w:rsid w:val="004375F3"/>
    <w:rsid w:val="00437600"/>
    <w:rsid w:val="004402F0"/>
    <w:rsid w:val="00440541"/>
    <w:rsid w:val="0044106A"/>
    <w:rsid w:val="0044234D"/>
    <w:rsid w:val="004430F0"/>
    <w:rsid w:val="004438C3"/>
    <w:rsid w:val="00444275"/>
    <w:rsid w:val="004444AE"/>
    <w:rsid w:val="0044478B"/>
    <w:rsid w:val="00444F72"/>
    <w:rsid w:val="00445484"/>
    <w:rsid w:val="00445AF2"/>
    <w:rsid w:val="00445B00"/>
    <w:rsid w:val="00445CA6"/>
    <w:rsid w:val="00445DF6"/>
    <w:rsid w:val="00445E20"/>
    <w:rsid w:val="00445E27"/>
    <w:rsid w:val="00445EB5"/>
    <w:rsid w:val="00446356"/>
    <w:rsid w:val="00446392"/>
    <w:rsid w:val="00446AFD"/>
    <w:rsid w:val="00446CA9"/>
    <w:rsid w:val="00446D81"/>
    <w:rsid w:val="00446E1D"/>
    <w:rsid w:val="00446E48"/>
    <w:rsid w:val="00447287"/>
    <w:rsid w:val="00447493"/>
    <w:rsid w:val="00447848"/>
    <w:rsid w:val="004478D3"/>
    <w:rsid w:val="00447A34"/>
    <w:rsid w:val="00447B31"/>
    <w:rsid w:val="00447F36"/>
    <w:rsid w:val="00447FD9"/>
    <w:rsid w:val="004503D8"/>
    <w:rsid w:val="00450AD2"/>
    <w:rsid w:val="00450C2D"/>
    <w:rsid w:val="00450CB6"/>
    <w:rsid w:val="0045132C"/>
    <w:rsid w:val="004519D5"/>
    <w:rsid w:val="00451B0C"/>
    <w:rsid w:val="0045217E"/>
    <w:rsid w:val="00452180"/>
    <w:rsid w:val="00452274"/>
    <w:rsid w:val="004524E8"/>
    <w:rsid w:val="004524EF"/>
    <w:rsid w:val="004525B4"/>
    <w:rsid w:val="004525E0"/>
    <w:rsid w:val="00452749"/>
    <w:rsid w:val="00452B10"/>
    <w:rsid w:val="00452E0C"/>
    <w:rsid w:val="00452FC5"/>
    <w:rsid w:val="0045344C"/>
    <w:rsid w:val="00453A2D"/>
    <w:rsid w:val="00453B7E"/>
    <w:rsid w:val="0045426E"/>
    <w:rsid w:val="00454658"/>
    <w:rsid w:val="00454879"/>
    <w:rsid w:val="00454BA9"/>
    <w:rsid w:val="00455344"/>
    <w:rsid w:val="00455437"/>
    <w:rsid w:val="004555DB"/>
    <w:rsid w:val="004556F8"/>
    <w:rsid w:val="004557CE"/>
    <w:rsid w:val="00455B2B"/>
    <w:rsid w:val="004561F8"/>
    <w:rsid w:val="00456B3B"/>
    <w:rsid w:val="00457155"/>
    <w:rsid w:val="0045737B"/>
    <w:rsid w:val="004578A4"/>
    <w:rsid w:val="00457CB0"/>
    <w:rsid w:val="0045DC1A"/>
    <w:rsid w:val="00460405"/>
    <w:rsid w:val="004604F3"/>
    <w:rsid w:val="004607F3"/>
    <w:rsid w:val="0046095A"/>
    <w:rsid w:val="00460A10"/>
    <w:rsid w:val="0046130D"/>
    <w:rsid w:val="00461465"/>
    <w:rsid w:val="004614EC"/>
    <w:rsid w:val="0046156E"/>
    <w:rsid w:val="00461D50"/>
    <w:rsid w:val="00461F06"/>
    <w:rsid w:val="00462183"/>
    <w:rsid w:val="00462225"/>
    <w:rsid w:val="0046231A"/>
    <w:rsid w:val="0046246B"/>
    <w:rsid w:val="00462588"/>
    <w:rsid w:val="004627B9"/>
    <w:rsid w:val="00462A9A"/>
    <w:rsid w:val="00462B2B"/>
    <w:rsid w:val="00462D39"/>
    <w:rsid w:val="00462E33"/>
    <w:rsid w:val="00463C65"/>
    <w:rsid w:val="00463ECB"/>
    <w:rsid w:val="00463F8B"/>
    <w:rsid w:val="0046448C"/>
    <w:rsid w:val="0046464C"/>
    <w:rsid w:val="0046470E"/>
    <w:rsid w:val="00464898"/>
    <w:rsid w:val="00464970"/>
    <w:rsid w:val="00464A08"/>
    <w:rsid w:val="00464B59"/>
    <w:rsid w:val="004652C4"/>
    <w:rsid w:val="00465377"/>
    <w:rsid w:val="00465636"/>
    <w:rsid w:val="004657F4"/>
    <w:rsid w:val="004659D6"/>
    <w:rsid w:val="004663BF"/>
    <w:rsid w:val="0046642F"/>
    <w:rsid w:val="004665A8"/>
    <w:rsid w:val="004667A4"/>
    <w:rsid w:val="00466F3A"/>
    <w:rsid w:val="00467C97"/>
    <w:rsid w:val="00467E55"/>
    <w:rsid w:val="00467F66"/>
    <w:rsid w:val="004700D6"/>
    <w:rsid w:val="00470154"/>
    <w:rsid w:val="00470B30"/>
    <w:rsid w:val="00470E28"/>
    <w:rsid w:val="00471615"/>
    <w:rsid w:val="004716BF"/>
    <w:rsid w:val="00471C82"/>
    <w:rsid w:val="00471EC6"/>
    <w:rsid w:val="00472307"/>
    <w:rsid w:val="00472FA2"/>
    <w:rsid w:val="004734FC"/>
    <w:rsid w:val="00473CED"/>
    <w:rsid w:val="00473E35"/>
    <w:rsid w:val="00473E75"/>
    <w:rsid w:val="00473ED6"/>
    <w:rsid w:val="0047415A"/>
    <w:rsid w:val="00474220"/>
    <w:rsid w:val="0047427A"/>
    <w:rsid w:val="004746D8"/>
    <w:rsid w:val="00475104"/>
    <w:rsid w:val="0047533A"/>
    <w:rsid w:val="004753C4"/>
    <w:rsid w:val="00475778"/>
    <w:rsid w:val="00476715"/>
    <w:rsid w:val="004767B2"/>
    <w:rsid w:val="004768C0"/>
    <w:rsid w:val="00476EB4"/>
    <w:rsid w:val="00477106"/>
    <w:rsid w:val="00477251"/>
    <w:rsid w:val="004777B7"/>
    <w:rsid w:val="00477A61"/>
    <w:rsid w:val="00477A93"/>
    <w:rsid w:val="00477D4E"/>
    <w:rsid w:val="00477D56"/>
    <w:rsid w:val="0048001E"/>
    <w:rsid w:val="0048039F"/>
    <w:rsid w:val="004806FE"/>
    <w:rsid w:val="0048095E"/>
    <w:rsid w:val="00481032"/>
    <w:rsid w:val="004810A8"/>
    <w:rsid w:val="004811F4"/>
    <w:rsid w:val="004812C9"/>
    <w:rsid w:val="0048152C"/>
    <w:rsid w:val="00481E36"/>
    <w:rsid w:val="00481ED4"/>
    <w:rsid w:val="0048240B"/>
    <w:rsid w:val="0048282C"/>
    <w:rsid w:val="00482988"/>
    <w:rsid w:val="00482DAD"/>
    <w:rsid w:val="0048323C"/>
    <w:rsid w:val="004834BE"/>
    <w:rsid w:val="004839E8"/>
    <w:rsid w:val="00483B3E"/>
    <w:rsid w:val="0048425E"/>
    <w:rsid w:val="00484E98"/>
    <w:rsid w:val="00485537"/>
    <w:rsid w:val="0048563C"/>
    <w:rsid w:val="00485751"/>
    <w:rsid w:val="0048585A"/>
    <w:rsid w:val="00485DD3"/>
    <w:rsid w:val="00486799"/>
    <w:rsid w:val="00486823"/>
    <w:rsid w:val="00486AEB"/>
    <w:rsid w:val="00486C38"/>
    <w:rsid w:val="00486F6B"/>
    <w:rsid w:val="00486FD2"/>
    <w:rsid w:val="00487032"/>
    <w:rsid w:val="00487778"/>
    <w:rsid w:val="0048782B"/>
    <w:rsid w:val="004878F9"/>
    <w:rsid w:val="00487981"/>
    <w:rsid w:val="00487B26"/>
    <w:rsid w:val="00487DEA"/>
    <w:rsid w:val="0049073A"/>
    <w:rsid w:val="004908DD"/>
    <w:rsid w:val="00490E5D"/>
    <w:rsid w:val="0049114F"/>
    <w:rsid w:val="00491168"/>
    <w:rsid w:val="00491284"/>
    <w:rsid w:val="00491530"/>
    <w:rsid w:val="004915C6"/>
    <w:rsid w:val="00491C9E"/>
    <w:rsid w:val="00491E83"/>
    <w:rsid w:val="00491F79"/>
    <w:rsid w:val="00491FEF"/>
    <w:rsid w:val="0049216E"/>
    <w:rsid w:val="00492715"/>
    <w:rsid w:val="00492740"/>
    <w:rsid w:val="0049297D"/>
    <w:rsid w:val="00492D72"/>
    <w:rsid w:val="00493C2F"/>
    <w:rsid w:val="00493E38"/>
    <w:rsid w:val="0049434B"/>
    <w:rsid w:val="004950AA"/>
    <w:rsid w:val="004950BE"/>
    <w:rsid w:val="00495313"/>
    <w:rsid w:val="00495395"/>
    <w:rsid w:val="0049543F"/>
    <w:rsid w:val="00495996"/>
    <w:rsid w:val="00495B1E"/>
    <w:rsid w:val="00496093"/>
    <w:rsid w:val="00496097"/>
    <w:rsid w:val="004960E5"/>
    <w:rsid w:val="004961C0"/>
    <w:rsid w:val="0049651A"/>
    <w:rsid w:val="0049673E"/>
    <w:rsid w:val="00496CE2"/>
    <w:rsid w:val="00496EB1"/>
    <w:rsid w:val="00496EE5"/>
    <w:rsid w:val="00496EF2"/>
    <w:rsid w:val="004974B2"/>
    <w:rsid w:val="00497557"/>
    <w:rsid w:val="0049762B"/>
    <w:rsid w:val="00497635"/>
    <w:rsid w:val="00497A18"/>
    <w:rsid w:val="00497B60"/>
    <w:rsid w:val="00497C76"/>
    <w:rsid w:val="00497FB8"/>
    <w:rsid w:val="004A0002"/>
    <w:rsid w:val="004A03EB"/>
    <w:rsid w:val="004A0793"/>
    <w:rsid w:val="004A15D7"/>
    <w:rsid w:val="004A16DA"/>
    <w:rsid w:val="004A17CE"/>
    <w:rsid w:val="004A1B29"/>
    <w:rsid w:val="004A1BB4"/>
    <w:rsid w:val="004A25C1"/>
    <w:rsid w:val="004A2D82"/>
    <w:rsid w:val="004A2F8E"/>
    <w:rsid w:val="004A378E"/>
    <w:rsid w:val="004A39AB"/>
    <w:rsid w:val="004A4326"/>
    <w:rsid w:val="004A4F6A"/>
    <w:rsid w:val="004A501E"/>
    <w:rsid w:val="004A53E7"/>
    <w:rsid w:val="004A54BD"/>
    <w:rsid w:val="004A57DC"/>
    <w:rsid w:val="004A58A6"/>
    <w:rsid w:val="004A5C01"/>
    <w:rsid w:val="004A6160"/>
    <w:rsid w:val="004A6537"/>
    <w:rsid w:val="004A6653"/>
    <w:rsid w:val="004A7009"/>
    <w:rsid w:val="004A7500"/>
    <w:rsid w:val="004A7781"/>
    <w:rsid w:val="004A7A11"/>
    <w:rsid w:val="004A7A9F"/>
    <w:rsid w:val="004A7C31"/>
    <w:rsid w:val="004B0011"/>
    <w:rsid w:val="004B097C"/>
    <w:rsid w:val="004B0AA9"/>
    <w:rsid w:val="004B0BD1"/>
    <w:rsid w:val="004B0D80"/>
    <w:rsid w:val="004B11A8"/>
    <w:rsid w:val="004B16CB"/>
    <w:rsid w:val="004B1738"/>
    <w:rsid w:val="004B1B8D"/>
    <w:rsid w:val="004B1BEF"/>
    <w:rsid w:val="004B1C54"/>
    <w:rsid w:val="004B1C56"/>
    <w:rsid w:val="004B1FBF"/>
    <w:rsid w:val="004B21B9"/>
    <w:rsid w:val="004B2287"/>
    <w:rsid w:val="004B2416"/>
    <w:rsid w:val="004B2603"/>
    <w:rsid w:val="004B27B3"/>
    <w:rsid w:val="004B27F4"/>
    <w:rsid w:val="004B2BBE"/>
    <w:rsid w:val="004B3143"/>
    <w:rsid w:val="004B3415"/>
    <w:rsid w:val="004B349B"/>
    <w:rsid w:val="004B3A68"/>
    <w:rsid w:val="004B3B83"/>
    <w:rsid w:val="004B4FCB"/>
    <w:rsid w:val="004B507B"/>
    <w:rsid w:val="004B582F"/>
    <w:rsid w:val="004B5AB9"/>
    <w:rsid w:val="004B5B9F"/>
    <w:rsid w:val="004B5F99"/>
    <w:rsid w:val="004B68A4"/>
    <w:rsid w:val="004B6C3B"/>
    <w:rsid w:val="004B6DAE"/>
    <w:rsid w:val="004B6E79"/>
    <w:rsid w:val="004B7538"/>
    <w:rsid w:val="004B757D"/>
    <w:rsid w:val="004B7D33"/>
    <w:rsid w:val="004C05F3"/>
    <w:rsid w:val="004C0C32"/>
    <w:rsid w:val="004C0DE6"/>
    <w:rsid w:val="004C0DF1"/>
    <w:rsid w:val="004C12EE"/>
    <w:rsid w:val="004C1876"/>
    <w:rsid w:val="004C1915"/>
    <w:rsid w:val="004C1953"/>
    <w:rsid w:val="004C1AC6"/>
    <w:rsid w:val="004C20FA"/>
    <w:rsid w:val="004C2464"/>
    <w:rsid w:val="004C2709"/>
    <w:rsid w:val="004C2BEF"/>
    <w:rsid w:val="004C2D10"/>
    <w:rsid w:val="004C31BF"/>
    <w:rsid w:val="004C3A0D"/>
    <w:rsid w:val="004C3CFA"/>
    <w:rsid w:val="004C3D0E"/>
    <w:rsid w:val="004C41EF"/>
    <w:rsid w:val="004C4499"/>
    <w:rsid w:val="004C49B8"/>
    <w:rsid w:val="004C4B03"/>
    <w:rsid w:val="004C4EAC"/>
    <w:rsid w:val="004C5123"/>
    <w:rsid w:val="004C575E"/>
    <w:rsid w:val="004C581B"/>
    <w:rsid w:val="004C63D3"/>
    <w:rsid w:val="004C670B"/>
    <w:rsid w:val="004C6793"/>
    <w:rsid w:val="004C69FE"/>
    <w:rsid w:val="004C6CBD"/>
    <w:rsid w:val="004C6DD8"/>
    <w:rsid w:val="004C7170"/>
    <w:rsid w:val="004C7436"/>
    <w:rsid w:val="004C75D5"/>
    <w:rsid w:val="004C77B4"/>
    <w:rsid w:val="004C784C"/>
    <w:rsid w:val="004C7AAD"/>
    <w:rsid w:val="004D048D"/>
    <w:rsid w:val="004D0D26"/>
    <w:rsid w:val="004D0F9B"/>
    <w:rsid w:val="004D16EB"/>
    <w:rsid w:val="004D1B73"/>
    <w:rsid w:val="004D1B89"/>
    <w:rsid w:val="004D2586"/>
    <w:rsid w:val="004D25AD"/>
    <w:rsid w:val="004D2656"/>
    <w:rsid w:val="004D2677"/>
    <w:rsid w:val="004D26D5"/>
    <w:rsid w:val="004D28DF"/>
    <w:rsid w:val="004D302C"/>
    <w:rsid w:val="004D34B2"/>
    <w:rsid w:val="004D3544"/>
    <w:rsid w:val="004D3552"/>
    <w:rsid w:val="004D3B6B"/>
    <w:rsid w:val="004D3E3E"/>
    <w:rsid w:val="004D401F"/>
    <w:rsid w:val="004D4021"/>
    <w:rsid w:val="004D407D"/>
    <w:rsid w:val="004D4385"/>
    <w:rsid w:val="004D4472"/>
    <w:rsid w:val="004D4550"/>
    <w:rsid w:val="004D45E5"/>
    <w:rsid w:val="004D4989"/>
    <w:rsid w:val="004D49A1"/>
    <w:rsid w:val="004D4B05"/>
    <w:rsid w:val="004D5459"/>
    <w:rsid w:val="004D5BAD"/>
    <w:rsid w:val="004D5BF6"/>
    <w:rsid w:val="004D6A09"/>
    <w:rsid w:val="004D6B23"/>
    <w:rsid w:val="004D7032"/>
    <w:rsid w:val="004D75DD"/>
    <w:rsid w:val="004D78CA"/>
    <w:rsid w:val="004D7A52"/>
    <w:rsid w:val="004D7E3D"/>
    <w:rsid w:val="004E05C7"/>
    <w:rsid w:val="004E064A"/>
    <w:rsid w:val="004E0A92"/>
    <w:rsid w:val="004E0C15"/>
    <w:rsid w:val="004E0E51"/>
    <w:rsid w:val="004E1414"/>
    <w:rsid w:val="004E18AC"/>
    <w:rsid w:val="004E1948"/>
    <w:rsid w:val="004E19CC"/>
    <w:rsid w:val="004E1B9F"/>
    <w:rsid w:val="004E2537"/>
    <w:rsid w:val="004E2579"/>
    <w:rsid w:val="004E25F7"/>
    <w:rsid w:val="004E2976"/>
    <w:rsid w:val="004E2BE9"/>
    <w:rsid w:val="004E2D26"/>
    <w:rsid w:val="004E3968"/>
    <w:rsid w:val="004E3CC5"/>
    <w:rsid w:val="004E455E"/>
    <w:rsid w:val="004E48A0"/>
    <w:rsid w:val="004E49E9"/>
    <w:rsid w:val="004E4A1E"/>
    <w:rsid w:val="004E4BF1"/>
    <w:rsid w:val="004E4FF6"/>
    <w:rsid w:val="004E51C7"/>
    <w:rsid w:val="004E5490"/>
    <w:rsid w:val="004E54CE"/>
    <w:rsid w:val="004E56DE"/>
    <w:rsid w:val="004E5FA9"/>
    <w:rsid w:val="004E60D6"/>
    <w:rsid w:val="004E627F"/>
    <w:rsid w:val="004E65AD"/>
    <w:rsid w:val="004E67A2"/>
    <w:rsid w:val="004E67FC"/>
    <w:rsid w:val="004E6F3D"/>
    <w:rsid w:val="004E7082"/>
    <w:rsid w:val="004F00F4"/>
    <w:rsid w:val="004F08D2"/>
    <w:rsid w:val="004F0BBD"/>
    <w:rsid w:val="004F0C30"/>
    <w:rsid w:val="004F0F97"/>
    <w:rsid w:val="004F10D3"/>
    <w:rsid w:val="004F156C"/>
    <w:rsid w:val="004F15BD"/>
    <w:rsid w:val="004F15CA"/>
    <w:rsid w:val="004F166A"/>
    <w:rsid w:val="004F1701"/>
    <w:rsid w:val="004F1947"/>
    <w:rsid w:val="004F19C0"/>
    <w:rsid w:val="004F1C29"/>
    <w:rsid w:val="004F20D1"/>
    <w:rsid w:val="004F252B"/>
    <w:rsid w:val="004F26DF"/>
    <w:rsid w:val="004F294D"/>
    <w:rsid w:val="004F2A0D"/>
    <w:rsid w:val="004F2A9D"/>
    <w:rsid w:val="004F2BB4"/>
    <w:rsid w:val="004F2FE5"/>
    <w:rsid w:val="004F35CE"/>
    <w:rsid w:val="004F397A"/>
    <w:rsid w:val="004F3B01"/>
    <w:rsid w:val="004F3C39"/>
    <w:rsid w:val="004F4AFF"/>
    <w:rsid w:val="004F4FDA"/>
    <w:rsid w:val="004F503D"/>
    <w:rsid w:val="004F56C7"/>
    <w:rsid w:val="004F5898"/>
    <w:rsid w:val="004F58DF"/>
    <w:rsid w:val="004F5BEB"/>
    <w:rsid w:val="004F5BFA"/>
    <w:rsid w:val="004F6279"/>
    <w:rsid w:val="004F699D"/>
    <w:rsid w:val="004F6ADD"/>
    <w:rsid w:val="004F6FE9"/>
    <w:rsid w:val="004F735C"/>
    <w:rsid w:val="004F76B9"/>
    <w:rsid w:val="004F7897"/>
    <w:rsid w:val="004F7AC1"/>
    <w:rsid w:val="004F7ADE"/>
    <w:rsid w:val="004F7BCC"/>
    <w:rsid w:val="004F7E16"/>
    <w:rsid w:val="00500174"/>
    <w:rsid w:val="005005ED"/>
    <w:rsid w:val="0050066C"/>
    <w:rsid w:val="00500F14"/>
    <w:rsid w:val="00501673"/>
    <w:rsid w:val="00501BF6"/>
    <w:rsid w:val="00501E84"/>
    <w:rsid w:val="00502124"/>
    <w:rsid w:val="00502275"/>
    <w:rsid w:val="00502569"/>
    <w:rsid w:val="005027EB"/>
    <w:rsid w:val="005029A4"/>
    <w:rsid w:val="005034AF"/>
    <w:rsid w:val="0050358C"/>
    <w:rsid w:val="00503EFB"/>
    <w:rsid w:val="00504169"/>
    <w:rsid w:val="00504226"/>
    <w:rsid w:val="00504277"/>
    <w:rsid w:val="005051ED"/>
    <w:rsid w:val="00505405"/>
    <w:rsid w:val="00505BFD"/>
    <w:rsid w:val="00505C64"/>
    <w:rsid w:val="005067A9"/>
    <w:rsid w:val="00506DE9"/>
    <w:rsid w:val="00506F33"/>
    <w:rsid w:val="005072D0"/>
    <w:rsid w:val="00507BDD"/>
    <w:rsid w:val="00510063"/>
    <w:rsid w:val="00510817"/>
    <w:rsid w:val="00510F0F"/>
    <w:rsid w:val="00510F64"/>
    <w:rsid w:val="00511036"/>
    <w:rsid w:val="0051179C"/>
    <w:rsid w:val="005117AB"/>
    <w:rsid w:val="005119FF"/>
    <w:rsid w:val="00511B4C"/>
    <w:rsid w:val="00511DE4"/>
    <w:rsid w:val="00511FC6"/>
    <w:rsid w:val="00512221"/>
    <w:rsid w:val="005122AE"/>
    <w:rsid w:val="005124DD"/>
    <w:rsid w:val="00512945"/>
    <w:rsid w:val="00512959"/>
    <w:rsid w:val="00512B77"/>
    <w:rsid w:val="00512B96"/>
    <w:rsid w:val="0051349E"/>
    <w:rsid w:val="00513F7D"/>
    <w:rsid w:val="00513F7F"/>
    <w:rsid w:val="0051471C"/>
    <w:rsid w:val="00514EBA"/>
    <w:rsid w:val="00514EF3"/>
    <w:rsid w:val="005151DD"/>
    <w:rsid w:val="0051560D"/>
    <w:rsid w:val="00515619"/>
    <w:rsid w:val="00515712"/>
    <w:rsid w:val="00515CDF"/>
    <w:rsid w:val="00515FC2"/>
    <w:rsid w:val="005163DE"/>
    <w:rsid w:val="0051643C"/>
    <w:rsid w:val="00516A8E"/>
    <w:rsid w:val="00516E30"/>
    <w:rsid w:val="00516E89"/>
    <w:rsid w:val="0051750E"/>
    <w:rsid w:val="0051775E"/>
    <w:rsid w:val="00517829"/>
    <w:rsid w:val="005179B7"/>
    <w:rsid w:val="00517F9E"/>
    <w:rsid w:val="0052068A"/>
    <w:rsid w:val="00520CEB"/>
    <w:rsid w:val="00520E7A"/>
    <w:rsid w:val="00521218"/>
    <w:rsid w:val="005213F1"/>
    <w:rsid w:val="00521EAF"/>
    <w:rsid w:val="00521FF7"/>
    <w:rsid w:val="00522062"/>
    <w:rsid w:val="00522175"/>
    <w:rsid w:val="0052228F"/>
    <w:rsid w:val="005225EF"/>
    <w:rsid w:val="005228A4"/>
    <w:rsid w:val="00522C34"/>
    <w:rsid w:val="005232DD"/>
    <w:rsid w:val="00523906"/>
    <w:rsid w:val="005239F3"/>
    <w:rsid w:val="00523D9A"/>
    <w:rsid w:val="00523DC4"/>
    <w:rsid w:val="0052413A"/>
    <w:rsid w:val="005241AF"/>
    <w:rsid w:val="005242B7"/>
    <w:rsid w:val="00524342"/>
    <w:rsid w:val="0052488F"/>
    <w:rsid w:val="00524A58"/>
    <w:rsid w:val="00524E49"/>
    <w:rsid w:val="005251CE"/>
    <w:rsid w:val="005253D0"/>
    <w:rsid w:val="00525510"/>
    <w:rsid w:val="005256F5"/>
    <w:rsid w:val="005257D0"/>
    <w:rsid w:val="0052585B"/>
    <w:rsid w:val="005258B7"/>
    <w:rsid w:val="00526034"/>
    <w:rsid w:val="00526678"/>
    <w:rsid w:val="005267FB"/>
    <w:rsid w:val="00526910"/>
    <w:rsid w:val="00526B75"/>
    <w:rsid w:val="00526C5E"/>
    <w:rsid w:val="00526CD9"/>
    <w:rsid w:val="00526E43"/>
    <w:rsid w:val="00526F45"/>
    <w:rsid w:val="00526F75"/>
    <w:rsid w:val="00526F98"/>
    <w:rsid w:val="00526FE9"/>
    <w:rsid w:val="0052728D"/>
    <w:rsid w:val="0052761C"/>
    <w:rsid w:val="00530203"/>
    <w:rsid w:val="00530BDF"/>
    <w:rsid w:val="00530CB3"/>
    <w:rsid w:val="00530CEA"/>
    <w:rsid w:val="00530DC5"/>
    <w:rsid w:val="00530EE2"/>
    <w:rsid w:val="00530EED"/>
    <w:rsid w:val="00531A3F"/>
    <w:rsid w:val="00531AAB"/>
    <w:rsid w:val="00531AFD"/>
    <w:rsid w:val="0053223E"/>
    <w:rsid w:val="00532B8C"/>
    <w:rsid w:val="00532E0F"/>
    <w:rsid w:val="00532FB7"/>
    <w:rsid w:val="0053306E"/>
    <w:rsid w:val="005331F3"/>
    <w:rsid w:val="005334C8"/>
    <w:rsid w:val="00533776"/>
    <w:rsid w:val="005339E5"/>
    <w:rsid w:val="00533B3D"/>
    <w:rsid w:val="005347F2"/>
    <w:rsid w:val="00534ABD"/>
    <w:rsid w:val="00534E94"/>
    <w:rsid w:val="00535435"/>
    <w:rsid w:val="00535510"/>
    <w:rsid w:val="00535906"/>
    <w:rsid w:val="00535A8D"/>
    <w:rsid w:val="00535CD9"/>
    <w:rsid w:val="0053628A"/>
    <w:rsid w:val="0053628B"/>
    <w:rsid w:val="00536334"/>
    <w:rsid w:val="005364D8"/>
    <w:rsid w:val="005365D3"/>
    <w:rsid w:val="00536A94"/>
    <w:rsid w:val="0053748A"/>
    <w:rsid w:val="005377BE"/>
    <w:rsid w:val="00537C97"/>
    <w:rsid w:val="00541513"/>
    <w:rsid w:val="0054183C"/>
    <w:rsid w:val="0054190F"/>
    <w:rsid w:val="00541AF9"/>
    <w:rsid w:val="00541B21"/>
    <w:rsid w:val="00541C17"/>
    <w:rsid w:val="00541C73"/>
    <w:rsid w:val="00541D5B"/>
    <w:rsid w:val="00541FC2"/>
    <w:rsid w:val="0054216A"/>
    <w:rsid w:val="005421FA"/>
    <w:rsid w:val="00542536"/>
    <w:rsid w:val="005425AC"/>
    <w:rsid w:val="00542941"/>
    <w:rsid w:val="00542990"/>
    <w:rsid w:val="00542A32"/>
    <w:rsid w:val="00542EC7"/>
    <w:rsid w:val="00542F78"/>
    <w:rsid w:val="005436C6"/>
    <w:rsid w:val="00543CB6"/>
    <w:rsid w:val="005441F6"/>
    <w:rsid w:val="005444C9"/>
    <w:rsid w:val="00544749"/>
    <w:rsid w:val="00544A79"/>
    <w:rsid w:val="00544C30"/>
    <w:rsid w:val="00544F1D"/>
    <w:rsid w:val="00545267"/>
    <w:rsid w:val="0054556A"/>
    <w:rsid w:val="0054567A"/>
    <w:rsid w:val="00545BDC"/>
    <w:rsid w:val="00545E2C"/>
    <w:rsid w:val="00546231"/>
    <w:rsid w:val="0054625B"/>
    <w:rsid w:val="005464D0"/>
    <w:rsid w:val="0054685E"/>
    <w:rsid w:val="00546DEE"/>
    <w:rsid w:val="005471EA"/>
    <w:rsid w:val="005473FA"/>
    <w:rsid w:val="00547581"/>
    <w:rsid w:val="00547604"/>
    <w:rsid w:val="00547979"/>
    <w:rsid w:val="00547FB2"/>
    <w:rsid w:val="00550051"/>
    <w:rsid w:val="0055021C"/>
    <w:rsid w:val="00550498"/>
    <w:rsid w:val="00550874"/>
    <w:rsid w:val="00550A66"/>
    <w:rsid w:val="00550B77"/>
    <w:rsid w:val="00550D46"/>
    <w:rsid w:val="00550E47"/>
    <w:rsid w:val="00550EA6"/>
    <w:rsid w:val="005512ED"/>
    <w:rsid w:val="00551578"/>
    <w:rsid w:val="0055182B"/>
    <w:rsid w:val="00551841"/>
    <w:rsid w:val="00551850"/>
    <w:rsid w:val="00551A92"/>
    <w:rsid w:val="0055276A"/>
    <w:rsid w:val="00552944"/>
    <w:rsid w:val="005531B8"/>
    <w:rsid w:val="005534D1"/>
    <w:rsid w:val="00554227"/>
    <w:rsid w:val="00554274"/>
    <w:rsid w:val="00554505"/>
    <w:rsid w:val="0055467B"/>
    <w:rsid w:val="0055482A"/>
    <w:rsid w:val="0055491E"/>
    <w:rsid w:val="005553D8"/>
    <w:rsid w:val="00555524"/>
    <w:rsid w:val="005563D8"/>
    <w:rsid w:val="0055640F"/>
    <w:rsid w:val="005564C8"/>
    <w:rsid w:val="0055659B"/>
    <w:rsid w:val="0055677E"/>
    <w:rsid w:val="0055685D"/>
    <w:rsid w:val="00556B16"/>
    <w:rsid w:val="00557229"/>
    <w:rsid w:val="00557460"/>
    <w:rsid w:val="0055767C"/>
    <w:rsid w:val="00557A85"/>
    <w:rsid w:val="00557C4F"/>
    <w:rsid w:val="0056016C"/>
    <w:rsid w:val="0056030A"/>
    <w:rsid w:val="0056040A"/>
    <w:rsid w:val="00560ABD"/>
    <w:rsid w:val="00560CC6"/>
    <w:rsid w:val="005616E1"/>
    <w:rsid w:val="005619CB"/>
    <w:rsid w:val="00561CBD"/>
    <w:rsid w:val="00562010"/>
    <w:rsid w:val="005626FB"/>
    <w:rsid w:val="00562733"/>
    <w:rsid w:val="00562797"/>
    <w:rsid w:val="00562937"/>
    <w:rsid w:val="00562ACA"/>
    <w:rsid w:val="00562F0D"/>
    <w:rsid w:val="0056330D"/>
    <w:rsid w:val="00563E72"/>
    <w:rsid w:val="00564646"/>
    <w:rsid w:val="00564719"/>
    <w:rsid w:val="00564867"/>
    <w:rsid w:val="00564AD1"/>
    <w:rsid w:val="00564BD3"/>
    <w:rsid w:val="00564D06"/>
    <w:rsid w:val="00565369"/>
    <w:rsid w:val="00565483"/>
    <w:rsid w:val="00565895"/>
    <w:rsid w:val="00565B96"/>
    <w:rsid w:val="00565BD2"/>
    <w:rsid w:val="00565BFA"/>
    <w:rsid w:val="00565CF7"/>
    <w:rsid w:val="00565F86"/>
    <w:rsid w:val="005661CF"/>
    <w:rsid w:val="00566782"/>
    <w:rsid w:val="00566CBC"/>
    <w:rsid w:val="00567002"/>
    <w:rsid w:val="00567DCC"/>
    <w:rsid w:val="00567F04"/>
    <w:rsid w:val="00570144"/>
    <w:rsid w:val="0057024E"/>
    <w:rsid w:val="005702E5"/>
    <w:rsid w:val="00570468"/>
    <w:rsid w:val="00570999"/>
    <w:rsid w:val="00570E5A"/>
    <w:rsid w:val="00570EEB"/>
    <w:rsid w:val="0057127B"/>
    <w:rsid w:val="00571341"/>
    <w:rsid w:val="0057161D"/>
    <w:rsid w:val="00571BF6"/>
    <w:rsid w:val="005726CA"/>
    <w:rsid w:val="005726CB"/>
    <w:rsid w:val="00572CF5"/>
    <w:rsid w:val="00572DE8"/>
    <w:rsid w:val="00573342"/>
    <w:rsid w:val="005733A9"/>
    <w:rsid w:val="00573521"/>
    <w:rsid w:val="00573A4C"/>
    <w:rsid w:val="00573CEE"/>
    <w:rsid w:val="00573DB0"/>
    <w:rsid w:val="0057411E"/>
    <w:rsid w:val="005743C4"/>
    <w:rsid w:val="00574600"/>
    <w:rsid w:val="00574D2D"/>
    <w:rsid w:val="00574E41"/>
    <w:rsid w:val="00575355"/>
    <w:rsid w:val="00575623"/>
    <w:rsid w:val="005757A9"/>
    <w:rsid w:val="00575832"/>
    <w:rsid w:val="005758B0"/>
    <w:rsid w:val="00575982"/>
    <w:rsid w:val="00575A43"/>
    <w:rsid w:val="00575C6A"/>
    <w:rsid w:val="00575F4F"/>
    <w:rsid w:val="00575FF9"/>
    <w:rsid w:val="005761C1"/>
    <w:rsid w:val="005761FF"/>
    <w:rsid w:val="0057620F"/>
    <w:rsid w:val="0057622B"/>
    <w:rsid w:val="0057629D"/>
    <w:rsid w:val="0057713A"/>
    <w:rsid w:val="005771E7"/>
    <w:rsid w:val="00577A25"/>
    <w:rsid w:val="00577B2D"/>
    <w:rsid w:val="0058017D"/>
    <w:rsid w:val="00580226"/>
    <w:rsid w:val="005806E6"/>
    <w:rsid w:val="00580809"/>
    <w:rsid w:val="00580F6A"/>
    <w:rsid w:val="00580FC2"/>
    <w:rsid w:val="005810FE"/>
    <w:rsid w:val="0058162C"/>
    <w:rsid w:val="00581BEA"/>
    <w:rsid w:val="00581C98"/>
    <w:rsid w:val="00581F58"/>
    <w:rsid w:val="005822D8"/>
    <w:rsid w:val="00582825"/>
    <w:rsid w:val="00582837"/>
    <w:rsid w:val="00582896"/>
    <w:rsid w:val="00582ADF"/>
    <w:rsid w:val="00582AF2"/>
    <w:rsid w:val="00582CAB"/>
    <w:rsid w:val="00582D86"/>
    <w:rsid w:val="00582E8B"/>
    <w:rsid w:val="00582EAF"/>
    <w:rsid w:val="00582F1D"/>
    <w:rsid w:val="00583122"/>
    <w:rsid w:val="005832AF"/>
    <w:rsid w:val="00583360"/>
    <w:rsid w:val="00583777"/>
    <w:rsid w:val="00583B29"/>
    <w:rsid w:val="00583D63"/>
    <w:rsid w:val="005840B2"/>
    <w:rsid w:val="00584106"/>
    <w:rsid w:val="00584164"/>
    <w:rsid w:val="0058459A"/>
    <w:rsid w:val="0058473C"/>
    <w:rsid w:val="005847B3"/>
    <w:rsid w:val="005848AB"/>
    <w:rsid w:val="00584AF9"/>
    <w:rsid w:val="00584D32"/>
    <w:rsid w:val="005850C1"/>
    <w:rsid w:val="0058649B"/>
    <w:rsid w:val="00586800"/>
    <w:rsid w:val="00586A21"/>
    <w:rsid w:val="00586A31"/>
    <w:rsid w:val="00586D05"/>
    <w:rsid w:val="00586F02"/>
    <w:rsid w:val="00587089"/>
    <w:rsid w:val="0058745A"/>
    <w:rsid w:val="00590C9A"/>
    <w:rsid w:val="0059107C"/>
    <w:rsid w:val="00591100"/>
    <w:rsid w:val="005911A6"/>
    <w:rsid w:val="00591D58"/>
    <w:rsid w:val="00591EDF"/>
    <w:rsid w:val="005920F5"/>
    <w:rsid w:val="0059250E"/>
    <w:rsid w:val="005926BD"/>
    <w:rsid w:val="005926F9"/>
    <w:rsid w:val="00592BC3"/>
    <w:rsid w:val="00592DE7"/>
    <w:rsid w:val="0059338B"/>
    <w:rsid w:val="0059343F"/>
    <w:rsid w:val="005937D8"/>
    <w:rsid w:val="00593B88"/>
    <w:rsid w:val="00594318"/>
    <w:rsid w:val="00594661"/>
    <w:rsid w:val="00594AFF"/>
    <w:rsid w:val="00594BB9"/>
    <w:rsid w:val="00594D89"/>
    <w:rsid w:val="00594E8B"/>
    <w:rsid w:val="00595053"/>
    <w:rsid w:val="005952A1"/>
    <w:rsid w:val="0059567C"/>
    <w:rsid w:val="00595720"/>
    <w:rsid w:val="00595A32"/>
    <w:rsid w:val="00595B4D"/>
    <w:rsid w:val="00595B5E"/>
    <w:rsid w:val="00595DCD"/>
    <w:rsid w:val="00595FBC"/>
    <w:rsid w:val="00596D2C"/>
    <w:rsid w:val="0059712F"/>
    <w:rsid w:val="005971E0"/>
    <w:rsid w:val="00597468"/>
    <w:rsid w:val="00597B6B"/>
    <w:rsid w:val="00597C44"/>
    <w:rsid w:val="005A0858"/>
    <w:rsid w:val="005A0DE1"/>
    <w:rsid w:val="005A1960"/>
    <w:rsid w:val="005A1B56"/>
    <w:rsid w:val="005A1C39"/>
    <w:rsid w:val="005A2645"/>
    <w:rsid w:val="005A26B2"/>
    <w:rsid w:val="005A2B4B"/>
    <w:rsid w:val="005A2BAD"/>
    <w:rsid w:val="005A2D43"/>
    <w:rsid w:val="005A3571"/>
    <w:rsid w:val="005A3A92"/>
    <w:rsid w:val="005A3C8D"/>
    <w:rsid w:val="005A3F41"/>
    <w:rsid w:val="005A42C8"/>
    <w:rsid w:val="005A4AC6"/>
    <w:rsid w:val="005A4FF8"/>
    <w:rsid w:val="005A55C5"/>
    <w:rsid w:val="005A58BB"/>
    <w:rsid w:val="005A5C95"/>
    <w:rsid w:val="005A5CD1"/>
    <w:rsid w:val="005A60D1"/>
    <w:rsid w:val="005A6530"/>
    <w:rsid w:val="005A653F"/>
    <w:rsid w:val="005A6660"/>
    <w:rsid w:val="005A6A9F"/>
    <w:rsid w:val="005A6B1F"/>
    <w:rsid w:val="005A6C58"/>
    <w:rsid w:val="005A6DB5"/>
    <w:rsid w:val="005A722F"/>
    <w:rsid w:val="005A73B8"/>
    <w:rsid w:val="005A7441"/>
    <w:rsid w:val="005A7474"/>
    <w:rsid w:val="005A7544"/>
    <w:rsid w:val="005A780D"/>
    <w:rsid w:val="005A7C1F"/>
    <w:rsid w:val="005B0714"/>
    <w:rsid w:val="005B089F"/>
    <w:rsid w:val="005B0B6A"/>
    <w:rsid w:val="005B0E58"/>
    <w:rsid w:val="005B1100"/>
    <w:rsid w:val="005B12B4"/>
    <w:rsid w:val="005B133E"/>
    <w:rsid w:val="005B13EE"/>
    <w:rsid w:val="005B1D96"/>
    <w:rsid w:val="005B1F09"/>
    <w:rsid w:val="005B20D0"/>
    <w:rsid w:val="005B2145"/>
    <w:rsid w:val="005B21C7"/>
    <w:rsid w:val="005B270B"/>
    <w:rsid w:val="005B2C92"/>
    <w:rsid w:val="005B2E01"/>
    <w:rsid w:val="005B31D1"/>
    <w:rsid w:val="005B326F"/>
    <w:rsid w:val="005B3386"/>
    <w:rsid w:val="005B343A"/>
    <w:rsid w:val="005B3A83"/>
    <w:rsid w:val="005B4162"/>
    <w:rsid w:val="005B4466"/>
    <w:rsid w:val="005B47FD"/>
    <w:rsid w:val="005B4866"/>
    <w:rsid w:val="005B4EEE"/>
    <w:rsid w:val="005B5664"/>
    <w:rsid w:val="005B568C"/>
    <w:rsid w:val="005B588B"/>
    <w:rsid w:val="005B590D"/>
    <w:rsid w:val="005B5E5E"/>
    <w:rsid w:val="005B5FFF"/>
    <w:rsid w:val="005B609B"/>
    <w:rsid w:val="005B633F"/>
    <w:rsid w:val="005B67C6"/>
    <w:rsid w:val="005B68EB"/>
    <w:rsid w:val="005B6FE2"/>
    <w:rsid w:val="005B777D"/>
    <w:rsid w:val="005B7818"/>
    <w:rsid w:val="005B7F09"/>
    <w:rsid w:val="005C026F"/>
    <w:rsid w:val="005C06A1"/>
    <w:rsid w:val="005C0C4E"/>
    <w:rsid w:val="005C0C4F"/>
    <w:rsid w:val="005C10FE"/>
    <w:rsid w:val="005C12DB"/>
    <w:rsid w:val="005C1329"/>
    <w:rsid w:val="005C173F"/>
    <w:rsid w:val="005C179F"/>
    <w:rsid w:val="005C1BC5"/>
    <w:rsid w:val="005C1C97"/>
    <w:rsid w:val="005C2125"/>
    <w:rsid w:val="005C212C"/>
    <w:rsid w:val="005C2242"/>
    <w:rsid w:val="005C24C5"/>
    <w:rsid w:val="005C25D0"/>
    <w:rsid w:val="005C26CC"/>
    <w:rsid w:val="005C2B83"/>
    <w:rsid w:val="005C2EBC"/>
    <w:rsid w:val="005C41E8"/>
    <w:rsid w:val="005C4230"/>
    <w:rsid w:val="005C4352"/>
    <w:rsid w:val="005C4E7A"/>
    <w:rsid w:val="005C4E7E"/>
    <w:rsid w:val="005C4F1C"/>
    <w:rsid w:val="005C4F27"/>
    <w:rsid w:val="005C4F34"/>
    <w:rsid w:val="005C4F86"/>
    <w:rsid w:val="005C56D5"/>
    <w:rsid w:val="005C5A8C"/>
    <w:rsid w:val="005C5D22"/>
    <w:rsid w:val="005C5D3D"/>
    <w:rsid w:val="005C5F76"/>
    <w:rsid w:val="005C65F1"/>
    <w:rsid w:val="005C6935"/>
    <w:rsid w:val="005C6B4E"/>
    <w:rsid w:val="005C6BDC"/>
    <w:rsid w:val="005C6D10"/>
    <w:rsid w:val="005C7308"/>
    <w:rsid w:val="005C74F8"/>
    <w:rsid w:val="005C768D"/>
    <w:rsid w:val="005C7789"/>
    <w:rsid w:val="005C783B"/>
    <w:rsid w:val="005C78C5"/>
    <w:rsid w:val="005C7FBA"/>
    <w:rsid w:val="005D0382"/>
    <w:rsid w:val="005D07E8"/>
    <w:rsid w:val="005D13FD"/>
    <w:rsid w:val="005D149C"/>
    <w:rsid w:val="005D155A"/>
    <w:rsid w:val="005D1AC3"/>
    <w:rsid w:val="005D1C5E"/>
    <w:rsid w:val="005D1C7F"/>
    <w:rsid w:val="005D1D8D"/>
    <w:rsid w:val="005D2A39"/>
    <w:rsid w:val="005D2B82"/>
    <w:rsid w:val="005D36DD"/>
    <w:rsid w:val="005D3AEC"/>
    <w:rsid w:val="005D42DA"/>
    <w:rsid w:val="005D42DD"/>
    <w:rsid w:val="005D4627"/>
    <w:rsid w:val="005D4762"/>
    <w:rsid w:val="005D47F0"/>
    <w:rsid w:val="005D49EA"/>
    <w:rsid w:val="005D4D22"/>
    <w:rsid w:val="005D5512"/>
    <w:rsid w:val="005D5ACD"/>
    <w:rsid w:val="005D5CF8"/>
    <w:rsid w:val="005D5E11"/>
    <w:rsid w:val="005D6400"/>
    <w:rsid w:val="005D6B26"/>
    <w:rsid w:val="005D720D"/>
    <w:rsid w:val="005D7F78"/>
    <w:rsid w:val="005E00FF"/>
    <w:rsid w:val="005E045D"/>
    <w:rsid w:val="005E0D03"/>
    <w:rsid w:val="005E1520"/>
    <w:rsid w:val="005E18A2"/>
    <w:rsid w:val="005E18D5"/>
    <w:rsid w:val="005E197E"/>
    <w:rsid w:val="005E1CE8"/>
    <w:rsid w:val="005E2632"/>
    <w:rsid w:val="005E3845"/>
    <w:rsid w:val="005E39E4"/>
    <w:rsid w:val="005E417F"/>
    <w:rsid w:val="005E42C7"/>
    <w:rsid w:val="005E454A"/>
    <w:rsid w:val="005E45AB"/>
    <w:rsid w:val="005E471D"/>
    <w:rsid w:val="005E554C"/>
    <w:rsid w:val="005E572D"/>
    <w:rsid w:val="005E5F0B"/>
    <w:rsid w:val="005E6239"/>
    <w:rsid w:val="005E6397"/>
    <w:rsid w:val="005E64A3"/>
    <w:rsid w:val="005E694C"/>
    <w:rsid w:val="005E6999"/>
    <w:rsid w:val="005E6E51"/>
    <w:rsid w:val="005E75F1"/>
    <w:rsid w:val="005E7CD1"/>
    <w:rsid w:val="005F07D8"/>
    <w:rsid w:val="005F08D8"/>
    <w:rsid w:val="005F0E06"/>
    <w:rsid w:val="005F143D"/>
    <w:rsid w:val="005F1545"/>
    <w:rsid w:val="005F1EA6"/>
    <w:rsid w:val="005F244F"/>
    <w:rsid w:val="005F26DE"/>
    <w:rsid w:val="005F2953"/>
    <w:rsid w:val="005F2A34"/>
    <w:rsid w:val="005F313E"/>
    <w:rsid w:val="005F3177"/>
    <w:rsid w:val="005F352B"/>
    <w:rsid w:val="005F35DA"/>
    <w:rsid w:val="005F3BA9"/>
    <w:rsid w:val="005F3BE2"/>
    <w:rsid w:val="005F41FA"/>
    <w:rsid w:val="005F4414"/>
    <w:rsid w:val="005F453F"/>
    <w:rsid w:val="005F4687"/>
    <w:rsid w:val="005F4881"/>
    <w:rsid w:val="005F5204"/>
    <w:rsid w:val="005F58CB"/>
    <w:rsid w:val="005F59CA"/>
    <w:rsid w:val="005F5C5A"/>
    <w:rsid w:val="005F5CAB"/>
    <w:rsid w:val="005F5CCD"/>
    <w:rsid w:val="005F5E90"/>
    <w:rsid w:val="005F5F0A"/>
    <w:rsid w:val="005F60B1"/>
    <w:rsid w:val="005F6129"/>
    <w:rsid w:val="005F6956"/>
    <w:rsid w:val="005F700A"/>
    <w:rsid w:val="005F702C"/>
    <w:rsid w:val="005F71FE"/>
    <w:rsid w:val="005F7548"/>
    <w:rsid w:val="0060005D"/>
    <w:rsid w:val="006001A3"/>
    <w:rsid w:val="006004A2"/>
    <w:rsid w:val="006004D0"/>
    <w:rsid w:val="00600554"/>
    <w:rsid w:val="006007B9"/>
    <w:rsid w:val="00600922"/>
    <w:rsid w:val="00600A33"/>
    <w:rsid w:val="00600FCD"/>
    <w:rsid w:val="00601A35"/>
    <w:rsid w:val="00601D39"/>
    <w:rsid w:val="00602A0A"/>
    <w:rsid w:val="00602CBD"/>
    <w:rsid w:val="00602F29"/>
    <w:rsid w:val="00603772"/>
    <w:rsid w:val="00603E11"/>
    <w:rsid w:val="006040DE"/>
    <w:rsid w:val="00604AF9"/>
    <w:rsid w:val="00605047"/>
    <w:rsid w:val="006054A6"/>
    <w:rsid w:val="0060561C"/>
    <w:rsid w:val="00605BA6"/>
    <w:rsid w:val="00605BAF"/>
    <w:rsid w:val="00605C22"/>
    <w:rsid w:val="00605CBB"/>
    <w:rsid w:val="00605EA2"/>
    <w:rsid w:val="00606015"/>
    <w:rsid w:val="006064ED"/>
    <w:rsid w:val="00606561"/>
    <w:rsid w:val="00606600"/>
    <w:rsid w:val="00606812"/>
    <w:rsid w:val="006069F6"/>
    <w:rsid w:val="00606A26"/>
    <w:rsid w:val="00606A98"/>
    <w:rsid w:val="00606BD7"/>
    <w:rsid w:val="00606C4D"/>
    <w:rsid w:val="00606CCC"/>
    <w:rsid w:val="00607D76"/>
    <w:rsid w:val="00607F05"/>
    <w:rsid w:val="00610589"/>
    <w:rsid w:val="00610A51"/>
    <w:rsid w:val="00610B00"/>
    <w:rsid w:val="00610B6A"/>
    <w:rsid w:val="00610D91"/>
    <w:rsid w:val="00610E41"/>
    <w:rsid w:val="00610FCC"/>
    <w:rsid w:val="006110C3"/>
    <w:rsid w:val="006111FA"/>
    <w:rsid w:val="00611210"/>
    <w:rsid w:val="00611243"/>
    <w:rsid w:val="0061145F"/>
    <w:rsid w:val="006118DB"/>
    <w:rsid w:val="006120C3"/>
    <w:rsid w:val="006125AB"/>
    <w:rsid w:val="006128E7"/>
    <w:rsid w:val="006129FC"/>
    <w:rsid w:val="00612B05"/>
    <w:rsid w:val="00612D39"/>
    <w:rsid w:val="00612E10"/>
    <w:rsid w:val="00612FA2"/>
    <w:rsid w:val="0061307F"/>
    <w:rsid w:val="00613086"/>
    <w:rsid w:val="006130AC"/>
    <w:rsid w:val="006131B9"/>
    <w:rsid w:val="00613211"/>
    <w:rsid w:val="006132C3"/>
    <w:rsid w:val="0061345D"/>
    <w:rsid w:val="006138BB"/>
    <w:rsid w:val="00613C02"/>
    <w:rsid w:val="00613C1A"/>
    <w:rsid w:val="00613CBC"/>
    <w:rsid w:val="00614021"/>
    <w:rsid w:val="00614077"/>
    <w:rsid w:val="006145CA"/>
    <w:rsid w:val="006146FF"/>
    <w:rsid w:val="0061494B"/>
    <w:rsid w:val="006149AF"/>
    <w:rsid w:val="00614BBB"/>
    <w:rsid w:val="00614E8B"/>
    <w:rsid w:val="00615444"/>
    <w:rsid w:val="006154B9"/>
    <w:rsid w:val="0061598F"/>
    <w:rsid w:val="006160B5"/>
    <w:rsid w:val="0061627F"/>
    <w:rsid w:val="006164F5"/>
    <w:rsid w:val="00616678"/>
    <w:rsid w:val="006166CF"/>
    <w:rsid w:val="006168FC"/>
    <w:rsid w:val="00616E99"/>
    <w:rsid w:val="00616FF5"/>
    <w:rsid w:val="00617E43"/>
    <w:rsid w:val="00617F04"/>
    <w:rsid w:val="006205F7"/>
    <w:rsid w:val="0062079E"/>
    <w:rsid w:val="00620E9B"/>
    <w:rsid w:val="00621CA0"/>
    <w:rsid w:val="00622150"/>
    <w:rsid w:val="006224DB"/>
    <w:rsid w:val="00622851"/>
    <w:rsid w:val="00622C4F"/>
    <w:rsid w:val="00622D88"/>
    <w:rsid w:val="00622E88"/>
    <w:rsid w:val="0062341E"/>
    <w:rsid w:val="00623533"/>
    <w:rsid w:val="0062356E"/>
    <w:rsid w:val="006236EC"/>
    <w:rsid w:val="00623C3A"/>
    <w:rsid w:val="0062407A"/>
    <w:rsid w:val="00624815"/>
    <w:rsid w:val="006248E4"/>
    <w:rsid w:val="006254EC"/>
    <w:rsid w:val="00625674"/>
    <w:rsid w:val="006268F4"/>
    <w:rsid w:val="00627134"/>
    <w:rsid w:val="0062728D"/>
    <w:rsid w:val="006277D5"/>
    <w:rsid w:val="00627834"/>
    <w:rsid w:val="00627C17"/>
    <w:rsid w:val="00627C95"/>
    <w:rsid w:val="006302A5"/>
    <w:rsid w:val="00630354"/>
    <w:rsid w:val="00630741"/>
    <w:rsid w:val="00630DF8"/>
    <w:rsid w:val="00630EB2"/>
    <w:rsid w:val="00631DE7"/>
    <w:rsid w:val="00631F51"/>
    <w:rsid w:val="0063209B"/>
    <w:rsid w:val="00632242"/>
    <w:rsid w:val="006322B5"/>
    <w:rsid w:val="00632313"/>
    <w:rsid w:val="006324A8"/>
    <w:rsid w:val="00632A0A"/>
    <w:rsid w:val="00632C01"/>
    <w:rsid w:val="00633255"/>
    <w:rsid w:val="00633C07"/>
    <w:rsid w:val="00633E50"/>
    <w:rsid w:val="00634220"/>
    <w:rsid w:val="006346C6"/>
    <w:rsid w:val="00634866"/>
    <w:rsid w:val="006349D5"/>
    <w:rsid w:val="00634EFA"/>
    <w:rsid w:val="0063533D"/>
    <w:rsid w:val="006358C5"/>
    <w:rsid w:val="00636253"/>
    <w:rsid w:val="00637276"/>
    <w:rsid w:val="006373E2"/>
    <w:rsid w:val="00637728"/>
    <w:rsid w:val="00637AB5"/>
    <w:rsid w:val="00637C80"/>
    <w:rsid w:val="00637D8F"/>
    <w:rsid w:val="00637F81"/>
    <w:rsid w:val="00640284"/>
    <w:rsid w:val="00640446"/>
    <w:rsid w:val="006405C3"/>
    <w:rsid w:val="006405CF"/>
    <w:rsid w:val="00640A7A"/>
    <w:rsid w:val="0064110F"/>
    <w:rsid w:val="0064133A"/>
    <w:rsid w:val="0064168B"/>
    <w:rsid w:val="006416F1"/>
    <w:rsid w:val="006419DB"/>
    <w:rsid w:val="00642286"/>
    <w:rsid w:val="0064253D"/>
    <w:rsid w:val="00642A4C"/>
    <w:rsid w:val="00642ABC"/>
    <w:rsid w:val="00642EB7"/>
    <w:rsid w:val="006431E0"/>
    <w:rsid w:val="00643A6E"/>
    <w:rsid w:val="00643D87"/>
    <w:rsid w:val="00644209"/>
    <w:rsid w:val="00644621"/>
    <w:rsid w:val="0064477D"/>
    <w:rsid w:val="00644ECC"/>
    <w:rsid w:val="006450A6"/>
    <w:rsid w:val="0064513A"/>
    <w:rsid w:val="006451A0"/>
    <w:rsid w:val="006456AF"/>
    <w:rsid w:val="006459B4"/>
    <w:rsid w:val="00645D10"/>
    <w:rsid w:val="00645D32"/>
    <w:rsid w:val="006464BD"/>
    <w:rsid w:val="0064713E"/>
    <w:rsid w:val="00647376"/>
    <w:rsid w:val="0064750E"/>
    <w:rsid w:val="0064780A"/>
    <w:rsid w:val="00647A53"/>
    <w:rsid w:val="00647FCE"/>
    <w:rsid w:val="0065020C"/>
    <w:rsid w:val="00650254"/>
    <w:rsid w:val="006503F3"/>
    <w:rsid w:val="00650AB1"/>
    <w:rsid w:val="00650EC2"/>
    <w:rsid w:val="006512BA"/>
    <w:rsid w:val="0065171D"/>
    <w:rsid w:val="0065245D"/>
    <w:rsid w:val="0065263A"/>
    <w:rsid w:val="00652C10"/>
    <w:rsid w:val="00653358"/>
    <w:rsid w:val="00653769"/>
    <w:rsid w:val="00653E79"/>
    <w:rsid w:val="006541F2"/>
    <w:rsid w:val="00654272"/>
    <w:rsid w:val="00654540"/>
    <w:rsid w:val="00654858"/>
    <w:rsid w:val="00654F17"/>
    <w:rsid w:val="00654F2E"/>
    <w:rsid w:val="00655190"/>
    <w:rsid w:val="00655288"/>
    <w:rsid w:val="006559C3"/>
    <w:rsid w:val="00655A2E"/>
    <w:rsid w:val="00655CE8"/>
    <w:rsid w:val="00655DE7"/>
    <w:rsid w:val="00655E2F"/>
    <w:rsid w:val="00655E97"/>
    <w:rsid w:val="00656097"/>
    <w:rsid w:val="006561EA"/>
    <w:rsid w:val="00656216"/>
    <w:rsid w:val="00656368"/>
    <w:rsid w:val="00656DF7"/>
    <w:rsid w:val="00657091"/>
    <w:rsid w:val="00657193"/>
    <w:rsid w:val="006571FE"/>
    <w:rsid w:val="006572AD"/>
    <w:rsid w:val="00657562"/>
    <w:rsid w:val="00657864"/>
    <w:rsid w:val="00657C57"/>
    <w:rsid w:val="00657ED6"/>
    <w:rsid w:val="00657EE8"/>
    <w:rsid w:val="0066024C"/>
    <w:rsid w:val="006603F9"/>
    <w:rsid w:val="006606DC"/>
    <w:rsid w:val="00660A21"/>
    <w:rsid w:val="00660ABF"/>
    <w:rsid w:val="006615A9"/>
    <w:rsid w:val="006617E0"/>
    <w:rsid w:val="00661DCB"/>
    <w:rsid w:val="00661FA5"/>
    <w:rsid w:val="0066244E"/>
    <w:rsid w:val="006627CE"/>
    <w:rsid w:val="00662808"/>
    <w:rsid w:val="006629CB"/>
    <w:rsid w:val="00662EA6"/>
    <w:rsid w:val="006632FF"/>
    <w:rsid w:val="0066347B"/>
    <w:rsid w:val="006635B3"/>
    <w:rsid w:val="006636F1"/>
    <w:rsid w:val="00663764"/>
    <w:rsid w:val="00663779"/>
    <w:rsid w:val="006639A0"/>
    <w:rsid w:val="006639BD"/>
    <w:rsid w:val="00663A03"/>
    <w:rsid w:val="00663CFE"/>
    <w:rsid w:val="00663DC4"/>
    <w:rsid w:val="00663EE4"/>
    <w:rsid w:val="006642C8"/>
    <w:rsid w:val="00664355"/>
    <w:rsid w:val="006648E0"/>
    <w:rsid w:val="00664A23"/>
    <w:rsid w:val="0066571C"/>
    <w:rsid w:val="00665A9A"/>
    <w:rsid w:val="00665EC4"/>
    <w:rsid w:val="00666078"/>
    <w:rsid w:val="006661F1"/>
    <w:rsid w:val="0066649E"/>
    <w:rsid w:val="0066653A"/>
    <w:rsid w:val="00666877"/>
    <w:rsid w:val="006668D4"/>
    <w:rsid w:val="00666DD2"/>
    <w:rsid w:val="00666DD8"/>
    <w:rsid w:val="00666E37"/>
    <w:rsid w:val="00666E5E"/>
    <w:rsid w:val="006670AD"/>
    <w:rsid w:val="0066734B"/>
    <w:rsid w:val="0066761B"/>
    <w:rsid w:val="00667749"/>
    <w:rsid w:val="006679D9"/>
    <w:rsid w:val="00667DD2"/>
    <w:rsid w:val="00667ED3"/>
    <w:rsid w:val="00667FFE"/>
    <w:rsid w:val="006700C5"/>
    <w:rsid w:val="00670305"/>
    <w:rsid w:val="0067053F"/>
    <w:rsid w:val="00670604"/>
    <w:rsid w:val="00670A5C"/>
    <w:rsid w:val="00670CEB"/>
    <w:rsid w:val="00670F43"/>
    <w:rsid w:val="006711D5"/>
    <w:rsid w:val="00672071"/>
    <w:rsid w:val="0067225B"/>
    <w:rsid w:val="00672437"/>
    <w:rsid w:val="00672539"/>
    <w:rsid w:val="0067260F"/>
    <w:rsid w:val="00672A71"/>
    <w:rsid w:val="00672FFB"/>
    <w:rsid w:val="00673139"/>
    <w:rsid w:val="006738C9"/>
    <w:rsid w:val="00673956"/>
    <w:rsid w:val="00673BFE"/>
    <w:rsid w:val="00673D3F"/>
    <w:rsid w:val="00673F1B"/>
    <w:rsid w:val="00674169"/>
    <w:rsid w:val="00674972"/>
    <w:rsid w:val="00674E16"/>
    <w:rsid w:val="00675243"/>
    <w:rsid w:val="006755B1"/>
    <w:rsid w:val="006756BE"/>
    <w:rsid w:val="006760E3"/>
    <w:rsid w:val="0067611C"/>
    <w:rsid w:val="006768B4"/>
    <w:rsid w:val="00676DD0"/>
    <w:rsid w:val="0067719D"/>
    <w:rsid w:val="0067740A"/>
    <w:rsid w:val="00677551"/>
    <w:rsid w:val="0067775E"/>
    <w:rsid w:val="00677876"/>
    <w:rsid w:val="006778D5"/>
    <w:rsid w:val="006779CF"/>
    <w:rsid w:val="00680276"/>
    <w:rsid w:val="00680621"/>
    <w:rsid w:val="00680759"/>
    <w:rsid w:val="00680D14"/>
    <w:rsid w:val="00681003"/>
    <w:rsid w:val="00681A4D"/>
    <w:rsid w:val="00681C3B"/>
    <w:rsid w:val="00681DAE"/>
    <w:rsid w:val="00681F5A"/>
    <w:rsid w:val="006832F4"/>
    <w:rsid w:val="00683BED"/>
    <w:rsid w:val="00684BBE"/>
    <w:rsid w:val="00684C84"/>
    <w:rsid w:val="00684CAA"/>
    <w:rsid w:val="0068548B"/>
    <w:rsid w:val="006859FC"/>
    <w:rsid w:val="00685BE0"/>
    <w:rsid w:val="00685E43"/>
    <w:rsid w:val="00686B03"/>
    <w:rsid w:val="00686B57"/>
    <w:rsid w:val="00686F62"/>
    <w:rsid w:val="00687940"/>
    <w:rsid w:val="0069008D"/>
    <w:rsid w:val="00690456"/>
    <w:rsid w:val="00690D5F"/>
    <w:rsid w:val="00691974"/>
    <w:rsid w:val="00691A1C"/>
    <w:rsid w:val="00691A58"/>
    <w:rsid w:val="00691FCC"/>
    <w:rsid w:val="00692637"/>
    <w:rsid w:val="00692780"/>
    <w:rsid w:val="00692AF5"/>
    <w:rsid w:val="00693097"/>
    <w:rsid w:val="006930EE"/>
    <w:rsid w:val="006939E9"/>
    <w:rsid w:val="00693B60"/>
    <w:rsid w:val="00693E57"/>
    <w:rsid w:val="00693F7C"/>
    <w:rsid w:val="006940CC"/>
    <w:rsid w:val="00694310"/>
    <w:rsid w:val="0069453A"/>
    <w:rsid w:val="006948AC"/>
    <w:rsid w:val="00694B5F"/>
    <w:rsid w:val="00694DAD"/>
    <w:rsid w:val="00694FC5"/>
    <w:rsid w:val="00695817"/>
    <w:rsid w:val="00695BA4"/>
    <w:rsid w:val="00695E6C"/>
    <w:rsid w:val="00695E79"/>
    <w:rsid w:val="00696321"/>
    <w:rsid w:val="00696416"/>
    <w:rsid w:val="006969D3"/>
    <w:rsid w:val="00696D57"/>
    <w:rsid w:val="00696F04"/>
    <w:rsid w:val="0069713D"/>
    <w:rsid w:val="006976F4"/>
    <w:rsid w:val="00697705"/>
    <w:rsid w:val="00697A54"/>
    <w:rsid w:val="00697E27"/>
    <w:rsid w:val="00697FA6"/>
    <w:rsid w:val="006A00EC"/>
    <w:rsid w:val="006A063A"/>
    <w:rsid w:val="006A0888"/>
    <w:rsid w:val="006A0AC1"/>
    <w:rsid w:val="006A12A8"/>
    <w:rsid w:val="006A12A9"/>
    <w:rsid w:val="006A14B0"/>
    <w:rsid w:val="006A169D"/>
    <w:rsid w:val="006A18A0"/>
    <w:rsid w:val="006A1CEF"/>
    <w:rsid w:val="006A1DE8"/>
    <w:rsid w:val="006A20A4"/>
    <w:rsid w:val="006A26E5"/>
    <w:rsid w:val="006A2DA6"/>
    <w:rsid w:val="006A3070"/>
    <w:rsid w:val="006A333F"/>
    <w:rsid w:val="006A33DC"/>
    <w:rsid w:val="006A3461"/>
    <w:rsid w:val="006A390C"/>
    <w:rsid w:val="006A3D55"/>
    <w:rsid w:val="006A3E1C"/>
    <w:rsid w:val="006A3E70"/>
    <w:rsid w:val="006A44CD"/>
    <w:rsid w:val="006A4EE2"/>
    <w:rsid w:val="006A5089"/>
    <w:rsid w:val="006A5514"/>
    <w:rsid w:val="006A6023"/>
    <w:rsid w:val="006A64B5"/>
    <w:rsid w:val="006A67F0"/>
    <w:rsid w:val="006A6AD0"/>
    <w:rsid w:val="006A6E76"/>
    <w:rsid w:val="006A7798"/>
    <w:rsid w:val="006A783F"/>
    <w:rsid w:val="006A7B7B"/>
    <w:rsid w:val="006B0034"/>
    <w:rsid w:val="006B00B8"/>
    <w:rsid w:val="006B0166"/>
    <w:rsid w:val="006B02F4"/>
    <w:rsid w:val="006B05C6"/>
    <w:rsid w:val="006B06ED"/>
    <w:rsid w:val="006B0A13"/>
    <w:rsid w:val="006B0C56"/>
    <w:rsid w:val="006B11EA"/>
    <w:rsid w:val="006B1B64"/>
    <w:rsid w:val="006B1B8E"/>
    <w:rsid w:val="006B1BC4"/>
    <w:rsid w:val="006B1D44"/>
    <w:rsid w:val="006B2760"/>
    <w:rsid w:val="006B2CCC"/>
    <w:rsid w:val="006B2CE5"/>
    <w:rsid w:val="006B2DF6"/>
    <w:rsid w:val="006B3783"/>
    <w:rsid w:val="006B3A3E"/>
    <w:rsid w:val="006B3D71"/>
    <w:rsid w:val="006B3D7B"/>
    <w:rsid w:val="006B3DD2"/>
    <w:rsid w:val="006B4A61"/>
    <w:rsid w:val="006B4DF1"/>
    <w:rsid w:val="006B4FFA"/>
    <w:rsid w:val="006B5231"/>
    <w:rsid w:val="006B55F7"/>
    <w:rsid w:val="006B566E"/>
    <w:rsid w:val="006B5678"/>
    <w:rsid w:val="006B584D"/>
    <w:rsid w:val="006B5892"/>
    <w:rsid w:val="006B643A"/>
    <w:rsid w:val="006B650E"/>
    <w:rsid w:val="006B671F"/>
    <w:rsid w:val="006B6AAB"/>
    <w:rsid w:val="006B73D6"/>
    <w:rsid w:val="006B77C3"/>
    <w:rsid w:val="006B7A6B"/>
    <w:rsid w:val="006C000E"/>
    <w:rsid w:val="006C02B6"/>
    <w:rsid w:val="006C035E"/>
    <w:rsid w:val="006C075E"/>
    <w:rsid w:val="006C116B"/>
    <w:rsid w:val="006C11B1"/>
    <w:rsid w:val="006C14AC"/>
    <w:rsid w:val="006C1738"/>
    <w:rsid w:val="006C181F"/>
    <w:rsid w:val="006C1C1E"/>
    <w:rsid w:val="006C1EB8"/>
    <w:rsid w:val="006C2539"/>
    <w:rsid w:val="006C27FF"/>
    <w:rsid w:val="006C2E63"/>
    <w:rsid w:val="006C34BA"/>
    <w:rsid w:val="006C35E0"/>
    <w:rsid w:val="006C3961"/>
    <w:rsid w:val="006C3CE4"/>
    <w:rsid w:val="006C3DCE"/>
    <w:rsid w:val="006C4422"/>
    <w:rsid w:val="006C470A"/>
    <w:rsid w:val="006C475C"/>
    <w:rsid w:val="006C57B7"/>
    <w:rsid w:val="006C5BA2"/>
    <w:rsid w:val="006C5D5B"/>
    <w:rsid w:val="006C6D58"/>
    <w:rsid w:val="006C6DFA"/>
    <w:rsid w:val="006C7FCF"/>
    <w:rsid w:val="006C7FE1"/>
    <w:rsid w:val="006D04AC"/>
    <w:rsid w:val="006D06EE"/>
    <w:rsid w:val="006D0C1D"/>
    <w:rsid w:val="006D0E6B"/>
    <w:rsid w:val="006D0E8C"/>
    <w:rsid w:val="006D1684"/>
    <w:rsid w:val="006D1DAD"/>
    <w:rsid w:val="006D2090"/>
    <w:rsid w:val="006D2793"/>
    <w:rsid w:val="006D2AC3"/>
    <w:rsid w:val="006D2EAF"/>
    <w:rsid w:val="006D30B8"/>
    <w:rsid w:val="006D3368"/>
    <w:rsid w:val="006D3597"/>
    <w:rsid w:val="006D36FD"/>
    <w:rsid w:val="006D410D"/>
    <w:rsid w:val="006D4821"/>
    <w:rsid w:val="006D4D01"/>
    <w:rsid w:val="006D4D02"/>
    <w:rsid w:val="006D517A"/>
    <w:rsid w:val="006D5A56"/>
    <w:rsid w:val="006D5B39"/>
    <w:rsid w:val="006D5FDA"/>
    <w:rsid w:val="006D6340"/>
    <w:rsid w:val="006D6A89"/>
    <w:rsid w:val="006D6DA9"/>
    <w:rsid w:val="006D76EC"/>
    <w:rsid w:val="006E0396"/>
    <w:rsid w:val="006E04FC"/>
    <w:rsid w:val="006E0807"/>
    <w:rsid w:val="006E0C97"/>
    <w:rsid w:val="006E1493"/>
    <w:rsid w:val="006E1512"/>
    <w:rsid w:val="006E1C1B"/>
    <w:rsid w:val="006E1D0C"/>
    <w:rsid w:val="006E1F6F"/>
    <w:rsid w:val="006E2090"/>
    <w:rsid w:val="006E3015"/>
    <w:rsid w:val="006E30B4"/>
    <w:rsid w:val="006E3679"/>
    <w:rsid w:val="006E3994"/>
    <w:rsid w:val="006E3F08"/>
    <w:rsid w:val="006E4064"/>
    <w:rsid w:val="006E40B8"/>
    <w:rsid w:val="006E4146"/>
    <w:rsid w:val="006E4207"/>
    <w:rsid w:val="006E43F5"/>
    <w:rsid w:val="006E5017"/>
    <w:rsid w:val="006E5145"/>
    <w:rsid w:val="006E538E"/>
    <w:rsid w:val="006E5C42"/>
    <w:rsid w:val="006E5F42"/>
    <w:rsid w:val="006E6094"/>
    <w:rsid w:val="006E63C9"/>
    <w:rsid w:val="006E6575"/>
    <w:rsid w:val="006E6BC6"/>
    <w:rsid w:val="006E6E2A"/>
    <w:rsid w:val="006E6F6D"/>
    <w:rsid w:val="006E6F88"/>
    <w:rsid w:val="006E7360"/>
    <w:rsid w:val="006E7A30"/>
    <w:rsid w:val="006E7B30"/>
    <w:rsid w:val="006E7C52"/>
    <w:rsid w:val="006E7CCF"/>
    <w:rsid w:val="006E7E01"/>
    <w:rsid w:val="006F029F"/>
    <w:rsid w:val="006F045F"/>
    <w:rsid w:val="006F0F29"/>
    <w:rsid w:val="006F1403"/>
    <w:rsid w:val="006F19CF"/>
    <w:rsid w:val="006F1B8F"/>
    <w:rsid w:val="006F1DC7"/>
    <w:rsid w:val="006F1EA6"/>
    <w:rsid w:val="006F1F75"/>
    <w:rsid w:val="006F2765"/>
    <w:rsid w:val="006F2A53"/>
    <w:rsid w:val="006F2AEE"/>
    <w:rsid w:val="006F2B47"/>
    <w:rsid w:val="006F2DF1"/>
    <w:rsid w:val="006F36B8"/>
    <w:rsid w:val="006F3F8A"/>
    <w:rsid w:val="006F4611"/>
    <w:rsid w:val="006F4658"/>
    <w:rsid w:val="006F4B89"/>
    <w:rsid w:val="006F4DBF"/>
    <w:rsid w:val="006F50EC"/>
    <w:rsid w:val="006F575D"/>
    <w:rsid w:val="006F5D06"/>
    <w:rsid w:val="006F5FF0"/>
    <w:rsid w:val="006F6496"/>
    <w:rsid w:val="006F65A8"/>
    <w:rsid w:val="006F6816"/>
    <w:rsid w:val="006F690E"/>
    <w:rsid w:val="006F7857"/>
    <w:rsid w:val="006F7C42"/>
    <w:rsid w:val="006F7F7E"/>
    <w:rsid w:val="00700088"/>
    <w:rsid w:val="007003F1"/>
    <w:rsid w:val="00700455"/>
    <w:rsid w:val="00700C6A"/>
    <w:rsid w:val="00700FF2"/>
    <w:rsid w:val="007010DC"/>
    <w:rsid w:val="007011D9"/>
    <w:rsid w:val="0070153E"/>
    <w:rsid w:val="00701606"/>
    <w:rsid w:val="00701A74"/>
    <w:rsid w:val="00701DF1"/>
    <w:rsid w:val="00701E6E"/>
    <w:rsid w:val="00702353"/>
    <w:rsid w:val="00702823"/>
    <w:rsid w:val="00702937"/>
    <w:rsid w:val="00702B7E"/>
    <w:rsid w:val="00702CF6"/>
    <w:rsid w:val="007030F0"/>
    <w:rsid w:val="00703520"/>
    <w:rsid w:val="00703562"/>
    <w:rsid w:val="007038D0"/>
    <w:rsid w:val="0070398F"/>
    <w:rsid w:val="00703E70"/>
    <w:rsid w:val="007043FE"/>
    <w:rsid w:val="00704468"/>
    <w:rsid w:val="00704653"/>
    <w:rsid w:val="0070487E"/>
    <w:rsid w:val="00704941"/>
    <w:rsid w:val="00704A77"/>
    <w:rsid w:val="00705648"/>
    <w:rsid w:val="007057E2"/>
    <w:rsid w:val="007058C1"/>
    <w:rsid w:val="00705B39"/>
    <w:rsid w:val="007068D3"/>
    <w:rsid w:val="00706988"/>
    <w:rsid w:val="00706B51"/>
    <w:rsid w:val="00706E9B"/>
    <w:rsid w:val="0070700F"/>
    <w:rsid w:val="00707551"/>
    <w:rsid w:val="0070767F"/>
    <w:rsid w:val="00707E75"/>
    <w:rsid w:val="00707EE5"/>
    <w:rsid w:val="00707F65"/>
    <w:rsid w:val="00707FCB"/>
    <w:rsid w:val="00710111"/>
    <w:rsid w:val="00710351"/>
    <w:rsid w:val="00710393"/>
    <w:rsid w:val="0071065D"/>
    <w:rsid w:val="007107CE"/>
    <w:rsid w:val="00710B7C"/>
    <w:rsid w:val="00710BDF"/>
    <w:rsid w:val="00710E85"/>
    <w:rsid w:val="00711515"/>
    <w:rsid w:val="00711764"/>
    <w:rsid w:val="00712051"/>
    <w:rsid w:val="00712854"/>
    <w:rsid w:val="00712E1D"/>
    <w:rsid w:val="007131D8"/>
    <w:rsid w:val="00713A21"/>
    <w:rsid w:val="00713DD1"/>
    <w:rsid w:val="0071425B"/>
    <w:rsid w:val="007143ED"/>
    <w:rsid w:val="00714D2F"/>
    <w:rsid w:val="007159C6"/>
    <w:rsid w:val="00715D65"/>
    <w:rsid w:val="007169A0"/>
    <w:rsid w:val="00716B70"/>
    <w:rsid w:val="0071725F"/>
    <w:rsid w:val="007175B6"/>
    <w:rsid w:val="00720D0E"/>
    <w:rsid w:val="0072107F"/>
    <w:rsid w:val="0072158E"/>
    <w:rsid w:val="0072166C"/>
    <w:rsid w:val="007216EA"/>
    <w:rsid w:val="00721BFF"/>
    <w:rsid w:val="00721C90"/>
    <w:rsid w:val="00721F7B"/>
    <w:rsid w:val="007222CB"/>
    <w:rsid w:val="007225AC"/>
    <w:rsid w:val="00722A8F"/>
    <w:rsid w:val="00722DE5"/>
    <w:rsid w:val="00722E45"/>
    <w:rsid w:val="0072325C"/>
    <w:rsid w:val="0072340E"/>
    <w:rsid w:val="00723639"/>
    <w:rsid w:val="00723776"/>
    <w:rsid w:val="00723D30"/>
    <w:rsid w:val="00723D33"/>
    <w:rsid w:val="00723F98"/>
    <w:rsid w:val="007241E4"/>
    <w:rsid w:val="007247B8"/>
    <w:rsid w:val="007248B8"/>
    <w:rsid w:val="00724B76"/>
    <w:rsid w:val="00724E05"/>
    <w:rsid w:val="00724F57"/>
    <w:rsid w:val="0072516C"/>
    <w:rsid w:val="007257E5"/>
    <w:rsid w:val="00725856"/>
    <w:rsid w:val="00725A7F"/>
    <w:rsid w:val="00725CDD"/>
    <w:rsid w:val="007261D4"/>
    <w:rsid w:val="0072639B"/>
    <w:rsid w:val="007272BC"/>
    <w:rsid w:val="007274EF"/>
    <w:rsid w:val="00727B94"/>
    <w:rsid w:val="00731639"/>
    <w:rsid w:val="007317BA"/>
    <w:rsid w:val="00731C6D"/>
    <w:rsid w:val="007320B4"/>
    <w:rsid w:val="00732271"/>
    <w:rsid w:val="00733082"/>
    <w:rsid w:val="00733195"/>
    <w:rsid w:val="007331CE"/>
    <w:rsid w:val="0073331E"/>
    <w:rsid w:val="0073338D"/>
    <w:rsid w:val="00733592"/>
    <w:rsid w:val="007335BC"/>
    <w:rsid w:val="00733697"/>
    <w:rsid w:val="00733B5A"/>
    <w:rsid w:val="00733E1E"/>
    <w:rsid w:val="00734550"/>
    <w:rsid w:val="00734929"/>
    <w:rsid w:val="00734B75"/>
    <w:rsid w:val="00734DF7"/>
    <w:rsid w:val="00734FD2"/>
    <w:rsid w:val="00735B73"/>
    <w:rsid w:val="00735BE3"/>
    <w:rsid w:val="00735BE8"/>
    <w:rsid w:val="0073673F"/>
    <w:rsid w:val="007367C7"/>
    <w:rsid w:val="00736FB3"/>
    <w:rsid w:val="00737041"/>
    <w:rsid w:val="00737138"/>
    <w:rsid w:val="00737304"/>
    <w:rsid w:val="00737523"/>
    <w:rsid w:val="00737AAE"/>
    <w:rsid w:val="00737EE2"/>
    <w:rsid w:val="00737FE0"/>
    <w:rsid w:val="00740240"/>
    <w:rsid w:val="007405E5"/>
    <w:rsid w:val="007406CE"/>
    <w:rsid w:val="007407A8"/>
    <w:rsid w:val="00740A34"/>
    <w:rsid w:val="00740D2B"/>
    <w:rsid w:val="00741301"/>
    <w:rsid w:val="00741347"/>
    <w:rsid w:val="00741558"/>
    <w:rsid w:val="0074163D"/>
    <w:rsid w:val="00741953"/>
    <w:rsid w:val="00742710"/>
    <w:rsid w:val="007427DB"/>
    <w:rsid w:val="00742914"/>
    <w:rsid w:val="00742A2A"/>
    <w:rsid w:val="00742B37"/>
    <w:rsid w:val="007433B9"/>
    <w:rsid w:val="00743758"/>
    <w:rsid w:val="00743EB9"/>
    <w:rsid w:val="007445EA"/>
    <w:rsid w:val="00744962"/>
    <w:rsid w:val="00744DFA"/>
    <w:rsid w:val="007452CE"/>
    <w:rsid w:val="007454D7"/>
    <w:rsid w:val="0074550F"/>
    <w:rsid w:val="007459CB"/>
    <w:rsid w:val="00745AC2"/>
    <w:rsid w:val="00745AD1"/>
    <w:rsid w:val="00745F41"/>
    <w:rsid w:val="007460A6"/>
    <w:rsid w:val="007466DC"/>
    <w:rsid w:val="0074675B"/>
    <w:rsid w:val="007468B1"/>
    <w:rsid w:val="00746955"/>
    <w:rsid w:val="00746A35"/>
    <w:rsid w:val="00746B35"/>
    <w:rsid w:val="00747563"/>
    <w:rsid w:val="00747D01"/>
    <w:rsid w:val="00747E61"/>
    <w:rsid w:val="007501C8"/>
    <w:rsid w:val="00750387"/>
    <w:rsid w:val="00750AAB"/>
    <w:rsid w:val="007511C1"/>
    <w:rsid w:val="007515B6"/>
    <w:rsid w:val="00751607"/>
    <w:rsid w:val="00751BAB"/>
    <w:rsid w:val="0075276D"/>
    <w:rsid w:val="00752E2A"/>
    <w:rsid w:val="00752E5B"/>
    <w:rsid w:val="00752F2F"/>
    <w:rsid w:val="0075308C"/>
    <w:rsid w:val="00753309"/>
    <w:rsid w:val="00753375"/>
    <w:rsid w:val="007533AD"/>
    <w:rsid w:val="00753ADA"/>
    <w:rsid w:val="00753BB1"/>
    <w:rsid w:val="00753E3F"/>
    <w:rsid w:val="00753FC7"/>
    <w:rsid w:val="00754382"/>
    <w:rsid w:val="007543FE"/>
    <w:rsid w:val="00754852"/>
    <w:rsid w:val="007552F6"/>
    <w:rsid w:val="0075559D"/>
    <w:rsid w:val="0075571F"/>
    <w:rsid w:val="007557D6"/>
    <w:rsid w:val="007563E8"/>
    <w:rsid w:val="00756505"/>
    <w:rsid w:val="00756BBA"/>
    <w:rsid w:val="00757629"/>
    <w:rsid w:val="00757859"/>
    <w:rsid w:val="00760852"/>
    <w:rsid w:val="00760992"/>
    <w:rsid w:val="007613F4"/>
    <w:rsid w:val="0076197A"/>
    <w:rsid w:val="00761A06"/>
    <w:rsid w:val="00761CD2"/>
    <w:rsid w:val="00761D42"/>
    <w:rsid w:val="00761DE6"/>
    <w:rsid w:val="0076242F"/>
    <w:rsid w:val="00762603"/>
    <w:rsid w:val="0076263C"/>
    <w:rsid w:val="007626BC"/>
    <w:rsid w:val="00762B71"/>
    <w:rsid w:val="007634D6"/>
    <w:rsid w:val="00763A03"/>
    <w:rsid w:val="00763AEA"/>
    <w:rsid w:val="00763CAD"/>
    <w:rsid w:val="00763CDD"/>
    <w:rsid w:val="00764243"/>
    <w:rsid w:val="0076435A"/>
    <w:rsid w:val="007648AA"/>
    <w:rsid w:val="00764A61"/>
    <w:rsid w:val="00765965"/>
    <w:rsid w:val="00765CF9"/>
    <w:rsid w:val="0076601B"/>
    <w:rsid w:val="007661C9"/>
    <w:rsid w:val="0076653F"/>
    <w:rsid w:val="00766D64"/>
    <w:rsid w:val="00767683"/>
    <w:rsid w:val="007679AE"/>
    <w:rsid w:val="00767C2E"/>
    <w:rsid w:val="00767FF8"/>
    <w:rsid w:val="00770259"/>
    <w:rsid w:val="00770460"/>
    <w:rsid w:val="0077084B"/>
    <w:rsid w:val="00771363"/>
    <w:rsid w:val="00771593"/>
    <w:rsid w:val="007717CD"/>
    <w:rsid w:val="0077190D"/>
    <w:rsid w:val="00771B0E"/>
    <w:rsid w:val="00771C27"/>
    <w:rsid w:val="00771E47"/>
    <w:rsid w:val="00771F15"/>
    <w:rsid w:val="00772897"/>
    <w:rsid w:val="007728C5"/>
    <w:rsid w:val="00772E21"/>
    <w:rsid w:val="00772F45"/>
    <w:rsid w:val="00773081"/>
    <w:rsid w:val="00773880"/>
    <w:rsid w:val="007739D7"/>
    <w:rsid w:val="00773A66"/>
    <w:rsid w:val="00773C51"/>
    <w:rsid w:val="00773DEA"/>
    <w:rsid w:val="00774110"/>
    <w:rsid w:val="00774266"/>
    <w:rsid w:val="007743FB"/>
    <w:rsid w:val="00774612"/>
    <w:rsid w:val="00774D75"/>
    <w:rsid w:val="00775080"/>
    <w:rsid w:val="007751E4"/>
    <w:rsid w:val="0077525F"/>
    <w:rsid w:val="007754BB"/>
    <w:rsid w:val="007755D4"/>
    <w:rsid w:val="00775A75"/>
    <w:rsid w:val="00775AFE"/>
    <w:rsid w:val="00775F9B"/>
    <w:rsid w:val="007764B0"/>
    <w:rsid w:val="00776909"/>
    <w:rsid w:val="0077761F"/>
    <w:rsid w:val="00777E53"/>
    <w:rsid w:val="00780061"/>
    <w:rsid w:val="007801BA"/>
    <w:rsid w:val="007801CE"/>
    <w:rsid w:val="00780361"/>
    <w:rsid w:val="00780738"/>
    <w:rsid w:val="00780969"/>
    <w:rsid w:val="00780DB1"/>
    <w:rsid w:val="00780E27"/>
    <w:rsid w:val="00780E7D"/>
    <w:rsid w:val="00781385"/>
    <w:rsid w:val="007813AD"/>
    <w:rsid w:val="00781D2C"/>
    <w:rsid w:val="0078258E"/>
    <w:rsid w:val="007826B6"/>
    <w:rsid w:val="0078345D"/>
    <w:rsid w:val="007839A6"/>
    <w:rsid w:val="00783B26"/>
    <w:rsid w:val="00783D27"/>
    <w:rsid w:val="0078416D"/>
    <w:rsid w:val="0078419E"/>
    <w:rsid w:val="007843A2"/>
    <w:rsid w:val="007847AF"/>
    <w:rsid w:val="007847F1"/>
    <w:rsid w:val="00784993"/>
    <w:rsid w:val="007852FC"/>
    <w:rsid w:val="00785ECF"/>
    <w:rsid w:val="00785F12"/>
    <w:rsid w:val="00786021"/>
    <w:rsid w:val="00786202"/>
    <w:rsid w:val="0078659D"/>
    <w:rsid w:val="0078661A"/>
    <w:rsid w:val="007871D1"/>
    <w:rsid w:val="00787552"/>
    <w:rsid w:val="00787A24"/>
    <w:rsid w:val="00787E41"/>
    <w:rsid w:val="0079043C"/>
    <w:rsid w:val="00790452"/>
    <w:rsid w:val="0079065F"/>
    <w:rsid w:val="007907B8"/>
    <w:rsid w:val="007908E4"/>
    <w:rsid w:val="00790C60"/>
    <w:rsid w:val="007911C3"/>
    <w:rsid w:val="00791242"/>
    <w:rsid w:val="007913C5"/>
    <w:rsid w:val="007914BC"/>
    <w:rsid w:val="007916AD"/>
    <w:rsid w:val="00791EDC"/>
    <w:rsid w:val="0079226D"/>
    <w:rsid w:val="00792593"/>
    <w:rsid w:val="00792762"/>
    <w:rsid w:val="0079277F"/>
    <w:rsid w:val="00792843"/>
    <w:rsid w:val="0079292B"/>
    <w:rsid w:val="00792936"/>
    <w:rsid w:val="0079300F"/>
    <w:rsid w:val="0079367F"/>
    <w:rsid w:val="00793708"/>
    <w:rsid w:val="0079370E"/>
    <w:rsid w:val="00793B5B"/>
    <w:rsid w:val="00793E75"/>
    <w:rsid w:val="007940ED"/>
    <w:rsid w:val="0079443F"/>
    <w:rsid w:val="007944CB"/>
    <w:rsid w:val="007947D6"/>
    <w:rsid w:val="007949D6"/>
    <w:rsid w:val="00794A3C"/>
    <w:rsid w:val="00794BB3"/>
    <w:rsid w:val="00794FE7"/>
    <w:rsid w:val="00795671"/>
    <w:rsid w:val="007959A8"/>
    <w:rsid w:val="007959CB"/>
    <w:rsid w:val="00795E15"/>
    <w:rsid w:val="00795E8E"/>
    <w:rsid w:val="00796269"/>
    <w:rsid w:val="0079650B"/>
    <w:rsid w:val="007967A9"/>
    <w:rsid w:val="00796D59"/>
    <w:rsid w:val="007974BB"/>
    <w:rsid w:val="007977F4"/>
    <w:rsid w:val="007978E2"/>
    <w:rsid w:val="00797E82"/>
    <w:rsid w:val="00797F66"/>
    <w:rsid w:val="007A017B"/>
    <w:rsid w:val="007A0542"/>
    <w:rsid w:val="007A0574"/>
    <w:rsid w:val="007A05F5"/>
    <w:rsid w:val="007A0CAB"/>
    <w:rsid w:val="007A0FEC"/>
    <w:rsid w:val="007A11F7"/>
    <w:rsid w:val="007A14DB"/>
    <w:rsid w:val="007A1931"/>
    <w:rsid w:val="007A1A8A"/>
    <w:rsid w:val="007A1C5A"/>
    <w:rsid w:val="007A1E6F"/>
    <w:rsid w:val="007A1FBE"/>
    <w:rsid w:val="007A2462"/>
    <w:rsid w:val="007A27E8"/>
    <w:rsid w:val="007A29B4"/>
    <w:rsid w:val="007A2B35"/>
    <w:rsid w:val="007A2C4E"/>
    <w:rsid w:val="007A2D7D"/>
    <w:rsid w:val="007A3079"/>
    <w:rsid w:val="007A30B8"/>
    <w:rsid w:val="007A3104"/>
    <w:rsid w:val="007A34D7"/>
    <w:rsid w:val="007A3713"/>
    <w:rsid w:val="007A3A47"/>
    <w:rsid w:val="007A3BB7"/>
    <w:rsid w:val="007A407B"/>
    <w:rsid w:val="007A42D6"/>
    <w:rsid w:val="007A5505"/>
    <w:rsid w:val="007A572A"/>
    <w:rsid w:val="007A591B"/>
    <w:rsid w:val="007A5D40"/>
    <w:rsid w:val="007A60E2"/>
    <w:rsid w:val="007A63A5"/>
    <w:rsid w:val="007A713E"/>
    <w:rsid w:val="007A7246"/>
    <w:rsid w:val="007B08DC"/>
    <w:rsid w:val="007B09AC"/>
    <w:rsid w:val="007B11B6"/>
    <w:rsid w:val="007B15B7"/>
    <w:rsid w:val="007B15C3"/>
    <w:rsid w:val="007B17A0"/>
    <w:rsid w:val="007B21E4"/>
    <w:rsid w:val="007B287E"/>
    <w:rsid w:val="007B28D2"/>
    <w:rsid w:val="007B2AB9"/>
    <w:rsid w:val="007B366A"/>
    <w:rsid w:val="007B369C"/>
    <w:rsid w:val="007B36ED"/>
    <w:rsid w:val="007B3BE5"/>
    <w:rsid w:val="007B439D"/>
    <w:rsid w:val="007B45BA"/>
    <w:rsid w:val="007B546F"/>
    <w:rsid w:val="007B563E"/>
    <w:rsid w:val="007B576C"/>
    <w:rsid w:val="007B57B5"/>
    <w:rsid w:val="007B5E75"/>
    <w:rsid w:val="007B6116"/>
    <w:rsid w:val="007B62D2"/>
    <w:rsid w:val="007B62F9"/>
    <w:rsid w:val="007B699F"/>
    <w:rsid w:val="007B6BC2"/>
    <w:rsid w:val="007B7339"/>
    <w:rsid w:val="007B7796"/>
    <w:rsid w:val="007C09DB"/>
    <w:rsid w:val="007C0DA0"/>
    <w:rsid w:val="007C121F"/>
    <w:rsid w:val="007C1230"/>
    <w:rsid w:val="007C13FC"/>
    <w:rsid w:val="007C1493"/>
    <w:rsid w:val="007C1EA1"/>
    <w:rsid w:val="007C1EDB"/>
    <w:rsid w:val="007C1F29"/>
    <w:rsid w:val="007C2205"/>
    <w:rsid w:val="007C2C71"/>
    <w:rsid w:val="007C2D87"/>
    <w:rsid w:val="007C2EE2"/>
    <w:rsid w:val="007C31A6"/>
    <w:rsid w:val="007C342C"/>
    <w:rsid w:val="007C356D"/>
    <w:rsid w:val="007C35E3"/>
    <w:rsid w:val="007C3B6B"/>
    <w:rsid w:val="007C3D88"/>
    <w:rsid w:val="007C41CF"/>
    <w:rsid w:val="007C42CE"/>
    <w:rsid w:val="007C480D"/>
    <w:rsid w:val="007C48FC"/>
    <w:rsid w:val="007C499F"/>
    <w:rsid w:val="007C4AB6"/>
    <w:rsid w:val="007C5053"/>
    <w:rsid w:val="007C5689"/>
    <w:rsid w:val="007C587A"/>
    <w:rsid w:val="007C5CEC"/>
    <w:rsid w:val="007C5EA0"/>
    <w:rsid w:val="007C5EB0"/>
    <w:rsid w:val="007C5EEB"/>
    <w:rsid w:val="007C6246"/>
    <w:rsid w:val="007C63CD"/>
    <w:rsid w:val="007C66F5"/>
    <w:rsid w:val="007C679F"/>
    <w:rsid w:val="007C6970"/>
    <w:rsid w:val="007C6A98"/>
    <w:rsid w:val="007C6F76"/>
    <w:rsid w:val="007C7139"/>
    <w:rsid w:val="007C74E5"/>
    <w:rsid w:val="007C7708"/>
    <w:rsid w:val="007C7AF9"/>
    <w:rsid w:val="007D074F"/>
    <w:rsid w:val="007D07BC"/>
    <w:rsid w:val="007D0999"/>
    <w:rsid w:val="007D0B3E"/>
    <w:rsid w:val="007D0DA1"/>
    <w:rsid w:val="007D0DAB"/>
    <w:rsid w:val="007D114B"/>
    <w:rsid w:val="007D135C"/>
    <w:rsid w:val="007D1851"/>
    <w:rsid w:val="007D1C87"/>
    <w:rsid w:val="007D21E6"/>
    <w:rsid w:val="007D23AD"/>
    <w:rsid w:val="007D23E8"/>
    <w:rsid w:val="007D258C"/>
    <w:rsid w:val="007D262D"/>
    <w:rsid w:val="007D2993"/>
    <w:rsid w:val="007D2A95"/>
    <w:rsid w:val="007D2B5A"/>
    <w:rsid w:val="007D2B9C"/>
    <w:rsid w:val="007D2BCB"/>
    <w:rsid w:val="007D30EF"/>
    <w:rsid w:val="007D3388"/>
    <w:rsid w:val="007D3498"/>
    <w:rsid w:val="007D37B9"/>
    <w:rsid w:val="007D3803"/>
    <w:rsid w:val="007D3959"/>
    <w:rsid w:val="007D3F0F"/>
    <w:rsid w:val="007D3F86"/>
    <w:rsid w:val="007D4259"/>
    <w:rsid w:val="007D43E2"/>
    <w:rsid w:val="007D499E"/>
    <w:rsid w:val="007D49B7"/>
    <w:rsid w:val="007D4C26"/>
    <w:rsid w:val="007D5244"/>
    <w:rsid w:val="007D5430"/>
    <w:rsid w:val="007D5ABC"/>
    <w:rsid w:val="007D62E4"/>
    <w:rsid w:val="007D677D"/>
    <w:rsid w:val="007D7071"/>
    <w:rsid w:val="007D7114"/>
    <w:rsid w:val="007D749A"/>
    <w:rsid w:val="007D7E50"/>
    <w:rsid w:val="007E0319"/>
    <w:rsid w:val="007E04AD"/>
    <w:rsid w:val="007E0688"/>
    <w:rsid w:val="007E06ED"/>
    <w:rsid w:val="007E09C7"/>
    <w:rsid w:val="007E0A71"/>
    <w:rsid w:val="007E0DC5"/>
    <w:rsid w:val="007E0EA8"/>
    <w:rsid w:val="007E11AB"/>
    <w:rsid w:val="007E1587"/>
    <w:rsid w:val="007E16D8"/>
    <w:rsid w:val="007E1814"/>
    <w:rsid w:val="007E1908"/>
    <w:rsid w:val="007E1A45"/>
    <w:rsid w:val="007E1D53"/>
    <w:rsid w:val="007E23F7"/>
    <w:rsid w:val="007E2807"/>
    <w:rsid w:val="007E2A96"/>
    <w:rsid w:val="007E2C11"/>
    <w:rsid w:val="007E2E69"/>
    <w:rsid w:val="007E3080"/>
    <w:rsid w:val="007E3092"/>
    <w:rsid w:val="007E3587"/>
    <w:rsid w:val="007E3837"/>
    <w:rsid w:val="007E3E37"/>
    <w:rsid w:val="007E4578"/>
    <w:rsid w:val="007E4A41"/>
    <w:rsid w:val="007E4C4C"/>
    <w:rsid w:val="007E5163"/>
    <w:rsid w:val="007E5A62"/>
    <w:rsid w:val="007E5A65"/>
    <w:rsid w:val="007E5BAD"/>
    <w:rsid w:val="007E5C2A"/>
    <w:rsid w:val="007E5C39"/>
    <w:rsid w:val="007E61D8"/>
    <w:rsid w:val="007E6495"/>
    <w:rsid w:val="007E7058"/>
    <w:rsid w:val="007E7251"/>
    <w:rsid w:val="007E73D9"/>
    <w:rsid w:val="007E7469"/>
    <w:rsid w:val="007E7540"/>
    <w:rsid w:val="007E75BC"/>
    <w:rsid w:val="007E79C3"/>
    <w:rsid w:val="007E7A23"/>
    <w:rsid w:val="007E7F7E"/>
    <w:rsid w:val="007E7FE2"/>
    <w:rsid w:val="007F0118"/>
    <w:rsid w:val="007F0902"/>
    <w:rsid w:val="007F0E7F"/>
    <w:rsid w:val="007F13EE"/>
    <w:rsid w:val="007F2118"/>
    <w:rsid w:val="007F2213"/>
    <w:rsid w:val="007F2223"/>
    <w:rsid w:val="007F2D7A"/>
    <w:rsid w:val="007F2E08"/>
    <w:rsid w:val="007F3401"/>
    <w:rsid w:val="007F3602"/>
    <w:rsid w:val="007F3A67"/>
    <w:rsid w:val="007F3A98"/>
    <w:rsid w:val="007F44A0"/>
    <w:rsid w:val="007F4A3C"/>
    <w:rsid w:val="007F4C29"/>
    <w:rsid w:val="007F4F6D"/>
    <w:rsid w:val="007F5621"/>
    <w:rsid w:val="007F5848"/>
    <w:rsid w:val="007F5A60"/>
    <w:rsid w:val="007F5FB7"/>
    <w:rsid w:val="007F616D"/>
    <w:rsid w:val="007F6362"/>
    <w:rsid w:val="007F64C0"/>
    <w:rsid w:val="007F6631"/>
    <w:rsid w:val="007F6B09"/>
    <w:rsid w:val="007F6F6B"/>
    <w:rsid w:val="007F7224"/>
    <w:rsid w:val="007F74B9"/>
    <w:rsid w:val="007F787A"/>
    <w:rsid w:val="007F7ABA"/>
    <w:rsid w:val="007F7DD1"/>
    <w:rsid w:val="00800246"/>
    <w:rsid w:val="008003EF"/>
    <w:rsid w:val="0080055F"/>
    <w:rsid w:val="0080086E"/>
    <w:rsid w:val="00800B78"/>
    <w:rsid w:val="00800CE1"/>
    <w:rsid w:val="00800D00"/>
    <w:rsid w:val="00801192"/>
    <w:rsid w:val="00801223"/>
    <w:rsid w:val="008015F1"/>
    <w:rsid w:val="0080186F"/>
    <w:rsid w:val="00802397"/>
    <w:rsid w:val="00802689"/>
    <w:rsid w:val="008026A3"/>
    <w:rsid w:val="00802E90"/>
    <w:rsid w:val="00802FDF"/>
    <w:rsid w:val="0080306A"/>
    <w:rsid w:val="0080306F"/>
    <w:rsid w:val="00803128"/>
    <w:rsid w:val="008036A7"/>
    <w:rsid w:val="0080386B"/>
    <w:rsid w:val="00803C7F"/>
    <w:rsid w:val="00804997"/>
    <w:rsid w:val="00804DB7"/>
    <w:rsid w:val="008051F9"/>
    <w:rsid w:val="00805328"/>
    <w:rsid w:val="008057A7"/>
    <w:rsid w:val="00806147"/>
    <w:rsid w:val="00806457"/>
    <w:rsid w:val="0080649F"/>
    <w:rsid w:val="0080663D"/>
    <w:rsid w:val="00807659"/>
    <w:rsid w:val="008078A6"/>
    <w:rsid w:val="0081057E"/>
    <w:rsid w:val="0081072B"/>
    <w:rsid w:val="0081107B"/>
    <w:rsid w:val="008113C4"/>
    <w:rsid w:val="0081192B"/>
    <w:rsid w:val="00811D9B"/>
    <w:rsid w:val="00812377"/>
    <w:rsid w:val="008126DD"/>
    <w:rsid w:val="00812823"/>
    <w:rsid w:val="00812847"/>
    <w:rsid w:val="00812A05"/>
    <w:rsid w:val="00812CA7"/>
    <w:rsid w:val="00812EA2"/>
    <w:rsid w:val="00813A72"/>
    <w:rsid w:val="00813DFB"/>
    <w:rsid w:val="00814023"/>
    <w:rsid w:val="00814042"/>
    <w:rsid w:val="00814490"/>
    <w:rsid w:val="00814501"/>
    <w:rsid w:val="0081451A"/>
    <w:rsid w:val="0081453A"/>
    <w:rsid w:val="00814ECF"/>
    <w:rsid w:val="0081542D"/>
    <w:rsid w:val="00816778"/>
    <w:rsid w:val="00816783"/>
    <w:rsid w:val="0081687C"/>
    <w:rsid w:val="008168A5"/>
    <w:rsid w:val="00816A11"/>
    <w:rsid w:val="0081701E"/>
    <w:rsid w:val="0081758C"/>
    <w:rsid w:val="0081763A"/>
    <w:rsid w:val="00817A46"/>
    <w:rsid w:val="00817C0E"/>
    <w:rsid w:val="008201F0"/>
    <w:rsid w:val="00820554"/>
    <w:rsid w:val="00820763"/>
    <w:rsid w:val="008207CB"/>
    <w:rsid w:val="00820D8C"/>
    <w:rsid w:val="008214EC"/>
    <w:rsid w:val="00821704"/>
    <w:rsid w:val="00821C7F"/>
    <w:rsid w:val="00822497"/>
    <w:rsid w:val="00822626"/>
    <w:rsid w:val="0082269F"/>
    <w:rsid w:val="00822701"/>
    <w:rsid w:val="0082281E"/>
    <w:rsid w:val="00822D29"/>
    <w:rsid w:val="00823206"/>
    <w:rsid w:val="0082365A"/>
    <w:rsid w:val="008241BB"/>
    <w:rsid w:val="0082422B"/>
    <w:rsid w:val="00824281"/>
    <w:rsid w:val="0082459A"/>
    <w:rsid w:val="00824946"/>
    <w:rsid w:val="00824A66"/>
    <w:rsid w:val="00824B7B"/>
    <w:rsid w:val="00824B84"/>
    <w:rsid w:val="00824D99"/>
    <w:rsid w:val="00825463"/>
    <w:rsid w:val="0082584E"/>
    <w:rsid w:val="00825B74"/>
    <w:rsid w:val="008261FB"/>
    <w:rsid w:val="008262BF"/>
    <w:rsid w:val="0082657E"/>
    <w:rsid w:val="008267CE"/>
    <w:rsid w:val="008269B4"/>
    <w:rsid w:val="00826B9F"/>
    <w:rsid w:val="00826CAE"/>
    <w:rsid w:val="00826CD2"/>
    <w:rsid w:val="00826EE4"/>
    <w:rsid w:val="008271BA"/>
    <w:rsid w:val="008271CE"/>
    <w:rsid w:val="0082752F"/>
    <w:rsid w:val="008279E7"/>
    <w:rsid w:val="0083017F"/>
    <w:rsid w:val="008302EE"/>
    <w:rsid w:val="00830AD4"/>
    <w:rsid w:val="00830DDA"/>
    <w:rsid w:val="00831322"/>
    <w:rsid w:val="0083141D"/>
    <w:rsid w:val="008315A8"/>
    <w:rsid w:val="00831ABC"/>
    <w:rsid w:val="00831BF0"/>
    <w:rsid w:val="008320EE"/>
    <w:rsid w:val="008322A9"/>
    <w:rsid w:val="00832349"/>
    <w:rsid w:val="00832651"/>
    <w:rsid w:val="00832B29"/>
    <w:rsid w:val="00832C07"/>
    <w:rsid w:val="00832EDC"/>
    <w:rsid w:val="00833848"/>
    <w:rsid w:val="00833851"/>
    <w:rsid w:val="008342E4"/>
    <w:rsid w:val="0083463C"/>
    <w:rsid w:val="00834748"/>
    <w:rsid w:val="00834DE4"/>
    <w:rsid w:val="00834E6A"/>
    <w:rsid w:val="00835A5C"/>
    <w:rsid w:val="00835A87"/>
    <w:rsid w:val="00835B9B"/>
    <w:rsid w:val="00835D41"/>
    <w:rsid w:val="00835E8D"/>
    <w:rsid w:val="00835F2C"/>
    <w:rsid w:val="00836005"/>
    <w:rsid w:val="00836046"/>
    <w:rsid w:val="0083634C"/>
    <w:rsid w:val="00836959"/>
    <w:rsid w:val="008369FB"/>
    <w:rsid w:val="00836DC9"/>
    <w:rsid w:val="00837E5A"/>
    <w:rsid w:val="008400A1"/>
    <w:rsid w:val="008403DA"/>
    <w:rsid w:val="008405C6"/>
    <w:rsid w:val="008405DD"/>
    <w:rsid w:val="008406EB"/>
    <w:rsid w:val="00840957"/>
    <w:rsid w:val="008409DA"/>
    <w:rsid w:val="00840B51"/>
    <w:rsid w:val="00841507"/>
    <w:rsid w:val="008415B0"/>
    <w:rsid w:val="00841CEC"/>
    <w:rsid w:val="00841CF1"/>
    <w:rsid w:val="00841F48"/>
    <w:rsid w:val="00841FCE"/>
    <w:rsid w:val="008426CA"/>
    <w:rsid w:val="008428EA"/>
    <w:rsid w:val="00843024"/>
    <w:rsid w:val="008430A1"/>
    <w:rsid w:val="008430DB"/>
    <w:rsid w:val="00843131"/>
    <w:rsid w:val="00843375"/>
    <w:rsid w:val="00843D79"/>
    <w:rsid w:val="00844013"/>
    <w:rsid w:val="00844595"/>
    <w:rsid w:val="00844747"/>
    <w:rsid w:val="00844E24"/>
    <w:rsid w:val="00844ECD"/>
    <w:rsid w:val="00844EE1"/>
    <w:rsid w:val="008454A8"/>
    <w:rsid w:val="0084553E"/>
    <w:rsid w:val="00845C64"/>
    <w:rsid w:val="00846128"/>
    <w:rsid w:val="008462F8"/>
    <w:rsid w:val="008465CB"/>
    <w:rsid w:val="008466F5"/>
    <w:rsid w:val="00846859"/>
    <w:rsid w:val="008470D7"/>
    <w:rsid w:val="0084718C"/>
    <w:rsid w:val="00847896"/>
    <w:rsid w:val="00847A53"/>
    <w:rsid w:val="008500FA"/>
    <w:rsid w:val="008501D9"/>
    <w:rsid w:val="008503C0"/>
    <w:rsid w:val="008507E2"/>
    <w:rsid w:val="00850BE7"/>
    <w:rsid w:val="00850CEF"/>
    <w:rsid w:val="00850EED"/>
    <w:rsid w:val="00850F6F"/>
    <w:rsid w:val="00850F8E"/>
    <w:rsid w:val="00851054"/>
    <w:rsid w:val="00851177"/>
    <w:rsid w:val="00851A57"/>
    <w:rsid w:val="00851FD8"/>
    <w:rsid w:val="008523C9"/>
    <w:rsid w:val="00852622"/>
    <w:rsid w:val="00852811"/>
    <w:rsid w:val="00852B77"/>
    <w:rsid w:val="00852E84"/>
    <w:rsid w:val="00853226"/>
    <w:rsid w:val="00853C3E"/>
    <w:rsid w:val="008541CB"/>
    <w:rsid w:val="00854759"/>
    <w:rsid w:val="00854A9D"/>
    <w:rsid w:val="00854C5A"/>
    <w:rsid w:val="0085568E"/>
    <w:rsid w:val="00855872"/>
    <w:rsid w:val="00855B6D"/>
    <w:rsid w:val="008566E9"/>
    <w:rsid w:val="00856927"/>
    <w:rsid w:val="00856A01"/>
    <w:rsid w:val="00856CE5"/>
    <w:rsid w:val="00856DDE"/>
    <w:rsid w:val="00856DF7"/>
    <w:rsid w:val="00856EE4"/>
    <w:rsid w:val="008572B9"/>
    <w:rsid w:val="0085791A"/>
    <w:rsid w:val="008608BF"/>
    <w:rsid w:val="00860E8D"/>
    <w:rsid w:val="00861827"/>
    <w:rsid w:val="00862056"/>
    <w:rsid w:val="008623F5"/>
    <w:rsid w:val="0086260C"/>
    <w:rsid w:val="00862ED8"/>
    <w:rsid w:val="00863168"/>
    <w:rsid w:val="0086391E"/>
    <w:rsid w:val="008645B9"/>
    <w:rsid w:val="00864E04"/>
    <w:rsid w:val="00865169"/>
    <w:rsid w:val="00865453"/>
    <w:rsid w:val="00865806"/>
    <w:rsid w:val="008659B7"/>
    <w:rsid w:val="008660D0"/>
    <w:rsid w:val="008661EF"/>
    <w:rsid w:val="008664D0"/>
    <w:rsid w:val="00866674"/>
    <w:rsid w:val="0086682B"/>
    <w:rsid w:val="00866A4B"/>
    <w:rsid w:val="00866AB7"/>
    <w:rsid w:val="00866D43"/>
    <w:rsid w:val="00866E78"/>
    <w:rsid w:val="0086795F"/>
    <w:rsid w:val="00867D2E"/>
    <w:rsid w:val="0087031F"/>
    <w:rsid w:val="008705E8"/>
    <w:rsid w:val="00870A5F"/>
    <w:rsid w:val="00870D53"/>
    <w:rsid w:val="00870DEE"/>
    <w:rsid w:val="00870ED7"/>
    <w:rsid w:val="00871071"/>
    <w:rsid w:val="008710BD"/>
    <w:rsid w:val="00871AF3"/>
    <w:rsid w:val="00871B36"/>
    <w:rsid w:val="00871F04"/>
    <w:rsid w:val="008722F9"/>
    <w:rsid w:val="00872513"/>
    <w:rsid w:val="00872676"/>
    <w:rsid w:val="00872DBC"/>
    <w:rsid w:val="00872E64"/>
    <w:rsid w:val="00872F93"/>
    <w:rsid w:val="008733A8"/>
    <w:rsid w:val="00873B2C"/>
    <w:rsid w:val="00873D85"/>
    <w:rsid w:val="008747F8"/>
    <w:rsid w:val="0087481D"/>
    <w:rsid w:val="00874D91"/>
    <w:rsid w:val="00874F74"/>
    <w:rsid w:val="00875078"/>
    <w:rsid w:val="0087568F"/>
    <w:rsid w:val="008756B9"/>
    <w:rsid w:val="00875C11"/>
    <w:rsid w:val="008765A4"/>
    <w:rsid w:val="008766C0"/>
    <w:rsid w:val="008766C1"/>
    <w:rsid w:val="00876C38"/>
    <w:rsid w:val="0087716D"/>
    <w:rsid w:val="00877533"/>
    <w:rsid w:val="00877AE1"/>
    <w:rsid w:val="00877E4A"/>
    <w:rsid w:val="008804A6"/>
    <w:rsid w:val="0088057D"/>
    <w:rsid w:val="0088086E"/>
    <w:rsid w:val="008808B8"/>
    <w:rsid w:val="00880DAA"/>
    <w:rsid w:val="00880E59"/>
    <w:rsid w:val="008810BC"/>
    <w:rsid w:val="00881768"/>
    <w:rsid w:val="008817AB"/>
    <w:rsid w:val="008817C5"/>
    <w:rsid w:val="00881992"/>
    <w:rsid w:val="00882154"/>
    <w:rsid w:val="008823C5"/>
    <w:rsid w:val="00882898"/>
    <w:rsid w:val="0088330F"/>
    <w:rsid w:val="00883360"/>
    <w:rsid w:val="00883392"/>
    <w:rsid w:val="00883966"/>
    <w:rsid w:val="00884B60"/>
    <w:rsid w:val="00884C24"/>
    <w:rsid w:val="0088535B"/>
    <w:rsid w:val="0088554C"/>
    <w:rsid w:val="00885E64"/>
    <w:rsid w:val="00886447"/>
    <w:rsid w:val="008865B5"/>
    <w:rsid w:val="008866FE"/>
    <w:rsid w:val="0088686C"/>
    <w:rsid w:val="0088697F"/>
    <w:rsid w:val="00886DFB"/>
    <w:rsid w:val="0088700B"/>
    <w:rsid w:val="00887317"/>
    <w:rsid w:val="00887D97"/>
    <w:rsid w:val="00887EF7"/>
    <w:rsid w:val="008902E7"/>
    <w:rsid w:val="008912AC"/>
    <w:rsid w:val="008914AB"/>
    <w:rsid w:val="008915B5"/>
    <w:rsid w:val="008915C4"/>
    <w:rsid w:val="0089162B"/>
    <w:rsid w:val="008917E8"/>
    <w:rsid w:val="008917FF"/>
    <w:rsid w:val="0089185F"/>
    <w:rsid w:val="0089204F"/>
    <w:rsid w:val="0089288E"/>
    <w:rsid w:val="00892DB7"/>
    <w:rsid w:val="008931CE"/>
    <w:rsid w:val="0089336F"/>
    <w:rsid w:val="00893831"/>
    <w:rsid w:val="00893D35"/>
    <w:rsid w:val="00893E1B"/>
    <w:rsid w:val="00893E99"/>
    <w:rsid w:val="008940A6"/>
    <w:rsid w:val="00894733"/>
    <w:rsid w:val="00894900"/>
    <w:rsid w:val="00894ABD"/>
    <w:rsid w:val="008952F9"/>
    <w:rsid w:val="00895522"/>
    <w:rsid w:val="008956CD"/>
    <w:rsid w:val="00895C46"/>
    <w:rsid w:val="00895ECC"/>
    <w:rsid w:val="00896295"/>
    <w:rsid w:val="00896460"/>
    <w:rsid w:val="00896469"/>
    <w:rsid w:val="00896CCD"/>
    <w:rsid w:val="00896D3B"/>
    <w:rsid w:val="00897674"/>
    <w:rsid w:val="008977AB"/>
    <w:rsid w:val="00897800"/>
    <w:rsid w:val="00897E54"/>
    <w:rsid w:val="008A00B7"/>
    <w:rsid w:val="008A06D5"/>
    <w:rsid w:val="008A0E2B"/>
    <w:rsid w:val="008A13F1"/>
    <w:rsid w:val="008A1B58"/>
    <w:rsid w:val="008A1CDA"/>
    <w:rsid w:val="008A27FD"/>
    <w:rsid w:val="008A2CE3"/>
    <w:rsid w:val="008A2E5B"/>
    <w:rsid w:val="008A2EC6"/>
    <w:rsid w:val="008A347A"/>
    <w:rsid w:val="008A3718"/>
    <w:rsid w:val="008A387D"/>
    <w:rsid w:val="008A3A83"/>
    <w:rsid w:val="008A3C5C"/>
    <w:rsid w:val="008A3DA5"/>
    <w:rsid w:val="008A3DC5"/>
    <w:rsid w:val="008A3FF0"/>
    <w:rsid w:val="008A41B8"/>
    <w:rsid w:val="008A4748"/>
    <w:rsid w:val="008A4822"/>
    <w:rsid w:val="008A4A92"/>
    <w:rsid w:val="008A4BBF"/>
    <w:rsid w:val="008A4C1A"/>
    <w:rsid w:val="008A4DC3"/>
    <w:rsid w:val="008A4DEA"/>
    <w:rsid w:val="008A526B"/>
    <w:rsid w:val="008A5762"/>
    <w:rsid w:val="008A5B99"/>
    <w:rsid w:val="008A5E27"/>
    <w:rsid w:val="008A5E59"/>
    <w:rsid w:val="008A6543"/>
    <w:rsid w:val="008A6586"/>
    <w:rsid w:val="008A66D7"/>
    <w:rsid w:val="008A6896"/>
    <w:rsid w:val="008A68D1"/>
    <w:rsid w:val="008A6DF3"/>
    <w:rsid w:val="008A6F1F"/>
    <w:rsid w:val="008A760D"/>
    <w:rsid w:val="008A7685"/>
    <w:rsid w:val="008A7786"/>
    <w:rsid w:val="008A79BF"/>
    <w:rsid w:val="008A7BE7"/>
    <w:rsid w:val="008A7EC6"/>
    <w:rsid w:val="008B0247"/>
    <w:rsid w:val="008B0398"/>
    <w:rsid w:val="008B0476"/>
    <w:rsid w:val="008B05A5"/>
    <w:rsid w:val="008B05E7"/>
    <w:rsid w:val="008B087E"/>
    <w:rsid w:val="008B08F8"/>
    <w:rsid w:val="008B0DFF"/>
    <w:rsid w:val="008B1097"/>
    <w:rsid w:val="008B15DC"/>
    <w:rsid w:val="008B16C7"/>
    <w:rsid w:val="008B1736"/>
    <w:rsid w:val="008B1C11"/>
    <w:rsid w:val="008B288C"/>
    <w:rsid w:val="008B29EE"/>
    <w:rsid w:val="008B2E44"/>
    <w:rsid w:val="008B2F93"/>
    <w:rsid w:val="008B342B"/>
    <w:rsid w:val="008B34D9"/>
    <w:rsid w:val="008B34E7"/>
    <w:rsid w:val="008B364A"/>
    <w:rsid w:val="008B40E6"/>
    <w:rsid w:val="008B4558"/>
    <w:rsid w:val="008B4F4B"/>
    <w:rsid w:val="008B50E8"/>
    <w:rsid w:val="008B5142"/>
    <w:rsid w:val="008B51E6"/>
    <w:rsid w:val="008B6BFC"/>
    <w:rsid w:val="008B720A"/>
    <w:rsid w:val="008B7482"/>
    <w:rsid w:val="008B7720"/>
    <w:rsid w:val="008B7996"/>
    <w:rsid w:val="008C0470"/>
    <w:rsid w:val="008C054C"/>
    <w:rsid w:val="008C0955"/>
    <w:rsid w:val="008C0C6E"/>
    <w:rsid w:val="008C103E"/>
    <w:rsid w:val="008C10A3"/>
    <w:rsid w:val="008C127A"/>
    <w:rsid w:val="008C1401"/>
    <w:rsid w:val="008C174C"/>
    <w:rsid w:val="008C2097"/>
    <w:rsid w:val="008C214A"/>
    <w:rsid w:val="008C253F"/>
    <w:rsid w:val="008C2E21"/>
    <w:rsid w:val="008C3121"/>
    <w:rsid w:val="008C3142"/>
    <w:rsid w:val="008C3392"/>
    <w:rsid w:val="008C3C4A"/>
    <w:rsid w:val="008C3E84"/>
    <w:rsid w:val="008C3F89"/>
    <w:rsid w:val="008C3FDC"/>
    <w:rsid w:val="008C426A"/>
    <w:rsid w:val="008C46AC"/>
    <w:rsid w:val="008C4ACF"/>
    <w:rsid w:val="008C4D02"/>
    <w:rsid w:val="008C4F7E"/>
    <w:rsid w:val="008C59B9"/>
    <w:rsid w:val="008C5CD9"/>
    <w:rsid w:val="008C5E4E"/>
    <w:rsid w:val="008C643A"/>
    <w:rsid w:val="008C656B"/>
    <w:rsid w:val="008C70BB"/>
    <w:rsid w:val="008C7565"/>
    <w:rsid w:val="008C7DAD"/>
    <w:rsid w:val="008C7DAE"/>
    <w:rsid w:val="008C7E8D"/>
    <w:rsid w:val="008D0345"/>
    <w:rsid w:val="008D0359"/>
    <w:rsid w:val="008D03D9"/>
    <w:rsid w:val="008D054B"/>
    <w:rsid w:val="008D072E"/>
    <w:rsid w:val="008D0852"/>
    <w:rsid w:val="008D08ED"/>
    <w:rsid w:val="008D0B2E"/>
    <w:rsid w:val="008D0D2B"/>
    <w:rsid w:val="008D0DE4"/>
    <w:rsid w:val="008D0F15"/>
    <w:rsid w:val="008D11FE"/>
    <w:rsid w:val="008D1419"/>
    <w:rsid w:val="008D17B9"/>
    <w:rsid w:val="008D18C1"/>
    <w:rsid w:val="008D1C7B"/>
    <w:rsid w:val="008D1D2F"/>
    <w:rsid w:val="008D1F8B"/>
    <w:rsid w:val="008D22E6"/>
    <w:rsid w:val="008D3E2D"/>
    <w:rsid w:val="008D4A4D"/>
    <w:rsid w:val="008D54CC"/>
    <w:rsid w:val="008D576F"/>
    <w:rsid w:val="008D5821"/>
    <w:rsid w:val="008D58A0"/>
    <w:rsid w:val="008D6E78"/>
    <w:rsid w:val="008D6F14"/>
    <w:rsid w:val="008D75BB"/>
    <w:rsid w:val="008D7831"/>
    <w:rsid w:val="008D7A9B"/>
    <w:rsid w:val="008D7D7D"/>
    <w:rsid w:val="008D7EBC"/>
    <w:rsid w:val="008D7F61"/>
    <w:rsid w:val="008E0274"/>
    <w:rsid w:val="008E0662"/>
    <w:rsid w:val="008E07B0"/>
    <w:rsid w:val="008E0ED9"/>
    <w:rsid w:val="008E0FFE"/>
    <w:rsid w:val="008E1E8A"/>
    <w:rsid w:val="008E22D3"/>
    <w:rsid w:val="008E2952"/>
    <w:rsid w:val="008E2E34"/>
    <w:rsid w:val="008E319D"/>
    <w:rsid w:val="008E3273"/>
    <w:rsid w:val="008E332F"/>
    <w:rsid w:val="008E3647"/>
    <w:rsid w:val="008E42FC"/>
    <w:rsid w:val="008E431C"/>
    <w:rsid w:val="008E4457"/>
    <w:rsid w:val="008E45F9"/>
    <w:rsid w:val="008E47CE"/>
    <w:rsid w:val="008E4DE5"/>
    <w:rsid w:val="008E51C5"/>
    <w:rsid w:val="008E5986"/>
    <w:rsid w:val="008E5C14"/>
    <w:rsid w:val="008E60C2"/>
    <w:rsid w:val="008E6A32"/>
    <w:rsid w:val="008E6A61"/>
    <w:rsid w:val="008E7274"/>
    <w:rsid w:val="008E72CA"/>
    <w:rsid w:val="008E73DC"/>
    <w:rsid w:val="008E755B"/>
    <w:rsid w:val="008E75AE"/>
    <w:rsid w:val="008E76F4"/>
    <w:rsid w:val="008E7B18"/>
    <w:rsid w:val="008F0308"/>
    <w:rsid w:val="008F04BC"/>
    <w:rsid w:val="008F13A0"/>
    <w:rsid w:val="008F18A0"/>
    <w:rsid w:val="008F1A59"/>
    <w:rsid w:val="008F1DE6"/>
    <w:rsid w:val="008F1E9F"/>
    <w:rsid w:val="008F22E2"/>
    <w:rsid w:val="008F2BE8"/>
    <w:rsid w:val="008F2FF6"/>
    <w:rsid w:val="008F3268"/>
    <w:rsid w:val="008F3506"/>
    <w:rsid w:val="008F36D3"/>
    <w:rsid w:val="008F4092"/>
    <w:rsid w:val="008F40F1"/>
    <w:rsid w:val="008F470E"/>
    <w:rsid w:val="008F4843"/>
    <w:rsid w:val="008F499F"/>
    <w:rsid w:val="008F4C92"/>
    <w:rsid w:val="008F4D94"/>
    <w:rsid w:val="008F5402"/>
    <w:rsid w:val="008F59AC"/>
    <w:rsid w:val="008F6269"/>
    <w:rsid w:val="008F6309"/>
    <w:rsid w:val="008F64F0"/>
    <w:rsid w:val="008F6532"/>
    <w:rsid w:val="008F661C"/>
    <w:rsid w:val="008F66A0"/>
    <w:rsid w:val="008F7179"/>
    <w:rsid w:val="008F72EE"/>
    <w:rsid w:val="008F735E"/>
    <w:rsid w:val="008F76FD"/>
    <w:rsid w:val="008F77AB"/>
    <w:rsid w:val="008F7C73"/>
    <w:rsid w:val="008F7C77"/>
    <w:rsid w:val="008F7EC4"/>
    <w:rsid w:val="008F7F91"/>
    <w:rsid w:val="00900024"/>
    <w:rsid w:val="0090015E"/>
    <w:rsid w:val="00900351"/>
    <w:rsid w:val="0090090B"/>
    <w:rsid w:val="00900C4F"/>
    <w:rsid w:val="00900CC8"/>
    <w:rsid w:val="0090114B"/>
    <w:rsid w:val="00901938"/>
    <w:rsid w:val="00901C61"/>
    <w:rsid w:val="00901EF2"/>
    <w:rsid w:val="0090247F"/>
    <w:rsid w:val="0090262C"/>
    <w:rsid w:val="00902E36"/>
    <w:rsid w:val="00903FD7"/>
    <w:rsid w:val="0090403A"/>
    <w:rsid w:val="009041FB"/>
    <w:rsid w:val="00904813"/>
    <w:rsid w:val="00904BAF"/>
    <w:rsid w:val="00904EAC"/>
    <w:rsid w:val="009056FB"/>
    <w:rsid w:val="00905889"/>
    <w:rsid w:val="00905CB2"/>
    <w:rsid w:val="00905CF8"/>
    <w:rsid w:val="00905F1E"/>
    <w:rsid w:val="009060DF"/>
    <w:rsid w:val="00906193"/>
    <w:rsid w:val="009061E9"/>
    <w:rsid w:val="00906699"/>
    <w:rsid w:val="00907309"/>
    <w:rsid w:val="0090741B"/>
    <w:rsid w:val="00907EA0"/>
    <w:rsid w:val="00907FC4"/>
    <w:rsid w:val="0091038A"/>
    <w:rsid w:val="0091080D"/>
    <w:rsid w:val="00910836"/>
    <w:rsid w:val="00910A7F"/>
    <w:rsid w:val="009113FA"/>
    <w:rsid w:val="0091178C"/>
    <w:rsid w:val="00911FF9"/>
    <w:rsid w:val="0091260C"/>
    <w:rsid w:val="009127D0"/>
    <w:rsid w:val="00912CF1"/>
    <w:rsid w:val="00912D8D"/>
    <w:rsid w:val="00912E93"/>
    <w:rsid w:val="00913349"/>
    <w:rsid w:val="00913493"/>
    <w:rsid w:val="009139D6"/>
    <w:rsid w:val="00914283"/>
    <w:rsid w:val="00914362"/>
    <w:rsid w:val="009158BE"/>
    <w:rsid w:val="00915951"/>
    <w:rsid w:val="00915A79"/>
    <w:rsid w:val="00915C89"/>
    <w:rsid w:val="00916368"/>
    <w:rsid w:val="00916798"/>
    <w:rsid w:val="00916834"/>
    <w:rsid w:val="00916874"/>
    <w:rsid w:val="00916F3E"/>
    <w:rsid w:val="009175B1"/>
    <w:rsid w:val="00917E0B"/>
    <w:rsid w:val="009201B7"/>
    <w:rsid w:val="0092083E"/>
    <w:rsid w:val="0092132E"/>
    <w:rsid w:val="009215DA"/>
    <w:rsid w:val="00921E80"/>
    <w:rsid w:val="00922749"/>
    <w:rsid w:val="00922EE5"/>
    <w:rsid w:val="00922F6F"/>
    <w:rsid w:val="00922F85"/>
    <w:rsid w:val="00923046"/>
    <w:rsid w:val="00923079"/>
    <w:rsid w:val="00923630"/>
    <w:rsid w:val="009236FE"/>
    <w:rsid w:val="00923711"/>
    <w:rsid w:val="00923CC8"/>
    <w:rsid w:val="00923D4E"/>
    <w:rsid w:val="00923F3B"/>
    <w:rsid w:val="00924002"/>
    <w:rsid w:val="009240AE"/>
    <w:rsid w:val="00924376"/>
    <w:rsid w:val="0092454C"/>
    <w:rsid w:val="009245E4"/>
    <w:rsid w:val="00925285"/>
    <w:rsid w:val="00925459"/>
    <w:rsid w:val="009255B9"/>
    <w:rsid w:val="009258BD"/>
    <w:rsid w:val="00925DDA"/>
    <w:rsid w:val="00925E03"/>
    <w:rsid w:val="009260C6"/>
    <w:rsid w:val="009266B4"/>
    <w:rsid w:val="00926982"/>
    <w:rsid w:val="00926C6F"/>
    <w:rsid w:val="00926D82"/>
    <w:rsid w:val="009273C6"/>
    <w:rsid w:val="009274E3"/>
    <w:rsid w:val="00927518"/>
    <w:rsid w:val="009277A4"/>
    <w:rsid w:val="009278BB"/>
    <w:rsid w:val="00927B49"/>
    <w:rsid w:val="00927EDB"/>
    <w:rsid w:val="009303A8"/>
    <w:rsid w:val="00930686"/>
    <w:rsid w:val="00930B76"/>
    <w:rsid w:val="00930FFF"/>
    <w:rsid w:val="00931127"/>
    <w:rsid w:val="00931218"/>
    <w:rsid w:val="009316BE"/>
    <w:rsid w:val="00931B66"/>
    <w:rsid w:val="00932553"/>
    <w:rsid w:val="0093264A"/>
    <w:rsid w:val="0093267A"/>
    <w:rsid w:val="00933012"/>
    <w:rsid w:val="00933A29"/>
    <w:rsid w:val="00933A2C"/>
    <w:rsid w:val="00934945"/>
    <w:rsid w:val="00934E93"/>
    <w:rsid w:val="00935035"/>
    <w:rsid w:val="0093525E"/>
    <w:rsid w:val="009354F7"/>
    <w:rsid w:val="00935509"/>
    <w:rsid w:val="00935A05"/>
    <w:rsid w:val="00935D68"/>
    <w:rsid w:val="0093641D"/>
    <w:rsid w:val="0093671D"/>
    <w:rsid w:val="009367A8"/>
    <w:rsid w:val="0093680F"/>
    <w:rsid w:val="00936C85"/>
    <w:rsid w:val="00936D79"/>
    <w:rsid w:val="00936DCA"/>
    <w:rsid w:val="00937151"/>
    <w:rsid w:val="00937710"/>
    <w:rsid w:val="00937777"/>
    <w:rsid w:val="009377A4"/>
    <w:rsid w:val="009377AE"/>
    <w:rsid w:val="00937AF8"/>
    <w:rsid w:val="00937CBA"/>
    <w:rsid w:val="009403A7"/>
    <w:rsid w:val="009408CC"/>
    <w:rsid w:val="00940992"/>
    <w:rsid w:val="00940D63"/>
    <w:rsid w:val="009416E1"/>
    <w:rsid w:val="00941ABF"/>
    <w:rsid w:val="00941D6C"/>
    <w:rsid w:val="009423A9"/>
    <w:rsid w:val="00942E36"/>
    <w:rsid w:val="00942EAF"/>
    <w:rsid w:val="009432CF"/>
    <w:rsid w:val="0094333B"/>
    <w:rsid w:val="0094365D"/>
    <w:rsid w:val="0094398F"/>
    <w:rsid w:val="00943CC9"/>
    <w:rsid w:val="00944428"/>
    <w:rsid w:val="009444E1"/>
    <w:rsid w:val="009449F7"/>
    <w:rsid w:val="00944B5B"/>
    <w:rsid w:val="00944BA1"/>
    <w:rsid w:val="00944CC2"/>
    <w:rsid w:val="00944F9E"/>
    <w:rsid w:val="00945322"/>
    <w:rsid w:val="00945382"/>
    <w:rsid w:val="009453BE"/>
    <w:rsid w:val="009464B7"/>
    <w:rsid w:val="00946E27"/>
    <w:rsid w:val="0094718B"/>
    <w:rsid w:val="009471F5"/>
    <w:rsid w:val="0094739F"/>
    <w:rsid w:val="009476C8"/>
    <w:rsid w:val="009477DB"/>
    <w:rsid w:val="00947F4E"/>
    <w:rsid w:val="009501E1"/>
    <w:rsid w:val="009506D3"/>
    <w:rsid w:val="0095078B"/>
    <w:rsid w:val="00950B69"/>
    <w:rsid w:val="0095117E"/>
    <w:rsid w:val="00951274"/>
    <w:rsid w:val="009513E7"/>
    <w:rsid w:val="0095198B"/>
    <w:rsid w:val="009519DA"/>
    <w:rsid w:val="00951D53"/>
    <w:rsid w:val="00951E32"/>
    <w:rsid w:val="00952372"/>
    <w:rsid w:val="009523E4"/>
    <w:rsid w:val="009533BE"/>
    <w:rsid w:val="00953CC7"/>
    <w:rsid w:val="009541FA"/>
    <w:rsid w:val="009543EF"/>
    <w:rsid w:val="009546E5"/>
    <w:rsid w:val="009547D2"/>
    <w:rsid w:val="00954988"/>
    <w:rsid w:val="00954EDC"/>
    <w:rsid w:val="00955164"/>
    <w:rsid w:val="009552D4"/>
    <w:rsid w:val="00955647"/>
    <w:rsid w:val="00955A32"/>
    <w:rsid w:val="00955B28"/>
    <w:rsid w:val="00956396"/>
    <w:rsid w:val="009565D0"/>
    <w:rsid w:val="0095686C"/>
    <w:rsid w:val="00956BD9"/>
    <w:rsid w:val="00956F84"/>
    <w:rsid w:val="00957CE4"/>
    <w:rsid w:val="00957DD4"/>
    <w:rsid w:val="0096060B"/>
    <w:rsid w:val="009608EF"/>
    <w:rsid w:val="00960D84"/>
    <w:rsid w:val="00961BC8"/>
    <w:rsid w:val="0096201A"/>
    <w:rsid w:val="0096225A"/>
    <w:rsid w:val="009629F1"/>
    <w:rsid w:val="009631FB"/>
    <w:rsid w:val="00963257"/>
    <w:rsid w:val="00963F8B"/>
    <w:rsid w:val="00963FB4"/>
    <w:rsid w:val="00965407"/>
    <w:rsid w:val="0096574D"/>
    <w:rsid w:val="00965839"/>
    <w:rsid w:val="00965ADE"/>
    <w:rsid w:val="00966090"/>
    <w:rsid w:val="0096619D"/>
    <w:rsid w:val="00966727"/>
    <w:rsid w:val="0096687A"/>
    <w:rsid w:val="0096720B"/>
    <w:rsid w:val="0096767B"/>
    <w:rsid w:val="00967ABC"/>
    <w:rsid w:val="00967F42"/>
    <w:rsid w:val="00967F7F"/>
    <w:rsid w:val="00970117"/>
    <w:rsid w:val="00970143"/>
    <w:rsid w:val="009701C3"/>
    <w:rsid w:val="009709D3"/>
    <w:rsid w:val="009710BB"/>
    <w:rsid w:val="009717EC"/>
    <w:rsid w:val="009718DD"/>
    <w:rsid w:val="00971A15"/>
    <w:rsid w:val="00971C9F"/>
    <w:rsid w:val="00972154"/>
    <w:rsid w:val="009725B3"/>
    <w:rsid w:val="0097283F"/>
    <w:rsid w:val="0097285D"/>
    <w:rsid w:val="00972DBE"/>
    <w:rsid w:val="00972FC7"/>
    <w:rsid w:val="00973037"/>
    <w:rsid w:val="009731EF"/>
    <w:rsid w:val="00973678"/>
    <w:rsid w:val="009737E3"/>
    <w:rsid w:val="00973817"/>
    <w:rsid w:val="00973B0B"/>
    <w:rsid w:val="00973BEF"/>
    <w:rsid w:val="00973F1E"/>
    <w:rsid w:val="00974359"/>
    <w:rsid w:val="00974827"/>
    <w:rsid w:val="009748A9"/>
    <w:rsid w:val="009748E1"/>
    <w:rsid w:val="00975332"/>
    <w:rsid w:val="0097547B"/>
    <w:rsid w:val="00975729"/>
    <w:rsid w:val="00975780"/>
    <w:rsid w:val="009759B3"/>
    <w:rsid w:val="00975D18"/>
    <w:rsid w:val="00975E14"/>
    <w:rsid w:val="00975FF7"/>
    <w:rsid w:val="00976334"/>
    <w:rsid w:val="0097741F"/>
    <w:rsid w:val="00977A9B"/>
    <w:rsid w:val="00977C5E"/>
    <w:rsid w:val="009800C5"/>
    <w:rsid w:val="009802B4"/>
    <w:rsid w:val="009803EF"/>
    <w:rsid w:val="00980980"/>
    <w:rsid w:val="00981514"/>
    <w:rsid w:val="00981566"/>
    <w:rsid w:val="009817E5"/>
    <w:rsid w:val="00981D87"/>
    <w:rsid w:val="00981F22"/>
    <w:rsid w:val="009822B1"/>
    <w:rsid w:val="009823CD"/>
    <w:rsid w:val="009826AE"/>
    <w:rsid w:val="009826BE"/>
    <w:rsid w:val="009828C2"/>
    <w:rsid w:val="00982AA9"/>
    <w:rsid w:val="00983235"/>
    <w:rsid w:val="00983279"/>
    <w:rsid w:val="00983F58"/>
    <w:rsid w:val="00984171"/>
    <w:rsid w:val="00984311"/>
    <w:rsid w:val="00984375"/>
    <w:rsid w:val="009848D7"/>
    <w:rsid w:val="00984979"/>
    <w:rsid w:val="00984A10"/>
    <w:rsid w:val="00985531"/>
    <w:rsid w:val="009855C3"/>
    <w:rsid w:val="009858EB"/>
    <w:rsid w:val="00985A4D"/>
    <w:rsid w:val="00985E55"/>
    <w:rsid w:val="00985F19"/>
    <w:rsid w:val="00986254"/>
    <w:rsid w:val="009876A1"/>
    <w:rsid w:val="00987CEC"/>
    <w:rsid w:val="00987EDA"/>
    <w:rsid w:val="00990418"/>
    <w:rsid w:val="009908B5"/>
    <w:rsid w:val="00990B2E"/>
    <w:rsid w:val="00990E52"/>
    <w:rsid w:val="0099112E"/>
    <w:rsid w:val="00992011"/>
    <w:rsid w:val="009920FE"/>
    <w:rsid w:val="00992335"/>
    <w:rsid w:val="009925ED"/>
    <w:rsid w:val="009925F2"/>
    <w:rsid w:val="009926E3"/>
    <w:rsid w:val="009927C3"/>
    <w:rsid w:val="00992934"/>
    <w:rsid w:val="00992C15"/>
    <w:rsid w:val="00992F3E"/>
    <w:rsid w:val="00993A53"/>
    <w:rsid w:val="009943EE"/>
    <w:rsid w:val="0099457C"/>
    <w:rsid w:val="009948F1"/>
    <w:rsid w:val="00994D6E"/>
    <w:rsid w:val="00994E15"/>
    <w:rsid w:val="00994F93"/>
    <w:rsid w:val="00995110"/>
    <w:rsid w:val="00995278"/>
    <w:rsid w:val="00995894"/>
    <w:rsid w:val="009958AD"/>
    <w:rsid w:val="00995FB7"/>
    <w:rsid w:val="009960AC"/>
    <w:rsid w:val="0099642C"/>
    <w:rsid w:val="009968CF"/>
    <w:rsid w:val="00996A03"/>
    <w:rsid w:val="00996A9C"/>
    <w:rsid w:val="00997B24"/>
    <w:rsid w:val="00997C59"/>
    <w:rsid w:val="00997C7B"/>
    <w:rsid w:val="00997D41"/>
    <w:rsid w:val="00997D7D"/>
    <w:rsid w:val="009A0536"/>
    <w:rsid w:val="009A0835"/>
    <w:rsid w:val="009A0D45"/>
    <w:rsid w:val="009A0ED9"/>
    <w:rsid w:val="009A0FB1"/>
    <w:rsid w:val="009A11F6"/>
    <w:rsid w:val="009A14D0"/>
    <w:rsid w:val="009A14F8"/>
    <w:rsid w:val="009A15DB"/>
    <w:rsid w:val="009A1BD9"/>
    <w:rsid w:val="009A1C58"/>
    <w:rsid w:val="009A1ECD"/>
    <w:rsid w:val="009A2446"/>
    <w:rsid w:val="009A2591"/>
    <w:rsid w:val="009A2FB4"/>
    <w:rsid w:val="009A3523"/>
    <w:rsid w:val="009A382C"/>
    <w:rsid w:val="009A3DCF"/>
    <w:rsid w:val="009A3E06"/>
    <w:rsid w:val="009A4044"/>
    <w:rsid w:val="009A46E5"/>
    <w:rsid w:val="009A4A0B"/>
    <w:rsid w:val="009A4F24"/>
    <w:rsid w:val="009A4F4A"/>
    <w:rsid w:val="009A590F"/>
    <w:rsid w:val="009A5A05"/>
    <w:rsid w:val="009A6509"/>
    <w:rsid w:val="009A6552"/>
    <w:rsid w:val="009A65A8"/>
    <w:rsid w:val="009A6685"/>
    <w:rsid w:val="009A6BFC"/>
    <w:rsid w:val="009A71C6"/>
    <w:rsid w:val="009A78F4"/>
    <w:rsid w:val="009A7BE7"/>
    <w:rsid w:val="009B059A"/>
    <w:rsid w:val="009B05AE"/>
    <w:rsid w:val="009B0CB9"/>
    <w:rsid w:val="009B1119"/>
    <w:rsid w:val="009B1171"/>
    <w:rsid w:val="009B1446"/>
    <w:rsid w:val="009B1A60"/>
    <w:rsid w:val="009B250A"/>
    <w:rsid w:val="009B2AF8"/>
    <w:rsid w:val="009B2C63"/>
    <w:rsid w:val="009B2DB2"/>
    <w:rsid w:val="009B33BD"/>
    <w:rsid w:val="009B3605"/>
    <w:rsid w:val="009B3A8B"/>
    <w:rsid w:val="009B43B9"/>
    <w:rsid w:val="009B45B8"/>
    <w:rsid w:val="009B46F1"/>
    <w:rsid w:val="009B4A2C"/>
    <w:rsid w:val="009B4BE8"/>
    <w:rsid w:val="009B4C96"/>
    <w:rsid w:val="009B4CDA"/>
    <w:rsid w:val="009B4D84"/>
    <w:rsid w:val="009B4ED5"/>
    <w:rsid w:val="009B4F02"/>
    <w:rsid w:val="009B578E"/>
    <w:rsid w:val="009B5E9C"/>
    <w:rsid w:val="009B67A9"/>
    <w:rsid w:val="009B684A"/>
    <w:rsid w:val="009B6B30"/>
    <w:rsid w:val="009B6E33"/>
    <w:rsid w:val="009B6FB3"/>
    <w:rsid w:val="009B7299"/>
    <w:rsid w:val="009B72F6"/>
    <w:rsid w:val="009B73A2"/>
    <w:rsid w:val="009B7682"/>
    <w:rsid w:val="009B7758"/>
    <w:rsid w:val="009B7CDC"/>
    <w:rsid w:val="009C019B"/>
    <w:rsid w:val="009C0216"/>
    <w:rsid w:val="009C02C5"/>
    <w:rsid w:val="009C079E"/>
    <w:rsid w:val="009C0A11"/>
    <w:rsid w:val="009C0A9C"/>
    <w:rsid w:val="009C0CA6"/>
    <w:rsid w:val="009C0D5E"/>
    <w:rsid w:val="009C0FD8"/>
    <w:rsid w:val="009C0FEC"/>
    <w:rsid w:val="009C119E"/>
    <w:rsid w:val="009C11EF"/>
    <w:rsid w:val="009C12D2"/>
    <w:rsid w:val="009C1467"/>
    <w:rsid w:val="009C15D0"/>
    <w:rsid w:val="009C160D"/>
    <w:rsid w:val="009C1AB2"/>
    <w:rsid w:val="009C1D02"/>
    <w:rsid w:val="009C1F81"/>
    <w:rsid w:val="009C2144"/>
    <w:rsid w:val="009C2192"/>
    <w:rsid w:val="009C2194"/>
    <w:rsid w:val="009C226C"/>
    <w:rsid w:val="009C237E"/>
    <w:rsid w:val="009C26F5"/>
    <w:rsid w:val="009C2734"/>
    <w:rsid w:val="009C2B05"/>
    <w:rsid w:val="009C365D"/>
    <w:rsid w:val="009C38DE"/>
    <w:rsid w:val="009C3E01"/>
    <w:rsid w:val="009C3E73"/>
    <w:rsid w:val="009C3FA5"/>
    <w:rsid w:val="009C41E1"/>
    <w:rsid w:val="009C436D"/>
    <w:rsid w:val="009C46C5"/>
    <w:rsid w:val="009C4851"/>
    <w:rsid w:val="009C4B67"/>
    <w:rsid w:val="009C4CC1"/>
    <w:rsid w:val="009C4E46"/>
    <w:rsid w:val="009C4F11"/>
    <w:rsid w:val="009C4F4D"/>
    <w:rsid w:val="009C5006"/>
    <w:rsid w:val="009C5308"/>
    <w:rsid w:val="009C550C"/>
    <w:rsid w:val="009C5B51"/>
    <w:rsid w:val="009C5C56"/>
    <w:rsid w:val="009C5E91"/>
    <w:rsid w:val="009C6085"/>
    <w:rsid w:val="009C629F"/>
    <w:rsid w:val="009C68C4"/>
    <w:rsid w:val="009C6AB2"/>
    <w:rsid w:val="009C6D37"/>
    <w:rsid w:val="009C72B6"/>
    <w:rsid w:val="009C75E4"/>
    <w:rsid w:val="009C7E1C"/>
    <w:rsid w:val="009C7E74"/>
    <w:rsid w:val="009D0138"/>
    <w:rsid w:val="009D06BB"/>
    <w:rsid w:val="009D0CC2"/>
    <w:rsid w:val="009D0CD1"/>
    <w:rsid w:val="009D0FDE"/>
    <w:rsid w:val="009D114B"/>
    <w:rsid w:val="009D11B7"/>
    <w:rsid w:val="009D162E"/>
    <w:rsid w:val="009D17FA"/>
    <w:rsid w:val="009D23E0"/>
    <w:rsid w:val="009D2633"/>
    <w:rsid w:val="009D29B2"/>
    <w:rsid w:val="009D2D37"/>
    <w:rsid w:val="009D315C"/>
    <w:rsid w:val="009D32A3"/>
    <w:rsid w:val="009D3523"/>
    <w:rsid w:val="009D3557"/>
    <w:rsid w:val="009D3838"/>
    <w:rsid w:val="009D3B58"/>
    <w:rsid w:val="009D3BED"/>
    <w:rsid w:val="009D408D"/>
    <w:rsid w:val="009D4366"/>
    <w:rsid w:val="009D52E5"/>
    <w:rsid w:val="009D537E"/>
    <w:rsid w:val="009D545F"/>
    <w:rsid w:val="009D554A"/>
    <w:rsid w:val="009D56F4"/>
    <w:rsid w:val="009D5D03"/>
    <w:rsid w:val="009D5D52"/>
    <w:rsid w:val="009D5EA1"/>
    <w:rsid w:val="009D5F5F"/>
    <w:rsid w:val="009D5F72"/>
    <w:rsid w:val="009D60BB"/>
    <w:rsid w:val="009D6444"/>
    <w:rsid w:val="009D64B3"/>
    <w:rsid w:val="009D686F"/>
    <w:rsid w:val="009D6952"/>
    <w:rsid w:val="009D6B5E"/>
    <w:rsid w:val="009D6F47"/>
    <w:rsid w:val="009D6FDA"/>
    <w:rsid w:val="009D7275"/>
    <w:rsid w:val="009D72AF"/>
    <w:rsid w:val="009D74CD"/>
    <w:rsid w:val="009D7596"/>
    <w:rsid w:val="009D7BE0"/>
    <w:rsid w:val="009D7DE5"/>
    <w:rsid w:val="009D7EBD"/>
    <w:rsid w:val="009E0427"/>
    <w:rsid w:val="009E04E8"/>
    <w:rsid w:val="009E07EB"/>
    <w:rsid w:val="009E1030"/>
    <w:rsid w:val="009E11CF"/>
    <w:rsid w:val="009E18B0"/>
    <w:rsid w:val="009E18C5"/>
    <w:rsid w:val="009E1929"/>
    <w:rsid w:val="009E199E"/>
    <w:rsid w:val="009E19A1"/>
    <w:rsid w:val="009E1C54"/>
    <w:rsid w:val="009E1F84"/>
    <w:rsid w:val="009E2580"/>
    <w:rsid w:val="009E2BA8"/>
    <w:rsid w:val="009E33D4"/>
    <w:rsid w:val="009E3413"/>
    <w:rsid w:val="009E3657"/>
    <w:rsid w:val="009E389A"/>
    <w:rsid w:val="009E3CD1"/>
    <w:rsid w:val="009E3D52"/>
    <w:rsid w:val="009E4009"/>
    <w:rsid w:val="009E4464"/>
    <w:rsid w:val="009E488A"/>
    <w:rsid w:val="009E48DE"/>
    <w:rsid w:val="009E4D6D"/>
    <w:rsid w:val="009E4E85"/>
    <w:rsid w:val="009E5064"/>
    <w:rsid w:val="009E50DF"/>
    <w:rsid w:val="009E53D9"/>
    <w:rsid w:val="009E5A96"/>
    <w:rsid w:val="009E5C15"/>
    <w:rsid w:val="009E5EB0"/>
    <w:rsid w:val="009E6B89"/>
    <w:rsid w:val="009E6DA5"/>
    <w:rsid w:val="009E74BC"/>
    <w:rsid w:val="009E773E"/>
    <w:rsid w:val="009E78B3"/>
    <w:rsid w:val="009E7955"/>
    <w:rsid w:val="009E7B49"/>
    <w:rsid w:val="009E7D2E"/>
    <w:rsid w:val="009F023C"/>
    <w:rsid w:val="009F0508"/>
    <w:rsid w:val="009F055B"/>
    <w:rsid w:val="009F0675"/>
    <w:rsid w:val="009F06B4"/>
    <w:rsid w:val="009F0977"/>
    <w:rsid w:val="009F0C7F"/>
    <w:rsid w:val="009F0E1B"/>
    <w:rsid w:val="009F0E2D"/>
    <w:rsid w:val="009F0E3E"/>
    <w:rsid w:val="009F13C5"/>
    <w:rsid w:val="009F19E6"/>
    <w:rsid w:val="009F2158"/>
    <w:rsid w:val="009F27C7"/>
    <w:rsid w:val="009F2AC0"/>
    <w:rsid w:val="009F2D06"/>
    <w:rsid w:val="009F31D9"/>
    <w:rsid w:val="009F32E2"/>
    <w:rsid w:val="009F3479"/>
    <w:rsid w:val="009F3622"/>
    <w:rsid w:val="009F3AA4"/>
    <w:rsid w:val="009F3ACB"/>
    <w:rsid w:val="009F3BF6"/>
    <w:rsid w:val="009F3C5D"/>
    <w:rsid w:val="009F42CB"/>
    <w:rsid w:val="009F451E"/>
    <w:rsid w:val="009F4A9C"/>
    <w:rsid w:val="009F4DB4"/>
    <w:rsid w:val="009F500E"/>
    <w:rsid w:val="009F565B"/>
    <w:rsid w:val="009F58D2"/>
    <w:rsid w:val="009F5C05"/>
    <w:rsid w:val="009F5DEC"/>
    <w:rsid w:val="009F5FA4"/>
    <w:rsid w:val="009F66CA"/>
    <w:rsid w:val="009F6914"/>
    <w:rsid w:val="009F6AB0"/>
    <w:rsid w:val="009F6F65"/>
    <w:rsid w:val="009F703E"/>
    <w:rsid w:val="009F71EA"/>
    <w:rsid w:val="009F73E0"/>
    <w:rsid w:val="009F7886"/>
    <w:rsid w:val="009F7B17"/>
    <w:rsid w:val="009F7D73"/>
    <w:rsid w:val="009F7F01"/>
    <w:rsid w:val="00A0051D"/>
    <w:rsid w:val="00A0084F"/>
    <w:rsid w:val="00A008F0"/>
    <w:rsid w:val="00A00A4F"/>
    <w:rsid w:val="00A00C6B"/>
    <w:rsid w:val="00A0106D"/>
    <w:rsid w:val="00A010D0"/>
    <w:rsid w:val="00A013CD"/>
    <w:rsid w:val="00A0214F"/>
    <w:rsid w:val="00A02974"/>
    <w:rsid w:val="00A02E76"/>
    <w:rsid w:val="00A02FCB"/>
    <w:rsid w:val="00A0377D"/>
    <w:rsid w:val="00A03A87"/>
    <w:rsid w:val="00A03B1E"/>
    <w:rsid w:val="00A03E7D"/>
    <w:rsid w:val="00A041E8"/>
    <w:rsid w:val="00A047BC"/>
    <w:rsid w:val="00A04AD7"/>
    <w:rsid w:val="00A04DDE"/>
    <w:rsid w:val="00A04EAE"/>
    <w:rsid w:val="00A05195"/>
    <w:rsid w:val="00A05262"/>
    <w:rsid w:val="00A056C1"/>
    <w:rsid w:val="00A05AEB"/>
    <w:rsid w:val="00A05F4B"/>
    <w:rsid w:val="00A0624F"/>
    <w:rsid w:val="00A06375"/>
    <w:rsid w:val="00A064E4"/>
    <w:rsid w:val="00A0691E"/>
    <w:rsid w:val="00A06A06"/>
    <w:rsid w:val="00A06D50"/>
    <w:rsid w:val="00A073B6"/>
    <w:rsid w:val="00A074D4"/>
    <w:rsid w:val="00A079FA"/>
    <w:rsid w:val="00A07B92"/>
    <w:rsid w:val="00A107BB"/>
    <w:rsid w:val="00A1191B"/>
    <w:rsid w:val="00A11B82"/>
    <w:rsid w:val="00A11BCD"/>
    <w:rsid w:val="00A1211A"/>
    <w:rsid w:val="00A12608"/>
    <w:rsid w:val="00A129F3"/>
    <w:rsid w:val="00A12AFA"/>
    <w:rsid w:val="00A12CEC"/>
    <w:rsid w:val="00A130B6"/>
    <w:rsid w:val="00A1348A"/>
    <w:rsid w:val="00A138D7"/>
    <w:rsid w:val="00A13BEC"/>
    <w:rsid w:val="00A13DD8"/>
    <w:rsid w:val="00A1406C"/>
    <w:rsid w:val="00A144B2"/>
    <w:rsid w:val="00A145CD"/>
    <w:rsid w:val="00A14645"/>
    <w:rsid w:val="00A14694"/>
    <w:rsid w:val="00A146CE"/>
    <w:rsid w:val="00A148EC"/>
    <w:rsid w:val="00A14CBC"/>
    <w:rsid w:val="00A14D31"/>
    <w:rsid w:val="00A1524C"/>
    <w:rsid w:val="00A1581C"/>
    <w:rsid w:val="00A15959"/>
    <w:rsid w:val="00A15AAB"/>
    <w:rsid w:val="00A15E57"/>
    <w:rsid w:val="00A160F5"/>
    <w:rsid w:val="00A16443"/>
    <w:rsid w:val="00A16727"/>
    <w:rsid w:val="00A167AE"/>
    <w:rsid w:val="00A16F1C"/>
    <w:rsid w:val="00A175F1"/>
    <w:rsid w:val="00A17D0E"/>
    <w:rsid w:val="00A2028F"/>
    <w:rsid w:val="00A20798"/>
    <w:rsid w:val="00A209A0"/>
    <w:rsid w:val="00A20A6A"/>
    <w:rsid w:val="00A20B77"/>
    <w:rsid w:val="00A20CF2"/>
    <w:rsid w:val="00A2104F"/>
    <w:rsid w:val="00A21395"/>
    <w:rsid w:val="00A214A5"/>
    <w:rsid w:val="00A217D0"/>
    <w:rsid w:val="00A223F3"/>
    <w:rsid w:val="00A2244B"/>
    <w:rsid w:val="00A22A70"/>
    <w:rsid w:val="00A22CA9"/>
    <w:rsid w:val="00A22F0E"/>
    <w:rsid w:val="00A22FC9"/>
    <w:rsid w:val="00A23C83"/>
    <w:rsid w:val="00A23DD4"/>
    <w:rsid w:val="00A24167"/>
    <w:rsid w:val="00A2420C"/>
    <w:rsid w:val="00A24377"/>
    <w:rsid w:val="00A24486"/>
    <w:rsid w:val="00A24665"/>
    <w:rsid w:val="00A246A0"/>
    <w:rsid w:val="00A2472B"/>
    <w:rsid w:val="00A24B8B"/>
    <w:rsid w:val="00A24E93"/>
    <w:rsid w:val="00A253A9"/>
    <w:rsid w:val="00A25C63"/>
    <w:rsid w:val="00A26106"/>
    <w:rsid w:val="00A2643B"/>
    <w:rsid w:val="00A26609"/>
    <w:rsid w:val="00A26A36"/>
    <w:rsid w:val="00A26D72"/>
    <w:rsid w:val="00A26E29"/>
    <w:rsid w:val="00A26EB5"/>
    <w:rsid w:val="00A26F58"/>
    <w:rsid w:val="00A26F86"/>
    <w:rsid w:val="00A271A7"/>
    <w:rsid w:val="00A276EC"/>
    <w:rsid w:val="00A303F4"/>
    <w:rsid w:val="00A30D7D"/>
    <w:rsid w:val="00A30FDA"/>
    <w:rsid w:val="00A31455"/>
    <w:rsid w:val="00A31458"/>
    <w:rsid w:val="00A31607"/>
    <w:rsid w:val="00A3164C"/>
    <w:rsid w:val="00A317AD"/>
    <w:rsid w:val="00A31926"/>
    <w:rsid w:val="00A31A5F"/>
    <w:rsid w:val="00A31B3A"/>
    <w:rsid w:val="00A31B93"/>
    <w:rsid w:val="00A31CAC"/>
    <w:rsid w:val="00A31FA4"/>
    <w:rsid w:val="00A327E9"/>
    <w:rsid w:val="00A33070"/>
    <w:rsid w:val="00A33E00"/>
    <w:rsid w:val="00A33EEA"/>
    <w:rsid w:val="00A33F15"/>
    <w:rsid w:val="00A341BF"/>
    <w:rsid w:val="00A3472D"/>
    <w:rsid w:val="00A347E2"/>
    <w:rsid w:val="00A34C10"/>
    <w:rsid w:val="00A34EFF"/>
    <w:rsid w:val="00A355DE"/>
    <w:rsid w:val="00A35668"/>
    <w:rsid w:val="00A35CA7"/>
    <w:rsid w:val="00A35CBB"/>
    <w:rsid w:val="00A36268"/>
    <w:rsid w:val="00A36340"/>
    <w:rsid w:val="00A363DC"/>
    <w:rsid w:val="00A364AF"/>
    <w:rsid w:val="00A371E6"/>
    <w:rsid w:val="00A374F0"/>
    <w:rsid w:val="00A3774E"/>
    <w:rsid w:val="00A37A96"/>
    <w:rsid w:val="00A37D08"/>
    <w:rsid w:val="00A37EF0"/>
    <w:rsid w:val="00A37F99"/>
    <w:rsid w:val="00A4035B"/>
    <w:rsid w:val="00A405DE"/>
    <w:rsid w:val="00A40789"/>
    <w:rsid w:val="00A407D4"/>
    <w:rsid w:val="00A408DB"/>
    <w:rsid w:val="00A40C85"/>
    <w:rsid w:val="00A4115E"/>
    <w:rsid w:val="00A41335"/>
    <w:rsid w:val="00A413F3"/>
    <w:rsid w:val="00A4150E"/>
    <w:rsid w:val="00A41621"/>
    <w:rsid w:val="00A41A0E"/>
    <w:rsid w:val="00A41B02"/>
    <w:rsid w:val="00A41FC4"/>
    <w:rsid w:val="00A41FD3"/>
    <w:rsid w:val="00A421D9"/>
    <w:rsid w:val="00A42344"/>
    <w:rsid w:val="00A4289B"/>
    <w:rsid w:val="00A4338F"/>
    <w:rsid w:val="00A439DC"/>
    <w:rsid w:val="00A43E40"/>
    <w:rsid w:val="00A4490D"/>
    <w:rsid w:val="00A44F10"/>
    <w:rsid w:val="00A4530D"/>
    <w:rsid w:val="00A453EE"/>
    <w:rsid w:val="00A454D4"/>
    <w:rsid w:val="00A457B1"/>
    <w:rsid w:val="00A458EA"/>
    <w:rsid w:val="00A45FE1"/>
    <w:rsid w:val="00A46C75"/>
    <w:rsid w:val="00A46CB7"/>
    <w:rsid w:val="00A46CF9"/>
    <w:rsid w:val="00A46E88"/>
    <w:rsid w:val="00A471BD"/>
    <w:rsid w:val="00A4725D"/>
    <w:rsid w:val="00A47A73"/>
    <w:rsid w:val="00A47C2D"/>
    <w:rsid w:val="00A47E2A"/>
    <w:rsid w:val="00A50715"/>
    <w:rsid w:val="00A5085C"/>
    <w:rsid w:val="00A50880"/>
    <w:rsid w:val="00A50FC6"/>
    <w:rsid w:val="00A51186"/>
    <w:rsid w:val="00A51716"/>
    <w:rsid w:val="00A5185E"/>
    <w:rsid w:val="00A51887"/>
    <w:rsid w:val="00A51926"/>
    <w:rsid w:val="00A51D5F"/>
    <w:rsid w:val="00A52069"/>
    <w:rsid w:val="00A5239B"/>
    <w:rsid w:val="00A5291D"/>
    <w:rsid w:val="00A5296E"/>
    <w:rsid w:val="00A5311B"/>
    <w:rsid w:val="00A533B6"/>
    <w:rsid w:val="00A53532"/>
    <w:rsid w:val="00A53647"/>
    <w:rsid w:val="00A53736"/>
    <w:rsid w:val="00A53764"/>
    <w:rsid w:val="00A53866"/>
    <w:rsid w:val="00A53A69"/>
    <w:rsid w:val="00A53B64"/>
    <w:rsid w:val="00A53D85"/>
    <w:rsid w:val="00A53DD3"/>
    <w:rsid w:val="00A53F75"/>
    <w:rsid w:val="00A542BC"/>
    <w:rsid w:val="00A5457D"/>
    <w:rsid w:val="00A5463D"/>
    <w:rsid w:val="00A54834"/>
    <w:rsid w:val="00A54D53"/>
    <w:rsid w:val="00A556B9"/>
    <w:rsid w:val="00A55ED7"/>
    <w:rsid w:val="00A56891"/>
    <w:rsid w:val="00A568D5"/>
    <w:rsid w:val="00A569DB"/>
    <w:rsid w:val="00A56C66"/>
    <w:rsid w:val="00A56FEA"/>
    <w:rsid w:val="00A5726B"/>
    <w:rsid w:val="00A57633"/>
    <w:rsid w:val="00A600E8"/>
    <w:rsid w:val="00A6074C"/>
    <w:rsid w:val="00A60ADD"/>
    <w:rsid w:val="00A60D47"/>
    <w:rsid w:val="00A61033"/>
    <w:rsid w:val="00A616B6"/>
    <w:rsid w:val="00A61883"/>
    <w:rsid w:val="00A61A77"/>
    <w:rsid w:val="00A61D15"/>
    <w:rsid w:val="00A61E57"/>
    <w:rsid w:val="00A6212C"/>
    <w:rsid w:val="00A621E3"/>
    <w:rsid w:val="00A622F7"/>
    <w:rsid w:val="00A62490"/>
    <w:rsid w:val="00A62A0B"/>
    <w:rsid w:val="00A62CE7"/>
    <w:rsid w:val="00A62CFC"/>
    <w:rsid w:val="00A62DBF"/>
    <w:rsid w:val="00A62E56"/>
    <w:rsid w:val="00A63483"/>
    <w:rsid w:val="00A634AF"/>
    <w:rsid w:val="00A63872"/>
    <w:rsid w:val="00A638D3"/>
    <w:rsid w:val="00A6394D"/>
    <w:rsid w:val="00A63AC2"/>
    <w:rsid w:val="00A63EFA"/>
    <w:rsid w:val="00A6421F"/>
    <w:rsid w:val="00A645F5"/>
    <w:rsid w:val="00A647F8"/>
    <w:rsid w:val="00A648D3"/>
    <w:rsid w:val="00A65087"/>
    <w:rsid w:val="00A654D6"/>
    <w:rsid w:val="00A657BD"/>
    <w:rsid w:val="00A65A0F"/>
    <w:rsid w:val="00A65FA5"/>
    <w:rsid w:val="00A66395"/>
    <w:rsid w:val="00A672AA"/>
    <w:rsid w:val="00A675D2"/>
    <w:rsid w:val="00A67B74"/>
    <w:rsid w:val="00A7016D"/>
    <w:rsid w:val="00A707EA"/>
    <w:rsid w:val="00A70DD1"/>
    <w:rsid w:val="00A710C6"/>
    <w:rsid w:val="00A7123C"/>
    <w:rsid w:val="00A717C8"/>
    <w:rsid w:val="00A71CEE"/>
    <w:rsid w:val="00A71D88"/>
    <w:rsid w:val="00A728C0"/>
    <w:rsid w:val="00A729E8"/>
    <w:rsid w:val="00A72AC8"/>
    <w:rsid w:val="00A72DF7"/>
    <w:rsid w:val="00A72F35"/>
    <w:rsid w:val="00A73377"/>
    <w:rsid w:val="00A734B3"/>
    <w:rsid w:val="00A7353B"/>
    <w:rsid w:val="00A736B6"/>
    <w:rsid w:val="00A74278"/>
    <w:rsid w:val="00A7433D"/>
    <w:rsid w:val="00A74487"/>
    <w:rsid w:val="00A744B6"/>
    <w:rsid w:val="00A748E9"/>
    <w:rsid w:val="00A74E19"/>
    <w:rsid w:val="00A74F25"/>
    <w:rsid w:val="00A752B0"/>
    <w:rsid w:val="00A75559"/>
    <w:rsid w:val="00A75EFB"/>
    <w:rsid w:val="00A76D4D"/>
    <w:rsid w:val="00A77945"/>
    <w:rsid w:val="00A804E8"/>
    <w:rsid w:val="00A806BA"/>
    <w:rsid w:val="00A80827"/>
    <w:rsid w:val="00A8093F"/>
    <w:rsid w:val="00A80D9C"/>
    <w:rsid w:val="00A80EAD"/>
    <w:rsid w:val="00A80F19"/>
    <w:rsid w:val="00A81CDA"/>
    <w:rsid w:val="00A81CE7"/>
    <w:rsid w:val="00A8228C"/>
    <w:rsid w:val="00A8229B"/>
    <w:rsid w:val="00A82747"/>
    <w:rsid w:val="00A82870"/>
    <w:rsid w:val="00A82A79"/>
    <w:rsid w:val="00A82E35"/>
    <w:rsid w:val="00A82EB2"/>
    <w:rsid w:val="00A8330C"/>
    <w:rsid w:val="00A8396C"/>
    <w:rsid w:val="00A83B63"/>
    <w:rsid w:val="00A83C2D"/>
    <w:rsid w:val="00A83FEB"/>
    <w:rsid w:val="00A848B6"/>
    <w:rsid w:val="00A84A0B"/>
    <w:rsid w:val="00A84D4B"/>
    <w:rsid w:val="00A84ED7"/>
    <w:rsid w:val="00A84EE1"/>
    <w:rsid w:val="00A84F18"/>
    <w:rsid w:val="00A85243"/>
    <w:rsid w:val="00A8545A"/>
    <w:rsid w:val="00A854C6"/>
    <w:rsid w:val="00A8563B"/>
    <w:rsid w:val="00A86040"/>
    <w:rsid w:val="00A86271"/>
    <w:rsid w:val="00A867E4"/>
    <w:rsid w:val="00A86935"/>
    <w:rsid w:val="00A86A6C"/>
    <w:rsid w:val="00A86AEE"/>
    <w:rsid w:val="00A86B97"/>
    <w:rsid w:val="00A86BBD"/>
    <w:rsid w:val="00A86D4E"/>
    <w:rsid w:val="00A87582"/>
    <w:rsid w:val="00A87A40"/>
    <w:rsid w:val="00A87E60"/>
    <w:rsid w:val="00A87E95"/>
    <w:rsid w:val="00A90410"/>
    <w:rsid w:val="00A9041A"/>
    <w:rsid w:val="00A9055C"/>
    <w:rsid w:val="00A90627"/>
    <w:rsid w:val="00A90719"/>
    <w:rsid w:val="00A908DE"/>
    <w:rsid w:val="00A9139C"/>
    <w:rsid w:val="00A914D3"/>
    <w:rsid w:val="00A91E8B"/>
    <w:rsid w:val="00A91E8D"/>
    <w:rsid w:val="00A91EFB"/>
    <w:rsid w:val="00A924BD"/>
    <w:rsid w:val="00A9285A"/>
    <w:rsid w:val="00A92C03"/>
    <w:rsid w:val="00A92F24"/>
    <w:rsid w:val="00A930E5"/>
    <w:rsid w:val="00A9333C"/>
    <w:rsid w:val="00A93B63"/>
    <w:rsid w:val="00A9414B"/>
    <w:rsid w:val="00A9414D"/>
    <w:rsid w:val="00A94400"/>
    <w:rsid w:val="00A94436"/>
    <w:rsid w:val="00A9477B"/>
    <w:rsid w:val="00A94AB9"/>
    <w:rsid w:val="00A95A68"/>
    <w:rsid w:val="00A969A7"/>
    <w:rsid w:val="00A9730E"/>
    <w:rsid w:val="00A97988"/>
    <w:rsid w:val="00A97DF1"/>
    <w:rsid w:val="00A97EB3"/>
    <w:rsid w:val="00A97FA8"/>
    <w:rsid w:val="00A97FBE"/>
    <w:rsid w:val="00AA0280"/>
    <w:rsid w:val="00AA04D1"/>
    <w:rsid w:val="00AA04FE"/>
    <w:rsid w:val="00AA08B0"/>
    <w:rsid w:val="00AA0B27"/>
    <w:rsid w:val="00AA1238"/>
    <w:rsid w:val="00AA176A"/>
    <w:rsid w:val="00AA1E1B"/>
    <w:rsid w:val="00AA2412"/>
    <w:rsid w:val="00AA2C2B"/>
    <w:rsid w:val="00AA3198"/>
    <w:rsid w:val="00AA349E"/>
    <w:rsid w:val="00AA351E"/>
    <w:rsid w:val="00AA364B"/>
    <w:rsid w:val="00AA3A40"/>
    <w:rsid w:val="00AA3E8F"/>
    <w:rsid w:val="00AA44C7"/>
    <w:rsid w:val="00AA47DF"/>
    <w:rsid w:val="00AA4EF3"/>
    <w:rsid w:val="00AA4F00"/>
    <w:rsid w:val="00AA57F7"/>
    <w:rsid w:val="00AA5AA8"/>
    <w:rsid w:val="00AA5C5D"/>
    <w:rsid w:val="00AA5DF6"/>
    <w:rsid w:val="00AA6095"/>
    <w:rsid w:val="00AA6305"/>
    <w:rsid w:val="00AA6BF7"/>
    <w:rsid w:val="00AA6F8E"/>
    <w:rsid w:val="00AA7256"/>
    <w:rsid w:val="00AA77CC"/>
    <w:rsid w:val="00AA77DA"/>
    <w:rsid w:val="00AA7B50"/>
    <w:rsid w:val="00AA7DB8"/>
    <w:rsid w:val="00AA7FC6"/>
    <w:rsid w:val="00AB023C"/>
    <w:rsid w:val="00AB0ED0"/>
    <w:rsid w:val="00AB11B3"/>
    <w:rsid w:val="00AB11FF"/>
    <w:rsid w:val="00AB1676"/>
    <w:rsid w:val="00AB18D4"/>
    <w:rsid w:val="00AB19C0"/>
    <w:rsid w:val="00AB1AC3"/>
    <w:rsid w:val="00AB1F84"/>
    <w:rsid w:val="00AB2044"/>
    <w:rsid w:val="00AB2601"/>
    <w:rsid w:val="00AB28B9"/>
    <w:rsid w:val="00AB29C5"/>
    <w:rsid w:val="00AB2A20"/>
    <w:rsid w:val="00AB2ABC"/>
    <w:rsid w:val="00AB2B11"/>
    <w:rsid w:val="00AB2E44"/>
    <w:rsid w:val="00AB2F6A"/>
    <w:rsid w:val="00AB30C4"/>
    <w:rsid w:val="00AB321D"/>
    <w:rsid w:val="00AB3925"/>
    <w:rsid w:val="00AB3B6C"/>
    <w:rsid w:val="00AB42AB"/>
    <w:rsid w:val="00AB43D9"/>
    <w:rsid w:val="00AB45CB"/>
    <w:rsid w:val="00AB46F6"/>
    <w:rsid w:val="00AB4ABA"/>
    <w:rsid w:val="00AB4F8E"/>
    <w:rsid w:val="00AB57B8"/>
    <w:rsid w:val="00AB62A1"/>
    <w:rsid w:val="00AB672E"/>
    <w:rsid w:val="00AB673B"/>
    <w:rsid w:val="00AB69DE"/>
    <w:rsid w:val="00AB6D45"/>
    <w:rsid w:val="00AB7289"/>
    <w:rsid w:val="00AB799A"/>
    <w:rsid w:val="00AB7B68"/>
    <w:rsid w:val="00AB7B8F"/>
    <w:rsid w:val="00AB7E9A"/>
    <w:rsid w:val="00AB7EC3"/>
    <w:rsid w:val="00AC033F"/>
    <w:rsid w:val="00AC05E4"/>
    <w:rsid w:val="00AC0999"/>
    <w:rsid w:val="00AC1089"/>
    <w:rsid w:val="00AC10D4"/>
    <w:rsid w:val="00AC11F5"/>
    <w:rsid w:val="00AC1625"/>
    <w:rsid w:val="00AC198E"/>
    <w:rsid w:val="00AC1AD4"/>
    <w:rsid w:val="00AC1E50"/>
    <w:rsid w:val="00AC1E76"/>
    <w:rsid w:val="00AC26F7"/>
    <w:rsid w:val="00AC2713"/>
    <w:rsid w:val="00AC27E5"/>
    <w:rsid w:val="00AC2B64"/>
    <w:rsid w:val="00AC2DBF"/>
    <w:rsid w:val="00AC3536"/>
    <w:rsid w:val="00AC3F8D"/>
    <w:rsid w:val="00AC41DE"/>
    <w:rsid w:val="00AC46FA"/>
    <w:rsid w:val="00AC4D4E"/>
    <w:rsid w:val="00AC504F"/>
    <w:rsid w:val="00AC5764"/>
    <w:rsid w:val="00AC57CF"/>
    <w:rsid w:val="00AC5A4D"/>
    <w:rsid w:val="00AC5FA0"/>
    <w:rsid w:val="00AC64BE"/>
    <w:rsid w:val="00AC68DB"/>
    <w:rsid w:val="00AC6E8F"/>
    <w:rsid w:val="00AC7076"/>
    <w:rsid w:val="00AC70B1"/>
    <w:rsid w:val="00AC7178"/>
    <w:rsid w:val="00AC73F5"/>
    <w:rsid w:val="00AC7585"/>
    <w:rsid w:val="00AC79B5"/>
    <w:rsid w:val="00AD03FC"/>
    <w:rsid w:val="00AD0FF3"/>
    <w:rsid w:val="00AD115C"/>
    <w:rsid w:val="00AD1241"/>
    <w:rsid w:val="00AD1E4A"/>
    <w:rsid w:val="00AD2324"/>
    <w:rsid w:val="00AD2A2E"/>
    <w:rsid w:val="00AD2EB9"/>
    <w:rsid w:val="00AD2F76"/>
    <w:rsid w:val="00AD2FB6"/>
    <w:rsid w:val="00AD32DF"/>
    <w:rsid w:val="00AD348D"/>
    <w:rsid w:val="00AD35AC"/>
    <w:rsid w:val="00AD4DB8"/>
    <w:rsid w:val="00AD58A9"/>
    <w:rsid w:val="00AD5AB3"/>
    <w:rsid w:val="00AD5E73"/>
    <w:rsid w:val="00AD5EA8"/>
    <w:rsid w:val="00AD61A4"/>
    <w:rsid w:val="00AD6472"/>
    <w:rsid w:val="00AD671F"/>
    <w:rsid w:val="00AD6A70"/>
    <w:rsid w:val="00AD6CD1"/>
    <w:rsid w:val="00AD7155"/>
    <w:rsid w:val="00AD733C"/>
    <w:rsid w:val="00AD79C5"/>
    <w:rsid w:val="00AD7D84"/>
    <w:rsid w:val="00AE05C5"/>
    <w:rsid w:val="00AE05CB"/>
    <w:rsid w:val="00AE05DA"/>
    <w:rsid w:val="00AE094C"/>
    <w:rsid w:val="00AE096D"/>
    <w:rsid w:val="00AE0F37"/>
    <w:rsid w:val="00AE17B5"/>
    <w:rsid w:val="00AE1B69"/>
    <w:rsid w:val="00AE1CC5"/>
    <w:rsid w:val="00AE23F9"/>
    <w:rsid w:val="00AE260C"/>
    <w:rsid w:val="00AE2673"/>
    <w:rsid w:val="00AE2916"/>
    <w:rsid w:val="00AE2BF4"/>
    <w:rsid w:val="00AE2C73"/>
    <w:rsid w:val="00AE2D1E"/>
    <w:rsid w:val="00AE2F4C"/>
    <w:rsid w:val="00AE2FCC"/>
    <w:rsid w:val="00AE32C7"/>
    <w:rsid w:val="00AE377B"/>
    <w:rsid w:val="00AE3C0A"/>
    <w:rsid w:val="00AE41EF"/>
    <w:rsid w:val="00AE43EC"/>
    <w:rsid w:val="00AE44BE"/>
    <w:rsid w:val="00AE4514"/>
    <w:rsid w:val="00AE477C"/>
    <w:rsid w:val="00AE480D"/>
    <w:rsid w:val="00AE4838"/>
    <w:rsid w:val="00AE4EF5"/>
    <w:rsid w:val="00AE4F1E"/>
    <w:rsid w:val="00AE4F4F"/>
    <w:rsid w:val="00AE533E"/>
    <w:rsid w:val="00AE5BA9"/>
    <w:rsid w:val="00AE5C7C"/>
    <w:rsid w:val="00AE6216"/>
    <w:rsid w:val="00AE6313"/>
    <w:rsid w:val="00AE6A02"/>
    <w:rsid w:val="00AE6ABC"/>
    <w:rsid w:val="00AE6B6F"/>
    <w:rsid w:val="00AE6FFD"/>
    <w:rsid w:val="00AE70CC"/>
    <w:rsid w:val="00AE7603"/>
    <w:rsid w:val="00AE76DD"/>
    <w:rsid w:val="00AE77C8"/>
    <w:rsid w:val="00AE7948"/>
    <w:rsid w:val="00AE79C8"/>
    <w:rsid w:val="00AE7BE7"/>
    <w:rsid w:val="00AE7CBD"/>
    <w:rsid w:val="00AF0180"/>
    <w:rsid w:val="00AF042C"/>
    <w:rsid w:val="00AF0510"/>
    <w:rsid w:val="00AF06FA"/>
    <w:rsid w:val="00AF0B51"/>
    <w:rsid w:val="00AF0CF6"/>
    <w:rsid w:val="00AF0FFB"/>
    <w:rsid w:val="00AF1878"/>
    <w:rsid w:val="00AF19F3"/>
    <w:rsid w:val="00AF1D47"/>
    <w:rsid w:val="00AF2100"/>
    <w:rsid w:val="00AF37C7"/>
    <w:rsid w:val="00AF3BC2"/>
    <w:rsid w:val="00AF3FF6"/>
    <w:rsid w:val="00AF41A7"/>
    <w:rsid w:val="00AF477E"/>
    <w:rsid w:val="00AF4C72"/>
    <w:rsid w:val="00AF50C3"/>
    <w:rsid w:val="00AF557D"/>
    <w:rsid w:val="00AF57B6"/>
    <w:rsid w:val="00AF596E"/>
    <w:rsid w:val="00AF5BA8"/>
    <w:rsid w:val="00AF5C7C"/>
    <w:rsid w:val="00AF6195"/>
    <w:rsid w:val="00AF63A7"/>
    <w:rsid w:val="00AF694D"/>
    <w:rsid w:val="00AF69ED"/>
    <w:rsid w:val="00AF69F7"/>
    <w:rsid w:val="00AF6AC8"/>
    <w:rsid w:val="00AF710F"/>
    <w:rsid w:val="00AF71A9"/>
    <w:rsid w:val="00AF7271"/>
    <w:rsid w:val="00AF72A4"/>
    <w:rsid w:val="00AF749B"/>
    <w:rsid w:val="00AF78B3"/>
    <w:rsid w:val="00AF79E8"/>
    <w:rsid w:val="00AF7A9A"/>
    <w:rsid w:val="00AF7E10"/>
    <w:rsid w:val="00AF7F7A"/>
    <w:rsid w:val="00B0018F"/>
    <w:rsid w:val="00B0045D"/>
    <w:rsid w:val="00B00AC6"/>
    <w:rsid w:val="00B00C0F"/>
    <w:rsid w:val="00B0100E"/>
    <w:rsid w:val="00B010DB"/>
    <w:rsid w:val="00B01417"/>
    <w:rsid w:val="00B0183C"/>
    <w:rsid w:val="00B019B7"/>
    <w:rsid w:val="00B02401"/>
    <w:rsid w:val="00B0249D"/>
    <w:rsid w:val="00B024F7"/>
    <w:rsid w:val="00B02629"/>
    <w:rsid w:val="00B02972"/>
    <w:rsid w:val="00B02C9D"/>
    <w:rsid w:val="00B031AA"/>
    <w:rsid w:val="00B03580"/>
    <w:rsid w:val="00B037F2"/>
    <w:rsid w:val="00B03816"/>
    <w:rsid w:val="00B03ADD"/>
    <w:rsid w:val="00B03D12"/>
    <w:rsid w:val="00B03D90"/>
    <w:rsid w:val="00B03F48"/>
    <w:rsid w:val="00B04D84"/>
    <w:rsid w:val="00B052E2"/>
    <w:rsid w:val="00B05421"/>
    <w:rsid w:val="00B05505"/>
    <w:rsid w:val="00B05511"/>
    <w:rsid w:val="00B057F8"/>
    <w:rsid w:val="00B05D70"/>
    <w:rsid w:val="00B061F5"/>
    <w:rsid w:val="00B063AC"/>
    <w:rsid w:val="00B06749"/>
    <w:rsid w:val="00B06E73"/>
    <w:rsid w:val="00B06F81"/>
    <w:rsid w:val="00B07000"/>
    <w:rsid w:val="00B070C9"/>
    <w:rsid w:val="00B074A7"/>
    <w:rsid w:val="00B079BB"/>
    <w:rsid w:val="00B07B7B"/>
    <w:rsid w:val="00B1023B"/>
    <w:rsid w:val="00B112BB"/>
    <w:rsid w:val="00B11969"/>
    <w:rsid w:val="00B11E65"/>
    <w:rsid w:val="00B120D6"/>
    <w:rsid w:val="00B12139"/>
    <w:rsid w:val="00B1215B"/>
    <w:rsid w:val="00B124C4"/>
    <w:rsid w:val="00B12505"/>
    <w:rsid w:val="00B125ED"/>
    <w:rsid w:val="00B12A4E"/>
    <w:rsid w:val="00B12F67"/>
    <w:rsid w:val="00B1308F"/>
    <w:rsid w:val="00B132A5"/>
    <w:rsid w:val="00B13346"/>
    <w:rsid w:val="00B13561"/>
    <w:rsid w:val="00B13608"/>
    <w:rsid w:val="00B136BF"/>
    <w:rsid w:val="00B1376B"/>
    <w:rsid w:val="00B13B96"/>
    <w:rsid w:val="00B13E23"/>
    <w:rsid w:val="00B1455F"/>
    <w:rsid w:val="00B146DA"/>
    <w:rsid w:val="00B14AC1"/>
    <w:rsid w:val="00B14EFB"/>
    <w:rsid w:val="00B15108"/>
    <w:rsid w:val="00B151C5"/>
    <w:rsid w:val="00B15342"/>
    <w:rsid w:val="00B15478"/>
    <w:rsid w:val="00B155FA"/>
    <w:rsid w:val="00B157B9"/>
    <w:rsid w:val="00B15914"/>
    <w:rsid w:val="00B1591F"/>
    <w:rsid w:val="00B15B75"/>
    <w:rsid w:val="00B15D7B"/>
    <w:rsid w:val="00B169C9"/>
    <w:rsid w:val="00B16AA1"/>
    <w:rsid w:val="00B172D3"/>
    <w:rsid w:val="00B17507"/>
    <w:rsid w:val="00B17A43"/>
    <w:rsid w:val="00B20340"/>
    <w:rsid w:val="00B206F4"/>
    <w:rsid w:val="00B20DA5"/>
    <w:rsid w:val="00B21307"/>
    <w:rsid w:val="00B214C7"/>
    <w:rsid w:val="00B21520"/>
    <w:rsid w:val="00B2154E"/>
    <w:rsid w:val="00B21B40"/>
    <w:rsid w:val="00B2201F"/>
    <w:rsid w:val="00B22142"/>
    <w:rsid w:val="00B221DD"/>
    <w:rsid w:val="00B22218"/>
    <w:rsid w:val="00B22AD2"/>
    <w:rsid w:val="00B22B2D"/>
    <w:rsid w:val="00B232B1"/>
    <w:rsid w:val="00B237C6"/>
    <w:rsid w:val="00B23AF8"/>
    <w:rsid w:val="00B23C09"/>
    <w:rsid w:val="00B23E8C"/>
    <w:rsid w:val="00B23FF1"/>
    <w:rsid w:val="00B2424E"/>
    <w:rsid w:val="00B2473D"/>
    <w:rsid w:val="00B24E01"/>
    <w:rsid w:val="00B2524F"/>
    <w:rsid w:val="00B253F7"/>
    <w:rsid w:val="00B259A5"/>
    <w:rsid w:val="00B25C05"/>
    <w:rsid w:val="00B25CA7"/>
    <w:rsid w:val="00B262F8"/>
    <w:rsid w:val="00B266DF"/>
    <w:rsid w:val="00B267B5"/>
    <w:rsid w:val="00B26A34"/>
    <w:rsid w:val="00B26B1A"/>
    <w:rsid w:val="00B26DC0"/>
    <w:rsid w:val="00B270CF"/>
    <w:rsid w:val="00B2725B"/>
    <w:rsid w:val="00B2774C"/>
    <w:rsid w:val="00B27B3F"/>
    <w:rsid w:val="00B30495"/>
    <w:rsid w:val="00B30D56"/>
    <w:rsid w:val="00B31134"/>
    <w:rsid w:val="00B311D7"/>
    <w:rsid w:val="00B31545"/>
    <w:rsid w:val="00B31967"/>
    <w:rsid w:val="00B32045"/>
    <w:rsid w:val="00B32142"/>
    <w:rsid w:val="00B321E7"/>
    <w:rsid w:val="00B32384"/>
    <w:rsid w:val="00B32704"/>
    <w:rsid w:val="00B328B1"/>
    <w:rsid w:val="00B32AD0"/>
    <w:rsid w:val="00B33057"/>
    <w:rsid w:val="00B330B4"/>
    <w:rsid w:val="00B3320F"/>
    <w:rsid w:val="00B33A48"/>
    <w:rsid w:val="00B33AB2"/>
    <w:rsid w:val="00B33CB3"/>
    <w:rsid w:val="00B33CC6"/>
    <w:rsid w:val="00B33EE4"/>
    <w:rsid w:val="00B34053"/>
    <w:rsid w:val="00B343EA"/>
    <w:rsid w:val="00B34748"/>
    <w:rsid w:val="00B3483A"/>
    <w:rsid w:val="00B349E9"/>
    <w:rsid w:val="00B34B35"/>
    <w:rsid w:val="00B34EC7"/>
    <w:rsid w:val="00B34FF1"/>
    <w:rsid w:val="00B35009"/>
    <w:rsid w:val="00B351E5"/>
    <w:rsid w:val="00B35847"/>
    <w:rsid w:val="00B3584B"/>
    <w:rsid w:val="00B359CD"/>
    <w:rsid w:val="00B35ACA"/>
    <w:rsid w:val="00B35B4B"/>
    <w:rsid w:val="00B35CE1"/>
    <w:rsid w:val="00B3621C"/>
    <w:rsid w:val="00B364D8"/>
    <w:rsid w:val="00B3699F"/>
    <w:rsid w:val="00B36BEF"/>
    <w:rsid w:val="00B37564"/>
    <w:rsid w:val="00B37571"/>
    <w:rsid w:val="00B37F64"/>
    <w:rsid w:val="00B40042"/>
    <w:rsid w:val="00B4012B"/>
    <w:rsid w:val="00B40324"/>
    <w:rsid w:val="00B40642"/>
    <w:rsid w:val="00B406FB"/>
    <w:rsid w:val="00B40F6B"/>
    <w:rsid w:val="00B4101D"/>
    <w:rsid w:val="00B418D9"/>
    <w:rsid w:val="00B419BB"/>
    <w:rsid w:val="00B41B20"/>
    <w:rsid w:val="00B41D7C"/>
    <w:rsid w:val="00B42246"/>
    <w:rsid w:val="00B4234D"/>
    <w:rsid w:val="00B42AEE"/>
    <w:rsid w:val="00B42B49"/>
    <w:rsid w:val="00B42C53"/>
    <w:rsid w:val="00B42EE2"/>
    <w:rsid w:val="00B43202"/>
    <w:rsid w:val="00B43431"/>
    <w:rsid w:val="00B435C5"/>
    <w:rsid w:val="00B43627"/>
    <w:rsid w:val="00B4392D"/>
    <w:rsid w:val="00B43E9F"/>
    <w:rsid w:val="00B43ED1"/>
    <w:rsid w:val="00B44040"/>
    <w:rsid w:val="00B44415"/>
    <w:rsid w:val="00B448F6"/>
    <w:rsid w:val="00B44C77"/>
    <w:rsid w:val="00B4568B"/>
    <w:rsid w:val="00B45871"/>
    <w:rsid w:val="00B45911"/>
    <w:rsid w:val="00B46A88"/>
    <w:rsid w:val="00B46AE4"/>
    <w:rsid w:val="00B46B1E"/>
    <w:rsid w:val="00B46D49"/>
    <w:rsid w:val="00B46E81"/>
    <w:rsid w:val="00B47250"/>
    <w:rsid w:val="00B47653"/>
    <w:rsid w:val="00B4774F"/>
    <w:rsid w:val="00B47A4F"/>
    <w:rsid w:val="00B47DAC"/>
    <w:rsid w:val="00B5004F"/>
    <w:rsid w:val="00B50123"/>
    <w:rsid w:val="00B5049B"/>
    <w:rsid w:val="00B504F5"/>
    <w:rsid w:val="00B50823"/>
    <w:rsid w:val="00B50CE7"/>
    <w:rsid w:val="00B50E31"/>
    <w:rsid w:val="00B50FD8"/>
    <w:rsid w:val="00B5118C"/>
    <w:rsid w:val="00B51C55"/>
    <w:rsid w:val="00B51C7D"/>
    <w:rsid w:val="00B51DC0"/>
    <w:rsid w:val="00B51DEF"/>
    <w:rsid w:val="00B52611"/>
    <w:rsid w:val="00B526FC"/>
    <w:rsid w:val="00B52C0F"/>
    <w:rsid w:val="00B53639"/>
    <w:rsid w:val="00B5364B"/>
    <w:rsid w:val="00B537A1"/>
    <w:rsid w:val="00B53E70"/>
    <w:rsid w:val="00B542F8"/>
    <w:rsid w:val="00B5476B"/>
    <w:rsid w:val="00B54A69"/>
    <w:rsid w:val="00B54B75"/>
    <w:rsid w:val="00B54C35"/>
    <w:rsid w:val="00B54C83"/>
    <w:rsid w:val="00B54F63"/>
    <w:rsid w:val="00B55031"/>
    <w:rsid w:val="00B551B4"/>
    <w:rsid w:val="00B5534D"/>
    <w:rsid w:val="00B5648A"/>
    <w:rsid w:val="00B565EF"/>
    <w:rsid w:val="00B566F5"/>
    <w:rsid w:val="00B56764"/>
    <w:rsid w:val="00B5677C"/>
    <w:rsid w:val="00B56A9C"/>
    <w:rsid w:val="00B56B5D"/>
    <w:rsid w:val="00B56ECA"/>
    <w:rsid w:val="00B572CB"/>
    <w:rsid w:val="00B5757C"/>
    <w:rsid w:val="00B579C0"/>
    <w:rsid w:val="00B57AC9"/>
    <w:rsid w:val="00B57C82"/>
    <w:rsid w:val="00B57D9F"/>
    <w:rsid w:val="00B57FA4"/>
    <w:rsid w:val="00B60087"/>
    <w:rsid w:val="00B601E7"/>
    <w:rsid w:val="00B603D6"/>
    <w:rsid w:val="00B60798"/>
    <w:rsid w:val="00B609F0"/>
    <w:rsid w:val="00B60AEE"/>
    <w:rsid w:val="00B60B40"/>
    <w:rsid w:val="00B60C58"/>
    <w:rsid w:val="00B60D1B"/>
    <w:rsid w:val="00B60D24"/>
    <w:rsid w:val="00B60D88"/>
    <w:rsid w:val="00B6137F"/>
    <w:rsid w:val="00B61541"/>
    <w:rsid w:val="00B61544"/>
    <w:rsid w:val="00B6194A"/>
    <w:rsid w:val="00B61C11"/>
    <w:rsid w:val="00B61CB2"/>
    <w:rsid w:val="00B6213F"/>
    <w:rsid w:val="00B62A53"/>
    <w:rsid w:val="00B62AD3"/>
    <w:rsid w:val="00B62CF9"/>
    <w:rsid w:val="00B62D51"/>
    <w:rsid w:val="00B62DCD"/>
    <w:rsid w:val="00B62E45"/>
    <w:rsid w:val="00B62FFF"/>
    <w:rsid w:val="00B632CB"/>
    <w:rsid w:val="00B632F6"/>
    <w:rsid w:val="00B6364B"/>
    <w:rsid w:val="00B638F1"/>
    <w:rsid w:val="00B639A8"/>
    <w:rsid w:val="00B644B7"/>
    <w:rsid w:val="00B64760"/>
    <w:rsid w:val="00B64C52"/>
    <w:rsid w:val="00B65657"/>
    <w:rsid w:val="00B657D0"/>
    <w:rsid w:val="00B65AB0"/>
    <w:rsid w:val="00B66316"/>
    <w:rsid w:val="00B66C84"/>
    <w:rsid w:val="00B66D79"/>
    <w:rsid w:val="00B66D7B"/>
    <w:rsid w:val="00B67396"/>
    <w:rsid w:val="00B676B8"/>
    <w:rsid w:val="00B67A1B"/>
    <w:rsid w:val="00B67ADF"/>
    <w:rsid w:val="00B67FB0"/>
    <w:rsid w:val="00B67FC1"/>
    <w:rsid w:val="00B700E7"/>
    <w:rsid w:val="00B70157"/>
    <w:rsid w:val="00B70288"/>
    <w:rsid w:val="00B70A9F"/>
    <w:rsid w:val="00B70CDE"/>
    <w:rsid w:val="00B70D14"/>
    <w:rsid w:val="00B70F42"/>
    <w:rsid w:val="00B710D4"/>
    <w:rsid w:val="00B7131C"/>
    <w:rsid w:val="00B71445"/>
    <w:rsid w:val="00B71584"/>
    <w:rsid w:val="00B7160F"/>
    <w:rsid w:val="00B716FF"/>
    <w:rsid w:val="00B718BF"/>
    <w:rsid w:val="00B71AD8"/>
    <w:rsid w:val="00B71CF3"/>
    <w:rsid w:val="00B71D4B"/>
    <w:rsid w:val="00B72178"/>
    <w:rsid w:val="00B731BE"/>
    <w:rsid w:val="00B73212"/>
    <w:rsid w:val="00B732C8"/>
    <w:rsid w:val="00B74594"/>
    <w:rsid w:val="00B74E44"/>
    <w:rsid w:val="00B74F82"/>
    <w:rsid w:val="00B754BE"/>
    <w:rsid w:val="00B755AE"/>
    <w:rsid w:val="00B75908"/>
    <w:rsid w:val="00B75B25"/>
    <w:rsid w:val="00B75CB0"/>
    <w:rsid w:val="00B75FCD"/>
    <w:rsid w:val="00B76F76"/>
    <w:rsid w:val="00B77419"/>
    <w:rsid w:val="00B77B1E"/>
    <w:rsid w:val="00B80502"/>
    <w:rsid w:val="00B80EDA"/>
    <w:rsid w:val="00B81B3D"/>
    <w:rsid w:val="00B81DA4"/>
    <w:rsid w:val="00B820C7"/>
    <w:rsid w:val="00B8218F"/>
    <w:rsid w:val="00B822A9"/>
    <w:rsid w:val="00B82547"/>
    <w:rsid w:val="00B8265A"/>
    <w:rsid w:val="00B826D0"/>
    <w:rsid w:val="00B82773"/>
    <w:rsid w:val="00B82A02"/>
    <w:rsid w:val="00B82BDD"/>
    <w:rsid w:val="00B82C88"/>
    <w:rsid w:val="00B83279"/>
    <w:rsid w:val="00B83336"/>
    <w:rsid w:val="00B83403"/>
    <w:rsid w:val="00B83B2D"/>
    <w:rsid w:val="00B846F5"/>
    <w:rsid w:val="00B84D84"/>
    <w:rsid w:val="00B84E23"/>
    <w:rsid w:val="00B8532F"/>
    <w:rsid w:val="00B8554B"/>
    <w:rsid w:val="00B858FE"/>
    <w:rsid w:val="00B85BAF"/>
    <w:rsid w:val="00B85D08"/>
    <w:rsid w:val="00B85F29"/>
    <w:rsid w:val="00B85F69"/>
    <w:rsid w:val="00B869CC"/>
    <w:rsid w:val="00B86B36"/>
    <w:rsid w:val="00B86E06"/>
    <w:rsid w:val="00B86F53"/>
    <w:rsid w:val="00B87131"/>
    <w:rsid w:val="00B87231"/>
    <w:rsid w:val="00B8728B"/>
    <w:rsid w:val="00B8749A"/>
    <w:rsid w:val="00B87CE7"/>
    <w:rsid w:val="00B87DF4"/>
    <w:rsid w:val="00B87E08"/>
    <w:rsid w:val="00B901CB"/>
    <w:rsid w:val="00B903C9"/>
    <w:rsid w:val="00B90807"/>
    <w:rsid w:val="00B90CE2"/>
    <w:rsid w:val="00B91271"/>
    <w:rsid w:val="00B914E1"/>
    <w:rsid w:val="00B9166D"/>
    <w:rsid w:val="00B917E9"/>
    <w:rsid w:val="00B92159"/>
    <w:rsid w:val="00B9241C"/>
    <w:rsid w:val="00B92B4B"/>
    <w:rsid w:val="00B92D03"/>
    <w:rsid w:val="00B92E84"/>
    <w:rsid w:val="00B92F72"/>
    <w:rsid w:val="00B9372A"/>
    <w:rsid w:val="00B93E38"/>
    <w:rsid w:val="00B940AA"/>
    <w:rsid w:val="00B95791"/>
    <w:rsid w:val="00B959C4"/>
    <w:rsid w:val="00B95BC8"/>
    <w:rsid w:val="00B95D1A"/>
    <w:rsid w:val="00B95F04"/>
    <w:rsid w:val="00B9634A"/>
    <w:rsid w:val="00B96812"/>
    <w:rsid w:val="00B96D5F"/>
    <w:rsid w:val="00B9718D"/>
    <w:rsid w:val="00B9744A"/>
    <w:rsid w:val="00B9761E"/>
    <w:rsid w:val="00B97BA0"/>
    <w:rsid w:val="00B97C02"/>
    <w:rsid w:val="00BA0503"/>
    <w:rsid w:val="00BA155E"/>
    <w:rsid w:val="00BA1692"/>
    <w:rsid w:val="00BA179D"/>
    <w:rsid w:val="00BA1821"/>
    <w:rsid w:val="00BA19B2"/>
    <w:rsid w:val="00BA1CDF"/>
    <w:rsid w:val="00BA1D3A"/>
    <w:rsid w:val="00BA1F54"/>
    <w:rsid w:val="00BA27F6"/>
    <w:rsid w:val="00BA29AC"/>
    <w:rsid w:val="00BA2B94"/>
    <w:rsid w:val="00BA3837"/>
    <w:rsid w:val="00BA3972"/>
    <w:rsid w:val="00BA3ABF"/>
    <w:rsid w:val="00BA3B34"/>
    <w:rsid w:val="00BA3B88"/>
    <w:rsid w:val="00BA4538"/>
    <w:rsid w:val="00BA460C"/>
    <w:rsid w:val="00BA4A50"/>
    <w:rsid w:val="00BA4BBD"/>
    <w:rsid w:val="00BA4D51"/>
    <w:rsid w:val="00BA4E3E"/>
    <w:rsid w:val="00BA5112"/>
    <w:rsid w:val="00BA527F"/>
    <w:rsid w:val="00BA5912"/>
    <w:rsid w:val="00BA5CC0"/>
    <w:rsid w:val="00BA603C"/>
    <w:rsid w:val="00BA6148"/>
    <w:rsid w:val="00BA66B0"/>
    <w:rsid w:val="00BA6809"/>
    <w:rsid w:val="00BA6817"/>
    <w:rsid w:val="00BA69C1"/>
    <w:rsid w:val="00BA6B53"/>
    <w:rsid w:val="00BA6C1B"/>
    <w:rsid w:val="00BA6C38"/>
    <w:rsid w:val="00BA6DBF"/>
    <w:rsid w:val="00BA7185"/>
    <w:rsid w:val="00BA7509"/>
    <w:rsid w:val="00BA79B9"/>
    <w:rsid w:val="00BA7C11"/>
    <w:rsid w:val="00BA7CA2"/>
    <w:rsid w:val="00BB05EE"/>
    <w:rsid w:val="00BB1044"/>
    <w:rsid w:val="00BB1624"/>
    <w:rsid w:val="00BB1D0A"/>
    <w:rsid w:val="00BB2031"/>
    <w:rsid w:val="00BB20C5"/>
    <w:rsid w:val="00BB24B0"/>
    <w:rsid w:val="00BB28C2"/>
    <w:rsid w:val="00BB2A98"/>
    <w:rsid w:val="00BB2BD5"/>
    <w:rsid w:val="00BB31F3"/>
    <w:rsid w:val="00BB35F8"/>
    <w:rsid w:val="00BB3965"/>
    <w:rsid w:val="00BB39EC"/>
    <w:rsid w:val="00BB3EE5"/>
    <w:rsid w:val="00BB4716"/>
    <w:rsid w:val="00BB495B"/>
    <w:rsid w:val="00BB4B9E"/>
    <w:rsid w:val="00BB4D2D"/>
    <w:rsid w:val="00BB6015"/>
    <w:rsid w:val="00BB60EE"/>
    <w:rsid w:val="00BB63CD"/>
    <w:rsid w:val="00BB6C22"/>
    <w:rsid w:val="00BB7371"/>
    <w:rsid w:val="00BB7605"/>
    <w:rsid w:val="00BB7693"/>
    <w:rsid w:val="00BB7C19"/>
    <w:rsid w:val="00BB7CC0"/>
    <w:rsid w:val="00BB7E19"/>
    <w:rsid w:val="00BC0007"/>
    <w:rsid w:val="00BC096E"/>
    <w:rsid w:val="00BC0DBE"/>
    <w:rsid w:val="00BC118B"/>
    <w:rsid w:val="00BC14D4"/>
    <w:rsid w:val="00BC1645"/>
    <w:rsid w:val="00BC19FD"/>
    <w:rsid w:val="00BC1CFA"/>
    <w:rsid w:val="00BC22CC"/>
    <w:rsid w:val="00BC237C"/>
    <w:rsid w:val="00BC255F"/>
    <w:rsid w:val="00BC27C4"/>
    <w:rsid w:val="00BC31DA"/>
    <w:rsid w:val="00BC32BA"/>
    <w:rsid w:val="00BC3691"/>
    <w:rsid w:val="00BC37A2"/>
    <w:rsid w:val="00BC39B6"/>
    <w:rsid w:val="00BC3A51"/>
    <w:rsid w:val="00BC3F2E"/>
    <w:rsid w:val="00BC42A6"/>
    <w:rsid w:val="00BC4549"/>
    <w:rsid w:val="00BC45B2"/>
    <w:rsid w:val="00BC52EE"/>
    <w:rsid w:val="00BC57C8"/>
    <w:rsid w:val="00BC582B"/>
    <w:rsid w:val="00BC5ECC"/>
    <w:rsid w:val="00BC658B"/>
    <w:rsid w:val="00BC6E9F"/>
    <w:rsid w:val="00BC710F"/>
    <w:rsid w:val="00BC72B6"/>
    <w:rsid w:val="00BC7C17"/>
    <w:rsid w:val="00BD00E8"/>
    <w:rsid w:val="00BD04B2"/>
    <w:rsid w:val="00BD061E"/>
    <w:rsid w:val="00BD0653"/>
    <w:rsid w:val="00BD0C2B"/>
    <w:rsid w:val="00BD1114"/>
    <w:rsid w:val="00BD1651"/>
    <w:rsid w:val="00BD1A67"/>
    <w:rsid w:val="00BD1B89"/>
    <w:rsid w:val="00BD22DC"/>
    <w:rsid w:val="00BD2765"/>
    <w:rsid w:val="00BD2825"/>
    <w:rsid w:val="00BD2B32"/>
    <w:rsid w:val="00BD2B89"/>
    <w:rsid w:val="00BD373E"/>
    <w:rsid w:val="00BD3A63"/>
    <w:rsid w:val="00BD3E5A"/>
    <w:rsid w:val="00BD3F42"/>
    <w:rsid w:val="00BD4242"/>
    <w:rsid w:val="00BD4257"/>
    <w:rsid w:val="00BD429B"/>
    <w:rsid w:val="00BD4543"/>
    <w:rsid w:val="00BD5091"/>
    <w:rsid w:val="00BD5545"/>
    <w:rsid w:val="00BD56A6"/>
    <w:rsid w:val="00BD5813"/>
    <w:rsid w:val="00BD5DB5"/>
    <w:rsid w:val="00BD66A6"/>
    <w:rsid w:val="00BD6F1A"/>
    <w:rsid w:val="00BD7237"/>
    <w:rsid w:val="00BD7256"/>
    <w:rsid w:val="00BE05A4"/>
    <w:rsid w:val="00BE05E9"/>
    <w:rsid w:val="00BE06A1"/>
    <w:rsid w:val="00BE0C0B"/>
    <w:rsid w:val="00BE0C90"/>
    <w:rsid w:val="00BE109A"/>
    <w:rsid w:val="00BE1282"/>
    <w:rsid w:val="00BE13DA"/>
    <w:rsid w:val="00BE13F3"/>
    <w:rsid w:val="00BE14AB"/>
    <w:rsid w:val="00BE17C5"/>
    <w:rsid w:val="00BE19B3"/>
    <w:rsid w:val="00BE1C7B"/>
    <w:rsid w:val="00BE1E35"/>
    <w:rsid w:val="00BE231C"/>
    <w:rsid w:val="00BE273A"/>
    <w:rsid w:val="00BE30BB"/>
    <w:rsid w:val="00BE338D"/>
    <w:rsid w:val="00BE38FB"/>
    <w:rsid w:val="00BE3995"/>
    <w:rsid w:val="00BE3AF7"/>
    <w:rsid w:val="00BE3B62"/>
    <w:rsid w:val="00BE3CDE"/>
    <w:rsid w:val="00BE408B"/>
    <w:rsid w:val="00BE4517"/>
    <w:rsid w:val="00BE46F9"/>
    <w:rsid w:val="00BE4747"/>
    <w:rsid w:val="00BE47A8"/>
    <w:rsid w:val="00BE64BF"/>
    <w:rsid w:val="00BE6571"/>
    <w:rsid w:val="00BE6CD1"/>
    <w:rsid w:val="00BE737A"/>
    <w:rsid w:val="00BE7413"/>
    <w:rsid w:val="00BF05F2"/>
    <w:rsid w:val="00BF080C"/>
    <w:rsid w:val="00BF0A42"/>
    <w:rsid w:val="00BF13FB"/>
    <w:rsid w:val="00BF18C6"/>
    <w:rsid w:val="00BF1911"/>
    <w:rsid w:val="00BF1F13"/>
    <w:rsid w:val="00BF2101"/>
    <w:rsid w:val="00BF22EB"/>
    <w:rsid w:val="00BF2408"/>
    <w:rsid w:val="00BF2660"/>
    <w:rsid w:val="00BF291A"/>
    <w:rsid w:val="00BF2C12"/>
    <w:rsid w:val="00BF2CDD"/>
    <w:rsid w:val="00BF2FCE"/>
    <w:rsid w:val="00BF3200"/>
    <w:rsid w:val="00BF32D2"/>
    <w:rsid w:val="00BF3D63"/>
    <w:rsid w:val="00BF409B"/>
    <w:rsid w:val="00BF47A4"/>
    <w:rsid w:val="00BF4836"/>
    <w:rsid w:val="00BF4AD5"/>
    <w:rsid w:val="00BF5036"/>
    <w:rsid w:val="00BF51BD"/>
    <w:rsid w:val="00BF5355"/>
    <w:rsid w:val="00BF5BF4"/>
    <w:rsid w:val="00BF699A"/>
    <w:rsid w:val="00BF7E4F"/>
    <w:rsid w:val="00C00469"/>
    <w:rsid w:val="00C00778"/>
    <w:rsid w:val="00C007FA"/>
    <w:rsid w:val="00C00C79"/>
    <w:rsid w:val="00C00DFE"/>
    <w:rsid w:val="00C014BA"/>
    <w:rsid w:val="00C019B4"/>
    <w:rsid w:val="00C01ADC"/>
    <w:rsid w:val="00C01C37"/>
    <w:rsid w:val="00C01C4B"/>
    <w:rsid w:val="00C02133"/>
    <w:rsid w:val="00C021D7"/>
    <w:rsid w:val="00C02743"/>
    <w:rsid w:val="00C027D8"/>
    <w:rsid w:val="00C0281E"/>
    <w:rsid w:val="00C02A66"/>
    <w:rsid w:val="00C02D1F"/>
    <w:rsid w:val="00C031D1"/>
    <w:rsid w:val="00C03544"/>
    <w:rsid w:val="00C038FF"/>
    <w:rsid w:val="00C03A4A"/>
    <w:rsid w:val="00C03D6C"/>
    <w:rsid w:val="00C03F2A"/>
    <w:rsid w:val="00C041DB"/>
    <w:rsid w:val="00C0437B"/>
    <w:rsid w:val="00C0466E"/>
    <w:rsid w:val="00C04698"/>
    <w:rsid w:val="00C04779"/>
    <w:rsid w:val="00C0489E"/>
    <w:rsid w:val="00C048E3"/>
    <w:rsid w:val="00C04D7A"/>
    <w:rsid w:val="00C04F93"/>
    <w:rsid w:val="00C051A0"/>
    <w:rsid w:val="00C05509"/>
    <w:rsid w:val="00C05719"/>
    <w:rsid w:val="00C067CD"/>
    <w:rsid w:val="00C069B6"/>
    <w:rsid w:val="00C06E24"/>
    <w:rsid w:val="00C0734F"/>
    <w:rsid w:val="00C0735E"/>
    <w:rsid w:val="00C07546"/>
    <w:rsid w:val="00C075B7"/>
    <w:rsid w:val="00C07BDB"/>
    <w:rsid w:val="00C07C09"/>
    <w:rsid w:val="00C07C8C"/>
    <w:rsid w:val="00C07C96"/>
    <w:rsid w:val="00C07CD5"/>
    <w:rsid w:val="00C103BF"/>
    <w:rsid w:val="00C1042B"/>
    <w:rsid w:val="00C1099F"/>
    <w:rsid w:val="00C10AD3"/>
    <w:rsid w:val="00C1182C"/>
    <w:rsid w:val="00C1197E"/>
    <w:rsid w:val="00C121F2"/>
    <w:rsid w:val="00C12267"/>
    <w:rsid w:val="00C12415"/>
    <w:rsid w:val="00C126C0"/>
    <w:rsid w:val="00C12944"/>
    <w:rsid w:val="00C13103"/>
    <w:rsid w:val="00C132F5"/>
    <w:rsid w:val="00C13513"/>
    <w:rsid w:val="00C140AA"/>
    <w:rsid w:val="00C141BA"/>
    <w:rsid w:val="00C1430E"/>
    <w:rsid w:val="00C143A2"/>
    <w:rsid w:val="00C14A1D"/>
    <w:rsid w:val="00C14C15"/>
    <w:rsid w:val="00C14C82"/>
    <w:rsid w:val="00C14DD5"/>
    <w:rsid w:val="00C14F01"/>
    <w:rsid w:val="00C15A47"/>
    <w:rsid w:val="00C15DAD"/>
    <w:rsid w:val="00C160AE"/>
    <w:rsid w:val="00C161A6"/>
    <w:rsid w:val="00C1673E"/>
    <w:rsid w:val="00C167C0"/>
    <w:rsid w:val="00C16DBA"/>
    <w:rsid w:val="00C17539"/>
    <w:rsid w:val="00C17700"/>
    <w:rsid w:val="00C200C1"/>
    <w:rsid w:val="00C2033C"/>
    <w:rsid w:val="00C203A1"/>
    <w:rsid w:val="00C2085B"/>
    <w:rsid w:val="00C20994"/>
    <w:rsid w:val="00C21453"/>
    <w:rsid w:val="00C2173B"/>
    <w:rsid w:val="00C23173"/>
    <w:rsid w:val="00C23973"/>
    <w:rsid w:val="00C23FA7"/>
    <w:rsid w:val="00C2494C"/>
    <w:rsid w:val="00C24B12"/>
    <w:rsid w:val="00C24C79"/>
    <w:rsid w:val="00C251BA"/>
    <w:rsid w:val="00C25EA9"/>
    <w:rsid w:val="00C25F9F"/>
    <w:rsid w:val="00C262FF"/>
    <w:rsid w:val="00C2653E"/>
    <w:rsid w:val="00C269C3"/>
    <w:rsid w:val="00C27C11"/>
    <w:rsid w:val="00C27E8D"/>
    <w:rsid w:val="00C305A2"/>
    <w:rsid w:val="00C30874"/>
    <w:rsid w:val="00C30F28"/>
    <w:rsid w:val="00C30FF2"/>
    <w:rsid w:val="00C31146"/>
    <w:rsid w:val="00C31181"/>
    <w:rsid w:val="00C31466"/>
    <w:rsid w:val="00C31EA1"/>
    <w:rsid w:val="00C3204E"/>
    <w:rsid w:val="00C322E8"/>
    <w:rsid w:val="00C32D54"/>
    <w:rsid w:val="00C3346C"/>
    <w:rsid w:val="00C337D9"/>
    <w:rsid w:val="00C3393A"/>
    <w:rsid w:val="00C33941"/>
    <w:rsid w:val="00C342FC"/>
    <w:rsid w:val="00C34465"/>
    <w:rsid w:val="00C34496"/>
    <w:rsid w:val="00C344C6"/>
    <w:rsid w:val="00C347FF"/>
    <w:rsid w:val="00C34DC8"/>
    <w:rsid w:val="00C35129"/>
    <w:rsid w:val="00C35A0F"/>
    <w:rsid w:val="00C35F94"/>
    <w:rsid w:val="00C3624E"/>
    <w:rsid w:val="00C362B8"/>
    <w:rsid w:val="00C363EB"/>
    <w:rsid w:val="00C36729"/>
    <w:rsid w:val="00C36A09"/>
    <w:rsid w:val="00C36D44"/>
    <w:rsid w:val="00C372BE"/>
    <w:rsid w:val="00C37813"/>
    <w:rsid w:val="00C37A11"/>
    <w:rsid w:val="00C37D5F"/>
    <w:rsid w:val="00C37E47"/>
    <w:rsid w:val="00C40077"/>
    <w:rsid w:val="00C40AC3"/>
    <w:rsid w:val="00C40BCC"/>
    <w:rsid w:val="00C40BE3"/>
    <w:rsid w:val="00C40E37"/>
    <w:rsid w:val="00C41552"/>
    <w:rsid w:val="00C416CD"/>
    <w:rsid w:val="00C41C4A"/>
    <w:rsid w:val="00C41D28"/>
    <w:rsid w:val="00C42550"/>
    <w:rsid w:val="00C428AE"/>
    <w:rsid w:val="00C42A1F"/>
    <w:rsid w:val="00C42DC4"/>
    <w:rsid w:val="00C42E71"/>
    <w:rsid w:val="00C430BE"/>
    <w:rsid w:val="00C43A30"/>
    <w:rsid w:val="00C43BC9"/>
    <w:rsid w:val="00C43E5D"/>
    <w:rsid w:val="00C43F67"/>
    <w:rsid w:val="00C43F68"/>
    <w:rsid w:val="00C4422F"/>
    <w:rsid w:val="00C4467A"/>
    <w:rsid w:val="00C4467E"/>
    <w:rsid w:val="00C44B13"/>
    <w:rsid w:val="00C45006"/>
    <w:rsid w:val="00C45089"/>
    <w:rsid w:val="00C45156"/>
    <w:rsid w:val="00C4616C"/>
    <w:rsid w:val="00C4626A"/>
    <w:rsid w:val="00C463AE"/>
    <w:rsid w:val="00C465B0"/>
    <w:rsid w:val="00C4666C"/>
    <w:rsid w:val="00C468F8"/>
    <w:rsid w:val="00C4695B"/>
    <w:rsid w:val="00C46B85"/>
    <w:rsid w:val="00C46C31"/>
    <w:rsid w:val="00C46EBC"/>
    <w:rsid w:val="00C472AF"/>
    <w:rsid w:val="00C47329"/>
    <w:rsid w:val="00C473C8"/>
    <w:rsid w:val="00C47939"/>
    <w:rsid w:val="00C47BC5"/>
    <w:rsid w:val="00C5026D"/>
    <w:rsid w:val="00C509E9"/>
    <w:rsid w:val="00C50AEE"/>
    <w:rsid w:val="00C5172E"/>
    <w:rsid w:val="00C5183D"/>
    <w:rsid w:val="00C5264C"/>
    <w:rsid w:val="00C52AB2"/>
    <w:rsid w:val="00C52BC1"/>
    <w:rsid w:val="00C52F7A"/>
    <w:rsid w:val="00C5301B"/>
    <w:rsid w:val="00C533B6"/>
    <w:rsid w:val="00C53553"/>
    <w:rsid w:val="00C53993"/>
    <w:rsid w:val="00C54728"/>
    <w:rsid w:val="00C5487E"/>
    <w:rsid w:val="00C54F9F"/>
    <w:rsid w:val="00C553A5"/>
    <w:rsid w:val="00C55910"/>
    <w:rsid w:val="00C55A20"/>
    <w:rsid w:val="00C55EB1"/>
    <w:rsid w:val="00C56672"/>
    <w:rsid w:val="00C56727"/>
    <w:rsid w:val="00C569DC"/>
    <w:rsid w:val="00C56BEE"/>
    <w:rsid w:val="00C56D7A"/>
    <w:rsid w:val="00C5709A"/>
    <w:rsid w:val="00C570BD"/>
    <w:rsid w:val="00C57416"/>
    <w:rsid w:val="00C57538"/>
    <w:rsid w:val="00C57894"/>
    <w:rsid w:val="00C57CBF"/>
    <w:rsid w:val="00C57D98"/>
    <w:rsid w:val="00C57E15"/>
    <w:rsid w:val="00C6067F"/>
    <w:rsid w:val="00C60806"/>
    <w:rsid w:val="00C60820"/>
    <w:rsid w:val="00C608E3"/>
    <w:rsid w:val="00C614AE"/>
    <w:rsid w:val="00C61C7B"/>
    <w:rsid w:val="00C61E9C"/>
    <w:rsid w:val="00C61F9E"/>
    <w:rsid w:val="00C61FD6"/>
    <w:rsid w:val="00C62463"/>
    <w:rsid w:val="00C62511"/>
    <w:rsid w:val="00C62C1E"/>
    <w:rsid w:val="00C62C5D"/>
    <w:rsid w:val="00C62EB8"/>
    <w:rsid w:val="00C62F97"/>
    <w:rsid w:val="00C63049"/>
    <w:rsid w:val="00C63118"/>
    <w:rsid w:val="00C633B7"/>
    <w:rsid w:val="00C639AC"/>
    <w:rsid w:val="00C63A2F"/>
    <w:rsid w:val="00C6400F"/>
    <w:rsid w:val="00C642E2"/>
    <w:rsid w:val="00C64698"/>
    <w:rsid w:val="00C64731"/>
    <w:rsid w:val="00C64A1D"/>
    <w:rsid w:val="00C64C75"/>
    <w:rsid w:val="00C64CDE"/>
    <w:rsid w:val="00C64E59"/>
    <w:rsid w:val="00C650DE"/>
    <w:rsid w:val="00C65144"/>
    <w:rsid w:val="00C65158"/>
    <w:rsid w:val="00C65349"/>
    <w:rsid w:val="00C659B4"/>
    <w:rsid w:val="00C65C5B"/>
    <w:rsid w:val="00C65C78"/>
    <w:rsid w:val="00C66607"/>
    <w:rsid w:val="00C6663C"/>
    <w:rsid w:val="00C66FDE"/>
    <w:rsid w:val="00C670C2"/>
    <w:rsid w:val="00C6732D"/>
    <w:rsid w:val="00C6742E"/>
    <w:rsid w:val="00C67529"/>
    <w:rsid w:val="00C67560"/>
    <w:rsid w:val="00C6797E"/>
    <w:rsid w:val="00C67D8A"/>
    <w:rsid w:val="00C7026B"/>
    <w:rsid w:val="00C702A0"/>
    <w:rsid w:val="00C702FE"/>
    <w:rsid w:val="00C70777"/>
    <w:rsid w:val="00C70E6A"/>
    <w:rsid w:val="00C713E6"/>
    <w:rsid w:val="00C7156A"/>
    <w:rsid w:val="00C715C7"/>
    <w:rsid w:val="00C71BDB"/>
    <w:rsid w:val="00C71D8C"/>
    <w:rsid w:val="00C71F2D"/>
    <w:rsid w:val="00C72028"/>
    <w:rsid w:val="00C7240F"/>
    <w:rsid w:val="00C72548"/>
    <w:rsid w:val="00C725E1"/>
    <w:rsid w:val="00C72A19"/>
    <w:rsid w:val="00C733BA"/>
    <w:rsid w:val="00C734D8"/>
    <w:rsid w:val="00C73909"/>
    <w:rsid w:val="00C739AC"/>
    <w:rsid w:val="00C74680"/>
    <w:rsid w:val="00C748A3"/>
    <w:rsid w:val="00C74C3A"/>
    <w:rsid w:val="00C74E3A"/>
    <w:rsid w:val="00C74FFD"/>
    <w:rsid w:val="00C7509C"/>
    <w:rsid w:val="00C756A9"/>
    <w:rsid w:val="00C75BD5"/>
    <w:rsid w:val="00C75C82"/>
    <w:rsid w:val="00C75DCA"/>
    <w:rsid w:val="00C75F49"/>
    <w:rsid w:val="00C75FD8"/>
    <w:rsid w:val="00C76901"/>
    <w:rsid w:val="00C76A52"/>
    <w:rsid w:val="00C76EBA"/>
    <w:rsid w:val="00C772A7"/>
    <w:rsid w:val="00C77C80"/>
    <w:rsid w:val="00C77F51"/>
    <w:rsid w:val="00C801F2"/>
    <w:rsid w:val="00C8084C"/>
    <w:rsid w:val="00C80BD4"/>
    <w:rsid w:val="00C80E25"/>
    <w:rsid w:val="00C80F11"/>
    <w:rsid w:val="00C81355"/>
    <w:rsid w:val="00C8143F"/>
    <w:rsid w:val="00C81589"/>
    <w:rsid w:val="00C81659"/>
    <w:rsid w:val="00C816A1"/>
    <w:rsid w:val="00C81728"/>
    <w:rsid w:val="00C81F89"/>
    <w:rsid w:val="00C826C3"/>
    <w:rsid w:val="00C82E78"/>
    <w:rsid w:val="00C8314F"/>
    <w:rsid w:val="00C835B3"/>
    <w:rsid w:val="00C83917"/>
    <w:rsid w:val="00C839FC"/>
    <w:rsid w:val="00C83D37"/>
    <w:rsid w:val="00C83FA7"/>
    <w:rsid w:val="00C83FD3"/>
    <w:rsid w:val="00C840C8"/>
    <w:rsid w:val="00C8448F"/>
    <w:rsid w:val="00C845B1"/>
    <w:rsid w:val="00C849D5"/>
    <w:rsid w:val="00C84BC8"/>
    <w:rsid w:val="00C84CA9"/>
    <w:rsid w:val="00C84CD4"/>
    <w:rsid w:val="00C84DDD"/>
    <w:rsid w:val="00C8512F"/>
    <w:rsid w:val="00C85143"/>
    <w:rsid w:val="00C851A5"/>
    <w:rsid w:val="00C8581D"/>
    <w:rsid w:val="00C8588A"/>
    <w:rsid w:val="00C85969"/>
    <w:rsid w:val="00C85BCA"/>
    <w:rsid w:val="00C85C6D"/>
    <w:rsid w:val="00C85C77"/>
    <w:rsid w:val="00C86297"/>
    <w:rsid w:val="00C86D77"/>
    <w:rsid w:val="00C874A9"/>
    <w:rsid w:val="00C87571"/>
    <w:rsid w:val="00C87A61"/>
    <w:rsid w:val="00C87D23"/>
    <w:rsid w:val="00C882F3"/>
    <w:rsid w:val="00C90382"/>
    <w:rsid w:val="00C90804"/>
    <w:rsid w:val="00C90CDB"/>
    <w:rsid w:val="00C90CF9"/>
    <w:rsid w:val="00C90D84"/>
    <w:rsid w:val="00C91173"/>
    <w:rsid w:val="00C91196"/>
    <w:rsid w:val="00C912B4"/>
    <w:rsid w:val="00C9164E"/>
    <w:rsid w:val="00C91682"/>
    <w:rsid w:val="00C9171C"/>
    <w:rsid w:val="00C91726"/>
    <w:rsid w:val="00C918B2"/>
    <w:rsid w:val="00C91C2D"/>
    <w:rsid w:val="00C91F59"/>
    <w:rsid w:val="00C920A8"/>
    <w:rsid w:val="00C92682"/>
    <w:rsid w:val="00C92768"/>
    <w:rsid w:val="00C92BAF"/>
    <w:rsid w:val="00C92D48"/>
    <w:rsid w:val="00C936AC"/>
    <w:rsid w:val="00C939BE"/>
    <w:rsid w:val="00C93D09"/>
    <w:rsid w:val="00C93D70"/>
    <w:rsid w:val="00C93DAF"/>
    <w:rsid w:val="00C94348"/>
    <w:rsid w:val="00C948F8"/>
    <w:rsid w:val="00C94F15"/>
    <w:rsid w:val="00C951F3"/>
    <w:rsid w:val="00C95CBB"/>
    <w:rsid w:val="00C95D00"/>
    <w:rsid w:val="00C962B8"/>
    <w:rsid w:val="00C96341"/>
    <w:rsid w:val="00C96629"/>
    <w:rsid w:val="00C966AF"/>
    <w:rsid w:val="00C970AD"/>
    <w:rsid w:val="00C9731A"/>
    <w:rsid w:val="00C97372"/>
    <w:rsid w:val="00C9743D"/>
    <w:rsid w:val="00C976D1"/>
    <w:rsid w:val="00C9787C"/>
    <w:rsid w:val="00CA001B"/>
    <w:rsid w:val="00CA0443"/>
    <w:rsid w:val="00CA1026"/>
    <w:rsid w:val="00CA10B3"/>
    <w:rsid w:val="00CA1221"/>
    <w:rsid w:val="00CA133B"/>
    <w:rsid w:val="00CA16DB"/>
    <w:rsid w:val="00CA1889"/>
    <w:rsid w:val="00CA1F45"/>
    <w:rsid w:val="00CA2562"/>
    <w:rsid w:val="00CA2712"/>
    <w:rsid w:val="00CA2878"/>
    <w:rsid w:val="00CA2C34"/>
    <w:rsid w:val="00CA2E89"/>
    <w:rsid w:val="00CA3BEC"/>
    <w:rsid w:val="00CA3D85"/>
    <w:rsid w:val="00CA438E"/>
    <w:rsid w:val="00CA5020"/>
    <w:rsid w:val="00CA50A4"/>
    <w:rsid w:val="00CA5845"/>
    <w:rsid w:val="00CA5A8C"/>
    <w:rsid w:val="00CA5D8B"/>
    <w:rsid w:val="00CA697E"/>
    <w:rsid w:val="00CA6CC9"/>
    <w:rsid w:val="00CA6E2E"/>
    <w:rsid w:val="00CA71F8"/>
    <w:rsid w:val="00CA7235"/>
    <w:rsid w:val="00CA72CD"/>
    <w:rsid w:val="00CA7314"/>
    <w:rsid w:val="00CA7886"/>
    <w:rsid w:val="00CA7E7C"/>
    <w:rsid w:val="00CB003D"/>
    <w:rsid w:val="00CB05FD"/>
    <w:rsid w:val="00CB0636"/>
    <w:rsid w:val="00CB0679"/>
    <w:rsid w:val="00CB0B35"/>
    <w:rsid w:val="00CB0C73"/>
    <w:rsid w:val="00CB0C7C"/>
    <w:rsid w:val="00CB0D03"/>
    <w:rsid w:val="00CB0F4B"/>
    <w:rsid w:val="00CB1135"/>
    <w:rsid w:val="00CB17B4"/>
    <w:rsid w:val="00CB1D1D"/>
    <w:rsid w:val="00CB22D6"/>
    <w:rsid w:val="00CB2C02"/>
    <w:rsid w:val="00CB300B"/>
    <w:rsid w:val="00CB3504"/>
    <w:rsid w:val="00CB3C58"/>
    <w:rsid w:val="00CB3E24"/>
    <w:rsid w:val="00CB410D"/>
    <w:rsid w:val="00CB4327"/>
    <w:rsid w:val="00CB4460"/>
    <w:rsid w:val="00CB4689"/>
    <w:rsid w:val="00CB4814"/>
    <w:rsid w:val="00CB4BB7"/>
    <w:rsid w:val="00CB6316"/>
    <w:rsid w:val="00CB6659"/>
    <w:rsid w:val="00CB6D0D"/>
    <w:rsid w:val="00CB6D1C"/>
    <w:rsid w:val="00CB724C"/>
    <w:rsid w:val="00CB78DF"/>
    <w:rsid w:val="00CB7F1A"/>
    <w:rsid w:val="00CC0161"/>
    <w:rsid w:val="00CC03DE"/>
    <w:rsid w:val="00CC1021"/>
    <w:rsid w:val="00CC1099"/>
    <w:rsid w:val="00CC15DB"/>
    <w:rsid w:val="00CC188B"/>
    <w:rsid w:val="00CC1CB5"/>
    <w:rsid w:val="00CC1D37"/>
    <w:rsid w:val="00CC1FE4"/>
    <w:rsid w:val="00CC207A"/>
    <w:rsid w:val="00CC2559"/>
    <w:rsid w:val="00CC2A61"/>
    <w:rsid w:val="00CC2B2C"/>
    <w:rsid w:val="00CC2B6A"/>
    <w:rsid w:val="00CC2D79"/>
    <w:rsid w:val="00CC2D98"/>
    <w:rsid w:val="00CC33B5"/>
    <w:rsid w:val="00CC353D"/>
    <w:rsid w:val="00CC3554"/>
    <w:rsid w:val="00CC36A8"/>
    <w:rsid w:val="00CC38FC"/>
    <w:rsid w:val="00CC3EA8"/>
    <w:rsid w:val="00CC417B"/>
    <w:rsid w:val="00CC43B8"/>
    <w:rsid w:val="00CC46A6"/>
    <w:rsid w:val="00CC4F50"/>
    <w:rsid w:val="00CC5306"/>
    <w:rsid w:val="00CC54D0"/>
    <w:rsid w:val="00CC5610"/>
    <w:rsid w:val="00CC61E6"/>
    <w:rsid w:val="00CC688C"/>
    <w:rsid w:val="00CC694F"/>
    <w:rsid w:val="00CC70E8"/>
    <w:rsid w:val="00CC7AA6"/>
    <w:rsid w:val="00CD05C4"/>
    <w:rsid w:val="00CD0D11"/>
    <w:rsid w:val="00CD0FB6"/>
    <w:rsid w:val="00CD1812"/>
    <w:rsid w:val="00CD2085"/>
    <w:rsid w:val="00CD275F"/>
    <w:rsid w:val="00CD27CE"/>
    <w:rsid w:val="00CD2C2E"/>
    <w:rsid w:val="00CD2D44"/>
    <w:rsid w:val="00CD31D3"/>
    <w:rsid w:val="00CD347C"/>
    <w:rsid w:val="00CD3509"/>
    <w:rsid w:val="00CD35AA"/>
    <w:rsid w:val="00CD37AB"/>
    <w:rsid w:val="00CD3818"/>
    <w:rsid w:val="00CD389D"/>
    <w:rsid w:val="00CD3B72"/>
    <w:rsid w:val="00CD3BDE"/>
    <w:rsid w:val="00CD3FAB"/>
    <w:rsid w:val="00CD4096"/>
    <w:rsid w:val="00CD4EFF"/>
    <w:rsid w:val="00CD5167"/>
    <w:rsid w:val="00CD63E0"/>
    <w:rsid w:val="00CD6514"/>
    <w:rsid w:val="00CD6BB3"/>
    <w:rsid w:val="00CD6CE2"/>
    <w:rsid w:val="00CD6DCA"/>
    <w:rsid w:val="00CD7902"/>
    <w:rsid w:val="00CD7C80"/>
    <w:rsid w:val="00CD7CB4"/>
    <w:rsid w:val="00CD7E27"/>
    <w:rsid w:val="00CE00D1"/>
    <w:rsid w:val="00CE0658"/>
    <w:rsid w:val="00CE0870"/>
    <w:rsid w:val="00CE093A"/>
    <w:rsid w:val="00CE0CB2"/>
    <w:rsid w:val="00CE111D"/>
    <w:rsid w:val="00CE1C3D"/>
    <w:rsid w:val="00CE1E2D"/>
    <w:rsid w:val="00CE2204"/>
    <w:rsid w:val="00CE2390"/>
    <w:rsid w:val="00CE23D6"/>
    <w:rsid w:val="00CE247E"/>
    <w:rsid w:val="00CE265D"/>
    <w:rsid w:val="00CE2A00"/>
    <w:rsid w:val="00CE3309"/>
    <w:rsid w:val="00CE3506"/>
    <w:rsid w:val="00CE3A28"/>
    <w:rsid w:val="00CE3C97"/>
    <w:rsid w:val="00CE4613"/>
    <w:rsid w:val="00CE496B"/>
    <w:rsid w:val="00CE4C9E"/>
    <w:rsid w:val="00CE4F6E"/>
    <w:rsid w:val="00CE5411"/>
    <w:rsid w:val="00CE54CF"/>
    <w:rsid w:val="00CE57FF"/>
    <w:rsid w:val="00CE5B22"/>
    <w:rsid w:val="00CE5F78"/>
    <w:rsid w:val="00CE6C78"/>
    <w:rsid w:val="00CE7364"/>
    <w:rsid w:val="00CE7367"/>
    <w:rsid w:val="00CE742B"/>
    <w:rsid w:val="00CE7498"/>
    <w:rsid w:val="00CE79B0"/>
    <w:rsid w:val="00CE7B13"/>
    <w:rsid w:val="00CE7C22"/>
    <w:rsid w:val="00CE7D83"/>
    <w:rsid w:val="00CE7E7B"/>
    <w:rsid w:val="00CF05ED"/>
    <w:rsid w:val="00CF0D2C"/>
    <w:rsid w:val="00CF11FF"/>
    <w:rsid w:val="00CF157F"/>
    <w:rsid w:val="00CF1795"/>
    <w:rsid w:val="00CF1BEB"/>
    <w:rsid w:val="00CF1EE5"/>
    <w:rsid w:val="00CF22F6"/>
    <w:rsid w:val="00CF237F"/>
    <w:rsid w:val="00CF27EC"/>
    <w:rsid w:val="00CF28B1"/>
    <w:rsid w:val="00CF2A5D"/>
    <w:rsid w:val="00CF2ADD"/>
    <w:rsid w:val="00CF2C4C"/>
    <w:rsid w:val="00CF3344"/>
    <w:rsid w:val="00CF33E5"/>
    <w:rsid w:val="00CF4432"/>
    <w:rsid w:val="00CF44CB"/>
    <w:rsid w:val="00CF4A36"/>
    <w:rsid w:val="00CF4D1E"/>
    <w:rsid w:val="00CF515F"/>
    <w:rsid w:val="00CF51F6"/>
    <w:rsid w:val="00CF5325"/>
    <w:rsid w:val="00CF5355"/>
    <w:rsid w:val="00CF54BC"/>
    <w:rsid w:val="00CF5521"/>
    <w:rsid w:val="00CF565E"/>
    <w:rsid w:val="00CF593D"/>
    <w:rsid w:val="00CF5E48"/>
    <w:rsid w:val="00CF5FA7"/>
    <w:rsid w:val="00CF60DA"/>
    <w:rsid w:val="00CF6112"/>
    <w:rsid w:val="00CF637A"/>
    <w:rsid w:val="00CF6653"/>
    <w:rsid w:val="00CF6800"/>
    <w:rsid w:val="00CF6D82"/>
    <w:rsid w:val="00CF6D83"/>
    <w:rsid w:val="00CF753A"/>
    <w:rsid w:val="00CF778C"/>
    <w:rsid w:val="00CF7C3E"/>
    <w:rsid w:val="00CF7F5A"/>
    <w:rsid w:val="00D0020F"/>
    <w:rsid w:val="00D00B5C"/>
    <w:rsid w:val="00D01651"/>
    <w:rsid w:val="00D01A12"/>
    <w:rsid w:val="00D01AA9"/>
    <w:rsid w:val="00D01BD8"/>
    <w:rsid w:val="00D01D3C"/>
    <w:rsid w:val="00D02A6F"/>
    <w:rsid w:val="00D02BB2"/>
    <w:rsid w:val="00D02D10"/>
    <w:rsid w:val="00D0330C"/>
    <w:rsid w:val="00D03F74"/>
    <w:rsid w:val="00D040F7"/>
    <w:rsid w:val="00D04A28"/>
    <w:rsid w:val="00D04BD4"/>
    <w:rsid w:val="00D04E53"/>
    <w:rsid w:val="00D0508D"/>
    <w:rsid w:val="00D053A2"/>
    <w:rsid w:val="00D0540C"/>
    <w:rsid w:val="00D062C5"/>
    <w:rsid w:val="00D064F8"/>
    <w:rsid w:val="00D06586"/>
    <w:rsid w:val="00D065C4"/>
    <w:rsid w:val="00D06759"/>
    <w:rsid w:val="00D06FB3"/>
    <w:rsid w:val="00D06FD9"/>
    <w:rsid w:val="00D075BE"/>
    <w:rsid w:val="00D0765D"/>
    <w:rsid w:val="00D07742"/>
    <w:rsid w:val="00D07C5A"/>
    <w:rsid w:val="00D07EBF"/>
    <w:rsid w:val="00D100BD"/>
    <w:rsid w:val="00D10310"/>
    <w:rsid w:val="00D1059B"/>
    <w:rsid w:val="00D1070D"/>
    <w:rsid w:val="00D108F6"/>
    <w:rsid w:val="00D10964"/>
    <w:rsid w:val="00D10AE9"/>
    <w:rsid w:val="00D10E31"/>
    <w:rsid w:val="00D10EE6"/>
    <w:rsid w:val="00D111E2"/>
    <w:rsid w:val="00D114B1"/>
    <w:rsid w:val="00D11685"/>
    <w:rsid w:val="00D11953"/>
    <w:rsid w:val="00D12092"/>
    <w:rsid w:val="00D1215D"/>
    <w:rsid w:val="00D12227"/>
    <w:rsid w:val="00D1250F"/>
    <w:rsid w:val="00D12AAC"/>
    <w:rsid w:val="00D12C31"/>
    <w:rsid w:val="00D12CA4"/>
    <w:rsid w:val="00D14494"/>
    <w:rsid w:val="00D145E0"/>
    <w:rsid w:val="00D1479D"/>
    <w:rsid w:val="00D14D12"/>
    <w:rsid w:val="00D14DA3"/>
    <w:rsid w:val="00D14F8D"/>
    <w:rsid w:val="00D14FD1"/>
    <w:rsid w:val="00D15311"/>
    <w:rsid w:val="00D15992"/>
    <w:rsid w:val="00D15B2F"/>
    <w:rsid w:val="00D15CAC"/>
    <w:rsid w:val="00D165F8"/>
    <w:rsid w:val="00D16992"/>
    <w:rsid w:val="00D16C4B"/>
    <w:rsid w:val="00D16D47"/>
    <w:rsid w:val="00D16DF9"/>
    <w:rsid w:val="00D16E6C"/>
    <w:rsid w:val="00D171CA"/>
    <w:rsid w:val="00D17221"/>
    <w:rsid w:val="00D17E77"/>
    <w:rsid w:val="00D17FFC"/>
    <w:rsid w:val="00D20083"/>
    <w:rsid w:val="00D20911"/>
    <w:rsid w:val="00D209EC"/>
    <w:rsid w:val="00D20A37"/>
    <w:rsid w:val="00D20ECA"/>
    <w:rsid w:val="00D20F5C"/>
    <w:rsid w:val="00D21024"/>
    <w:rsid w:val="00D21601"/>
    <w:rsid w:val="00D21AF8"/>
    <w:rsid w:val="00D21C6A"/>
    <w:rsid w:val="00D21F85"/>
    <w:rsid w:val="00D21FD0"/>
    <w:rsid w:val="00D225BC"/>
    <w:rsid w:val="00D225F9"/>
    <w:rsid w:val="00D228F8"/>
    <w:rsid w:val="00D22A06"/>
    <w:rsid w:val="00D2374E"/>
    <w:rsid w:val="00D23B92"/>
    <w:rsid w:val="00D23BB8"/>
    <w:rsid w:val="00D23E85"/>
    <w:rsid w:val="00D23F31"/>
    <w:rsid w:val="00D24158"/>
    <w:rsid w:val="00D244EF"/>
    <w:rsid w:val="00D24C06"/>
    <w:rsid w:val="00D2534A"/>
    <w:rsid w:val="00D254AE"/>
    <w:rsid w:val="00D25571"/>
    <w:rsid w:val="00D259AF"/>
    <w:rsid w:val="00D26273"/>
    <w:rsid w:val="00D263C6"/>
    <w:rsid w:val="00D265C2"/>
    <w:rsid w:val="00D26A87"/>
    <w:rsid w:val="00D26E14"/>
    <w:rsid w:val="00D27298"/>
    <w:rsid w:val="00D2753E"/>
    <w:rsid w:val="00D27BDE"/>
    <w:rsid w:val="00D301FD"/>
    <w:rsid w:val="00D30595"/>
    <w:rsid w:val="00D307A8"/>
    <w:rsid w:val="00D309BD"/>
    <w:rsid w:val="00D30EE6"/>
    <w:rsid w:val="00D3100C"/>
    <w:rsid w:val="00D31299"/>
    <w:rsid w:val="00D3170A"/>
    <w:rsid w:val="00D3177D"/>
    <w:rsid w:val="00D32255"/>
    <w:rsid w:val="00D325F3"/>
    <w:rsid w:val="00D32B32"/>
    <w:rsid w:val="00D32B56"/>
    <w:rsid w:val="00D32B7B"/>
    <w:rsid w:val="00D34446"/>
    <w:rsid w:val="00D346B9"/>
    <w:rsid w:val="00D3470A"/>
    <w:rsid w:val="00D34740"/>
    <w:rsid w:val="00D34AA3"/>
    <w:rsid w:val="00D35508"/>
    <w:rsid w:val="00D35605"/>
    <w:rsid w:val="00D3574F"/>
    <w:rsid w:val="00D35915"/>
    <w:rsid w:val="00D35A16"/>
    <w:rsid w:val="00D35D7E"/>
    <w:rsid w:val="00D35F12"/>
    <w:rsid w:val="00D360F0"/>
    <w:rsid w:val="00D3675E"/>
    <w:rsid w:val="00D3682E"/>
    <w:rsid w:val="00D36884"/>
    <w:rsid w:val="00D37060"/>
    <w:rsid w:val="00D3712F"/>
    <w:rsid w:val="00D3726E"/>
    <w:rsid w:val="00D37636"/>
    <w:rsid w:val="00D37CA3"/>
    <w:rsid w:val="00D40293"/>
    <w:rsid w:val="00D402CA"/>
    <w:rsid w:val="00D4033E"/>
    <w:rsid w:val="00D40476"/>
    <w:rsid w:val="00D406D3"/>
    <w:rsid w:val="00D4070C"/>
    <w:rsid w:val="00D40B91"/>
    <w:rsid w:val="00D40CD7"/>
    <w:rsid w:val="00D41164"/>
    <w:rsid w:val="00D415BD"/>
    <w:rsid w:val="00D4192D"/>
    <w:rsid w:val="00D41C5D"/>
    <w:rsid w:val="00D42474"/>
    <w:rsid w:val="00D4259B"/>
    <w:rsid w:val="00D426F3"/>
    <w:rsid w:val="00D42934"/>
    <w:rsid w:val="00D42B4B"/>
    <w:rsid w:val="00D42BAC"/>
    <w:rsid w:val="00D42C8B"/>
    <w:rsid w:val="00D432CE"/>
    <w:rsid w:val="00D43582"/>
    <w:rsid w:val="00D43A33"/>
    <w:rsid w:val="00D43E46"/>
    <w:rsid w:val="00D43E6E"/>
    <w:rsid w:val="00D43E97"/>
    <w:rsid w:val="00D449B6"/>
    <w:rsid w:val="00D449D0"/>
    <w:rsid w:val="00D45827"/>
    <w:rsid w:val="00D4587E"/>
    <w:rsid w:val="00D45AD2"/>
    <w:rsid w:val="00D46253"/>
    <w:rsid w:val="00D46332"/>
    <w:rsid w:val="00D46C15"/>
    <w:rsid w:val="00D46D60"/>
    <w:rsid w:val="00D46E8D"/>
    <w:rsid w:val="00D47073"/>
    <w:rsid w:val="00D47291"/>
    <w:rsid w:val="00D4762B"/>
    <w:rsid w:val="00D47727"/>
    <w:rsid w:val="00D50145"/>
    <w:rsid w:val="00D50450"/>
    <w:rsid w:val="00D50495"/>
    <w:rsid w:val="00D50A36"/>
    <w:rsid w:val="00D50A3A"/>
    <w:rsid w:val="00D510F8"/>
    <w:rsid w:val="00D5117A"/>
    <w:rsid w:val="00D515B9"/>
    <w:rsid w:val="00D52211"/>
    <w:rsid w:val="00D526B0"/>
    <w:rsid w:val="00D52E2E"/>
    <w:rsid w:val="00D53112"/>
    <w:rsid w:val="00D53443"/>
    <w:rsid w:val="00D53874"/>
    <w:rsid w:val="00D53943"/>
    <w:rsid w:val="00D546B7"/>
    <w:rsid w:val="00D546C2"/>
    <w:rsid w:val="00D552CB"/>
    <w:rsid w:val="00D5569F"/>
    <w:rsid w:val="00D55845"/>
    <w:rsid w:val="00D55A58"/>
    <w:rsid w:val="00D55DA2"/>
    <w:rsid w:val="00D55DDD"/>
    <w:rsid w:val="00D5622D"/>
    <w:rsid w:val="00D56693"/>
    <w:rsid w:val="00D566F8"/>
    <w:rsid w:val="00D56813"/>
    <w:rsid w:val="00D56919"/>
    <w:rsid w:val="00D56B75"/>
    <w:rsid w:val="00D56CAD"/>
    <w:rsid w:val="00D571C9"/>
    <w:rsid w:val="00D5729F"/>
    <w:rsid w:val="00D573D2"/>
    <w:rsid w:val="00D57AEF"/>
    <w:rsid w:val="00D6057D"/>
    <w:rsid w:val="00D60802"/>
    <w:rsid w:val="00D60833"/>
    <w:rsid w:val="00D60A6E"/>
    <w:rsid w:val="00D60EF0"/>
    <w:rsid w:val="00D6115B"/>
    <w:rsid w:val="00D61229"/>
    <w:rsid w:val="00D6198D"/>
    <w:rsid w:val="00D61B52"/>
    <w:rsid w:val="00D61DAE"/>
    <w:rsid w:val="00D61EFC"/>
    <w:rsid w:val="00D61F05"/>
    <w:rsid w:val="00D62277"/>
    <w:rsid w:val="00D62707"/>
    <w:rsid w:val="00D62AB6"/>
    <w:rsid w:val="00D62F97"/>
    <w:rsid w:val="00D6307C"/>
    <w:rsid w:val="00D6314C"/>
    <w:rsid w:val="00D6331B"/>
    <w:rsid w:val="00D6333E"/>
    <w:rsid w:val="00D63651"/>
    <w:rsid w:val="00D63746"/>
    <w:rsid w:val="00D63955"/>
    <w:rsid w:val="00D6443D"/>
    <w:rsid w:val="00D64CEA"/>
    <w:rsid w:val="00D64F65"/>
    <w:rsid w:val="00D65638"/>
    <w:rsid w:val="00D65747"/>
    <w:rsid w:val="00D65B91"/>
    <w:rsid w:val="00D65FD6"/>
    <w:rsid w:val="00D66718"/>
    <w:rsid w:val="00D6672B"/>
    <w:rsid w:val="00D66841"/>
    <w:rsid w:val="00D66B5A"/>
    <w:rsid w:val="00D66BFE"/>
    <w:rsid w:val="00D6734C"/>
    <w:rsid w:val="00D70380"/>
    <w:rsid w:val="00D7059B"/>
    <w:rsid w:val="00D70F02"/>
    <w:rsid w:val="00D7145C"/>
    <w:rsid w:val="00D717D3"/>
    <w:rsid w:val="00D719CC"/>
    <w:rsid w:val="00D71B97"/>
    <w:rsid w:val="00D71BB0"/>
    <w:rsid w:val="00D71DBA"/>
    <w:rsid w:val="00D72291"/>
    <w:rsid w:val="00D72349"/>
    <w:rsid w:val="00D727FD"/>
    <w:rsid w:val="00D72CC2"/>
    <w:rsid w:val="00D72E44"/>
    <w:rsid w:val="00D731B4"/>
    <w:rsid w:val="00D73267"/>
    <w:rsid w:val="00D74549"/>
    <w:rsid w:val="00D74684"/>
    <w:rsid w:val="00D748F9"/>
    <w:rsid w:val="00D74903"/>
    <w:rsid w:val="00D74F1B"/>
    <w:rsid w:val="00D750DF"/>
    <w:rsid w:val="00D7520A"/>
    <w:rsid w:val="00D753E7"/>
    <w:rsid w:val="00D75604"/>
    <w:rsid w:val="00D7577D"/>
    <w:rsid w:val="00D75B8C"/>
    <w:rsid w:val="00D75DE6"/>
    <w:rsid w:val="00D75EBB"/>
    <w:rsid w:val="00D75ED3"/>
    <w:rsid w:val="00D75F40"/>
    <w:rsid w:val="00D76280"/>
    <w:rsid w:val="00D77010"/>
    <w:rsid w:val="00D77192"/>
    <w:rsid w:val="00D77262"/>
    <w:rsid w:val="00D7785D"/>
    <w:rsid w:val="00D77EB7"/>
    <w:rsid w:val="00D80131"/>
    <w:rsid w:val="00D80343"/>
    <w:rsid w:val="00D803B5"/>
    <w:rsid w:val="00D8042B"/>
    <w:rsid w:val="00D804FE"/>
    <w:rsid w:val="00D80567"/>
    <w:rsid w:val="00D806BC"/>
    <w:rsid w:val="00D8082C"/>
    <w:rsid w:val="00D810E2"/>
    <w:rsid w:val="00D812D4"/>
    <w:rsid w:val="00D81306"/>
    <w:rsid w:val="00D81AC8"/>
    <w:rsid w:val="00D81BBD"/>
    <w:rsid w:val="00D81DE5"/>
    <w:rsid w:val="00D8206B"/>
    <w:rsid w:val="00D82727"/>
    <w:rsid w:val="00D827C8"/>
    <w:rsid w:val="00D82946"/>
    <w:rsid w:val="00D829FF"/>
    <w:rsid w:val="00D83462"/>
    <w:rsid w:val="00D839B9"/>
    <w:rsid w:val="00D84236"/>
    <w:rsid w:val="00D844CF"/>
    <w:rsid w:val="00D848D8"/>
    <w:rsid w:val="00D84931"/>
    <w:rsid w:val="00D856C2"/>
    <w:rsid w:val="00D85FE5"/>
    <w:rsid w:val="00D86028"/>
    <w:rsid w:val="00D86454"/>
    <w:rsid w:val="00D86729"/>
    <w:rsid w:val="00D86886"/>
    <w:rsid w:val="00D8699B"/>
    <w:rsid w:val="00D86B80"/>
    <w:rsid w:val="00D86DDA"/>
    <w:rsid w:val="00D873FD"/>
    <w:rsid w:val="00D8775A"/>
    <w:rsid w:val="00D87B4F"/>
    <w:rsid w:val="00D87BA8"/>
    <w:rsid w:val="00D87BBE"/>
    <w:rsid w:val="00D90033"/>
    <w:rsid w:val="00D9009D"/>
    <w:rsid w:val="00D901A3"/>
    <w:rsid w:val="00D90398"/>
    <w:rsid w:val="00D9045F"/>
    <w:rsid w:val="00D906F3"/>
    <w:rsid w:val="00D90739"/>
    <w:rsid w:val="00D90A5E"/>
    <w:rsid w:val="00D90BAA"/>
    <w:rsid w:val="00D90C2F"/>
    <w:rsid w:val="00D91145"/>
    <w:rsid w:val="00D91496"/>
    <w:rsid w:val="00D91759"/>
    <w:rsid w:val="00D91B47"/>
    <w:rsid w:val="00D91C47"/>
    <w:rsid w:val="00D91D21"/>
    <w:rsid w:val="00D920E1"/>
    <w:rsid w:val="00D92194"/>
    <w:rsid w:val="00D929C1"/>
    <w:rsid w:val="00D92C9B"/>
    <w:rsid w:val="00D935B5"/>
    <w:rsid w:val="00D9360F"/>
    <w:rsid w:val="00D9379B"/>
    <w:rsid w:val="00D9380F"/>
    <w:rsid w:val="00D9392A"/>
    <w:rsid w:val="00D93C73"/>
    <w:rsid w:val="00D93C79"/>
    <w:rsid w:val="00D9443B"/>
    <w:rsid w:val="00D94677"/>
    <w:rsid w:val="00D94817"/>
    <w:rsid w:val="00D94BA9"/>
    <w:rsid w:val="00D95614"/>
    <w:rsid w:val="00D9595E"/>
    <w:rsid w:val="00D95F8F"/>
    <w:rsid w:val="00D961EB"/>
    <w:rsid w:val="00D9674D"/>
    <w:rsid w:val="00D973D6"/>
    <w:rsid w:val="00D977C2"/>
    <w:rsid w:val="00D978E8"/>
    <w:rsid w:val="00DA0138"/>
    <w:rsid w:val="00DA0461"/>
    <w:rsid w:val="00DA05CA"/>
    <w:rsid w:val="00DA1138"/>
    <w:rsid w:val="00DA1139"/>
    <w:rsid w:val="00DA11DD"/>
    <w:rsid w:val="00DA1363"/>
    <w:rsid w:val="00DA143B"/>
    <w:rsid w:val="00DA15B8"/>
    <w:rsid w:val="00DA1903"/>
    <w:rsid w:val="00DA1A81"/>
    <w:rsid w:val="00DA1A88"/>
    <w:rsid w:val="00DA1D3A"/>
    <w:rsid w:val="00DA1E86"/>
    <w:rsid w:val="00DA24AD"/>
    <w:rsid w:val="00DA24EB"/>
    <w:rsid w:val="00DA2782"/>
    <w:rsid w:val="00DA279C"/>
    <w:rsid w:val="00DA2AB8"/>
    <w:rsid w:val="00DA2AD8"/>
    <w:rsid w:val="00DA2EFC"/>
    <w:rsid w:val="00DA3080"/>
    <w:rsid w:val="00DA3301"/>
    <w:rsid w:val="00DA33F9"/>
    <w:rsid w:val="00DA3564"/>
    <w:rsid w:val="00DA3A12"/>
    <w:rsid w:val="00DA3DF4"/>
    <w:rsid w:val="00DA45D2"/>
    <w:rsid w:val="00DA47A4"/>
    <w:rsid w:val="00DA4956"/>
    <w:rsid w:val="00DA4D48"/>
    <w:rsid w:val="00DA5326"/>
    <w:rsid w:val="00DA5D3C"/>
    <w:rsid w:val="00DA5D55"/>
    <w:rsid w:val="00DA61DF"/>
    <w:rsid w:val="00DA6782"/>
    <w:rsid w:val="00DA7822"/>
    <w:rsid w:val="00DB050E"/>
    <w:rsid w:val="00DB0C95"/>
    <w:rsid w:val="00DB1145"/>
    <w:rsid w:val="00DB144D"/>
    <w:rsid w:val="00DB1797"/>
    <w:rsid w:val="00DB1B93"/>
    <w:rsid w:val="00DB1DC5"/>
    <w:rsid w:val="00DB205A"/>
    <w:rsid w:val="00DB22AC"/>
    <w:rsid w:val="00DB24B5"/>
    <w:rsid w:val="00DB2A1C"/>
    <w:rsid w:val="00DB2DCF"/>
    <w:rsid w:val="00DB3AAB"/>
    <w:rsid w:val="00DB3C28"/>
    <w:rsid w:val="00DB3F25"/>
    <w:rsid w:val="00DB4753"/>
    <w:rsid w:val="00DB4900"/>
    <w:rsid w:val="00DB4EF7"/>
    <w:rsid w:val="00DB54D4"/>
    <w:rsid w:val="00DB5593"/>
    <w:rsid w:val="00DB591C"/>
    <w:rsid w:val="00DB5D35"/>
    <w:rsid w:val="00DB6067"/>
    <w:rsid w:val="00DB618B"/>
    <w:rsid w:val="00DB62B3"/>
    <w:rsid w:val="00DB6986"/>
    <w:rsid w:val="00DB6A9A"/>
    <w:rsid w:val="00DB6C11"/>
    <w:rsid w:val="00DB6D5B"/>
    <w:rsid w:val="00DB7367"/>
    <w:rsid w:val="00DB781C"/>
    <w:rsid w:val="00DB7CC6"/>
    <w:rsid w:val="00DB7DE1"/>
    <w:rsid w:val="00DC0BAC"/>
    <w:rsid w:val="00DC0C1B"/>
    <w:rsid w:val="00DC1320"/>
    <w:rsid w:val="00DC1368"/>
    <w:rsid w:val="00DC1BEE"/>
    <w:rsid w:val="00DC22D0"/>
    <w:rsid w:val="00DC299A"/>
    <w:rsid w:val="00DC2DDE"/>
    <w:rsid w:val="00DC3307"/>
    <w:rsid w:val="00DC3D4E"/>
    <w:rsid w:val="00DC41E3"/>
    <w:rsid w:val="00DC4588"/>
    <w:rsid w:val="00DC47CF"/>
    <w:rsid w:val="00DC481A"/>
    <w:rsid w:val="00DC48B7"/>
    <w:rsid w:val="00DC4999"/>
    <w:rsid w:val="00DC4DF8"/>
    <w:rsid w:val="00DC51AC"/>
    <w:rsid w:val="00DC5AED"/>
    <w:rsid w:val="00DC61D3"/>
    <w:rsid w:val="00DC6310"/>
    <w:rsid w:val="00DC6EB8"/>
    <w:rsid w:val="00DC7255"/>
    <w:rsid w:val="00DC7BBF"/>
    <w:rsid w:val="00DD09E9"/>
    <w:rsid w:val="00DD0CB8"/>
    <w:rsid w:val="00DD0F3E"/>
    <w:rsid w:val="00DD117A"/>
    <w:rsid w:val="00DD17DF"/>
    <w:rsid w:val="00DD18E9"/>
    <w:rsid w:val="00DD234E"/>
    <w:rsid w:val="00DD2D5D"/>
    <w:rsid w:val="00DD2E1C"/>
    <w:rsid w:val="00DD3404"/>
    <w:rsid w:val="00DD3B08"/>
    <w:rsid w:val="00DD3C2A"/>
    <w:rsid w:val="00DD4888"/>
    <w:rsid w:val="00DD4890"/>
    <w:rsid w:val="00DD4FF2"/>
    <w:rsid w:val="00DD5209"/>
    <w:rsid w:val="00DD52F2"/>
    <w:rsid w:val="00DD53B9"/>
    <w:rsid w:val="00DD58D8"/>
    <w:rsid w:val="00DD5EC6"/>
    <w:rsid w:val="00DD6039"/>
    <w:rsid w:val="00DD6129"/>
    <w:rsid w:val="00DD6359"/>
    <w:rsid w:val="00DD659F"/>
    <w:rsid w:val="00DD6C98"/>
    <w:rsid w:val="00DD6E8D"/>
    <w:rsid w:val="00DD6E95"/>
    <w:rsid w:val="00DD7094"/>
    <w:rsid w:val="00DD7151"/>
    <w:rsid w:val="00DD719F"/>
    <w:rsid w:val="00DD7AC6"/>
    <w:rsid w:val="00DD7B46"/>
    <w:rsid w:val="00DD7C6E"/>
    <w:rsid w:val="00DE0410"/>
    <w:rsid w:val="00DE0922"/>
    <w:rsid w:val="00DE09AA"/>
    <w:rsid w:val="00DE0A61"/>
    <w:rsid w:val="00DE0D4F"/>
    <w:rsid w:val="00DE1318"/>
    <w:rsid w:val="00DE18D5"/>
    <w:rsid w:val="00DE1903"/>
    <w:rsid w:val="00DE19B1"/>
    <w:rsid w:val="00DE1C22"/>
    <w:rsid w:val="00DE1F38"/>
    <w:rsid w:val="00DE266B"/>
    <w:rsid w:val="00DE2EB7"/>
    <w:rsid w:val="00DE2ED8"/>
    <w:rsid w:val="00DE30EE"/>
    <w:rsid w:val="00DE3D4E"/>
    <w:rsid w:val="00DE3ECB"/>
    <w:rsid w:val="00DE3EF5"/>
    <w:rsid w:val="00DE41AA"/>
    <w:rsid w:val="00DE4B87"/>
    <w:rsid w:val="00DE4C92"/>
    <w:rsid w:val="00DE4F9D"/>
    <w:rsid w:val="00DE543D"/>
    <w:rsid w:val="00DE565F"/>
    <w:rsid w:val="00DE57FD"/>
    <w:rsid w:val="00DE5839"/>
    <w:rsid w:val="00DE584E"/>
    <w:rsid w:val="00DE59D5"/>
    <w:rsid w:val="00DE5CF2"/>
    <w:rsid w:val="00DE6150"/>
    <w:rsid w:val="00DE670C"/>
    <w:rsid w:val="00DE6A45"/>
    <w:rsid w:val="00DE70B7"/>
    <w:rsid w:val="00DE7258"/>
    <w:rsid w:val="00DE743C"/>
    <w:rsid w:val="00DE76F2"/>
    <w:rsid w:val="00DE7CDC"/>
    <w:rsid w:val="00DF00C5"/>
    <w:rsid w:val="00DF0A61"/>
    <w:rsid w:val="00DF0CBA"/>
    <w:rsid w:val="00DF14FC"/>
    <w:rsid w:val="00DF175D"/>
    <w:rsid w:val="00DF1E4A"/>
    <w:rsid w:val="00DF1EBD"/>
    <w:rsid w:val="00DF24C8"/>
    <w:rsid w:val="00DF25CA"/>
    <w:rsid w:val="00DF269B"/>
    <w:rsid w:val="00DF285E"/>
    <w:rsid w:val="00DF2A2B"/>
    <w:rsid w:val="00DF2C59"/>
    <w:rsid w:val="00DF2ED1"/>
    <w:rsid w:val="00DF37D7"/>
    <w:rsid w:val="00DF3A05"/>
    <w:rsid w:val="00DF3D72"/>
    <w:rsid w:val="00DF4561"/>
    <w:rsid w:val="00DF564B"/>
    <w:rsid w:val="00DF5949"/>
    <w:rsid w:val="00DF622C"/>
    <w:rsid w:val="00DF69AD"/>
    <w:rsid w:val="00DF70BE"/>
    <w:rsid w:val="00DF7873"/>
    <w:rsid w:val="00DF7948"/>
    <w:rsid w:val="00DF7ECA"/>
    <w:rsid w:val="00E0032E"/>
    <w:rsid w:val="00E00383"/>
    <w:rsid w:val="00E007AB"/>
    <w:rsid w:val="00E0084A"/>
    <w:rsid w:val="00E009DC"/>
    <w:rsid w:val="00E00F20"/>
    <w:rsid w:val="00E01183"/>
    <w:rsid w:val="00E01D89"/>
    <w:rsid w:val="00E01E5B"/>
    <w:rsid w:val="00E02AB9"/>
    <w:rsid w:val="00E02B07"/>
    <w:rsid w:val="00E02E65"/>
    <w:rsid w:val="00E02EA8"/>
    <w:rsid w:val="00E031F0"/>
    <w:rsid w:val="00E03825"/>
    <w:rsid w:val="00E03AD2"/>
    <w:rsid w:val="00E03CA3"/>
    <w:rsid w:val="00E03CE5"/>
    <w:rsid w:val="00E03D1C"/>
    <w:rsid w:val="00E04185"/>
    <w:rsid w:val="00E0418F"/>
    <w:rsid w:val="00E04415"/>
    <w:rsid w:val="00E0445E"/>
    <w:rsid w:val="00E045B4"/>
    <w:rsid w:val="00E049BB"/>
    <w:rsid w:val="00E04A57"/>
    <w:rsid w:val="00E04DF0"/>
    <w:rsid w:val="00E05108"/>
    <w:rsid w:val="00E051A6"/>
    <w:rsid w:val="00E05237"/>
    <w:rsid w:val="00E0524C"/>
    <w:rsid w:val="00E05495"/>
    <w:rsid w:val="00E060BA"/>
    <w:rsid w:val="00E0698C"/>
    <w:rsid w:val="00E06BCF"/>
    <w:rsid w:val="00E06BFD"/>
    <w:rsid w:val="00E06D50"/>
    <w:rsid w:val="00E07179"/>
    <w:rsid w:val="00E0729D"/>
    <w:rsid w:val="00E07B80"/>
    <w:rsid w:val="00E07B8B"/>
    <w:rsid w:val="00E07DA3"/>
    <w:rsid w:val="00E1098E"/>
    <w:rsid w:val="00E11084"/>
    <w:rsid w:val="00E11167"/>
    <w:rsid w:val="00E113BB"/>
    <w:rsid w:val="00E118D8"/>
    <w:rsid w:val="00E11AA3"/>
    <w:rsid w:val="00E11B0A"/>
    <w:rsid w:val="00E11C4A"/>
    <w:rsid w:val="00E120D3"/>
    <w:rsid w:val="00E123FC"/>
    <w:rsid w:val="00E12FF5"/>
    <w:rsid w:val="00E1318A"/>
    <w:rsid w:val="00E135CD"/>
    <w:rsid w:val="00E13D38"/>
    <w:rsid w:val="00E13D3B"/>
    <w:rsid w:val="00E1409A"/>
    <w:rsid w:val="00E143FA"/>
    <w:rsid w:val="00E14485"/>
    <w:rsid w:val="00E14A91"/>
    <w:rsid w:val="00E14AFC"/>
    <w:rsid w:val="00E14C1E"/>
    <w:rsid w:val="00E14C45"/>
    <w:rsid w:val="00E14DA9"/>
    <w:rsid w:val="00E1571B"/>
    <w:rsid w:val="00E15B4A"/>
    <w:rsid w:val="00E15C44"/>
    <w:rsid w:val="00E15C90"/>
    <w:rsid w:val="00E1610F"/>
    <w:rsid w:val="00E162B8"/>
    <w:rsid w:val="00E165F2"/>
    <w:rsid w:val="00E1691F"/>
    <w:rsid w:val="00E17363"/>
    <w:rsid w:val="00E17468"/>
    <w:rsid w:val="00E17538"/>
    <w:rsid w:val="00E17CF4"/>
    <w:rsid w:val="00E17F84"/>
    <w:rsid w:val="00E17FB1"/>
    <w:rsid w:val="00E17FF6"/>
    <w:rsid w:val="00E2045A"/>
    <w:rsid w:val="00E2103F"/>
    <w:rsid w:val="00E21CF3"/>
    <w:rsid w:val="00E22195"/>
    <w:rsid w:val="00E223D6"/>
    <w:rsid w:val="00E22428"/>
    <w:rsid w:val="00E2297F"/>
    <w:rsid w:val="00E22BD8"/>
    <w:rsid w:val="00E22C3C"/>
    <w:rsid w:val="00E22D08"/>
    <w:rsid w:val="00E230F9"/>
    <w:rsid w:val="00E2341E"/>
    <w:rsid w:val="00E237E4"/>
    <w:rsid w:val="00E23E3A"/>
    <w:rsid w:val="00E244D1"/>
    <w:rsid w:val="00E24849"/>
    <w:rsid w:val="00E2487F"/>
    <w:rsid w:val="00E24AB3"/>
    <w:rsid w:val="00E25038"/>
    <w:rsid w:val="00E25301"/>
    <w:rsid w:val="00E253A1"/>
    <w:rsid w:val="00E25686"/>
    <w:rsid w:val="00E257C3"/>
    <w:rsid w:val="00E257F8"/>
    <w:rsid w:val="00E25BB4"/>
    <w:rsid w:val="00E2618C"/>
    <w:rsid w:val="00E27250"/>
    <w:rsid w:val="00E273EF"/>
    <w:rsid w:val="00E277DC"/>
    <w:rsid w:val="00E27972"/>
    <w:rsid w:val="00E27CDC"/>
    <w:rsid w:val="00E301AD"/>
    <w:rsid w:val="00E30694"/>
    <w:rsid w:val="00E3096C"/>
    <w:rsid w:val="00E30D74"/>
    <w:rsid w:val="00E31105"/>
    <w:rsid w:val="00E31531"/>
    <w:rsid w:val="00E316F9"/>
    <w:rsid w:val="00E31903"/>
    <w:rsid w:val="00E3298E"/>
    <w:rsid w:val="00E331AD"/>
    <w:rsid w:val="00E332B0"/>
    <w:rsid w:val="00E3348E"/>
    <w:rsid w:val="00E339D1"/>
    <w:rsid w:val="00E33E4B"/>
    <w:rsid w:val="00E33EA2"/>
    <w:rsid w:val="00E347CD"/>
    <w:rsid w:val="00E3492B"/>
    <w:rsid w:val="00E34E6A"/>
    <w:rsid w:val="00E3539B"/>
    <w:rsid w:val="00E35582"/>
    <w:rsid w:val="00E35648"/>
    <w:rsid w:val="00E35730"/>
    <w:rsid w:val="00E35842"/>
    <w:rsid w:val="00E358AB"/>
    <w:rsid w:val="00E35955"/>
    <w:rsid w:val="00E36375"/>
    <w:rsid w:val="00E36954"/>
    <w:rsid w:val="00E36B7D"/>
    <w:rsid w:val="00E36F28"/>
    <w:rsid w:val="00E3713A"/>
    <w:rsid w:val="00E37205"/>
    <w:rsid w:val="00E3728D"/>
    <w:rsid w:val="00E37414"/>
    <w:rsid w:val="00E3771E"/>
    <w:rsid w:val="00E37C68"/>
    <w:rsid w:val="00E37F67"/>
    <w:rsid w:val="00E402A4"/>
    <w:rsid w:val="00E408EC"/>
    <w:rsid w:val="00E40C18"/>
    <w:rsid w:val="00E40CE8"/>
    <w:rsid w:val="00E413E8"/>
    <w:rsid w:val="00E415AD"/>
    <w:rsid w:val="00E415B8"/>
    <w:rsid w:val="00E41806"/>
    <w:rsid w:val="00E41835"/>
    <w:rsid w:val="00E420A0"/>
    <w:rsid w:val="00E420A7"/>
    <w:rsid w:val="00E42890"/>
    <w:rsid w:val="00E42962"/>
    <w:rsid w:val="00E43154"/>
    <w:rsid w:val="00E4353B"/>
    <w:rsid w:val="00E435D6"/>
    <w:rsid w:val="00E43D3C"/>
    <w:rsid w:val="00E43EE7"/>
    <w:rsid w:val="00E43F02"/>
    <w:rsid w:val="00E44027"/>
    <w:rsid w:val="00E440D0"/>
    <w:rsid w:val="00E44B7E"/>
    <w:rsid w:val="00E44DF4"/>
    <w:rsid w:val="00E451E9"/>
    <w:rsid w:val="00E45969"/>
    <w:rsid w:val="00E46A0A"/>
    <w:rsid w:val="00E46A25"/>
    <w:rsid w:val="00E46ADE"/>
    <w:rsid w:val="00E46B1C"/>
    <w:rsid w:val="00E46C90"/>
    <w:rsid w:val="00E4700E"/>
    <w:rsid w:val="00E474A9"/>
    <w:rsid w:val="00E47AEE"/>
    <w:rsid w:val="00E47C2C"/>
    <w:rsid w:val="00E47EC9"/>
    <w:rsid w:val="00E50186"/>
    <w:rsid w:val="00E50344"/>
    <w:rsid w:val="00E504C9"/>
    <w:rsid w:val="00E506E3"/>
    <w:rsid w:val="00E50A70"/>
    <w:rsid w:val="00E50B00"/>
    <w:rsid w:val="00E50CBB"/>
    <w:rsid w:val="00E50DFB"/>
    <w:rsid w:val="00E51038"/>
    <w:rsid w:val="00E51213"/>
    <w:rsid w:val="00E5194F"/>
    <w:rsid w:val="00E51A47"/>
    <w:rsid w:val="00E52A85"/>
    <w:rsid w:val="00E530DC"/>
    <w:rsid w:val="00E5331C"/>
    <w:rsid w:val="00E53583"/>
    <w:rsid w:val="00E53BC2"/>
    <w:rsid w:val="00E53E3B"/>
    <w:rsid w:val="00E54186"/>
    <w:rsid w:val="00E54DE9"/>
    <w:rsid w:val="00E55449"/>
    <w:rsid w:val="00E55636"/>
    <w:rsid w:val="00E55659"/>
    <w:rsid w:val="00E55A57"/>
    <w:rsid w:val="00E560D8"/>
    <w:rsid w:val="00E564B2"/>
    <w:rsid w:val="00E56637"/>
    <w:rsid w:val="00E567DA"/>
    <w:rsid w:val="00E5681E"/>
    <w:rsid w:val="00E56B00"/>
    <w:rsid w:val="00E57026"/>
    <w:rsid w:val="00E570C7"/>
    <w:rsid w:val="00E5726F"/>
    <w:rsid w:val="00E57472"/>
    <w:rsid w:val="00E5750D"/>
    <w:rsid w:val="00E575D6"/>
    <w:rsid w:val="00E57643"/>
    <w:rsid w:val="00E57A19"/>
    <w:rsid w:val="00E57B09"/>
    <w:rsid w:val="00E6035B"/>
    <w:rsid w:val="00E611D7"/>
    <w:rsid w:val="00E613E5"/>
    <w:rsid w:val="00E61B6C"/>
    <w:rsid w:val="00E61F2B"/>
    <w:rsid w:val="00E629AB"/>
    <w:rsid w:val="00E62C7D"/>
    <w:rsid w:val="00E62D50"/>
    <w:rsid w:val="00E63161"/>
    <w:rsid w:val="00E635C9"/>
    <w:rsid w:val="00E639BB"/>
    <w:rsid w:val="00E641C8"/>
    <w:rsid w:val="00E643CC"/>
    <w:rsid w:val="00E64476"/>
    <w:rsid w:val="00E644A6"/>
    <w:rsid w:val="00E64952"/>
    <w:rsid w:val="00E649B1"/>
    <w:rsid w:val="00E64B49"/>
    <w:rsid w:val="00E64B69"/>
    <w:rsid w:val="00E65366"/>
    <w:rsid w:val="00E65E02"/>
    <w:rsid w:val="00E6632B"/>
    <w:rsid w:val="00E667AE"/>
    <w:rsid w:val="00E66A95"/>
    <w:rsid w:val="00E66AEF"/>
    <w:rsid w:val="00E67A2C"/>
    <w:rsid w:val="00E67C0E"/>
    <w:rsid w:val="00E7015B"/>
    <w:rsid w:val="00E705E2"/>
    <w:rsid w:val="00E706BE"/>
    <w:rsid w:val="00E7080D"/>
    <w:rsid w:val="00E70C02"/>
    <w:rsid w:val="00E71092"/>
    <w:rsid w:val="00E719DE"/>
    <w:rsid w:val="00E71B82"/>
    <w:rsid w:val="00E72619"/>
    <w:rsid w:val="00E72B53"/>
    <w:rsid w:val="00E73243"/>
    <w:rsid w:val="00E735C8"/>
    <w:rsid w:val="00E73D2E"/>
    <w:rsid w:val="00E744E0"/>
    <w:rsid w:val="00E74FEB"/>
    <w:rsid w:val="00E75272"/>
    <w:rsid w:val="00E75865"/>
    <w:rsid w:val="00E75E4D"/>
    <w:rsid w:val="00E75ED2"/>
    <w:rsid w:val="00E763E9"/>
    <w:rsid w:val="00E7663E"/>
    <w:rsid w:val="00E76A98"/>
    <w:rsid w:val="00E76C0E"/>
    <w:rsid w:val="00E76FFC"/>
    <w:rsid w:val="00E7727C"/>
    <w:rsid w:val="00E775EA"/>
    <w:rsid w:val="00E77822"/>
    <w:rsid w:val="00E77C51"/>
    <w:rsid w:val="00E77D65"/>
    <w:rsid w:val="00E77E85"/>
    <w:rsid w:val="00E801F9"/>
    <w:rsid w:val="00E808D2"/>
    <w:rsid w:val="00E819C5"/>
    <w:rsid w:val="00E822CF"/>
    <w:rsid w:val="00E822F3"/>
    <w:rsid w:val="00E8238A"/>
    <w:rsid w:val="00E828A2"/>
    <w:rsid w:val="00E83487"/>
    <w:rsid w:val="00E8363A"/>
    <w:rsid w:val="00E839AF"/>
    <w:rsid w:val="00E84443"/>
    <w:rsid w:val="00E8474D"/>
    <w:rsid w:val="00E84FE8"/>
    <w:rsid w:val="00E851E8"/>
    <w:rsid w:val="00E853EF"/>
    <w:rsid w:val="00E85912"/>
    <w:rsid w:val="00E85C1A"/>
    <w:rsid w:val="00E85CC7"/>
    <w:rsid w:val="00E86014"/>
    <w:rsid w:val="00E864C9"/>
    <w:rsid w:val="00E865F0"/>
    <w:rsid w:val="00E868C5"/>
    <w:rsid w:val="00E86DA9"/>
    <w:rsid w:val="00E8718A"/>
    <w:rsid w:val="00E87D30"/>
    <w:rsid w:val="00E903DB"/>
    <w:rsid w:val="00E906E7"/>
    <w:rsid w:val="00E908B1"/>
    <w:rsid w:val="00E9130C"/>
    <w:rsid w:val="00E9143A"/>
    <w:rsid w:val="00E91492"/>
    <w:rsid w:val="00E91AE4"/>
    <w:rsid w:val="00E91B18"/>
    <w:rsid w:val="00E91B6E"/>
    <w:rsid w:val="00E91D2E"/>
    <w:rsid w:val="00E91F09"/>
    <w:rsid w:val="00E92F8F"/>
    <w:rsid w:val="00E9305B"/>
    <w:rsid w:val="00E933CD"/>
    <w:rsid w:val="00E937CA"/>
    <w:rsid w:val="00E93A3B"/>
    <w:rsid w:val="00E93A79"/>
    <w:rsid w:val="00E94892"/>
    <w:rsid w:val="00E949C5"/>
    <w:rsid w:val="00E95315"/>
    <w:rsid w:val="00E95344"/>
    <w:rsid w:val="00E95391"/>
    <w:rsid w:val="00E95427"/>
    <w:rsid w:val="00E956C2"/>
    <w:rsid w:val="00E95913"/>
    <w:rsid w:val="00E95B49"/>
    <w:rsid w:val="00E9699C"/>
    <w:rsid w:val="00E96B27"/>
    <w:rsid w:val="00E97167"/>
    <w:rsid w:val="00E974E6"/>
    <w:rsid w:val="00E97649"/>
    <w:rsid w:val="00E97720"/>
    <w:rsid w:val="00E97893"/>
    <w:rsid w:val="00E9793B"/>
    <w:rsid w:val="00E97BC6"/>
    <w:rsid w:val="00EA049E"/>
    <w:rsid w:val="00EA0882"/>
    <w:rsid w:val="00EA0D7A"/>
    <w:rsid w:val="00EA0DD7"/>
    <w:rsid w:val="00EA0DEE"/>
    <w:rsid w:val="00EA1205"/>
    <w:rsid w:val="00EA1366"/>
    <w:rsid w:val="00EA138B"/>
    <w:rsid w:val="00EA176C"/>
    <w:rsid w:val="00EA1D50"/>
    <w:rsid w:val="00EA2082"/>
    <w:rsid w:val="00EA2185"/>
    <w:rsid w:val="00EA224B"/>
    <w:rsid w:val="00EA2A62"/>
    <w:rsid w:val="00EA2B65"/>
    <w:rsid w:val="00EA2DF3"/>
    <w:rsid w:val="00EA2E2F"/>
    <w:rsid w:val="00EA347B"/>
    <w:rsid w:val="00EA3681"/>
    <w:rsid w:val="00EA4222"/>
    <w:rsid w:val="00EA48D0"/>
    <w:rsid w:val="00EA5200"/>
    <w:rsid w:val="00EA59AF"/>
    <w:rsid w:val="00EA6240"/>
    <w:rsid w:val="00EA65BB"/>
    <w:rsid w:val="00EA6BFF"/>
    <w:rsid w:val="00EA6D49"/>
    <w:rsid w:val="00EA701D"/>
    <w:rsid w:val="00EA70DF"/>
    <w:rsid w:val="00EA7174"/>
    <w:rsid w:val="00EA78C8"/>
    <w:rsid w:val="00EA7D9C"/>
    <w:rsid w:val="00EA7E59"/>
    <w:rsid w:val="00EA7E83"/>
    <w:rsid w:val="00EA7F71"/>
    <w:rsid w:val="00EB0212"/>
    <w:rsid w:val="00EB0331"/>
    <w:rsid w:val="00EB05AD"/>
    <w:rsid w:val="00EB08C3"/>
    <w:rsid w:val="00EB0AE6"/>
    <w:rsid w:val="00EB19E5"/>
    <w:rsid w:val="00EB1CBA"/>
    <w:rsid w:val="00EB1D2A"/>
    <w:rsid w:val="00EB2348"/>
    <w:rsid w:val="00EB25DE"/>
    <w:rsid w:val="00EB275B"/>
    <w:rsid w:val="00EB29EE"/>
    <w:rsid w:val="00EB2AC9"/>
    <w:rsid w:val="00EB4561"/>
    <w:rsid w:val="00EB4597"/>
    <w:rsid w:val="00EB4C81"/>
    <w:rsid w:val="00EB4F70"/>
    <w:rsid w:val="00EB4FBD"/>
    <w:rsid w:val="00EB51F0"/>
    <w:rsid w:val="00EB56B0"/>
    <w:rsid w:val="00EB61BC"/>
    <w:rsid w:val="00EB6314"/>
    <w:rsid w:val="00EB67D1"/>
    <w:rsid w:val="00EB683F"/>
    <w:rsid w:val="00EB693F"/>
    <w:rsid w:val="00EB73DC"/>
    <w:rsid w:val="00EB74EC"/>
    <w:rsid w:val="00EB76BF"/>
    <w:rsid w:val="00EB7A2D"/>
    <w:rsid w:val="00EB7EB1"/>
    <w:rsid w:val="00EC060F"/>
    <w:rsid w:val="00EC0B74"/>
    <w:rsid w:val="00EC12BA"/>
    <w:rsid w:val="00EC16B2"/>
    <w:rsid w:val="00EC17F7"/>
    <w:rsid w:val="00EC1B03"/>
    <w:rsid w:val="00EC1DDA"/>
    <w:rsid w:val="00EC23DB"/>
    <w:rsid w:val="00EC28BC"/>
    <w:rsid w:val="00EC2D73"/>
    <w:rsid w:val="00EC2FEE"/>
    <w:rsid w:val="00EC3130"/>
    <w:rsid w:val="00EC351B"/>
    <w:rsid w:val="00EC3520"/>
    <w:rsid w:val="00EC3884"/>
    <w:rsid w:val="00EC3A10"/>
    <w:rsid w:val="00EC3AE1"/>
    <w:rsid w:val="00EC3F6D"/>
    <w:rsid w:val="00EC448A"/>
    <w:rsid w:val="00EC492B"/>
    <w:rsid w:val="00EC499F"/>
    <w:rsid w:val="00EC4A6F"/>
    <w:rsid w:val="00EC4DC2"/>
    <w:rsid w:val="00EC50C0"/>
    <w:rsid w:val="00EC5323"/>
    <w:rsid w:val="00EC5AD4"/>
    <w:rsid w:val="00EC7056"/>
    <w:rsid w:val="00EC717B"/>
    <w:rsid w:val="00EC7A39"/>
    <w:rsid w:val="00EC7C17"/>
    <w:rsid w:val="00EC7C35"/>
    <w:rsid w:val="00EC7DDC"/>
    <w:rsid w:val="00ED01A2"/>
    <w:rsid w:val="00ED0793"/>
    <w:rsid w:val="00ED0BA3"/>
    <w:rsid w:val="00ED1031"/>
    <w:rsid w:val="00ED125D"/>
    <w:rsid w:val="00ED1293"/>
    <w:rsid w:val="00ED12C2"/>
    <w:rsid w:val="00ED1B34"/>
    <w:rsid w:val="00ED1BD1"/>
    <w:rsid w:val="00ED1CAA"/>
    <w:rsid w:val="00ED1DA1"/>
    <w:rsid w:val="00ED1EC2"/>
    <w:rsid w:val="00ED1ED6"/>
    <w:rsid w:val="00ED1FC1"/>
    <w:rsid w:val="00ED22A6"/>
    <w:rsid w:val="00ED259A"/>
    <w:rsid w:val="00ED3245"/>
    <w:rsid w:val="00ED38F2"/>
    <w:rsid w:val="00ED3A34"/>
    <w:rsid w:val="00ED41F3"/>
    <w:rsid w:val="00ED4247"/>
    <w:rsid w:val="00ED49AF"/>
    <w:rsid w:val="00ED4D1F"/>
    <w:rsid w:val="00ED4D2D"/>
    <w:rsid w:val="00ED4D51"/>
    <w:rsid w:val="00ED4D9A"/>
    <w:rsid w:val="00ED4FD2"/>
    <w:rsid w:val="00ED548B"/>
    <w:rsid w:val="00ED5865"/>
    <w:rsid w:val="00ED6123"/>
    <w:rsid w:val="00ED61AD"/>
    <w:rsid w:val="00ED650F"/>
    <w:rsid w:val="00ED6558"/>
    <w:rsid w:val="00ED65B4"/>
    <w:rsid w:val="00ED6A2C"/>
    <w:rsid w:val="00ED6DAD"/>
    <w:rsid w:val="00ED7144"/>
    <w:rsid w:val="00ED7274"/>
    <w:rsid w:val="00ED74A7"/>
    <w:rsid w:val="00ED7E84"/>
    <w:rsid w:val="00ED7EBF"/>
    <w:rsid w:val="00EE013C"/>
    <w:rsid w:val="00EE03C8"/>
    <w:rsid w:val="00EE1501"/>
    <w:rsid w:val="00EE1F44"/>
    <w:rsid w:val="00EE2258"/>
    <w:rsid w:val="00EE254D"/>
    <w:rsid w:val="00EE2EB3"/>
    <w:rsid w:val="00EE3000"/>
    <w:rsid w:val="00EE3524"/>
    <w:rsid w:val="00EE3D47"/>
    <w:rsid w:val="00EE42E3"/>
    <w:rsid w:val="00EE4813"/>
    <w:rsid w:val="00EE48B4"/>
    <w:rsid w:val="00EE49C6"/>
    <w:rsid w:val="00EE4BC2"/>
    <w:rsid w:val="00EE531B"/>
    <w:rsid w:val="00EE5368"/>
    <w:rsid w:val="00EE5D8F"/>
    <w:rsid w:val="00EE5EA8"/>
    <w:rsid w:val="00EE60EA"/>
    <w:rsid w:val="00EE6388"/>
    <w:rsid w:val="00EE63B2"/>
    <w:rsid w:val="00EE6852"/>
    <w:rsid w:val="00EE6E07"/>
    <w:rsid w:val="00EE781E"/>
    <w:rsid w:val="00EE78E7"/>
    <w:rsid w:val="00EE7DBE"/>
    <w:rsid w:val="00EE7FDF"/>
    <w:rsid w:val="00EF05FB"/>
    <w:rsid w:val="00EF06EC"/>
    <w:rsid w:val="00EF0C8D"/>
    <w:rsid w:val="00EF175B"/>
    <w:rsid w:val="00EF17F1"/>
    <w:rsid w:val="00EF2059"/>
    <w:rsid w:val="00EF20B9"/>
    <w:rsid w:val="00EF2106"/>
    <w:rsid w:val="00EF210C"/>
    <w:rsid w:val="00EF2D6B"/>
    <w:rsid w:val="00EF2F4F"/>
    <w:rsid w:val="00EF342B"/>
    <w:rsid w:val="00EF35DD"/>
    <w:rsid w:val="00EF35FB"/>
    <w:rsid w:val="00EF3B5A"/>
    <w:rsid w:val="00EF3C2E"/>
    <w:rsid w:val="00EF3E06"/>
    <w:rsid w:val="00EF3EC2"/>
    <w:rsid w:val="00EF4191"/>
    <w:rsid w:val="00EF42AB"/>
    <w:rsid w:val="00EF44A7"/>
    <w:rsid w:val="00EF4664"/>
    <w:rsid w:val="00EF4A92"/>
    <w:rsid w:val="00EF4FA3"/>
    <w:rsid w:val="00EF5308"/>
    <w:rsid w:val="00EF54B3"/>
    <w:rsid w:val="00EF5FA3"/>
    <w:rsid w:val="00EF6078"/>
    <w:rsid w:val="00EF611C"/>
    <w:rsid w:val="00EF63A3"/>
    <w:rsid w:val="00EF6764"/>
    <w:rsid w:val="00EF6965"/>
    <w:rsid w:val="00EF6CBB"/>
    <w:rsid w:val="00EF6D83"/>
    <w:rsid w:val="00EF7014"/>
    <w:rsid w:val="00EF7250"/>
    <w:rsid w:val="00EF7AE3"/>
    <w:rsid w:val="00EF7B4C"/>
    <w:rsid w:val="00EF7BAB"/>
    <w:rsid w:val="00F0100D"/>
    <w:rsid w:val="00F013F0"/>
    <w:rsid w:val="00F01C7E"/>
    <w:rsid w:val="00F0203A"/>
    <w:rsid w:val="00F0205C"/>
    <w:rsid w:val="00F02690"/>
    <w:rsid w:val="00F026C5"/>
    <w:rsid w:val="00F0289D"/>
    <w:rsid w:val="00F028A6"/>
    <w:rsid w:val="00F029CE"/>
    <w:rsid w:val="00F02BAC"/>
    <w:rsid w:val="00F02BB5"/>
    <w:rsid w:val="00F02D72"/>
    <w:rsid w:val="00F0397E"/>
    <w:rsid w:val="00F03CD6"/>
    <w:rsid w:val="00F04413"/>
    <w:rsid w:val="00F047CF"/>
    <w:rsid w:val="00F047D1"/>
    <w:rsid w:val="00F04A88"/>
    <w:rsid w:val="00F05020"/>
    <w:rsid w:val="00F05024"/>
    <w:rsid w:val="00F059A7"/>
    <w:rsid w:val="00F05D54"/>
    <w:rsid w:val="00F05EC5"/>
    <w:rsid w:val="00F0630A"/>
    <w:rsid w:val="00F0692D"/>
    <w:rsid w:val="00F06FA2"/>
    <w:rsid w:val="00F0756D"/>
    <w:rsid w:val="00F0771B"/>
    <w:rsid w:val="00F077CB"/>
    <w:rsid w:val="00F07A51"/>
    <w:rsid w:val="00F07F2E"/>
    <w:rsid w:val="00F10634"/>
    <w:rsid w:val="00F10793"/>
    <w:rsid w:val="00F108E5"/>
    <w:rsid w:val="00F10CA1"/>
    <w:rsid w:val="00F10CE2"/>
    <w:rsid w:val="00F11033"/>
    <w:rsid w:val="00F11460"/>
    <w:rsid w:val="00F116C8"/>
    <w:rsid w:val="00F119EE"/>
    <w:rsid w:val="00F11EEF"/>
    <w:rsid w:val="00F122FF"/>
    <w:rsid w:val="00F12638"/>
    <w:rsid w:val="00F12658"/>
    <w:rsid w:val="00F12930"/>
    <w:rsid w:val="00F12F8C"/>
    <w:rsid w:val="00F133F7"/>
    <w:rsid w:val="00F134FE"/>
    <w:rsid w:val="00F13ACA"/>
    <w:rsid w:val="00F13EAD"/>
    <w:rsid w:val="00F13EC3"/>
    <w:rsid w:val="00F14237"/>
    <w:rsid w:val="00F14543"/>
    <w:rsid w:val="00F14912"/>
    <w:rsid w:val="00F14F2B"/>
    <w:rsid w:val="00F15067"/>
    <w:rsid w:val="00F15664"/>
    <w:rsid w:val="00F15FFB"/>
    <w:rsid w:val="00F16487"/>
    <w:rsid w:val="00F1668E"/>
    <w:rsid w:val="00F167BC"/>
    <w:rsid w:val="00F16860"/>
    <w:rsid w:val="00F16C97"/>
    <w:rsid w:val="00F173B3"/>
    <w:rsid w:val="00F175CF"/>
    <w:rsid w:val="00F17A08"/>
    <w:rsid w:val="00F17BA9"/>
    <w:rsid w:val="00F17ECC"/>
    <w:rsid w:val="00F2001A"/>
    <w:rsid w:val="00F20099"/>
    <w:rsid w:val="00F201F8"/>
    <w:rsid w:val="00F203E5"/>
    <w:rsid w:val="00F2085F"/>
    <w:rsid w:val="00F20A2D"/>
    <w:rsid w:val="00F20EB6"/>
    <w:rsid w:val="00F210A7"/>
    <w:rsid w:val="00F21396"/>
    <w:rsid w:val="00F213B8"/>
    <w:rsid w:val="00F21AB6"/>
    <w:rsid w:val="00F21FD1"/>
    <w:rsid w:val="00F22EEE"/>
    <w:rsid w:val="00F23149"/>
    <w:rsid w:val="00F23671"/>
    <w:rsid w:val="00F237B2"/>
    <w:rsid w:val="00F24165"/>
    <w:rsid w:val="00F248B1"/>
    <w:rsid w:val="00F25481"/>
    <w:rsid w:val="00F258BD"/>
    <w:rsid w:val="00F26092"/>
    <w:rsid w:val="00F260FF"/>
    <w:rsid w:val="00F2671D"/>
    <w:rsid w:val="00F2677D"/>
    <w:rsid w:val="00F26BF5"/>
    <w:rsid w:val="00F26DB6"/>
    <w:rsid w:val="00F26FFB"/>
    <w:rsid w:val="00F272CC"/>
    <w:rsid w:val="00F27F7A"/>
    <w:rsid w:val="00F3028B"/>
    <w:rsid w:val="00F30313"/>
    <w:rsid w:val="00F304D2"/>
    <w:rsid w:val="00F30787"/>
    <w:rsid w:val="00F30B8B"/>
    <w:rsid w:val="00F310D8"/>
    <w:rsid w:val="00F3148A"/>
    <w:rsid w:val="00F3252B"/>
    <w:rsid w:val="00F3253B"/>
    <w:rsid w:val="00F32A60"/>
    <w:rsid w:val="00F32ADD"/>
    <w:rsid w:val="00F32CBA"/>
    <w:rsid w:val="00F3331C"/>
    <w:rsid w:val="00F33833"/>
    <w:rsid w:val="00F34605"/>
    <w:rsid w:val="00F35BD4"/>
    <w:rsid w:val="00F36D3D"/>
    <w:rsid w:val="00F37295"/>
    <w:rsid w:val="00F376F3"/>
    <w:rsid w:val="00F37B5F"/>
    <w:rsid w:val="00F37CC7"/>
    <w:rsid w:val="00F37DFD"/>
    <w:rsid w:val="00F4061C"/>
    <w:rsid w:val="00F40CF8"/>
    <w:rsid w:val="00F411A1"/>
    <w:rsid w:val="00F4121B"/>
    <w:rsid w:val="00F413DC"/>
    <w:rsid w:val="00F41A5C"/>
    <w:rsid w:val="00F42754"/>
    <w:rsid w:val="00F4303C"/>
    <w:rsid w:val="00F431AE"/>
    <w:rsid w:val="00F43291"/>
    <w:rsid w:val="00F438F8"/>
    <w:rsid w:val="00F440A4"/>
    <w:rsid w:val="00F4414D"/>
    <w:rsid w:val="00F444E1"/>
    <w:rsid w:val="00F4464A"/>
    <w:rsid w:val="00F44AB6"/>
    <w:rsid w:val="00F44AE2"/>
    <w:rsid w:val="00F44D87"/>
    <w:rsid w:val="00F44E88"/>
    <w:rsid w:val="00F45235"/>
    <w:rsid w:val="00F45416"/>
    <w:rsid w:val="00F45A05"/>
    <w:rsid w:val="00F45B35"/>
    <w:rsid w:val="00F46377"/>
    <w:rsid w:val="00F4657A"/>
    <w:rsid w:val="00F466EE"/>
    <w:rsid w:val="00F4765F"/>
    <w:rsid w:val="00F47912"/>
    <w:rsid w:val="00F47A3A"/>
    <w:rsid w:val="00F50AC8"/>
    <w:rsid w:val="00F50B58"/>
    <w:rsid w:val="00F50B83"/>
    <w:rsid w:val="00F5104B"/>
    <w:rsid w:val="00F514CB"/>
    <w:rsid w:val="00F52546"/>
    <w:rsid w:val="00F5291A"/>
    <w:rsid w:val="00F52C60"/>
    <w:rsid w:val="00F52F31"/>
    <w:rsid w:val="00F53310"/>
    <w:rsid w:val="00F53383"/>
    <w:rsid w:val="00F5347F"/>
    <w:rsid w:val="00F53A0A"/>
    <w:rsid w:val="00F53AB4"/>
    <w:rsid w:val="00F53B7C"/>
    <w:rsid w:val="00F54C1A"/>
    <w:rsid w:val="00F54FE3"/>
    <w:rsid w:val="00F554C5"/>
    <w:rsid w:val="00F55720"/>
    <w:rsid w:val="00F558F5"/>
    <w:rsid w:val="00F55B95"/>
    <w:rsid w:val="00F55BA0"/>
    <w:rsid w:val="00F55D02"/>
    <w:rsid w:val="00F55D22"/>
    <w:rsid w:val="00F55E8F"/>
    <w:rsid w:val="00F569A4"/>
    <w:rsid w:val="00F56AAB"/>
    <w:rsid w:val="00F56C00"/>
    <w:rsid w:val="00F56E56"/>
    <w:rsid w:val="00F5718E"/>
    <w:rsid w:val="00F574CE"/>
    <w:rsid w:val="00F57846"/>
    <w:rsid w:val="00F60600"/>
    <w:rsid w:val="00F6094B"/>
    <w:rsid w:val="00F6118B"/>
    <w:rsid w:val="00F61552"/>
    <w:rsid w:val="00F61653"/>
    <w:rsid w:val="00F6168B"/>
    <w:rsid w:val="00F6180B"/>
    <w:rsid w:val="00F61DED"/>
    <w:rsid w:val="00F6271B"/>
    <w:rsid w:val="00F628CC"/>
    <w:rsid w:val="00F62E28"/>
    <w:rsid w:val="00F62FF3"/>
    <w:rsid w:val="00F63E22"/>
    <w:rsid w:val="00F640D5"/>
    <w:rsid w:val="00F64255"/>
    <w:rsid w:val="00F646F5"/>
    <w:rsid w:val="00F64A2B"/>
    <w:rsid w:val="00F6550C"/>
    <w:rsid w:val="00F656A1"/>
    <w:rsid w:val="00F65CEA"/>
    <w:rsid w:val="00F66D6C"/>
    <w:rsid w:val="00F67B7F"/>
    <w:rsid w:val="00F67D1B"/>
    <w:rsid w:val="00F70411"/>
    <w:rsid w:val="00F705C8"/>
    <w:rsid w:val="00F706F3"/>
    <w:rsid w:val="00F70AC5"/>
    <w:rsid w:val="00F70BE1"/>
    <w:rsid w:val="00F70FC3"/>
    <w:rsid w:val="00F7107E"/>
    <w:rsid w:val="00F7173A"/>
    <w:rsid w:val="00F71AAA"/>
    <w:rsid w:val="00F71DBC"/>
    <w:rsid w:val="00F71FDD"/>
    <w:rsid w:val="00F727BC"/>
    <w:rsid w:val="00F72A91"/>
    <w:rsid w:val="00F72FC9"/>
    <w:rsid w:val="00F730AE"/>
    <w:rsid w:val="00F73D4E"/>
    <w:rsid w:val="00F73DC4"/>
    <w:rsid w:val="00F73DFD"/>
    <w:rsid w:val="00F7404E"/>
    <w:rsid w:val="00F7404F"/>
    <w:rsid w:val="00F742FB"/>
    <w:rsid w:val="00F74FCE"/>
    <w:rsid w:val="00F75BEF"/>
    <w:rsid w:val="00F76028"/>
    <w:rsid w:val="00F76223"/>
    <w:rsid w:val="00F776B2"/>
    <w:rsid w:val="00F7795F"/>
    <w:rsid w:val="00F779AB"/>
    <w:rsid w:val="00F8010D"/>
    <w:rsid w:val="00F804BE"/>
    <w:rsid w:val="00F80952"/>
    <w:rsid w:val="00F80C4A"/>
    <w:rsid w:val="00F80E8A"/>
    <w:rsid w:val="00F8107A"/>
    <w:rsid w:val="00F8131F"/>
    <w:rsid w:val="00F81838"/>
    <w:rsid w:val="00F81A89"/>
    <w:rsid w:val="00F81F4B"/>
    <w:rsid w:val="00F821CD"/>
    <w:rsid w:val="00F822EA"/>
    <w:rsid w:val="00F82A39"/>
    <w:rsid w:val="00F82F50"/>
    <w:rsid w:val="00F82FD0"/>
    <w:rsid w:val="00F83026"/>
    <w:rsid w:val="00F8320B"/>
    <w:rsid w:val="00F837B4"/>
    <w:rsid w:val="00F83950"/>
    <w:rsid w:val="00F83B91"/>
    <w:rsid w:val="00F83CE4"/>
    <w:rsid w:val="00F83D67"/>
    <w:rsid w:val="00F84860"/>
    <w:rsid w:val="00F85376"/>
    <w:rsid w:val="00F8557F"/>
    <w:rsid w:val="00F856E4"/>
    <w:rsid w:val="00F85890"/>
    <w:rsid w:val="00F85A93"/>
    <w:rsid w:val="00F85ADD"/>
    <w:rsid w:val="00F85F40"/>
    <w:rsid w:val="00F85FC7"/>
    <w:rsid w:val="00F86980"/>
    <w:rsid w:val="00F86B5C"/>
    <w:rsid w:val="00F86F9E"/>
    <w:rsid w:val="00F87487"/>
    <w:rsid w:val="00F87853"/>
    <w:rsid w:val="00F878BE"/>
    <w:rsid w:val="00F8798A"/>
    <w:rsid w:val="00F87B98"/>
    <w:rsid w:val="00F87CB6"/>
    <w:rsid w:val="00F903C8"/>
    <w:rsid w:val="00F90536"/>
    <w:rsid w:val="00F905A9"/>
    <w:rsid w:val="00F905F6"/>
    <w:rsid w:val="00F90E21"/>
    <w:rsid w:val="00F90F28"/>
    <w:rsid w:val="00F90F86"/>
    <w:rsid w:val="00F91752"/>
    <w:rsid w:val="00F91B46"/>
    <w:rsid w:val="00F91CE5"/>
    <w:rsid w:val="00F91E51"/>
    <w:rsid w:val="00F91ED5"/>
    <w:rsid w:val="00F91FE7"/>
    <w:rsid w:val="00F92806"/>
    <w:rsid w:val="00F92960"/>
    <w:rsid w:val="00F92CD2"/>
    <w:rsid w:val="00F92F1A"/>
    <w:rsid w:val="00F92F27"/>
    <w:rsid w:val="00F930FC"/>
    <w:rsid w:val="00F932FB"/>
    <w:rsid w:val="00F9340F"/>
    <w:rsid w:val="00F94C76"/>
    <w:rsid w:val="00F94D0E"/>
    <w:rsid w:val="00F956FF"/>
    <w:rsid w:val="00F95ACC"/>
    <w:rsid w:val="00F95BCE"/>
    <w:rsid w:val="00F96052"/>
    <w:rsid w:val="00F9605B"/>
    <w:rsid w:val="00F9616F"/>
    <w:rsid w:val="00F96397"/>
    <w:rsid w:val="00F9668D"/>
    <w:rsid w:val="00F96861"/>
    <w:rsid w:val="00F968D5"/>
    <w:rsid w:val="00F96DEF"/>
    <w:rsid w:val="00F96E37"/>
    <w:rsid w:val="00F96F7B"/>
    <w:rsid w:val="00F971EF"/>
    <w:rsid w:val="00F97475"/>
    <w:rsid w:val="00F978CA"/>
    <w:rsid w:val="00FA010A"/>
    <w:rsid w:val="00FA0309"/>
    <w:rsid w:val="00FA0967"/>
    <w:rsid w:val="00FA0A31"/>
    <w:rsid w:val="00FA0AA0"/>
    <w:rsid w:val="00FA0CB9"/>
    <w:rsid w:val="00FA0D71"/>
    <w:rsid w:val="00FA0D78"/>
    <w:rsid w:val="00FA0F18"/>
    <w:rsid w:val="00FA1225"/>
    <w:rsid w:val="00FA1692"/>
    <w:rsid w:val="00FA1997"/>
    <w:rsid w:val="00FA1A0A"/>
    <w:rsid w:val="00FA1D7A"/>
    <w:rsid w:val="00FA1E19"/>
    <w:rsid w:val="00FA1E53"/>
    <w:rsid w:val="00FA1F20"/>
    <w:rsid w:val="00FA2BF7"/>
    <w:rsid w:val="00FA2FFE"/>
    <w:rsid w:val="00FA332D"/>
    <w:rsid w:val="00FA359D"/>
    <w:rsid w:val="00FA3E1F"/>
    <w:rsid w:val="00FA3E40"/>
    <w:rsid w:val="00FA4166"/>
    <w:rsid w:val="00FA4513"/>
    <w:rsid w:val="00FA498D"/>
    <w:rsid w:val="00FA4CF7"/>
    <w:rsid w:val="00FA5069"/>
    <w:rsid w:val="00FA565F"/>
    <w:rsid w:val="00FA592D"/>
    <w:rsid w:val="00FA5D1D"/>
    <w:rsid w:val="00FA6352"/>
    <w:rsid w:val="00FA63E7"/>
    <w:rsid w:val="00FA6675"/>
    <w:rsid w:val="00FA6C3E"/>
    <w:rsid w:val="00FA6D00"/>
    <w:rsid w:val="00FA782B"/>
    <w:rsid w:val="00FA79BA"/>
    <w:rsid w:val="00FA7A8F"/>
    <w:rsid w:val="00FA7ADD"/>
    <w:rsid w:val="00FB01C3"/>
    <w:rsid w:val="00FB06BA"/>
    <w:rsid w:val="00FB0B22"/>
    <w:rsid w:val="00FB0DB9"/>
    <w:rsid w:val="00FB0FF9"/>
    <w:rsid w:val="00FB1390"/>
    <w:rsid w:val="00FB208A"/>
    <w:rsid w:val="00FB20C3"/>
    <w:rsid w:val="00FB298D"/>
    <w:rsid w:val="00FB2C16"/>
    <w:rsid w:val="00FB2DC5"/>
    <w:rsid w:val="00FB319D"/>
    <w:rsid w:val="00FB3336"/>
    <w:rsid w:val="00FB345A"/>
    <w:rsid w:val="00FB3A38"/>
    <w:rsid w:val="00FB3AA2"/>
    <w:rsid w:val="00FB3CE2"/>
    <w:rsid w:val="00FB45D6"/>
    <w:rsid w:val="00FB4B1B"/>
    <w:rsid w:val="00FB4C5A"/>
    <w:rsid w:val="00FB4F63"/>
    <w:rsid w:val="00FB560F"/>
    <w:rsid w:val="00FB5A82"/>
    <w:rsid w:val="00FB5B13"/>
    <w:rsid w:val="00FB5BCE"/>
    <w:rsid w:val="00FB6194"/>
    <w:rsid w:val="00FB61FD"/>
    <w:rsid w:val="00FB639F"/>
    <w:rsid w:val="00FB7ED9"/>
    <w:rsid w:val="00FB7F18"/>
    <w:rsid w:val="00FC1DC5"/>
    <w:rsid w:val="00FC214C"/>
    <w:rsid w:val="00FC2CD4"/>
    <w:rsid w:val="00FC30ED"/>
    <w:rsid w:val="00FC30FC"/>
    <w:rsid w:val="00FC3127"/>
    <w:rsid w:val="00FC3761"/>
    <w:rsid w:val="00FC3775"/>
    <w:rsid w:val="00FC3791"/>
    <w:rsid w:val="00FC3812"/>
    <w:rsid w:val="00FC3EE5"/>
    <w:rsid w:val="00FC413A"/>
    <w:rsid w:val="00FC4225"/>
    <w:rsid w:val="00FC4D8D"/>
    <w:rsid w:val="00FC543B"/>
    <w:rsid w:val="00FC5FED"/>
    <w:rsid w:val="00FC6617"/>
    <w:rsid w:val="00FC6692"/>
    <w:rsid w:val="00FC6805"/>
    <w:rsid w:val="00FC6AF4"/>
    <w:rsid w:val="00FC6DE5"/>
    <w:rsid w:val="00FC7E3A"/>
    <w:rsid w:val="00FD141B"/>
    <w:rsid w:val="00FD1B0E"/>
    <w:rsid w:val="00FD24F0"/>
    <w:rsid w:val="00FD2764"/>
    <w:rsid w:val="00FD2999"/>
    <w:rsid w:val="00FD299F"/>
    <w:rsid w:val="00FD2A2C"/>
    <w:rsid w:val="00FD31FE"/>
    <w:rsid w:val="00FD3CAB"/>
    <w:rsid w:val="00FD3D91"/>
    <w:rsid w:val="00FD437B"/>
    <w:rsid w:val="00FD4391"/>
    <w:rsid w:val="00FD4B25"/>
    <w:rsid w:val="00FD4B87"/>
    <w:rsid w:val="00FD4CD3"/>
    <w:rsid w:val="00FD5326"/>
    <w:rsid w:val="00FD553F"/>
    <w:rsid w:val="00FD576B"/>
    <w:rsid w:val="00FD5C86"/>
    <w:rsid w:val="00FD5ECF"/>
    <w:rsid w:val="00FD60B4"/>
    <w:rsid w:val="00FD63A3"/>
    <w:rsid w:val="00FD6430"/>
    <w:rsid w:val="00FD6733"/>
    <w:rsid w:val="00FD67A9"/>
    <w:rsid w:val="00FD6816"/>
    <w:rsid w:val="00FD70AD"/>
    <w:rsid w:val="00FD726D"/>
    <w:rsid w:val="00FD7326"/>
    <w:rsid w:val="00FD73B1"/>
    <w:rsid w:val="00FD78B4"/>
    <w:rsid w:val="00FD78E6"/>
    <w:rsid w:val="00FD795C"/>
    <w:rsid w:val="00FD7D26"/>
    <w:rsid w:val="00FE0012"/>
    <w:rsid w:val="00FE012D"/>
    <w:rsid w:val="00FE021D"/>
    <w:rsid w:val="00FE094A"/>
    <w:rsid w:val="00FE11B9"/>
    <w:rsid w:val="00FE1349"/>
    <w:rsid w:val="00FE1385"/>
    <w:rsid w:val="00FE13DD"/>
    <w:rsid w:val="00FE186B"/>
    <w:rsid w:val="00FE1AA9"/>
    <w:rsid w:val="00FE1EF1"/>
    <w:rsid w:val="00FE2136"/>
    <w:rsid w:val="00FE2195"/>
    <w:rsid w:val="00FE23A8"/>
    <w:rsid w:val="00FE266B"/>
    <w:rsid w:val="00FE294B"/>
    <w:rsid w:val="00FE2AD9"/>
    <w:rsid w:val="00FE2BE8"/>
    <w:rsid w:val="00FE329B"/>
    <w:rsid w:val="00FE3905"/>
    <w:rsid w:val="00FE3CCE"/>
    <w:rsid w:val="00FE3D14"/>
    <w:rsid w:val="00FE401D"/>
    <w:rsid w:val="00FE45DA"/>
    <w:rsid w:val="00FE49D2"/>
    <w:rsid w:val="00FE5539"/>
    <w:rsid w:val="00FE55AE"/>
    <w:rsid w:val="00FE56F5"/>
    <w:rsid w:val="00FE5B6E"/>
    <w:rsid w:val="00FE5BCF"/>
    <w:rsid w:val="00FE5DF6"/>
    <w:rsid w:val="00FE6021"/>
    <w:rsid w:val="00FE620E"/>
    <w:rsid w:val="00FE62A8"/>
    <w:rsid w:val="00FE6335"/>
    <w:rsid w:val="00FE639B"/>
    <w:rsid w:val="00FE6716"/>
    <w:rsid w:val="00FE68B1"/>
    <w:rsid w:val="00FE68E1"/>
    <w:rsid w:val="00FE6A94"/>
    <w:rsid w:val="00FE710B"/>
    <w:rsid w:val="00FE78B4"/>
    <w:rsid w:val="00FE7D87"/>
    <w:rsid w:val="00FF019B"/>
    <w:rsid w:val="00FF0480"/>
    <w:rsid w:val="00FF04CC"/>
    <w:rsid w:val="00FF0FAB"/>
    <w:rsid w:val="00FF155C"/>
    <w:rsid w:val="00FF158C"/>
    <w:rsid w:val="00FF1B62"/>
    <w:rsid w:val="00FF1FCB"/>
    <w:rsid w:val="00FF20B5"/>
    <w:rsid w:val="00FF2201"/>
    <w:rsid w:val="00FF25F3"/>
    <w:rsid w:val="00FF27AF"/>
    <w:rsid w:val="00FF27CF"/>
    <w:rsid w:val="00FF29DD"/>
    <w:rsid w:val="00FF2C08"/>
    <w:rsid w:val="00FF2C9A"/>
    <w:rsid w:val="00FF2D1D"/>
    <w:rsid w:val="00FF34DF"/>
    <w:rsid w:val="00FF3665"/>
    <w:rsid w:val="00FF36F2"/>
    <w:rsid w:val="00FF3AA6"/>
    <w:rsid w:val="00FF3B3D"/>
    <w:rsid w:val="00FF3BFF"/>
    <w:rsid w:val="00FF4257"/>
    <w:rsid w:val="00FF4A98"/>
    <w:rsid w:val="00FF4D8B"/>
    <w:rsid w:val="00FF4F35"/>
    <w:rsid w:val="00FF5001"/>
    <w:rsid w:val="00FF5572"/>
    <w:rsid w:val="00FF5F64"/>
    <w:rsid w:val="00FF61A9"/>
    <w:rsid w:val="00FF629A"/>
    <w:rsid w:val="00FF6325"/>
    <w:rsid w:val="00FF6526"/>
    <w:rsid w:val="00FF688E"/>
    <w:rsid w:val="00FF6BA3"/>
    <w:rsid w:val="00FF6BBB"/>
    <w:rsid w:val="00FF6C33"/>
    <w:rsid w:val="00FF6E15"/>
    <w:rsid w:val="00FF7200"/>
    <w:rsid w:val="00FF768A"/>
    <w:rsid w:val="0108B485"/>
    <w:rsid w:val="012C31E5"/>
    <w:rsid w:val="01335522"/>
    <w:rsid w:val="01B9B3D0"/>
    <w:rsid w:val="02440896"/>
    <w:rsid w:val="025744A8"/>
    <w:rsid w:val="02B02E83"/>
    <w:rsid w:val="036BF6FF"/>
    <w:rsid w:val="03DB578A"/>
    <w:rsid w:val="0407D3E6"/>
    <w:rsid w:val="04214EC8"/>
    <w:rsid w:val="04327F07"/>
    <w:rsid w:val="04C54AF7"/>
    <w:rsid w:val="04E8D08F"/>
    <w:rsid w:val="0529B05B"/>
    <w:rsid w:val="058FB16D"/>
    <w:rsid w:val="05F783AC"/>
    <w:rsid w:val="065D674A"/>
    <w:rsid w:val="0678BAB6"/>
    <w:rsid w:val="071B2240"/>
    <w:rsid w:val="08910661"/>
    <w:rsid w:val="08F179FF"/>
    <w:rsid w:val="09071F1A"/>
    <w:rsid w:val="091CC368"/>
    <w:rsid w:val="09629E34"/>
    <w:rsid w:val="09A4F94D"/>
    <w:rsid w:val="09BC560D"/>
    <w:rsid w:val="09C5384F"/>
    <w:rsid w:val="0AD007A9"/>
    <w:rsid w:val="0B22C4C4"/>
    <w:rsid w:val="0B4210EE"/>
    <w:rsid w:val="0BD0C67F"/>
    <w:rsid w:val="0C304945"/>
    <w:rsid w:val="0C7BC945"/>
    <w:rsid w:val="0CFE08FB"/>
    <w:rsid w:val="0D06DAC1"/>
    <w:rsid w:val="0E2419B8"/>
    <w:rsid w:val="0F5EC80A"/>
    <w:rsid w:val="1037FA1B"/>
    <w:rsid w:val="10739B20"/>
    <w:rsid w:val="1075CFDE"/>
    <w:rsid w:val="10AE8DA0"/>
    <w:rsid w:val="10CC7B5A"/>
    <w:rsid w:val="10DEAB49"/>
    <w:rsid w:val="10E59824"/>
    <w:rsid w:val="111C6173"/>
    <w:rsid w:val="11DDC683"/>
    <w:rsid w:val="120120A8"/>
    <w:rsid w:val="1202C907"/>
    <w:rsid w:val="12259B22"/>
    <w:rsid w:val="12CC4700"/>
    <w:rsid w:val="133470DF"/>
    <w:rsid w:val="135E4455"/>
    <w:rsid w:val="1380EBD9"/>
    <w:rsid w:val="13856FEF"/>
    <w:rsid w:val="14BCEB94"/>
    <w:rsid w:val="1553A316"/>
    <w:rsid w:val="156F8B0F"/>
    <w:rsid w:val="157DC54B"/>
    <w:rsid w:val="15C7352D"/>
    <w:rsid w:val="15CF9905"/>
    <w:rsid w:val="1621BF1D"/>
    <w:rsid w:val="16544582"/>
    <w:rsid w:val="16721C5C"/>
    <w:rsid w:val="1676298D"/>
    <w:rsid w:val="16AACFCD"/>
    <w:rsid w:val="16AD8ADD"/>
    <w:rsid w:val="16B24582"/>
    <w:rsid w:val="16C08853"/>
    <w:rsid w:val="16CFAD67"/>
    <w:rsid w:val="16FC7B95"/>
    <w:rsid w:val="1714C144"/>
    <w:rsid w:val="1745970F"/>
    <w:rsid w:val="17C3A6EB"/>
    <w:rsid w:val="18275F7A"/>
    <w:rsid w:val="1912F91B"/>
    <w:rsid w:val="19868081"/>
    <w:rsid w:val="1A1EB3DE"/>
    <w:rsid w:val="1A3D14C7"/>
    <w:rsid w:val="1AB2A505"/>
    <w:rsid w:val="1B26C72F"/>
    <w:rsid w:val="1B3C4D25"/>
    <w:rsid w:val="1B7CE35E"/>
    <w:rsid w:val="1BF07661"/>
    <w:rsid w:val="1BF5EF2B"/>
    <w:rsid w:val="1C2A3F26"/>
    <w:rsid w:val="1C3CB768"/>
    <w:rsid w:val="1D167576"/>
    <w:rsid w:val="1D3B2609"/>
    <w:rsid w:val="1D5FA9B0"/>
    <w:rsid w:val="1D960CA9"/>
    <w:rsid w:val="1D96D8CB"/>
    <w:rsid w:val="1DD064FA"/>
    <w:rsid w:val="1E0F1FB3"/>
    <w:rsid w:val="1E10FC6B"/>
    <w:rsid w:val="1E47DAAA"/>
    <w:rsid w:val="1E72F830"/>
    <w:rsid w:val="1F46915A"/>
    <w:rsid w:val="1F7B16C0"/>
    <w:rsid w:val="1F7E93F6"/>
    <w:rsid w:val="1FD41059"/>
    <w:rsid w:val="1FFECDBD"/>
    <w:rsid w:val="200F8B77"/>
    <w:rsid w:val="208ED208"/>
    <w:rsid w:val="20941DEE"/>
    <w:rsid w:val="22123BEE"/>
    <w:rsid w:val="228B2880"/>
    <w:rsid w:val="22926BE8"/>
    <w:rsid w:val="22E6A570"/>
    <w:rsid w:val="2341BF63"/>
    <w:rsid w:val="24346367"/>
    <w:rsid w:val="24453092"/>
    <w:rsid w:val="246F1B7E"/>
    <w:rsid w:val="24820897"/>
    <w:rsid w:val="2491C302"/>
    <w:rsid w:val="249A3305"/>
    <w:rsid w:val="24B6369C"/>
    <w:rsid w:val="255CCD76"/>
    <w:rsid w:val="2593999E"/>
    <w:rsid w:val="25A73E82"/>
    <w:rsid w:val="25B6695B"/>
    <w:rsid w:val="26013CBB"/>
    <w:rsid w:val="264E3B48"/>
    <w:rsid w:val="26744622"/>
    <w:rsid w:val="2708E1FD"/>
    <w:rsid w:val="27777D84"/>
    <w:rsid w:val="2783C169"/>
    <w:rsid w:val="2800A119"/>
    <w:rsid w:val="28C07067"/>
    <w:rsid w:val="28C0DD48"/>
    <w:rsid w:val="291DFD04"/>
    <w:rsid w:val="294DB471"/>
    <w:rsid w:val="29E2B0F8"/>
    <w:rsid w:val="29F0138A"/>
    <w:rsid w:val="2A079D05"/>
    <w:rsid w:val="2ABBD129"/>
    <w:rsid w:val="2B979288"/>
    <w:rsid w:val="2BAE9702"/>
    <w:rsid w:val="2C32C269"/>
    <w:rsid w:val="2C330B65"/>
    <w:rsid w:val="2D385274"/>
    <w:rsid w:val="2D72DCF1"/>
    <w:rsid w:val="2D73940B"/>
    <w:rsid w:val="2D8FF1C6"/>
    <w:rsid w:val="2DAD3DCD"/>
    <w:rsid w:val="2F27D046"/>
    <w:rsid w:val="2F5969CF"/>
    <w:rsid w:val="2F9798D6"/>
    <w:rsid w:val="2F9EBA17"/>
    <w:rsid w:val="2FD37D16"/>
    <w:rsid w:val="2FDFB9F4"/>
    <w:rsid w:val="2FF26FFD"/>
    <w:rsid w:val="305960C1"/>
    <w:rsid w:val="308D2005"/>
    <w:rsid w:val="30A1AC05"/>
    <w:rsid w:val="30F1503A"/>
    <w:rsid w:val="3118C25D"/>
    <w:rsid w:val="31476342"/>
    <w:rsid w:val="317A9552"/>
    <w:rsid w:val="317C4C45"/>
    <w:rsid w:val="3181F12F"/>
    <w:rsid w:val="31C8CAB0"/>
    <w:rsid w:val="322870BA"/>
    <w:rsid w:val="32B99662"/>
    <w:rsid w:val="32C0BBF0"/>
    <w:rsid w:val="32C0EF53"/>
    <w:rsid w:val="333A0574"/>
    <w:rsid w:val="33624264"/>
    <w:rsid w:val="33D13DAD"/>
    <w:rsid w:val="33EE31CB"/>
    <w:rsid w:val="34200E8D"/>
    <w:rsid w:val="34FFB960"/>
    <w:rsid w:val="354861BE"/>
    <w:rsid w:val="355C4276"/>
    <w:rsid w:val="3560FD3B"/>
    <w:rsid w:val="3599C6B8"/>
    <w:rsid w:val="35EFACA5"/>
    <w:rsid w:val="360942B2"/>
    <w:rsid w:val="36135948"/>
    <w:rsid w:val="3642E52B"/>
    <w:rsid w:val="36C6C869"/>
    <w:rsid w:val="3707E250"/>
    <w:rsid w:val="370AAF6F"/>
    <w:rsid w:val="3719B49F"/>
    <w:rsid w:val="3725CF0F"/>
    <w:rsid w:val="374F3584"/>
    <w:rsid w:val="37553093"/>
    <w:rsid w:val="376CF10D"/>
    <w:rsid w:val="37E72F18"/>
    <w:rsid w:val="37EA4854"/>
    <w:rsid w:val="38410B71"/>
    <w:rsid w:val="38BA54F5"/>
    <w:rsid w:val="3959965F"/>
    <w:rsid w:val="3974F804"/>
    <w:rsid w:val="39EF8EB0"/>
    <w:rsid w:val="3B151123"/>
    <w:rsid w:val="3B33441C"/>
    <w:rsid w:val="3B38C185"/>
    <w:rsid w:val="3B6F534F"/>
    <w:rsid w:val="3BA993B3"/>
    <w:rsid w:val="3C2A1285"/>
    <w:rsid w:val="3C2C4C7B"/>
    <w:rsid w:val="3C33E21E"/>
    <w:rsid w:val="3C8E42C4"/>
    <w:rsid w:val="3CCB7EFE"/>
    <w:rsid w:val="3CEE5D81"/>
    <w:rsid w:val="3D22156B"/>
    <w:rsid w:val="3D39A284"/>
    <w:rsid w:val="3D42D044"/>
    <w:rsid w:val="3D79FE36"/>
    <w:rsid w:val="3D960DAD"/>
    <w:rsid w:val="3DBE9FD3"/>
    <w:rsid w:val="3DC4074E"/>
    <w:rsid w:val="3DD827B0"/>
    <w:rsid w:val="3E80B42A"/>
    <w:rsid w:val="3E93E83A"/>
    <w:rsid w:val="3EA40B50"/>
    <w:rsid w:val="3EC582C1"/>
    <w:rsid w:val="3ED1BBEC"/>
    <w:rsid w:val="3EF00E4D"/>
    <w:rsid w:val="3F028F39"/>
    <w:rsid w:val="3F6DB887"/>
    <w:rsid w:val="3F86E0E4"/>
    <w:rsid w:val="3F932592"/>
    <w:rsid w:val="3FBEAD4D"/>
    <w:rsid w:val="40145A97"/>
    <w:rsid w:val="403BB8E3"/>
    <w:rsid w:val="40526BB2"/>
    <w:rsid w:val="40DB38E4"/>
    <w:rsid w:val="413ED897"/>
    <w:rsid w:val="414E15A1"/>
    <w:rsid w:val="423DDFF6"/>
    <w:rsid w:val="42534AD0"/>
    <w:rsid w:val="42F4140A"/>
    <w:rsid w:val="437916CA"/>
    <w:rsid w:val="43DCD9A3"/>
    <w:rsid w:val="4401D45C"/>
    <w:rsid w:val="4419E4C7"/>
    <w:rsid w:val="44516515"/>
    <w:rsid w:val="44C22D8D"/>
    <w:rsid w:val="452324E6"/>
    <w:rsid w:val="4542A3DC"/>
    <w:rsid w:val="4574B88D"/>
    <w:rsid w:val="45933DBF"/>
    <w:rsid w:val="45CD66D9"/>
    <w:rsid w:val="45F1A77D"/>
    <w:rsid w:val="4656B3C9"/>
    <w:rsid w:val="469334C8"/>
    <w:rsid w:val="46A4945D"/>
    <w:rsid w:val="46ADAEE7"/>
    <w:rsid w:val="4747FB19"/>
    <w:rsid w:val="476858D0"/>
    <w:rsid w:val="47A10291"/>
    <w:rsid w:val="482153A7"/>
    <w:rsid w:val="487B29A9"/>
    <w:rsid w:val="48D9BC73"/>
    <w:rsid w:val="49C3D70B"/>
    <w:rsid w:val="49EB6C25"/>
    <w:rsid w:val="49EF3844"/>
    <w:rsid w:val="4A712C1E"/>
    <w:rsid w:val="4AA6DC49"/>
    <w:rsid w:val="4AB3B3A2"/>
    <w:rsid w:val="4ADC61F9"/>
    <w:rsid w:val="4B6B4292"/>
    <w:rsid w:val="4C1D5BFA"/>
    <w:rsid w:val="4CB610A4"/>
    <w:rsid w:val="4CD1E9AB"/>
    <w:rsid w:val="4D307116"/>
    <w:rsid w:val="4D3EC734"/>
    <w:rsid w:val="4DB3140A"/>
    <w:rsid w:val="4DC0069C"/>
    <w:rsid w:val="4E0FDF6E"/>
    <w:rsid w:val="4ED8EB5B"/>
    <w:rsid w:val="4EE75143"/>
    <w:rsid w:val="4F017361"/>
    <w:rsid w:val="4F3224E0"/>
    <w:rsid w:val="4F9678E9"/>
    <w:rsid w:val="4F9C937F"/>
    <w:rsid w:val="4FC4AFF3"/>
    <w:rsid w:val="501ED330"/>
    <w:rsid w:val="503849F6"/>
    <w:rsid w:val="503FCB97"/>
    <w:rsid w:val="51452822"/>
    <w:rsid w:val="527AF557"/>
    <w:rsid w:val="52907907"/>
    <w:rsid w:val="5310316D"/>
    <w:rsid w:val="53BE829F"/>
    <w:rsid w:val="53F3A710"/>
    <w:rsid w:val="5424F31D"/>
    <w:rsid w:val="542E1B3C"/>
    <w:rsid w:val="54A3BD5A"/>
    <w:rsid w:val="54C2C83F"/>
    <w:rsid w:val="54F51172"/>
    <w:rsid w:val="54F76E57"/>
    <w:rsid w:val="55361743"/>
    <w:rsid w:val="562D82E8"/>
    <w:rsid w:val="562E1952"/>
    <w:rsid w:val="56328FB2"/>
    <w:rsid w:val="569DBBF4"/>
    <w:rsid w:val="56BFD3D4"/>
    <w:rsid w:val="56C6AB59"/>
    <w:rsid w:val="56F78427"/>
    <w:rsid w:val="577CB740"/>
    <w:rsid w:val="577D1BE7"/>
    <w:rsid w:val="57D2418D"/>
    <w:rsid w:val="57DDAE43"/>
    <w:rsid w:val="57ED7229"/>
    <w:rsid w:val="57F6BBF5"/>
    <w:rsid w:val="5811EBA8"/>
    <w:rsid w:val="58D1F9C1"/>
    <w:rsid w:val="58F8316F"/>
    <w:rsid w:val="59296869"/>
    <w:rsid w:val="5932BF92"/>
    <w:rsid w:val="5A751EDA"/>
    <w:rsid w:val="5A8A3C4A"/>
    <w:rsid w:val="5AC3B93E"/>
    <w:rsid w:val="5AD7AC78"/>
    <w:rsid w:val="5ADC9027"/>
    <w:rsid w:val="5B5C16F4"/>
    <w:rsid w:val="5B6623F6"/>
    <w:rsid w:val="5B88F3B3"/>
    <w:rsid w:val="5BC176D9"/>
    <w:rsid w:val="5C147FC0"/>
    <w:rsid w:val="5C28EC5D"/>
    <w:rsid w:val="5C72396A"/>
    <w:rsid w:val="5CC0B07B"/>
    <w:rsid w:val="5CDDD4E7"/>
    <w:rsid w:val="5D3BFDD0"/>
    <w:rsid w:val="5D51C5C4"/>
    <w:rsid w:val="5D53DFF8"/>
    <w:rsid w:val="5D662982"/>
    <w:rsid w:val="5D8A9FB1"/>
    <w:rsid w:val="5DE095B4"/>
    <w:rsid w:val="5E0327E8"/>
    <w:rsid w:val="5F10B548"/>
    <w:rsid w:val="5F28714C"/>
    <w:rsid w:val="5F2EA302"/>
    <w:rsid w:val="5F3B08EE"/>
    <w:rsid w:val="5F40DEA9"/>
    <w:rsid w:val="5F4348D8"/>
    <w:rsid w:val="5FA418B0"/>
    <w:rsid w:val="601C582B"/>
    <w:rsid w:val="60258306"/>
    <w:rsid w:val="60E2940E"/>
    <w:rsid w:val="60FD716D"/>
    <w:rsid w:val="611F05FF"/>
    <w:rsid w:val="620E2DB1"/>
    <w:rsid w:val="62197C31"/>
    <w:rsid w:val="63511D12"/>
    <w:rsid w:val="63D5A1F4"/>
    <w:rsid w:val="63DC4426"/>
    <w:rsid w:val="63EFA62E"/>
    <w:rsid w:val="641E9586"/>
    <w:rsid w:val="647AD3F2"/>
    <w:rsid w:val="649808E9"/>
    <w:rsid w:val="64A8E80B"/>
    <w:rsid w:val="6586B63F"/>
    <w:rsid w:val="65A7BEB7"/>
    <w:rsid w:val="65B40BF8"/>
    <w:rsid w:val="668AC1A5"/>
    <w:rsid w:val="66B9ACCD"/>
    <w:rsid w:val="66E53A76"/>
    <w:rsid w:val="66FD605D"/>
    <w:rsid w:val="677AED30"/>
    <w:rsid w:val="6788B7DD"/>
    <w:rsid w:val="67ACC9B2"/>
    <w:rsid w:val="67B37F78"/>
    <w:rsid w:val="67EAE128"/>
    <w:rsid w:val="6826B5B9"/>
    <w:rsid w:val="6878621B"/>
    <w:rsid w:val="69373A23"/>
    <w:rsid w:val="6960AFA6"/>
    <w:rsid w:val="69A0AC0D"/>
    <w:rsid w:val="6A090005"/>
    <w:rsid w:val="6A0BDC1A"/>
    <w:rsid w:val="6A4C69AF"/>
    <w:rsid w:val="6A527C76"/>
    <w:rsid w:val="6A7C6164"/>
    <w:rsid w:val="6A894383"/>
    <w:rsid w:val="6B19ABAF"/>
    <w:rsid w:val="6B3C72C5"/>
    <w:rsid w:val="6BCB51FC"/>
    <w:rsid w:val="6C6186D0"/>
    <w:rsid w:val="6C61E732"/>
    <w:rsid w:val="6D38BCCF"/>
    <w:rsid w:val="6D918823"/>
    <w:rsid w:val="6DEDAFF1"/>
    <w:rsid w:val="6E5A9A26"/>
    <w:rsid w:val="6E5B7582"/>
    <w:rsid w:val="6E650137"/>
    <w:rsid w:val="6EE99CD8"/>
    <w:rsid w:val="6F01290D"/>
    <w:rsid w:val="6F1FA55A"/>
    <w:rsid w:val="6F615B58"/>
    <w:rsid w:val="70214F08"/>
    <w:rsid w:val="70B500D9"/>
    <w:rsid w:val="70CF50C3"/>
    <w:rsid w:val="7179BC11"/>
    <w:rsid w:val="719A3981"/>
    <w:rsid w:val="71A16756"/>
    <w:rsid w:val="71B403EE"/>
    <w:rsid w:val="7254EE1F"/>
    <w:rsid w:val="726F5572"/>
    <w:rsid w:val="727F5BEB"/>
    <w:rsid w:val="73526405"/>
    <w:rsid w:val="73C47804"/>
    <w:rsid w:val="73F47476"/>
    <w:rsid w:val="7440B509"/>
    <w:rsid w:val="745BCD1D"/>
    <w:rsid w:val="74B1C17A"/>
    <w:rsid w:val="74F66AEB"/>
    <w:rsid w:val="751B862B"/>
    <w:rsid w:val="75A1C5C7"/>
    <w:rsid w:val="75E6E302"/>
    <w:rsid w:val="76095327"/>
    <w:rsid w:val="7624B4D8"/>
    <w:rsid w:val="76C515F2"/>
    <w:rsid w:val="76D1D805"/>
    <w:rsid w:val="76D407C7"/>
    <w:rsid w:val="76E0D89D"/>
    <w:rsid w:val="772A5432"/>
    <w:rsid w:val="778DE68B"/>
    <w:rsid w:val="77AE019A"/>
    <w:rsid w:val="7845B02D"/>
    <w:rsid w:val="78569BE1"/>
    <w:rsid w:val="7875B892"/>
    <w:rsid w:val="789C67B8"/>
    <w:rsid w:val="791357C3"/>
    <w:rsid w:val="791489AF"/>
    <w:rsid w:val="793BB3BA"/>
    <w:rsid w:val="79E794E7"/>
    <w:rsid w:val="79FAF04C"/>
    <w:rsid w:val="7A019BAD"/>
    <w:rsid w:val="7A158F96"/>
    <w:rsid w:val="7A3B69DF"/>
    <w:rsid w:val="7A5C4E9B"/>
    <w:rsid w:val="7AB224A8"/>
    <w:rsid w:val="7B170A15"/>
    <w:rsid w:val="7BB61028"/>
    <w:rsid w:val="7C2B98A4"/>
    <w:rsid w:val="7C34E584"/>
    <w:rsid w:val="7C3CACDA"/>
    <w:rsid w:val="7C448A7A"/>
    <w:rsid w:val="7C56FA59"/>
    <w:rsid w:val="7CAC5943"/>
    <w:rsid w:val="7CDD94C5"/>
    <w:rsid w:val="7CE2EB0D"/>
    <w:rsid w:val="7E40D24C"/>
    <w:rsid w:val="7E5C24FD"/>
    <w:rsid w:val="7E7062A6"/>
    <w:rsid w:val="7EA98398"/>
    <w:rsid w:val="7F3C0725"/>
    <w:rsid w:val="7F60F5D2"/>
    <w:rsid w:val="7F839FE8"/>
    <w:rsid w:val="7F9DB676"/>
    <w:rsid w:val="7FB197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4921E7C0"/>
  <w15:docId w15:val="{CC538576-5393-425E-A76A-41817020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n-NZ" w:eastAsia="en-N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9"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30781"/>
    <w:pPr>
      <w:spacing w:before="200" w:after="200"/>
      <w:jc w:val="both"/>
    </w:pPr>
  </w:style>
  <w:style w:type="paragraph" w:styleId="Heading1">
    <w:name w:val="heading 1"/>
    <w:basedOn w:val="Normal"/>
    <w:next w:val="NumberedParagraph"/>
    <w:qFormat/>
    <w:rsid w:val="00E7727C"/>
    <w:pPr>
      <w:pageBreakBefore/>
      <w:numPr>
        <w:numId w:val="58"/>
      </w:numPr>
      <w:spacing w:before="0" w:after="560"/>
      <w:jc w:val="center"/>
      <w:outlineLvl w:val="0"/>
    </w:pPr>
    <w:rPr>
      <w:b/>
      <w:color w:val="1F85A3"/>
      <w:sz w:val="24"/>
      <w:szCs w:val="60"/>
    </w:rPr>
  </w:style>
  <w:style w:type="paragraph" w:styleId="Heading2">
    <w:name w:val="heading 2"/>
    <w:basedOn w:val="Normal"/>
    <w:next w:val="NumberedParagraph"/>
    <w:qFormat/>
    <w:rsid w:val="00F8131F"/>
    <w:pPr>
      <w:keepNext/>
      <w:numPr>
        <w:ilvl w:val="1"/>
        <w:numId w:val="9"/>
      </w:numPr>
      <w:spacing w:before="480"/>
      <w:jc w:val="left"/>
      <w:outlineLvl w:val="1"/>
    </w:pPr>
    <w:rPr>
      <w:b/>
      <w:szCs w:val="26"/>
    </w:rPr>
  </w:style>
  <w:style w:type="paragraph" w:styleId="Heading3">
    <w:name w:val="heading 3"/>
    <w:basedOn w:val="Normal"/>
    <w:next w:val="NumberedParagraph"/>
    <w:link w:val="Heading3Char"/>
    <w:qFormat/>
    <w:rsid w:val="003B6F2B"/>
    <w:pPr>
      <w:keepNext/>
      <w:keepLines/>
      <w:numPr>
        <w:ilvl w:val="2"/>
        <w:numId w:val="9"/>
      </w:numPr>
      <w:jc w:val="left"/>
      <w:outlineLvl w:val="2"/>
    </w:pPr>
    <w:rPr>
      <w:b/>
      <w:i/>
    </w:rPr>
  </w:style>
  <w:style w:type="paragraph" w:styleId="Heading4">
    <w:name w:val="heading 4"/>
    <w:basedOn w:val="Normal"/>
    <w:next w:val="Normal"/>
    <w:qFormat/>
    <w:rsid w:val="002C0E8D"/>
    <w:pPr>
      <w:keepNext/>
      <w:numPr>
        <w:ilvl w:val="3"/>
        <w:numId w:val="9"/>
      </w:numPr>
      <w:jc w:val="left"/>
      <w:outlineLvl w:val="3"/>
    </w:pPr>
    <w:rPr>
      <w:i/>
    </w:rPr>
  </w:style>
  <w:style w:type="paragraph" w:styleId="Heading5">
    <w:name w:val="heading 5"/>
    <w:basedOn w:val="Heading4"/>
    <w:next w:val="Normal"/>
    <w:rsid w:val="00B917E9"/>
    <w:pPr>
      <w:numPr>
        <w:ilvl w:val="4"/>
      </w:numPr>
      <w:outlineLvl w:val="4"/>
    </w:pPr>
    <w:rPr>
      <w:b/>
    </w:rPr>
  </w:style>
  <w:style w:type="paragraph" w:styleId="Heading6">
    <w:name w:val="heading 6"/>
    <w:basedOn w:val="Normal"/>
    <w:next w:val="Normal"/>
    <w:semiHidden/>
    <w:pPr>
      <w:keepNext/>
      <w:numPr>
        <w:ilvl w:val="5"/>
        <w:numId w:val="9"/>
      </w:numPr>
      <w:outlineLvl w:val="5"/>
    </w:pPr>
    <w:rPr>
      <w:i/>
      <w:sz w:val="32"/>
    </w:rPr>
  </w:style>
  <w:style w:type="paragraph" w:styleId="Heading7">
    <w:name w:val="heading 7"/>
    <w:basedOn w:val="Normal"/>
    <w:next w:val="Normal"/>
    <w:semiHidden/>
    <w:pPr>
      <w:keepNext/>
      <w:numPr>
        <w:ilvl w:val="6"/>
        <w:numId w:val="9"/>
      </w:numPr>
      <w:outlineLvl w:val="6"/>
    </w:pPr>
    <w:rPr>
      <w:b/>
      <w:sz w:val="28"/>
    </w:rPr>
  </w:style>
  <w:style w:type="paragraph" w:styleId="Heading8">
    <w:name w:val="heading 8"/>
    <w:aliases w:val="Table heading"/>
    <w:basedOn w:val="Normal"/>
    <w:next w:val="Normal"/>
    <w:semiHidden/>
    <w:pPr>
      <w:keepNext/>
      <w:numPr>
        <w:ilvl w:val="7"/>
        <w:numId w:val="9"/>
      </w:numPr>
      <w:outlineLvl w:val="7"/>
    </w:pPr>
    <w:rPr>
      <w:sz w:val="28"/>
    </w:rPr>
  </w:style>
  <w:style w:type="paragraph" w:styleId="Heading9">
    <w:name w:val="heading 9"/>
    <w:basedOn w:val="Normal"/>
    <w:next w:val="Normal"/>
    <w:semiHidden/>
    <w:pPr>
      <w:keepNext/>
      <w:numPr>
        <w:ilvl w:val="8"/>
        <w:numId w:val="9"/>
      </w:numPr>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130F81"/>
    <w:rPr>
      <w:rFonts w:ascii="Verdana" w:hAnsi="Verdana"/>
      <w:sz w:val="18"/>
    </w:rPr>
  </w:style>
  <w:style w:type="paragraph" w:styleId="Footer">
    <w:name w:val="footer"/>
    <w:basedOn w:val="Normal"/>
    <w:link w:val="FooterChar"/>
    <w:uiPriority w:val="99"/>
    <w:rsid w:val="00130F81"/>
    <w:pPr>
      <w:jc w:val="center"/>
    </w:pPr>
    <w:rPr>
      <w:sz w:val="18"/>
    </w:rPr>
  </w:style>
  <w:style w:type="paragraph" w:customStyle="1" w:styleId="Example-Text">
    <w:name w:val="Example - Text"/>
    <w:basedOn w:val="Normal"/>
    <w:qFormat/>
    <w:rsid w:val="006118DB"/>
    <w:pPr>
      <w:pBdr>
        <w:top w:val="single" w:sz="4" w:space="10" w:color="auto"/>
        <w:left w:val="single" w:sz="4" w:space="4" w:color="auto"/>
        <w:bottom w:val="single" w:sz="4" w:space="10" w:color="auto"/>
        <w:right w:val="single" w:sz="4" w:space="4" w:color="auto"/>
      </w:pBdr>
      <w:spacing w:before="100"/>
      <w:ind w:left="993"/>
    </w:pPr>
  </w:style>
  <w:style w:type="paragraph" w:styleId="FootnoteText">
    <w:name w:val="footnote text"/>
    <w:basedOn w:val="Normal"/>
    <w:link w:val="FootnoteTextChar"/>
    <w:rsid w:val="0018019D"/>
    <w:pPr>
      <w:spacing w:before="40" w:after="0"/>
      <w:jc w:val="left"/>
    </w:pPr>
    <w:rPr>
      <w:sz w:val="18"/>
    </w:rPr>
  </w:style>
  <w:style w:type="character" w:styleId="FootnoteReference">
    <w:name w:val="footnote reference"/>
    <w:basedOn w:val="DefaultParagraphFont"/>
    <w:semiHidden/>
    <w:rsid w:val="00672539"/>
    <w:rPr>
      <w:rFonts w:ascii="Verdana" w:hAnsi="Verdana"/>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uiPriority w:val="39"/>
    <w:rsid w:val="00230781"/>
    <w:pPr>
      <w:keepNext/>
      <w:keepLines/>
      <w:tabs>
        <w:tab w:val="left" w:pos="1701"/>
        <w:tab w:val="right" w:leader="dot" w:pos="8789"/>
      </w:tabs>
      <w:spacing w:before="300" w:after="100"/>
      <w:ind w:left="1701" w:right="567" w:hanging="1701"/>
      <w:jc w:val="left"/>
    </w:pPr>
    <w:rPr>
      <w:b/>
      <w:noProof/>
    </w:rPr>
  </w:style>
  <w:style w:type="paragraph" w:styleId="TOC2">
    <w:name w:val="toc 2"/>
    <w:basedOn w:val="Normal"/>
    <w:next w:val="Normal"/>
    <w:uiPriority w:val="39"/>
    <w:rsid w:val="00E73243"/>
    <w:pPr>
      <w:tabs>
        <w:tab w:val="right" w:leader="dot" w:pos="8789"/>
      </w:tabs>
      <w:spacing w:before="40" w:after="40"/>
      <w:ind w:left="1701" w:right="567"/>
      <w:jc w:val="left"/>
    </w:pPr>
    <w:rPr>
      <w:noProof/>
    </w:rPr>
  </w:style>
  <w:style w:type="paragraph" w:styleId="TOC3">
    <w:name w:val="toc 3"/>
    <w:basedOn w:val="Normal"/>
    <w:next w:val="Normal"/>
    <w:uiPriority w:val="39"/>
    <w:rsid w:val="00230781"/>
    <w:pPr>
      <w:tabs>
        <w:tab w:val="right" w:pos="8789"/>
      </w:tabs>
      <w:spacing w:before="40" w:after="40"/>
      <w:ind w:left="2268" w:right="567"/>
      <w:jc w:val="left"/>
    </w:pPr>
  </w:style>
  <w:style w:type="paragraph" w:styleId="TOC4">
    <w:name w:val="toc 4"/>
    <w:basedOn w:val="Normal"/>
    <w:next w:val="Normal"/>
    <w:autoRedefine/>
    <w:uiPriority w:val="39"/>
    <w:pPr>
      <w:ind w:left="720"/>
    </w:pPr>
    <w:rPr>
      <w:sz w:val="18"/>
    </w:rPr>
  </w:style>
  <w:style w:type="paragraph" w:styleId="TOC5">
    <w:name w:val="toc 5"/>
    <w:basedOn w:val="Normal"/>
    <w:next w:val="Normal"/>
    <w:autoRedefine/>
    <w:uiPriority w:val="39"/>
    <w:pPr>
      <w:ind w:left="960"/>
    </w:pPr>
    <w:rPr>
      <w:sz w:val="18"/>
    </w:rPr>
  </w:style>
  <w:style w:type="paragraph" w:styleId="TOC6">
    <w:name w:val="toc 6"/>
    <w:basedOn w:val="Normal"/>
    <w:next w:val="Normal"/>
    <w:autoRedefine/>
    <w:uiPriority w:val="39"/>
    <w:pPr>
      <w:ind w:left="1200"/>
    </w:pPr>
    <w:rPr>
      <w:sz w:val="18"/>
    </w:rPr>
  </w:style>
  <w:style w:type="paragraph" w:styleId="TOC7">
    <w:name w:val="toc 7"/>
    <w:basedOn w:val="Normal"/>
    <w:next w:val="Normal"/>
    <w:autoRedefine/>
    <w:uiPriority w:val="39"/>
    <w:pPr>
      <w:ind w:left="1440"/>
    </w:pPr>
    <w:rPr>
      <w:sz w:val="18"/>
    </w:rPr>
  </w:style>
  <w:style w:type="paragraph" w:styleId="TOC8">
    <w:name w:val="toc 8"/>
    <w:basedOn w:val="Normal"/>
    <w:next w:val="Normal"/>
    <w:autoRedefine/>
    <w:uiPriority w:val="39"/>
    <w:pPr>
      <w:ind w:left="1680"/>
    </w:pPr>
    <w:rPr>
      <w:sz w:val="18"/>
    </w:rPr>
  </w:style>
  <w:style w:type="paragraph" w:styleId="TOC9">
    <w:name w:val="toc 9"/>
    <w:basedOn w:val="Normal"/>
    <w:next w:val="Normal"/>
    <w:autoRedefine/>
    <w:uiPriority w:val="39"/>
    <w:pPr>
      <w:ind w:left="1920"/>
    </w:pPr>
    <w:rPr>
      <w:sz w:val="18"/>
    </w:rPr>
  </w:style>
  <w:style w:type="paragraph" w:styleId="Quote">
    <w:name w:val="Quote"/>
    <w:basedOn w:val="Normal"/>
    <w:next w:val="Normal"/>
    <w:link w:val="QuoteChar"/>
    <w:uiPriority w:val="29"/>
    <w:rsid w:val="00F53AB4"/>
    <w:pPr>
      <w:spacing w:before="100"/>
      <w:ind w:left="1418" w:right="567"/>
    </w:pPr>
    <w:rPr>
      <w:iCs/>
    </w:rPr>
  </w:style>
  <w:style w:type="paragraph" w:styleId="DocumentMap">
    <w:name w:val="Document Map"/>
    <w:basedOn w:val="Normal"/>
    <w:semiHidden/>
    <w:pPr>
      <w:shd w:val="clear" w:color="auto" w:fill="000080"/>
    </w:pPr>
    <w:rPr>
      <w:rFonts w:ascii="Tahoma" w:hAnsi="Tahoma"/>
    </w:rPr>
  </w:style>
  <w:style w:type="paragraph" w:styleId="Title">
    <w:name w:val="Title"/>
    <w:next w:val="Subtitle"/>
    <w:link w:val="TitleChar"/>
    <w:rsid w:val="00E7727C"/>
    <w:pPr>
      <w:pBdr>
        <w:bottom w:val="single" w:sz="4" w:space="6" w:color="auto"/>
      </w:pBdr>
      <w:spacing w:before="2400"/>
      <w:jc w:val="center"/>
    </w:pPr>
    <w:rPr>
      <w:color w:val="1F85A3"/>
      <w:sz w:val="56"/>
      <w:lang w:eastAsia="en-AU"/>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rsid w:val="0061627F"/>
    <w:pPr>
      <w:jc w:val="left"/>
    </w:pPr>
    <w:rPr>
      <w:bCs/>
      <w:lang w:val="en-US"/>
    </w:rPr>
  </w:style>
  <w:style w:type="paragraph" w:customStyle="1" w:styleId="Example-Heading1">
    <w:name w:val="Example - Heading 1"/>
    <w:basedOn w:val="Example-Text"/>
    <w:next w:val="Example-Text"/>
    <w:qFormat/>
    <w:rsid w:val="006118DB"/>
    <w:pPr>
      <w:spacing w:before="240"/>
      <w:jc w:val="left"/>
    </w:pPr>
    <w:rPr>
      <w:b/>
    </w:rPr>
  </w:style>
  <w:style w:type="character" w:customStyle="1" w:styleId="QuoteChar">
    <w:name w:val="Quote Char"/>
    <w:basedOn w:val="DefaultParagraphFont"/>
    <w:link w:val="Quote"/>
    <w:uiPriority w:val="29"/>
    <w:rsid w:val="00F53AB4"/>
    <w:rPr>
      <w:rFonts w:ascii="Verdana" w:hAnsi="Verdana"/>
      <w:iCs/>
      <w:sz w:val="20"/>
    </w:rPr>
  </w:style>
  <w:style w:type="character" w:customStyle="1" w:styleId="CommentTextChar">
    <w:name w:val="Comment Text Char"/>
    <w:basedOn w:val="DefaultParagraphFont"/>
    <w:link w:val="CommentText"/>
    <w:uiPriority w:val="99"/>
    <w:rsid w:val="0061627F"/>
    <w:rPr>
      <w:rFonts w:ascii="Verdana" w:hAnsi="Verdana"/>
      <w:bCs/>
      <w:sz w:val="20"/>
      <w:szCs w:val="20"/>
      <w:lang w:val="en-US"/>
    </w:rPr>
  </w:style>
  <w:style w:type="paragraph" w:styleId="IntenseQuote">
    <w:name w:val="Intense Quote"/>
    <w:basedOn w:val="Normal"/>
    <w:next w:val="Normal"/>
    <w:link w:val="IntenseQuoteChar"/>
    <w:autoRedefine/>
    <w:uiPriority w:val="30"/>
    <w:qFormat/>
    <w:rsid w:val="00E949C5"/>
    <w:pPr>
      <w:spacing w:before="120"/>
      <w:ind w:left="1418" w:right="567"/>
    </w:pPr>
    <w:rPr>
      <w:i/>
      <w:iCs/>
      <w:sz w:val="18"/>
    </w:rPr>
  </w:style>
  <w:style w:type="character" w:customStyle="1" w:styleId="Heading3Char">
    <w:name w:val="Heading 3 Char"/>
    <w:basedOn w:val="DefaultParagraphFont"/>
    <w:link w:val="Heading3"/>
    <w:rsid w:val="003B6F2B"/>
    <w:rPr>
      <w:b/>
      <w:i/>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paragraph" w:styleId="ListParagraph">
    <w:name w:val="List Paragraph"/>
    <w:basedOn w:val="Normal"/>
    <w:uiPriority w:val="34"/>
    <w:rsid w:val="001758FB"/>
    <w:pPr>
      <w:ind w:left="851"/>
    </w:pPr>
    <w:rPr>
      <w:rFonts w:eastAsia="Calibri"/>
      <w:lang w:eastAsia="en-US"/>
    </w:rPr>
  </w:style>
  <w:style w:type="table" w:styleId="TableGrid">
    <w:name w:val="Table Grid"/>
    <w:basedOn w:val="TableNormal"/>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jc w:val="both"/>
    </w:pPr>
    <w:rPr>
      <w:bCs w:val="0"/>
      <w:lang w:val="en-GB"/>
    </w:rPr>
  </w:style>
  <w:style w:type="character" w:customStyle="1" w:styleId="CommentSubjectChar">
    <w:name w:val="Comment Subject Char"/>
    <w:basedOn w:val="CommentTextChar"/>
    <w:link w:val="CommentSubject"/>
    <w:uiPriority w:val="99"/>
    <w:semiHidden/>
    <w:rsid w:val="00CE111D"/>
    <w:rPr>
      <w:rFonts w:ascii="Verdana" w:hAnsi="Verdana"/>
      <w:b w:val="0"/>
      <w:bCs w:val="0"/>
      <w:sz w:val="26"/>
      <w:szCs w:val="20"/>
      <w:lang w:val="en-GB" w:eastAsia="en-AU"/>
    </w:rPr>
  </w:style>
  <w:style w:type="paragraph" w:styleId="Subtitle">
    <w:name w:val="Subtitle"/>
    <w:basedOn w:val="Normal"/>
    <w:next w:val="Normal"/>
    <w:link w:val="SubtitleChar"/>
    <w:autoRedefine/>
    <w:uiPriority w:val="11"/>
    <w:rsid w:val="004777B7"/>
    <w:pPr>
      <w:jc w:val="center"/>
    </w:pPr>
    <w:rPr>
      <w:i/>
      <w:sz w:val="24"/>
      <w:szCs w:val="36"/>
    </w:rPr>
  </w:style>
  <w:style w:type="character" w:customStyle="1" w:styleId="SubtitleChar">
    <w:name w:val="Subtitle Char"/>
    <w:basedOn w:val="DefaultParagraphFont"/>
    <w:link w:val="Subtitle"/>
    <w:uiPriority w:val="11"/>
    <w:rsid w:val="004777B7"/>
    <w:rPr>
      <w:rFonts w:ascii="Verdana" w:hAnsi="Verdana"/>
      <w:i/>
      <w:szCs w:val="36"/>
    </w:rPr>
  </w:style>
  <w:style w:type="paragraph" w:customStyle="1" w:styleId="SummaryandQFS-Text">
    <w:name w:val="Summary and QFS - Text"/>
    <w:basedOn w:val="Normal"/>
    <w:qFormat/>
    <w:rsid w:val="00605BAF"/>
    <w:pPr>
      <w:pBdr>
        <w:top w:val="single" w:sz="4" w:space="10" w:color="auto"/>
        <w:left w:val="single" w:sz="4" w:space="10" w:color="auto"/>
        <w:bottom w:val="single" w:sz="4" w:space="10" w:color="auto"/>
        <w:right w:val="single" w:sz="4" w:space="10" w:color="auto"/>
      </w:pBdr>
      <w:ind w:left="142"/>
    </w:pPr>
  </w:style>
  <w:style w:type="paragraph" w:customStyle="1" w:styleId="Authorname-Minister">
    <w:name w:val="Author name - Minister"/>
    <w:basedOn w:val="Normal"/>
    <w:next w:val="Normal"/>
    <w:rsid w:val="00702B7E"/>
    <w:pPr>
      <w:jc w:val="left"/>
    </w:pPr>
    <w:rPr>
      <w:b/>
      <w:sz w:val="28"/>
      <w:szCs w:val="28"/>
    </w:rPr>
  </w:style>
  <w:style w:type="paragraph" w:customStyle="1" w:styleId="Authortitle-Minister">
    <w:name w:val="Author title - Minister"/>
    <w:basedOn w:val="Normal"/>
    <w:rsid w:val="003A57E0"/>
    <w:pPr>
      <w:spacing w:before="0"/>
      <w:jc w:val="left"/>
    </w:pPr>
    <w:rPr>
      <w:i/>
      <w:szCs w:val="28"/>
    </w:rPr>
  </w:style>
  <w:style w:type="paragraph" w:customStyle="1" w:styleId="InsideCover">
    <w:name w:val="Inside Cover"/>
    <w:basedOn w:val="Normal"/>
    <w:rsid w:val="000B7839"/>
    <w:pPr>
      <w:jc w:val="left"/>
    </w:pPr>
  </w:style>
  <w:style w:type="character" w:styleId="Hyperlink">
    <w:name w:val="Hyperlink"/>
    <w:basedOn w:val="DefaultParagraphFont"/>
    <w:uiPriority w:val="99"/>
    <w:unhideWhenUsed/>
    <w:rsid w:val="00821704"/>
    <w:rPr>
      <w:color w:val="0000FF" w:themeColor="hyperlink"/>
      <w:u w:val="single"/>
    </w:rPr>
  </w:style>
  <w:style w:type="character" w:styleId="UnresolvedMention">
    <w:name w:val="Unresolved Mention"/>
    <w:basedOn w:val="DefaultParagraphFont"/>
    <w:uiPriority w:val="99"/>
    <w:semiHidden/>
    <w:unhideWhenUsed/>
    <w:rsid w:val="00821704"/>
    <w:rPr>
      <w:color w:val="605E5C"/>
      <w:shd w:val="clear" w:color="auto" w:fill="E1DFDD"/>
    </w:rPr>
  </w:style>
  <w:style w:type="paragraph" w:styleId="ListBullet">
    <w:name w:val="List Bullet"/>
    <w:basedOn w:val="ListParagraph"/>
    <w:uiPriority w:val="99"/>
    <w:unhideWhenUsed/>
    <w:qFormat/>
    <w:rsid w:val="00597B6B"/>
    <w:pPr>
      <w:numPr>
        <w:numId w:val="2"/>
      </w:numPr>
    </w:pPr>
  </w:style>
  <w:style w:type="paragraph" w:customStyle="1" w:styleId="Example-Heading2">
    <w:name w:val="Example - Heading 2"/>
    <w:basedOn w:val="Example-Text"/>
    <w:next w:val="Example-Text"/>
    <w:rsid w:val="002B0D19"/>
    <w:pPr>
      <w:jc w:val="left"/>
    </w:pPr>
    <w:rPr>
      <w:b/>
      <w:i/>
    </w:rPr>
  </w:style>
  <w:style w:type="paragraph" w:customStyle="1" w:styleId="Example-Heading3">
    <w:name w:val="Example - Heading 3"/>
    <w:basedOn w:val="Example-Text"/>
    <w:next w:val="Example-Text"/>
    <w:rsid w:val="002B0D19"/>
    <w:pPr>
      <w:jc w:val="left"/>
    </w:pPr>
    <w:rPr>
      <w:i/>
    </w:rPr>
  </w:style>
  <w:style w:type="paragraph" w:styleId="Caption">
    <w:name w:val="caption"/>
    <w:basedOn w:val="Normal"/>
    <w:next w:val="Normal"/>
    <w:link w:val="CaptionChar"/>
    <w:uiPriority w:val="35"/>
    <w:unhideWhenUsed/>
    <w:qFormat/>
    <w:rsid w:val="00075D72"/>
    <w:pPr>
      <w:keepNext/>
      <w:ind w:left="851"/>
      <w:jc w:val="center"/>
    </w:pPr>
    <w:rPr>
      <w:b/>
      <w:szCs w:val="22"/>
    </w:rPr>
  </w:style>
  <w:style w:type="paragraph" w:customStyle="1" w:styleId="Figure">
    <w:name w:val="Figure"/>
    <w:basedOn w:val="Normal"/>
    <w:next w:val="Normal"/>
    <w:rsid w:val="00075D72"/>
    <w:pPr>
      <w:ind w:left="851"/>
      <w:jc w:val="center"/>
    </w:pPr>
  </w:style>
  <w:style w:type="numbering" w:customStyle="1" w:styleId="Table-BulletedList">
    <w:name w:val="Table - Bulleted List"/>
    <w:basedOn w:val="NoList"/>
    <w:rsid w:val="00836DC9"/>
    <w:pPr>
      <w:numPr>
        <w:numId w:val="8"/>
      </w:numPr>
    </w:pPr>
  </w:style>
  <w:style w:type="paragraph" w:customStyle="1" w:styleId="Example-ListBullet1">
    <w:name w:val="Example - List Bullet 1"/>
    <w:basedOn w:val="Example-Text"/>
    <w:qFormat/>
    <w:rsid w:val="006118DB"/>
    <w:pPr>
      <w:numPr>
        <w:numId w:val="4"/>
      </w:numPr>
      <w:tabs>
        <w:tab w:val="left" w:pos="1276"/>
      </w:tabs>
      <w:ind w:left="1276" w:hanging="283"/>
    </w:pPr>
    <w:rPr>
      <w:lang w:eastAsia="en-AU"/>
    </w:rPr>
  </w:style>
  <w:style w:type="character" w:customStyle="1" w:styleId="IntenseQuoteChar">
    <w:name w:val="Intense Quote Char"/>
    <w:basedOn w:val="DefaultParagraphFont"/>
    <w:link w:val="IntenseQuote"/>
    <w:uiPriority w:val="30"/>
    <w:rsid w:val="00E949C5"/>
    <w:rPr>
      <w:rFonts w:ascii="Verdana" w:hAnsi="Verdana"/>
      <w:i/>
      <w:iCs/>
      <w:sz w:val="18"/>
    </w:rPr>
  </w:style>
  <w:style w:type="character" w:styleId="Strong">
    <w:name w:val="Strong"/>
    <w:basedOn w:val="DefaultParagraphFont"/>
    <w:uiPriority w:val="22"/>
    <w:qFormat/>
    <w:rsid w:val="00481032"/>
    <w:rPr>
      <w:b/>
      <w:bCs/>
    </w:rPr>
  </w:style>
  <w:style w:type="character" w:styleId="Emphasis">
    <w:name w:val="Emphasis"/>
    <w:basedOn w:val="DefaultParagraphFont"/>
    <w:uiPriority w:val="20"/>
    <w:qFormat/>
    <w:rsid w:val="00481032"/>
    <w:rPr>
      <w:i/>
      <w:iCs/>
    </w:rPr>
  </w:style>
  <w:style w:type="paragraph" w:styleId="ListBullet2">
    <w:name w:val="List Bullet 2"/>
    <w:basedOn w:val="Normal"/>
    <w:uiPriority w:val="99"/>
    <w:unhideWhenUsed/>
    <w:rsid w:val="00DE5CF2"/>
    <w:pPr>
      <w:numPr>
        <w:ilvl w:val="1"/>
        <w:numId w:val="2"/>
      </w:numPr>
      <w:spacing w:before="120"/>
    </w:pPr>
  </w:style>
  <w:style w:type="paragraph" w:styleId="ListBullet3">
    <w:name w:val="List Bullet 3"/>
    <w:basedOn w:val="Normal"/>
    <w:uiPriority w:val="99"/>
    <w:unhideWhenUsed/>
    <w:rsid w:val="00DE5CF2"/>
    <w:pPr>
      <w:numPr>
        <w:ilvl w:val="2"/>
        <w:numId w:val="2"/>
      </w:numPr>
      <w:spacing w:before="120"/>
    </w:pPr>
  </w:style>
  <w:style w:type="paragraph" w:customStyle="1" w:styleId="Table-Text">
    <w:name w:val="Table - Text"/>
    <w:basedOn w:val="Normal"/>
    <w:qFormat/>
    <w:rsid w:val="00E949C5"/>
    <w:pPr>
      <w:spacing w:before="80" w:after="80"/>
      <w:jc w:val="left"/>
    </w:pPr>
    <w:rPr>
      <w:sz w:val="18"/>
      <w:szCs w:val="22"/>
    </w:rPr>
  </w:style>
  <w:style w:type="paragraph" w:customStyle="1" w:styleId="Table-HeaderRow">
    <w:name w:val="Table - Header Row"/>
    <w:basedOn w:val="Normal"/>
    <w:qFormat/>
    <w:rsid w:val="00363CF9"/>
    <w:pPr>
      <w:spacing w:before="100" w:after="100"/>
      <w:jc w:val="left"/>
    </w:pPr>
    <w:rPr>
      <w:b/>
      <w:sz w:val="18"/>
      <w:szCs w:val="22"/>
    </w:rPr>
  </w:style>
  <w:style w:type="paragraph" w:styleId="TableofFigures">
    <w:name w:val="table of figures"/>
    <w:basedOn w:val="Normal"/>
    <w:next w:val="Normal"/>
    <w:uiPriority w:val="99"/>
    <w:unhideWhenUsed/>
    <w:rsid w:val="00DD659F"/>
  </w:style>
  <w:style w:type="paragraph" w:customStyle="1" w:styleId="Example-Figure">
    <w:name w:val="Example - Figure"/>
    <w:basedOn w:val="Figure"/>
    <w:next w:val="Example-Text"/>
    <w:rsid w:val="0000036F"/>
    <w:pPr>
      <w:pBdr>
        <w:top w:val="single" w:sz="4" w:space="10" w:color="auto"/>
        <w:left w:val="single" w:sz="4" w:space="4" w:color="auto"/>
        <w:bottom w:val="single" w:sz="4" w:space="10" w:color="auto"/>
        <w:right w:val="single" w:sz="4" w:space="4" w:color="auto"/>
      </w:pBdr>
      <w:tabs>
        <w:tab w:val="center" w:pos="4820"/>
      </w:tabs>
      <w:ind w:left="993"/>
    </w:pPr>
  </w:style>
  <w:style w:type="numbering" w:customStyle="1" w:styleId="Table-Bullet">
    <w:name w:val="Table - Bullet"/>
    <w:basedOn w:val="NoList"/>
    <w:rsid w:val="00E87D30"/>
    <w:pPr>
      <w:numPr>
        <w:numId w:val="6"/>
      </w:numPr>
    </w:pPr>
  </w:style>
  <w:style w:type="paragraph" w:customStyle="1" w:styleId="Example-Caption">
    <w:name w:val="Example - Caption"/>
    <w:basedOn w:val="Example-Text"/>
    <w:next w:val="Example-Text"/>
    <w:rsid w:val="0000036F"/>
    <w:pPr>
      <w:jc w:val="center"/>
    </w:pPr>
    <w:rPr>
      <w:b/>
      <w:bCs/>
    </w:rPr>
  </w:style>
  <w:style w:type="numbering" w:customStyle="1" w:styleId="Table-Bullet10pt">
    <w:name w:val="Table - Bullet 10pt"/>
    <w:basedOn w:val="NoList"/>
    <w:rsid w:val="00D9392A"/>
    <w:pPr>
      <w:numPr>
        <w:numId w:val="7"/>
      </w:numPr>
    </w:pPr>
  </w:style>
  <w:style w:type="paragraph" w:customStyle="1" w:styleId="NumberedParagraph">
    <w:name w:val="Numbered Paragraph"/>
    <w:basedOn w:val="Normal"/>
    <w:qFormat/>
    <w:rsid w:val="00075D72"/>
    <w:pPr>
      <w:numPr>
        <w:ilvl w:val="1"/>
        <w:numId w:val="59"/>
      </w:numPr>
    </w:pPr>
    <w:rPr>
      <w:rFonts w:eastAsia="Calibri"/>
      <w:lang w:eastAsia="en-US"/>
    </w:rPr>
  </w:style>
  <w:style w:type="paragraph" w:customStyle="1" w:styleId="NumberedParagraph-BulletL1">
    <w:name w:val="Numbered Paragraph - Bullet L1"/>
    <w:basedOn w:val="NumberedParagraph"/>
    <w:rsid w:val="003532A7"/>
    <w:pPr>
      <w:numPr>
        <w:ilvl w:val="2"/>
      </w:numPr>
    </w:pPr>
  </w:style>
  <w:style w:type="paragraph" w:customStyle="1" w:styleId="NumberedParagraph-BulletL2">
    <w:name w:val="Numbered Paragraph - Bullet L2"/>
    <w:basedOn w:val="NumberedParagraph"/>
    <w:rsid w:val="003532A7"/>
    <w:pPr>
      <w:numPr>
        <w:ilvl w:val="3"/>
      </w:numPr>
    </w:pPr>
  </w:style>
  <w:style w:type="paragraph" w:customStyle="1" w:styleId="SummaryandQFS-Heading1">
    <w:name w:val="Summary and QFS - Heading 1"/>
    <w:basedOn w:val="SummaryandQFS-Text"/>
    <w:next w:val="SummaryandQFS-Text"/>
    <w:rsid w:val="00E949C5"/>
    <w:pPr>
      <w:spacing w:before="360"/>
      <w:jc w:val="left"/>
    </w:pPr>
    <w:rPr>
      <w:b/>
      <w:bCs/>
    </w:rPr>
  </w:style>
  <w:style w:type="paragraph" w:customStyle="1" w:styleId="SummaryandQFS-BulletL1">
    <w:name w:val="Summary and QFS - Bullet L1"/>
    <w:basedOn w:val="SummaryandQFS-Text"/>
    <w:rsid w:val="00EA6BFF"/>
    <w:pPr>
      <w:numPr>
        <w:numId w:val="12"/>
      </w:numPr>
      <w:tabs>
        <w:tab w:val="center" w:pos="709"/>
      </w:tabs>
      <w:ind w:left="709" w:hanging="567"/>
    </w:pPr>
  </w:style>
  <w:style w:type="paragraph" w:customStyle="1" w:styleId="SummaryandQFS-Heading3">
    <w:name w:val="Summary and QFS - Heading 3"/>
    <w:basedOn w:val="SummaryandQFS-Text"/>
    <w:next w:val="SummaryandQFS-Text"/>
    <w:rsid w:val="00605BAF"/>
    <w:rPr>
      <w:i/>
      <w:iCs/>
    </w:rPr>
  </w:style>
  <w:style w:type="paragraph" w:customStyle="1" w:styleId="SummaryandQFS-Heading2">
    <w:name w:val="Summary and QFS - Heading 2"/>
    <w:basedOn w:val="SummaryandQFS-Text"/>
    <w:next w:val="SummaryandQFS-Text"/>
    <w:rsid w:val="00605BAF"/>
    <w:pPr>
      <w:jc w:val="left"/>
    </w:pPr>
    <w:rPr>
      <w:b/>
      <w:i/>
    </w:rPr>
  </w:style>
  <w:style w:type="paragraph" w:customStyle="1" w:styleId="Heading1-Appendix">
    <w:name w:val="Heading 1 - Appendix"/>
    <w:basedOn w:val="Normal"/>
    <w:next w:val="Normal"/>
    <w:rsid w:val="00640446"/>
    <w:pPr>
      <w:spacing w:before="0" w:after="400"/>
      <w:jc w:val="center"/>
      <w:outlineLvl w:val="0"/>
    </w:pPr>
    <w:rPr>
      <w:b/>
      <w:bCs/>
      <w:sz w:val="24"/>
      <w:szCs w:val="28"/>
    </w:rPr>
  </w:style>
  <w:style w:type="paragraph" w:customStyle="1" w:styleId="Publicationdate-Cover">
    <w:name w:val="Publication date - Cover"/>
    <w:basedOn w:val="Normal"/>
    <w:qFormat/>
    <w:rsid w:val="004777B7"/>
    <w:rPr>
      <w:sz w:val="28"/>
    </w:rPr>
  </w:style>
  <w:style w:type="paragraph" w:customStyle="1" w:styleId="Authorname-Agency">
    <w:name w:val="Author name - Agency"/>
    <w:basedOn w:val="Normal"/>
    <w:autoRedefine/>
    <w:rsid w:val="004777B7"/>
    <w:pPr>
      <w:spacing w:before="480"/>
      <w:jc w:val="left"/>
    </w:pPr>
    <w:rPr>
      <w:i/>
      <w:iCs/>
    </w:rPr>
  </w:style>
  <w:style w:type="paragraph" w:customStyle="1" w:styleId="Formula">
    <w:name w:val="Formula"/>
    <w:basedOn w:val="Normal"/>
    <w:autoRedefine/>
    <w:rsid w:val="00E949C5"/>
    <w:pPr>
      <w:ind w:left="851"/>
      <w:jc w:val="center"/>
    </w:pPr>
    <w:rPr>
      <w:iCs/>
      <w:sz w:val="18"/>
    </w:rPr>
  </w:style>
  <w:style w:type="paragraph" w:customStyle="1" w:styleId="Example-Forumla">
    <w:name w:val="Example - Forumla"/>
    <w:basedOn w:val="Example-Text"/>
    <w:next w:val="Example-Text"/>
    <w:rsid w:val="005C24C5"/>
    <w:pPr>
      <w:jc w:val="center"/>
    </w:pPr>
    <w:rPr>
      <w:i/>
      <w:iCs/>
    </w:rPr>
  </w:style>
  <w:style w:type="paragraph" w:customStyle="1" w:styleId="Legislation-Text">
    <w:name w:val="Legislation - Text"/>
    <w:basedOn w:val="Normal"/>
    <w:rsid w:val="00282591"/>
    <w:pPr>
      <w:pBdr>
        <w:top w:val="single" w:sz="4" w:space="10" w:color="auto"/>
        <w:left w:val="single" w:sz="4" w:space="6" w:color="auto"/>
        <w:bottom w:val="single" w:sz="4" w:space="10" w:color="auto"/>
        <w:right w:val="single" w:sz="4" w:space="6" w:color="auto"/>
      </w:pBdr>
      <w:ind w:left="993"/>
    </w:pPr>
  </w:style>
  <w:style w:type="paragraph" w:customStyle="1" w:styleId="Legislation">
    <w:name w:val="Legislation"/>
    <w:basedOn w:val="Normal"/>
    <w:rsid w:val="00520CEB"/>
    <w:pPr>
      <w:pBdr>
        <w:top w:val="single" w:sz="4" w:space="10" w:color="auto"/>
        <w:left w:val="single" w:sz="4" w:space="6" w:color="auto"/>
        <w:bottom w:val="single" w:sz="4" w:space="10" w:color="auto"/>
        <w:right w:val="single" w:sz="4" w:space="6" w:color="auto"/>
      </w:pBdr>
      <w:tabs>
        <w:tab w:val="left" w:pos="1560"/>
        <w:tab w:val="left" w:pos="2127"/>
        <w:tab w:val="left" w:pos="2694"/>
        <w:tab w:val="left" w:pos="3261"/>
      </w:tabs>
      <w:ind w:left="993"/>
    </w:pPr>
  </w:style>
  <w:style w:type="paragraph" w:customStyle="1" w:styleId="NumberedParagraph-NumberedLists">
    <w:name w:val="Numbered Paragraph - Numbered Lists"/>
    <w:basedOn w:val="Normal"/>
    <w:rsid w:val="00021019"/>
    <w:pPr>
      <w:numPr>
        <w:numId w:val="5"/>
      </w:numPr>
      <w:spacing w:before="120"/>
    </w:pPr>
  </w:style>
  <w:style w:type="numbering" w:customStyle="1" w:styleId="NumberedList">
    <w:name w:val="Numbered List"/>
    <w:uiPriority w:val="99"/>
    <w:rsid w:val="00D14F8D"/>
    <w:pPr>
      <w:numPr>
        <w:numId w:val="18"/>
      </w:numPr>
    </w:pPr>
  </w:style>
  <w:style w:type="character" w:customStyle="1" w:styleId="TitleChar">
    <w:name w:val="Title Char"/>
    <w:basedOn w:val="DefaultParagraphFont"/>
    <w:link w:val="Title"/>
    <w:rsid w:val="00E7727C"/>
    <w:rPr>
      <w:rFonts w:ascii="Verdana" w:hAnsi="Verdana"/>
      <w:color w:val="1F85A3"/>
      <w:sz w:val="56"/>
      <w:lang w:eastAsia="en-AU"/>
    </w:rPr>
  </w:style>
  <w:style w:type="paragraph" w:customStyle="1" w:styleId="Example-Separator">
    <w:name w:val="Example - Separator"/>
    <w:basedOn w:val="Normal"/>
    <w:rsid w:val="005F6956"/>
    <w:pPr>
      <w:spacing w:before="0"/>
    </w:pPr>
    <w:rPr>
      <w:sz w:val="8"/>
      <w:szCs w:val="8"/>
    </w:rPr>
  </w:style>
  <w:style w:type="table" w:customStyle="1" w:styleId="TableGrid1">
    <w:name w:val="Table Grid1"/>
    <w:basedOn w:val="TableNormal"/>
    <w:next w:val="TableGrid"/>
    <w:rsid w:val="0091687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272BC"/>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4462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C0C8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72A9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75485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FC379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E2BA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21CD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09166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E0C97"/>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C42CE"/>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E244D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614077"/>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14077"/>
  </w:style>
  <w:style w:type="character" w:customStyle="1" w:styleId="italic">
    <w:name w:val="italic"/>
    <w:basedOn w:val="DefaultParagraphFont"/>
    <w:rsid w:val="00614077"/>
  </w:style>
  <w:style w:type="table" w:customStyle="1" w:styleId="TableGrid15">
    <w:name w:val="Table Grid15"/>
    <w:basedOn w:val="TableNormal"/>
    <w:next w:val="TableGrid"/>
    <w:rsid w:val="0011214E"/>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6B2CE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ExecutiveSummary">
    <w:name w:val="Heading 1 - Executive Summary"/>
    <w:basedOn w:val="Normal"/>
    <w:next w:val="Normal"/>
    <w:qFormat/>
    <w:rsid w:val="007F6362"/>
    <w:pPr>
      <w:pageBreakBefore/>
      <w:spacing w:before="0" w:after="560"/>
      <w:jc w:val="center"/>
      <w:outlineLvl w:val="0"/>
    </w:pPr>
    <w:rPr>
      <w:rFonts w:eastAsia="Calibri"/>
      <w:b/>
      <w:caps/>
      <w:color w:val="1F85A3"/>
      <w:sz w:val="24"/>
      <w:lang w:eastAsia="en-US"/>
    </w:rPr>
  </w:style>
  <w:style w:type="paragraph" w:styleId="Revision">
    <w:name w:val="Revision"/>
    <w:hidden/>
    <w:uiPriority w:val="99"/>
    <w:semiHidden/>
    <w:rsid w:val="00B80502"/>
  </w:style>
  <w:style w:type="paragraph" w:customStyle="1" w:styleId="NumberedParagraph-Appendix">
    <w:name w:val="Numbered Paragraph - Appendix"/>
    <w:basedOn w:val="Normal"/>
    <w:qFormat/>
    <w:rsid w:val="00D87BA8"/>
    <w:pPr>
      <w:tabs>
        <w:tab w:val="left" w:pos="851"/>
      </w:tabs>
    </w:pPr>
    <w:rPr>
      <w:rFonts w:eastAsia="Calibri"/>
      <w:lang w:eastAsia="en-US"/>
    </w:rPr>
  </w:style>
  <w:style w:type="character" w:styleId="FollowedHyperlink">
    <w:name w:val="FollowedHyperlink"/>
    <w:basedOn w:val="DefaultParagraphFont"/>
    <w:uiPriority w:val="99"/>
    <w:semiHidden/>
    <w:unhideWhenUsed/>
    <w:rsid w:val="00464898"/>
    <w:rPr>
      <w:color w:val="800080" w:themeColor="followedHyperlink"/>
      <w:u w:val="single"/>
    </w:rPr>
  </w:style>
  <w:style w:type="table" w:customStyle="1" w:styleId="SummaryBox">
    <w:name w:val="Summary Box"/>
    <w:basedOn w:val="TableNormal"/>
    <w:uiPriority w:val="99"/>
    <w:rsid w:val="007D07BC"/>
    <w:pPr>
      <w:spacing w:before="200" w:after="200"/>
    </w:pPr>
    <w:tblPr>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CellMar>
        <w:left w:w="170" w:type="dxa"/>
        <w:right w:w="284" w:type="dxa"/>
      </w:tblCellMar>
    </w:tblPr>
    <w:trPr>
      <w:cantSplit/>
    </w:trPr>
    <w:tcPr>
      <w:shd w:val="clear" w:color="auto" w:fill="D9E2F3"/>
    </w:tcPr>
  </w:style>
  <w:style w:type="table" w:customStyle="1" w:styleId="ExampleBox">
    <w:name w:val="Example Box"/>
    <w:basedOn w:val="TableNormal"/>
    <w:uiPriority w:val="99"/>
    <w:rsid w:val="003532A7"/>
    <w:tblPr>
      <w:tblInd w:w="851"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CellMar>
        <w:left w:w="170" w:type="dxa"/>
        <w:right w:w="284" w:type="dxa"/>
      </w:tblCellMar>
    </w:tblPr>
    <w:trPr>
      <w:cantSplit/>
    </w:trPr>
    <w:tcPr>
      <w:shd w:val="clear" w:color="auto" w:fill="EAF1DD" w:themeFill="accent3" w:themeFillTint="33"/>
    </w:tcPr>
  </w:style>
  <w:style w:type="table" w:customStyle="1" w:styleId="QuestionsBox">
    <w:name w:val="Questions Box"/>
    <w:basedOn w:val="TableNormal"/>
    <w:uiPriority w:val="99"/>
    <w:rsid w:val="003532A7"/>
    <w:tblPr>
      <w:tbl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insideH w:val="single" w:sz="8" w:space="0" w:color="92CDDC" w:themeColor="accent5" w:themeTint="99"/>
        <w:insideV w:val="single" w:sz="8" w:space="0" w:color="92CDDC" w:themeColor="accent5" w:themeTint="99"/>
      </w:tblBorders>
      <w:tblCellMar>
        <w:left w:w="170" w:type="dxa"/>
        <w:right w:w="284" w:type="dxa"/>
      </w:tblCellMar>
    </w:tblPr>
    <w:trPr>
      <w:cantSplit/>
    </w:trPr>
    <w:tcPr>
      <w:shd w:val="clear" w:color="auto" w:fill="DAEEF3" w:themeFill="accent5" w:themeFillTint="33"/>
    </w:tcPr>
  </w:style>
  <w:style w:type="paragraph" w:customStyle="1" w:styleId="Heading2-Questions">
    <w:name w:val="Heading 2 - Questions"/>
    <w:basedOn w:val="Heading2"/>
    <w:next w:val="Normal"/>
    <w:rsid w:val="00437600"/>
    <w:pPr>
      <w:spacing w:before="200" w:after="300"/>
      <w:outlineLvl w:val="9"/>
    </w:pPr>
  </w:style>
  <w:style w:type="paragraph" w:customStyle="1" w:styleId="Questionsparagraph">
    <w:name w:val="Questions paragraph"/>
    <w:basedOn w:val="Normal"/>
    <w:rsid w:val="00D52E2E"/>
    <w:pPr>
      <w:tabs>
        <w:tab w:val="left" w:pos="992"/>
      </w:tabs>
      <w:ind w:left="992" w:hanging="992"/>
    </w:pPr>
  </w:style>
  <w:style w:type="paragraph" w:styleId="TOCHeading">
    <w:name w:val="TOC Heading"/>
    <w:basedOn w:val="Heading1"/>
    <w:next w:val="Normal"/>
    <w:uiPriority w:val="39"/>
    <w:semiHidden/>
    <w:unhideWhenUsed/>
    <w:qFormat/>
    <w:rsid w:val="00230781"/>
    <w:pPr>
      <w:keepNext/>
      <w:keepLines/>
      <w:pageBreakBefore w:val="0"/>
      <w:numPr>
        <w:numId w:val="0"/>
      </w:numPr>
      <w:outlineLvl w:val="9"/>
    </w:pPr>
    <w:rPr>
      <w:rFonts w:eastAsiaTheme="majorEastAsia" w:cstheme="majorBidi"/>
      <w:b w:val="0"/>
      <w:szCs w:val="32"/>
    </w:rPr>
  </w:style>
  <w:style w:type="paragraph" w:styleId="EndnoteText">
    <w:name w:val="endnote text"/>
    <w:basedOn w:val="Normal"/>
    <w:link w:val="EndnoteTextChar"/>
    <w:uiPriority w:val="99"/>
    <w:semiHidden/>
    <w:unhideWhenUsed/>
    <w:rsid w:val="00354314"/>
    <w:pPr>
      <w:spacing w:before="0" w:after="0"/>
    </w:pPr>
  </w:style>
  <w:style w:type="character" w:customStyle="1" w:styleId="EndnoteTextChar">
    <w:name w:val="Endnote Text Char"/>
    <w:basedOn w:val="DefaultParagraphFont"/>
    <w:link w:val="EndnoteText"/>
    <w:uiPriority w:val="99"/>
    <w:semiHidden/>
    <w:rsid w:val="00354314"/>
  </w:style>
  <w:style w:type="character" w:styleId="EndnoteReference">
    <w:name w:val="endnote reference"/>
    <w:basedOn w:val="DefaultParagraphFont"/>
    <w:uiPriority w:val="99"/>
    <w:semiHidden/>
    <w:unhideWhenUsed/>
    <w:rsid w:val="00354314"/>
    <w:rPr>
      <w:vertAlign w:val="superscript"/>
    </w:rPr>
  </w:style>
  <w:style w:type="character" w:customStyle="1" w:styleId="FootnoteTextChar">
    <w:name w:val="Footnote Text Char"/>
    <w:basedOn w:val="DefaultParagraphFont"/>
    <w:link w:val="FootnoteText"/>
    <w:rsid w:val="00F119EE"/>
    <w:rPr>
      <w:sz w:val="18"/>
    </w:rPr>
  </w:style>
  <w:style w:type="character" w:customStyle="1" w:styleId="CaptionChar">
    <w:name w:val="Caption Char"/>
    <w:basedOn w:val="DefaultParagraphFont"/>
    <w:link w:val="Caption"/>
    <w:uiPriority w:val="35"/>
    <w:rsid w:val="00FB61FD"/>
    <w:rPr>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88648">
      <w:bodyDiv w:val="1"/>
      <w:marLeft w:val="0"/>
      <w:marRight w:val="0"/>
      <w:marTop w:val="0"/>
      <w:marBottom w:val="0"/>
      <w:divBdr>
        <w:top w:val="none" w:sz="0" w:space="0" w:color="auto"/>
        <w:left w:val="none" w:sz="0" w:space="0" w:color="auto"/>
        <w:bottom w:val="none" w:sz="0" w:space="0" w:color="auto"/>
        <w:right w:val="none" w:sz="0" w:space="0" w:color="auto"/>
      </w:divBdr>
    </w:div>
    <w:div w:id="1317222859">
      <w:bodyDiv w:val="1"/>
      <w:marLeft w:val="0"/>
      <w:marRight w:val="0"/>
      <w:marTop w:val="0"/>
      <w:marBottom w:val="0"/>
      <w:divBdr>
        <w:top w:val="none" w:sz="0" w:space="0" w:color="auto"/>
        <w:left w:val="none" w:sz="0" w:space="0" w:color="auto"/>
        <w:bottom w:val="none" w:sz="0" w:space="0" w:color="auto"/>
        <w:right w:val="none" w:sz="0" w:space="0" w:color="auto"/>
      </w:divBdr>
    </w:div>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331568527">
      <w:bodyDiv w:val="1"/>
      <w:marLeft w:val="0"/>
      <w:marRight w:val="0"/>
      <w:marTop w:val="0"/>
      <w:marBottom w:val="0"/>
      <w:divBdr>
        <w:top w:val="none" w:sz="0" w:space="0" w:color="auto"/>
        <w:left w:val="none" w:sz="0" w:space="0" w:color="auto"/>
        <w:bottom w:val="none" w:sz="0" w:space="0" w:color="auto"/>
        <w:right w:val="none" w:sz="0" w:space="0" w:color="auto"/>
      </w:divBdr>
    </w:div>
    <w:div w:id="1339500897">
      <w:bodyDiv w:val="1"/>
      <w:marLeft w:val="0"/>
      <w:marRight w:val="0"/>
      <w:marTop w:val="0"/>
      <w:marBottom w:val="0"/>
      <w:divBdr>
        <w:top w:val="none" w:sz="0" w:space="0" w:color="auto"/>
        <w:left w:val="none" w:sz="0" w:space="0" w:color="auto"/>
        <w:bottom w:val="none" w:sz="0" w:space="0" w:color="auto"/>
        <w:right w:val="none" w:sz="0" w:space="0" w:color="auto"/>
      </w:divBdr>
    </w:div>
    <w:div w:id="1479224510">
      <w:bodyDiv w:val="1"/>
      <w:marLeft w:val="0"/>
      <w:marRight w:val="0"/>
      <w:marTop w:val="0"/>
      <w:marBottom w:val="0"/>
      <w:divBdr>
        <w:top w:val="none" w:sz="0" w:space="0" w:color="auto"/>
        <w:left w:val="none" w:sz="0" w:space="0" w:color="auto"/>
        <w:bottom w:val="none" w:sz="0" w:space="0" w:color="auto"/>
        <w:right w:val="none" w:sz="0" w:space="0" w:color="auto"/>
      </w:divBdr>
    </w:div>
    <w:div w:id="1706439261">
      <w:bodyDiv w:val="1"/>
      <w:marLeft w:val="0"/>
      <w:marRight w:val="0"/>
      <w:marTop w:val="0"/>
      <w:marBottom w:val="0"/>
      <w:divBdr>
        <w:top w:val="none" w:sz="0" w:space="0" w:color="auto"/>
        <w:left w:val="none" w:sz="0" w:space="0" w:color="auto"/>
        <w:bottom w:val="none" w:sz="0" w:space="0" w:color="auto"/>
        <w:right w:val="none" w:sz="0" w:space="0" w:color="auto"/>
      </w:divBdr>
    </w:div>
    <w:div w:id="1749420168">
      <w:bodyDiv w:val="1"/>
      <w:marLeft w:val="0"/>
      <w:marRight w:val="0"/>
      <w:marTop w:val="0"/>
      <w:marBottom w:val="0"/>
      <w:divBdr>
        <w:top w:val="none" w:sz="0" w:space="0" w:color="auto"/>
        <w:left w:val="none" w:sz="0" w:space="0" w:color="auto"/>
        <w:bottom w:val="none" w:sz="0" w:space="0" w:color="auto"/>
        <w:right w:val="none" w:sz="0" w:space="0" w:color="auto"/>
      </w:divBdr>
    </w:div>
    <w:div w:id="1809057150">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3.emf"/><Relationship Id="rId26" Type="http://schemas.openxmlformats.org/officeDocument/2006/relationships/hyperlink" Target="https://www.wgtn.ac.nz/cagtr/events/past-events/tax-working-group-2009/publications/4-company-tax-issues-facing-nz.pdf" TargetMode="External"/><Relationship Id="rId39" Type="http://schemas.openxmlformats.org/officeDocument/2006/relationships/theme" Target="theme/theme1.xml"/><Relationship Id="rId21" Type="http://schemas.openxmlformats.org/officeDocument/2006/relationships/oleObject" Target="embeddings/oleObject6.bin"/><Relationship Id="rId34"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9.wmf"/><Relationship Id="rId29" Type="http://schemas.openxmlformats.org/officeDocument/2006/relationships/hyperlink" Target="https://taxpolicy.ird.govt.nz/publications/2022/2022-other-draft-ltib"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wgtn.ac.nz/cagtr/events/past-events/tax-working-group-2009/publications/4-capital-taxation-in-nz-intl-perspective.pdf" TargetMode="External"/><Relationship Id="rId32" Type="http://schemas.openxmlformats.org/officeDocument/2006/relationships/hyperlink" Target="https://www.treasury.govt.nz/sites/default/files/2007-11/taxreview2001-report.pdf" TargetMode="External"/><Relationship Id="rId37" Type="http://schemas.openxmlformats.org/officeDocument/2006/relationships/footer" Target="footer2.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oleObject" Target="embeddings/oleObject7.bin"/><Relationship Id="rId28" Type="http://schemas.openxmlformats.org/officeDocument/2006/relationships/hyperlink" Target="https://taxpolicy.ird.govt.nz/publications/2021/2021-other-scope-ird-ltib-tax-liability-productivity" TargetMode="External"/><Relationship Id="rId36" Type="http://schemas.openxmlformats.org/officeDocument/2006/relationships/header" Target="header5.xml"/><Relationship Id="rId10" Type="http://schemas.openxmlformats.org/officeDocument/2006/relationships/hyperlink" Target="https://taxpolicy.ird.govt.nz/publications/2022/2022-other-final-ltib" TargetMode="External"/><Relationship Id="rId19" Type="http://schemas.openxmlformats.org/officeDocument/2006/relationships/image" Target="file:///S:\Units\CS3\New%20Zealand\New%20Zealand%202021\Figures\EMF_files_KPI\fig_1_31.emf" TargetMode="External"/><Relationship Id="rId31" Type="http://schemas.openxmlformats.org/officeDocument/2006/relationships/hyperlink" Target="https://ideas.repec.org/a/kap/itaxpf/v17y2010i3p315-336.html"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chart" Target="charts/chart2.xml"/><Relationship Id="rId22" Type="http://schemas.openxmlformats.org/officeDocument/2006/relationships/image" Target="media/image10.wmf"/><Relationship Id="rId27" Type="http://schemas.openxmlformats.org/officeDocument/2006/relationships/hyperlink" Target="https://taxpolicy.ird.govt.nz/publications/2016/2016-other-nz-framework-inbound-investment" TargetMode="External"/><Relationship Id="rId30" Type="http://schemas.openxmlformats.org/officeDocument/2006/relationships/hyperlink" Target="https://openknowledge.worldbank.org/handle/10986/22924"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chart" Target="charts/chart5.xml"/><Relationship Id="rId25" Type="http://schemas.openxmlformats.org/officeDocument/2006/relationships/hyperlink" Target="https://www.oecd-ilibrary.org/taxation/corporate-effective-tax-rates_a07f9958-en" TargetMode="External"/><Relationship Id="rId33" Type="http://schemas.openxmlformats.org/officeDocument/2006/relationships/header" Target="header3.xml"/><Relationship Id="rId38"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treasury.govt.nz/publications/tax-outturn-data/tax-outturn-data-june-2021" TargetMode="External"/><Relationship Id="rId18" Type="http://schemas.openxmlformats.org/officeDocument/2006/relationships/hyperlink" Target="https://taxpolicy.ird.govt.nz/publications/2004/2004-ip-depreciation" TargetMode="External"/><Relationship Id="rId26" Type="http://schemas.openxmlformats.org/officeDocument/2006/relationships/oleObject" Target="embeddings/oleObject4.bin"/><Relationship Id="rId3" Type="http://schemas.openxmlformats.org/officeDocument/2006/relationships/hyperlink" Target="https://www.mbie.govt.nz/dmsdocument/20250-the-future-of-business-for-aotearoa-new-zealand" TargetMode="External"/><Relationship Id="rId21" Type="http://schemas.openxmlformats.org/officeDocument/2006/relationships/image" Target="media/image5.wmf"/><Relationship Id="rId34" Type="http://schemas.openxmlformats.org/officeDocument/2006/relationships/hyperlink" Target="https://doi.org/10.1787/7af51916-en" TargetMode="External"/><Relationship Id="rId7" Type="http://schemas.openxmlformats.org/officeDocument/2006/relationships/hyperlink" Target="http://www.productivity.govt.nz/research/productivity-by-the-numbers/" TargetMode="External"/><Relationship Id="rId12" Type="http://schemas.openxmlformats.org/officeDocument/2006/relationships/hyperlink" Target="https://taxpolicy.ird.govt.nz/publications/2016/2016-other-nz-framework-inbound-investment" TargetMode="External"/><Relationship Id="rId17" Type="http://schemas.openxmlformats.org/officeDocument/2006/relationships/hyperlink" Target="https://oxfordtax.sbs.ox.ac.uk/cbt-tax-database" TargetMode="External"/><Relationship Id="rId25" Type="http://schemas.openxmlformats.org/officeDocument/2006/relationships/image" Target="media/image7.wmf"/><Relationship Id="rId33" Type="http://schemas.openxmlformats.org/officeDocument/2006/relationships/hyperlink" Target="https://www.norskpetroleum.no/en/economy/petroleum-tax" TargetMode="External"/><Relationship Id="rId2" Type="http://schemas.openxmlformats.org/officeDocument/2006/relationships/hyperlink" Target="https://taxpolicy.ird.govt.nz/publications/2021/2021-other-scope-ird-ltib-tax-liability-productivity" TargetMode="External"/><Relationship Id="rId16" Type="http://schemas.openxmlformats.org/officeDocument/2006/relationships/hyperlink" Target="https://stat.link/en6415" TargetMode="External"/><Relationship Id="rId20" Type="http://schemas.openxmlformats.org/officeDocument/2006/relationships/oleObject" Target="embeddings/oleObject1.bin"/><Relationship Id="rId29" Type="http://schemas.openxmlformats.org/officeDocument/2006/relationships/hyperlink" Target="https://www.treasury.govt.nz/publications/strategies-and-plans/long-term-insights-briefings" TargetMode="External"/><Relationship Id="rId1" Type="http://schemas.openxmlformats.org/officeDocument/2006/relationships/hyperlink" Target="https://taxpolicy.ird.govt.nz/publications/2022/2022-other-final-ltib" TargetMode="External"/><Relationship Id="rId6" Type="http://schemas.openxmlformats.org/officeDocument/2006/relationships/hyperlink" Target="https://stats.oecd.org/" TargetMode="External"/><Relationship Id="rId11" Type="http://schemas.openxmlformats.org/officeDocument/2006/relationships/hyperlink" Target="https://www.treasury.govt.nz/sites/default/files/2007-11/taxreview2001-report.pdf" TargetMode="External"/><Relationship Id="rId24" Type="http://schemas.openxmlformats.org/officeDocument/2006/relationships/oleObject" Target="embeddings/oleObject3.bin"/><Relationship Id="rId32" Type="http://schemas.openxmlformats.org/officeDocument/2006/relationships/hyperlink" Target="https://aus01.safelinks.protection.outlook.com/?url=https%3A%2F%2Fwww.oecd.org%2Ftax%2Ftax-policy%2Fexplanatory-annex-corporate-effective-tax-rates.pdf&amp;data=04%7C01%7CMatt.Benge%40ird.govt.nz%7C3ea86ec685c741da37af08d9f443ea98%7Cfb39e3e923a9404e93a2b42a87d94f35%7C1%7C0%7C637809394803746406%7CUnknown%7CTWFpbGZsb3d8eyJWIjoiMC4wLjAwMDAiLCJQIjoiV2luMzIiLCJBTiI6Ik1haWwiLCJXVCI6Mn0%3D%7C3000&amp;sdata=YCIvMlQd36YogeLFGwDw%2BjvBvPMSEW9XTanLYjIytZI%3D&amp;reserved=0" TargetMode="External"/><Relationship Id="rId5" Type="http://schemas.openxmlformats.org/officeDocument/2006/relationships/hyperlink" Target="https://stats.oecd.org/" TargetMode="External"/><Relationship Id="rId15" Type="http://schemas.openxmlformats.org/officeDocument/2006/relationships/hyperlink" Target="https://doi.org/10.1787/a4fd214c-en" TargetMode="External"/><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hyperlink" Target="https://www.skatteetaten.no/en/person/taxes/get-the-taxes-right/shares-and-securities/about-shares-and-securities/the-shareholder-model/" TargetMode="External"/><Relationship Id="rId10" Type="http://schemas.openxmlformats.org/officeDocument/2006/relationships/hyperlink" Target="https://taxpolicy.ird.govt.nz/publications/2022/2022-other-final-ltib" TargetMode="External"/><Relationship Id="rId19" Type="http://schemas.openxmlformats.org/officeDocument/2006/relationships/image" Target="media/image4.wmf"/><Relationship Id="rId31" Type="http://schemas.openxmlformats.org/officeDocument/2006/relationships/hyperlink" Target="https://taxpolicy.ird.govt.nz/-/media/project/ir/tp/publications/1989/1989-dd-taxation-income-capital/1989-dd-taxation-income-capital-pdf.pdf?modified=20200910102401&amp;modified=20200910102401" TargetMode="External"/><Relationship Id="rId4" Type="http://schemas.openxmlformats.org/officeDocument/2006/relationships/hyperlink" Target="https://stats.oecd.org/" TargetMode="External"/><Relationship Id="rId9" Type="http://schemas.openxmlformats.org/officeDocument/2006/relationships/hyperlink" Target="https://www.taxpolicy.ird.govt.nz/publications/2022/2022-ir-draft-ltib-submissions-external-reviews" TargetMode="External"/><Relationship Id="rId14" Type="http://schemas.openxmlformats.org/officeDocument/2006/relationships/hyperlink" Target="https://stats.oecd.org/" TargetMode="External"/><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hyperlink" Target="https://taxworkinggroup.govt.nz/resources/twg-bg-3985472-appendix-e-inflation-indexing-the-tax-system" TargetMode="External"/><Relationship Id="rId35" Type="http://schemas.openxmlformats.org/officeDocument/2006/relationships/hyperlink" Target="https://taxsummaries.pwc.com/republic-of-korea/corporate/tax-credits-and-incentives" TargetMode="External"/><Relationship Id="rId8" Type="http://schemas.openxmlformats.org/officeDocument/2006/relationships/hyperlink" Target="https://stats.oecd.or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17brfo\OneDrive%20-%20Inland%20Revenue\Desktop\Zettelkasten\sources\slip_box\data_for_ltib\07b3d1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84mxb2\AppData\Local\Microsoft\Windows\INetCache\Content.Outlook\VJ87QTJZ\07b3d1a%20(00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84mxb2\AppData\Local\Microsoft\Windows\INetCache\Content.Outlook\VJ87QTJZ\07b3d1a%20(00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84mxb2\AppData\Local\Microsoft\Windows\INetCache\Content.Outlook\VJ87QTJZ\07b3d1a%20(00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7brfo\OneDrive%20-%20Inland%20Revenue\Desktop\Zettelkasten\sources\slip_box\data_for_ltib\07b3d1a.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CorporateRates!$A$2</c:f>
              <c:strCache>
                <c:ptCount val="1"/>
                <c:pt idx="0">
                  <c:v>Australia</c:v>
                </c:pt>
              </c:strCache>
            </c:strRef>
          </c:tx>
          <c:spPr>
            <a:ln w="28575" cap="rnd">
              <a:solidFill>
                <a:srgbClr val="4C5762"/>
              </a:solidFill>
              <a:round/>
            </a:ln>
            <a:effectLst/>
          </c:spPr>
          <c:marker>
            <c:symbol val="none"/>
          </c:marker>
          <c:cat>
            <c:numRef>
              <c:f>CorporateRates!$B$1:$AP$1</c:f>
              <c:numCache>
                <c:formatCode>General</c:formatCode>
                <c:ptCount val="41"/>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pt idx="39">
                  <c:v>2020</c:v>
                </c:pt>
                <c:pt idx="40">
                  <c:v>2021</c:v>
                </c:pt>
              </c:numCache>
            </c:numRef>
          </c:cat>
          <c:val>
            <c:numRef>
              <c:f>CorporateRates!$B$2:$AP$2</c:f>
              <c:numCache>
                <c:formatCode>0.00</c:formatCode>
                <c:ptCount val="41"/>
                <c:pt idx="0">
                  <c:v>46</c:v>
                </c:pt>
                <c:pt idx="1">
                  <c:v>46</c:v>
                </c:pt>
                <c:pt idx="2">
                  <c:v>46</c:v>
                </c:pt>
                <c:pt idx="3">
                  <c:v>46</c:v>
                </c:pt>
                <c:pt idx="4">
                  <c:v>46</c:v>
                </c:pt>
                <c:pt idx="5">
                  <c:v>49</c:v>
                </c:pt>
                <c:pt idx="6">
                  <c:v>49</c:v>
                </c:pt>
                <c:pt idx="7">
                  <c:v>39</c:v>
                </c:pt>
                <c:pt idx="8">
                  <c:v>39</c:v>
                </c:pt>
                <c:pt idx="9">
                  <c:v>39</c:v>
                </c:pt>
                <c:pt idx="10">
                  <c:v>39</c:v>
                </c:pt>
                <c:pt idx="11">
                  <c:v>39</c:v>
                </c:pt>
                <c:pt idx="12">
                  <c:v>33</c:v>
                </c:pt>
                <c:pt idx="13">
                  <c:v>33</c:v>
                </c:pt>
                <c:pt idx="14">
                  <c:v>36</c:v>
                </c:pt>
                <c:pt idx="15">
                  <c:v>36</c:v>
                </c:pt>
                <c:pt idx="16">
                  <c:v>36</c:v>
                </c:pt>
                <c:pt idx="17">
                  <c:v>36</c:v>
                </c:pt>
                <c:pt idx="18">
                  <c:v>36</c:v>
                </c:pt>
                <c:pt idx="19">
                  <c:v>34</c:v>
                </c:pt>
                <c:pt idx="20">
                  <c:v>30</c:v>
                </c:pt>
                <c:pt idx="21">
                  <c:v>30</c:v>
                </c:pt>
                <c:pt idx="22">
                  <c:v>30</c:v>
                </c:pt>
                <c:pt idx="23">
                  <c:v>30</c:v>
                </c:pt>
                <c:pt idx="24">
                  <c:v>30</c:v>
                </c:pt>
                <c:pt idx="25">
                  <c:v>30</c:v>
                </c:pt>
                <c:pt idx="26">
                  <c:v>30</c:v>
                </c:pt>
                <c:pt idx="27">
                  <c:v>30</c:v>
                </c:pt>
                <c:pt idx="28">
                  <c:v>30</c:v>
                </c:pt>
                <c:pt idx="29">
                  <c:v>30</c:v>
                </c:pt>
                <c:pt idx="30">
                  <c:v>30</c:v>
                </c:pt>
                <c:pt idx="31">
                  <c:v>30</c:v>
                </c:pt>
                <c:pt idx="32">
                  <c:v>30</c:v>
                </c:pt>
                <c:pt idx="33">
                  <c:v>30</c:v>
                </c:pt>
                <c:pt idx="34">
                  <c:v>30</c:v>
                </c:pt>
                <c:pt idx="35">
                  <c:v>30</c:v>
                </c:pt>
                <c:pt idx="36">
                  <c:v>30</c:v>
                </c:pt>
                <c:pt idx="37">
                  <c:v>30</c:v>
                </c:pt>
                <c:pt idx="38">
                  <c:v>30</c:v>
                </c:pt>
                <c:pt idx="39">
                  <c:v>30</c:v>
                </c:pt>
                <c:pt idx="40">
                  <c:v>30</c:v>
                </c:pt>
              </c:numCache>
            </c:numRef>
          </c:val>
          <c:smooth val="0"/>
          <c:extLst>
            <c:ext xmlns:c16="http://schemas.microsoft.com/office/drawing/2014/chart" uri="{C3380CC4-5D6E-409C-BE32-E72D297353CC}">
              <c16:uniqueId val="{00000000-1D94-4796-82D8-1DF6696144E1}"/>
            </c:ext>
          </c:extLst>
        </c:ser>
        <c:ser>
          <c:idx val="1"/>
          <c:order val="1"/>
          <c:tx>
            <c:strRef>
              <c:f>CorporateRates!$A$3</c:f>
              <c:strCache>
                <c:ptCount val="1"/>
                <c:pt idx="0">
                  <c:v>Canada</c:v>
                </c:pt>
              </c:strCache>
            </c:strRef>
          </c:tx>
          <c:spPr>
            <a:ln w="28575" cap="rnd">
              <a:solidFill>
                <a:srgbClr val="AA1974"/>
              </a:solidFill>
              <a:round/>
            </a:ln>
            <a:effectLst/>
          </c:spPr>
          <c:marker>
            <c:symbol val="none"/>
          </c:marker>
          <c:cat>
            <c:numRef>
              <c:f>CorporateRates!$B$1:$AP$1</c:f>
              <c:numCache>
                <c:formatCode>General</c:formatCode>
                <c:ptCount val="41"/>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pt idx="39">
                  <c:v>2020</c:v>
                </c:pt>
                <c:pt idx="40">
                  <c:v>2021</c:v>
                </c:pt>
              </c:numCache>
            </c:numRef>
          </c:cat>
          <c:val>
            <c:numRef>
              <c:f>CorporateRates!$B$3:$AP$3</c:f>
              <c:numCache>
                <c:formatCode>0.00</c:formatCode>
                <c:ptCount val="41"/>
                <c:pt idx="0">
                  <c:v>50.919999999999995</c:v>
                </c:pt>
                <c:pt idx="1">
                  <c:v>49.53</c:v>
                </c:pt>
                <c:pt idx="2">
                  <c:v>48.269999999999996</c:v>
                </c:pt>
                <c:pt idx="3">
                  <c:v>47.63</c:v>
                </c:pt>
                <c:pt idx="4">
                  <c:v>49.43</c:v>
                </c:pt>
                <c:pt idx="5">
                  <c:v>49.76</c:v>
                </c:pt>
                <c:pt idx="6">
                  <c:v>48.58</c:v>
                </c:pt>
                <c:pt idx="7">
                  <c:v>41.29</c:v>
                </c:pt>
                <c:pt idx="8">
                  <c:v>41.34</c:v>
                </c:pt>
                <c:pt idx="9">
                  <c:v>41.45</c:v>
                </c:pt>
                <c:pt idx="10">
                  <c:v>41.81</c:v>
                </c:pt>
                <c:pt idx="11">
                  <c:v>42.519999999999996</c:v>
                </c:pt>
                <c:pt idx="12">
                  <c:v>42.56</c:v>
                </c:pt>
                <c:pt idx="13">
                  <c:v>42.58</c:v>
                </c:pt>
                <c:pt idx="14">
                  <c:v>42.86</c:v>
                </c:pt>
                <c:pt idx="15">
                  <c:v>42.94</c:v>
                </c:pt>
                <c:pt idx="16">
                  <c:v>42.94</c:v>
                </c:pt>
                <c:pt idx="17">
                  <c:v>42.94</c:v>
                </c:pt>
                <c:pt idx="18">
                  <c:v>42.870000000000005</c:v>
                </c:pt>
                <c:pt idx="19">
                  <c:v>42.43</c:v>
                </c:pt>
                <c:pt idx="20">
                  <c:v>40.479999999999997</c:v>
                </c:pt>
                <c:pt idx="21">
                  <c:v>38.020000000000003</c:v>
                </c:pt>
                <c:pt idx="22">
                  <c:v>35.869999999999997</c:v>
                </c:pt>
                <c:pt idx="23">
                  <c:v>34.380000000000003</c:v>
                </c:pt>
                <c:pt idx="24">
                  <c:v>34.18</c:v>
                </c:pt>
                <c:pt idx="25">
                  <c:v>33.93</c:v>
                </c:pt>
                <c:pt idx="26">
                  <c:v>33.950000000000003</c:v>
                </c:pt>
                <c:pt idx="27">
                  <c:v>31.4</c:v>
                </c:pt>
                <c:pt idx="28">
                  <c:v>30.9</c:v>
                </c:pt>
                <c:pt idx="29">
                  <c:v>29.4</c:v>
                </c:pt>
                <c:pt idx="30">
                  <c:v>27.7</c:v>
                </c:pt>
                <c:pt idx="31">
                  <c:v>26.1</c:v>
                </c:pt>
                <c:pt idx="32">
                  <c:v>26.2</c:v>
                </c:pt>
                <c:pt idx="33">
                  <c:v>26.2</c:v>
                </c:pt>
                <c:pt idx="34">
                  <c:v>26.7</c:v>
                </c:pt>
                <c:pt idx="35">
                  <c:v>26.7</c:v>
                </c:pt>
                <c:pt idx="36">
                  <c:v>26.65</c:v>
                </c:pt>
                <c:pt idx="37">
                  <c:v>26.78</c:v>
                </c:pt>
                <c:pt idx="38">
                  <c:v>26.62</c:v>
                </c:pt>
                <c:pt idx="39">
                  <c:v>26.15</c:v>
                </c:pt>
                <c:pt idx="40">
                  <c:v>26.15</c:v>
                </c:pt>
              </c:numCache>
            </c:numRef>
          </c:val>
          <c:smooth val="0"/>
          <c:extLst>
            <c:ext xmlns:c16="http://schemas.microsoft.com/office/drawing/2014/chart" uri="{C3380CC4-5D6E-409C-BE32-E72D297353CC}">
              <c16:uniqueId val="{00000001-1D94-4796-82D8-1DF6696144E1}"/>
            </c:ext>
          </c:extLst>
        </c:ser>
        <c:ser>
          <c:idx val="2"/>
          <c:order val="2"/>
          <c:tx>
            <c:strRef>
              <c:f>CorporateRates!$A$4</c:f>
              <c:strCache>
                <c:ptCount val="1"/>
                <c:pt idx="0">
                  <c:v>New Zealand</c:v>
                </c:pt>
              </c:strCache>
            </c:strRef>
          </c:tx>
          <c:spPr>
            <a:ln w="28575" cap="rnd">
              <a:solidFill>
                <a:srgbClr val="F2E24F"/>
              </a:solidFill>
              <a:round/>
            </a:ln>
            <a:effectLst/>
          </c:spPr>
          <c:marker>
            <c:symbol val="none"/>
          </c:marker>
          <c:cat>
            <c:numRef>
              <c:f>CorporateRates!$B$1:$AP$1</c:f>
              <c:numCache>
                <c:formatCode>General</c:formatCode>
                <c:ptCount val="41"/>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pt idx="39">
                  <c:v>2020</c:v>
                </c:pt>
                <c:pt idx="40">
                  <c:v>2021</c:v>
                </c:pt>
              </c:numCache>
            </c:numRef>
          </c:cat>
          <c:val>
            <c:numRef>
              <c:f>CorporateRates!$B$4:$AP$4</c:f>
              <c:numCache>
                <c:formatCode>0.00</c:formatCode>
                <c:ptCount val="41"/>
                <c:pt idx="0">
                  <c:v>45</c:v>
                </c:pt>
                <c:pt idx="1">
                  <c:v>45</c:v>
                </c:pt>
                <c:pt idx="2">
                  <c:v>45</c:v>
                </c:pt>
                <c:pt idx="3">
                  <c:v>45</c:v>
                </c:pt>
                <c:pt idx="4">
                  <c:v>45</c:v>
                </c:pt>
                <c:pt idx="5">
                  <c:v>48</c:v>
                </c:pt>
                <c:pt idx="6">
                  <c:v>48</c:v>
                </c:pt>
                <c:pt idx="7">
                  <c:v>28</c:v>
                </c:pt>
                <c:pt idx="8">
                  <c:v>33</c:v>
                </c:pt>
                <c:pt idx="9">
                  <c:v>33</c:v>
                </c:pt>
                <c:pt idx="10">
                  <c:v>33</c:v>
                </c:pt>
                <c:pt idx="11">
                  <c:v>33</c:v>
                </c:pt>
                <c:pt idx="12">
                  <c:v>33</c:v>
                </c:pt>
                <c:pt idx="13">
                  <c:v>33</c:v>
                </c:pt>
                <c:pt idx="14">
                  <c:v>33</c:v>
                </c:pt>
                <c:pt idx="15">
                  <c:v>33</c:v>
                </c:pt>
                <c:pt idx="16">
                  <c:v>33</c:v>
                </c:pt>
                <c:pt idx="17">
                  <c:v>33</c:v>
                </c:pt>
                <c:pt idx="18">
                  <c:v>33</c:v>
                </c:pt>
                <c:pt idx="19">
                  <c:v>33</c:v>
                </c:pt>
                <c:pt idx="20">
                  <c:v>33</c:v>
                </c:pt>
                <c:pt idx="21">
                  <c:v>33</c:v>
                </c:pt>
                <c:pt idx="22">
                  <c:v>33</c:v>
                </c:pt>
                <c:pt idx="23">
                  <c:v>33</c:v>
                </c:pt>
                <c:pt idx="24">
                  <c:v>33</c:v>
                </c:pt>
                <c:pt idx="25">
                  <c:v>33</c:v>
                </c:pt>
                <c:pt idx="26">
                  <c:v>33</c:v>
                </c:pt>
                <c:pt idx="27">
                  <c:v>30</c:v>
                </c:pt>
                <c:pt idx="28">
                  <c:v>30</c:v>
                </c:pt>
                <c:pt idx="29">
                  <c:v>30</c:v>
                </c:pt>
                <c:pt idx="30">
                  <c:v>28</c:v>
                </c:pt>
                <c:pt idx="31">
                  <c:v>28</c:v>
                </c:pt>
                <c:pt idx="32">
                  <c:v>28</c:v>
                </c:pt>
                <c:pt idx="33">
                  <c:v>28</c:v>
                </c:pt>
                <c:pt idx="34">
                  <c:v>28</c:v>
                </c:pt>
                <c:pt idx="35">
                  <c:v>28</c:v>
                </c:pt>
                <c:pt idx="36">
                  <c:v>28</c:v>
                </c:pt>
                <c:pt idx="37">
                  <c:v>28</c:v>
                </c:pt>
                <c:pt idx="38">
                  <c:v>28</c:v>
                </c:pt>
                <c:pt idx="39">
                  <c:v>28</c:v>
                </c:pt>
                <c:pt idx="40">
                  <c:v>28</c:v>
                </c:pt>
              </c:numCache>
            </c:numRef>
          </c:val>
          <c:smooth val="0"/>
          <c:extLst>
            <c:ext xmlns:c16="http://schemas.microsoft.com/office/drawing/2014/chart" uri="{C3380CC4-5D6E-409C-BE32-E72D297353CC}">
              <c16:uniqueId val="{00000002-1D94-4796-82D8-1DF6696144E1}"/>
            </c:ext>
          </c:extLst>
        </c:ser>
        <c:ser>
          <c:idx val="3"/>
          <c:order val="3"/>
          <c:tx>
            <c:strRef>
              <c:f>CorporateRates!$A$5</c:f>
              <c:strCache>
                <c:ptCount val="1"/>
                <c:pt idx="0">
                  <c:v>United Kingdom</c:v>
                </c:pt>
              </c:strCache>
            </c:strRef>
          </c:tx>
          <c:spPr>
            <a:ln w="28575" cap="rnd">
              <a:solidFill>
                <a:srgbClr val="612166"/>
              </a:solidFill>
              <a:round/>
            </a:ln>
            <a:effectLst/>
          </c:spPr>
          <c:marker>
            <c:symbol val="none"/>
          </c:marker>
          <c:cat>
            <c:numRef>
              <c:f>CorporateRates!$B$1:$AP$1</c:f>
              <c:numCache>
                <c:formatCode>General</c:formatCode>
                <c:ptCount val="41"/>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pt idx="39">
                  <c:v>2020</c:v>
                </c:pt>
                <c:pt idx="40">
                  <c:v>2021</c:v>
                </c:pt>
              </c:numCache>
            </c:numRef>
          </c:cat>
          <c:val>
            <c:numRef>
              <c:f>CorporateRates!$B$5:$AP$5</c:f>
              <c:numCache>
                <c:formatCode>0.00</c:formatCode>
                <c:ptCount val="41"/>
                <c:pt idx="0">
                  <c:v>52</c:v>
                </c:pt>
                <c:pt idx="1">
                  <c:v>52</c:v>
                </c:pt>
                <c:pt idx="2">
                  <c:v>50</c:v>
                </c:pt>
                <c:pt idx="3">
                  <c:v>45</c:v>
                </c:pt>
                <c:pt idx="4">
                  <c:v>40</c:v>
                </c:pt>
                <c:pt idx="5">
                  <c:v>35</c:v>
                </c:pt>
                <c:pt idx="6">
                  <c:v>35</c:v>
                </c:pt>
                <c:pt idx="7">
                  <c:v>35</c:v>
                </c:pt>
                <c:pt idx="8">
                  <c:v>35</c:v>
                </c:pt>
                <c:pt idx="9">
                  <c:v>34</c:v>
                </c:pt>
                <c:pt idx="10">
                  <c:v>33</c:v>
                </c:pt>
                <c:pt idx="11">
                  <c:v>33</c:v>
                </c:pt>
                <c:pt idx="12">
                  <c:v>33</c:v>
                </c:pt>
                <c:pt idx="13">
                  <c:v>33</c:v>
                </c:pt>
                <c:pt idx="14">
                  <c:v>33</c:v>
                </c:pt>
                <c:pt idx="15">
                  <c:v>33</c:v>
                </c:pt>
                <c:pt idx="16">
                  <c:v>31</c:v>
                </c:pt>
                <c:pt idx="17">
                  <c:v>31</c:v>
                </c:pt>
                <c:pt idx="18">
                  <c:v>30</c:v>
                </c:pt>
                <c:pt idx="19">
                  <c:v>30</c:v>
                </c:pt>
                <c:pt idx="20">
                  <c:v>30</c:v>
                </c:pt>
                <c:pt idx="21">
                  <c:v>30</c:v>
                </c:pt>
                <c:pt idx="22">
                  <c:v>30</c:v>
                </c:pt>
                <c:pt idx="23">
                  <c:v>30</c:v>
                </c:pt>
                <c:pt idx="24">
                  <c:v>30</c:v>
                </c:pt>
                <c:pt idx="25">
                  <c:v>30</c:v>
                </c:pt>
                <c:pt idx="26">
                  <c:v>30</c:v>
                </c:pt>
                <c:pt idx="27">
                  <c:v>28</c:v>
                </c:pt>
                <c:pt idx="28">
                  <c:v>28</c:v>
                </c:pt>
                <c:pt idx="29">
                  <c:v>28</c:v>
                </c:pt>
                <c:pt idx="30">
                  <c:v>26</c:v>
                </c:pt>
                <c:pt idx="31">
                  <c:v>24</c:v>
                </c:pt>
                <c:pt idx="32">
                  <c:v>23</c:v>
                </c:pt>
                <c:pt idx="33">
                  <c:v>21</c:v>
                </c:pt>
                <c:pt idx="34">
                  <c:v>20</c:v>
                </c:pt>
                <c:pt idx="35">
                  <c:v>20</c:v>
                </c:pt>
                <c:pt idx="36">
                  <c:v>19</c:v>
                </c:pt>
                <c:pt idx="37">
                  <c:v>19</c:v>
                </c:pt>
                <c:pt idx="38">
                  <c:v>19</c:v>
                </c:pt>
                <c:pt idx="39">
                  <c:v>19</c:v>
                </c:pt>
                <c:pt idx="40">
                  <c:v>19</c:v>
                </c:pt>
              </c:numCache>
            </c:numRef>
          </c:val>
          <c:smooth val="0"/>
          <c:extLst>
            <c:ext xmlns:c16="http://schemas.microsoft.com/office/drawing/2014/chart" uri="{C3380CC4-5D6E-409C-BE32-E72D297353CC}">
              <c16:uniqueId val="{00000003-1D94-4796-82D8-1DF6696144E1}"/>
            </c:ext>
          </c:extLst>
        </c:ser>
        <c:ser>
          <c:idx val="4"/>
          <c:order val="4"/>
          <c:tx>
            <c:strRef>
              <c:f>CorporateRates!$A$6</c:f>
              <c:strCache>
                <c:ptCount val="1"/>
                <c:pt idx="0">
                  <c:v>United States</c:v>
                </c:pt>
              </c:strCache>
            </c:strRef>
          </c:tx>
          <c:spPr>
            <a:ln w="28575" cap="rnd">
              <a:solidFill>
                <a:srgbClr val="008B8C"/>
              </a:solidFill>
              <a:round/>
            </a:ln>
            <a:effectLst/>
          </c:spPr>
          <c:marker>
            <c:symbol val="none"/>
          </c:marker>
          <c:cat>
            <c:numRef>
              <c:f>CorporateRates!$B$1:$AP$1</c:f>
              <c:numCache>
                <c:formatCode>General</c:formatCode>
                <c:ptCount val="41"/>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pt idx="39">
                  <c:v>2020</c:v>
                </c:pt>
                <c:pt idx="40">
                  <c:v>2021</c:v>
                </c:pt>
              </c:numCache>
            </c:numRef>
          </c:cat>
          <c:val>
            <c:numRef>
              <c:f>CorporateRates!$B$6:$AP$6</c:f>
              <c:numCache>
                <c:formatCode>0.00</c:formatCode>
                <c:ptCount val="41"/>
                <c:pt idx="0">
                  <c:v>49.699000000000005</c:v>
                </c:pt>
                <c:pt idx="1">
                  <c:v>49.699000000000005</c:v>
                </c:pt>
                <c:pt idx="2">
                  <c:v>49.834000000000003</c:v>
                </c:pt>
                <c:pt idx="3">
                  <c:v>49.785399999999996</c:v>
                </c:pt>
                <c:pt idx="4">
                  <c:v>49.785399999999996</c:v>
                </c:pt>
                <c:pt idx="5">
                  <c:v>49.8232</c:v>
                </c:pt>
                <c:pt idx="6">
                  <c:v>44.176000000000002</c:v>
                </c:pt>
                <c:pt idx="7">
                  <c:v>38.593600000000002</c:v>
                </c:pt>
                <c:pt idx="8">
                  <c:v>38.666200000000003</c:v>
                </c:pt>
                <c:pt idx="9">
                  <c:v>38.652999999999999</c:v>
                </c:pt>
                <c:pt idx="10">
                  <c:v>38.850999999999999</c:v>
                </c:pt>
                <c:pt idx="11">
                  <c:v>38.864199999999997</c:v>
                </c:pt>
                <c:pt idx="12">
                  <c:v>39.7515</c:v>
                </c:pt>
                <c:pt idx="13">
                  <c:v>39.686500000000002</c:v>
                </c:pt>
                <c:pt idx="14">
                  <c:v>39.608500000000006</c:v>
                </c:pt>
                <c:pt idx="15">
                  <c:v>39.530499999999996</c:v>
                </c:pt>
                <c:pt idx="16">
                  <c:v>39.452500000000001</c:v>
                </c:pt>
                <c:pt idx="17">
                  <c:v>39.439499999999995</c:v>
                </c:pt>
                <c:pt idx="18">
                  <c:v>39.393999999999998</c:v>
                </c:pt>
                <c:pt idx="19">
                  <c:v>39.340000000000003</c:v>
                </c:pt>
                <c:pt idx="20">
                  <c:v>39.271000000000001</c:v>
                </c:pt>
                <c:pt idx="21">
                  <c:v>39.296999999999997</c:v>
                </c:pt>
                <c:pt idx="22">
                  <c:v>39.323</c:v>
                </c:pt>
                <c:pt idx="23">
                  <c:v>39.316000000000003</c:v>
                </c:pt>
                <c:pt idx="24">
                  <c:v>39.29</c:v>
                </c:pt>
                <c:pt idx="25">
                  <c:v>39.302999999999997</c:v>
                </c:pt>
                <c:pt idx="26">
                  <c:v>39.271000000000001</c:v>
                </c:pt>
                <c:pt idx="27">
                  <c:v>39.250999999999998</c:v>
                </c:pt>
                <c:pt idx="28">
                  <c:v>39.159999999999997</c:v>
                </c:pt>
                <c:pt idx="29">
                  <c:v>39.206000000000003</c:v>
                </c:pt>
                <c:pt idx="30">
                  <c:v>39.192999999999998</c:v>
                </c:pt>
                <c:pt idx="31">
                  <c:v>39.134</c:v>
                </c:pt>
                <c:pt idx="32">
                  <c:v>39.049999999999997</c:v>
                </c:pt>
                <c:pt idx="33">
                  <c:v>39.076000000000001</c:v>
                </c:pt>
                <c:pt idx="34">
                  <c:v>38.997999999999998</c:v>
                </c:pt>
                <c:pt idx="35">
                  <c:v>38.923999999999999</c:v>
                </c:pt>
                <c:pt idx="36">
                  <c:v>38.905999999999999</c:v>
                </c:pt>
                <c:pt idx="37">
                  <c:v>25.838999999999999</c:v>
                </c:pt>
                <c:pt idx="38">
                  <c:v>25.885999999999999</c:v>
                </c:pt>
                <c:pt idx="39">
                  <c:v>25.766999999999999</c:v>
                </c:pt>
                <c:pt idx="40">
                  <c:v>25.754999999999999</c:v>
                </c:pt>
              </c:numCache>
            </c:numRef>
          </c:val>
          <c:smooth val="0"/>
          <c:extLst>
            <c:ext xmlns:c16="http://schemas.microsoft.com/office/drawing/2014/chart" uri="{C3380CC4-5D6E-409C-BE32-E72D297353CC}">
              <c16:uniqueId val="{00000004-1D94-4796-82D8-1DF6696144E1}"/>
            </c:ext>
          </c:extLst>
        </c:ser>
        <c:ser>
          <c:idx val="5"/>
          <c:order val="5"/>
          <c:tx>
            <c:strRef>
              <c:f>CorporateRates!$A$7</c:f>
              <c:strCache>
                <c:ptCount val="1"/>
                <c:pt idx="0">
                  <c:v>OECD unweighted average</c:v>
                </c:pt>
              </c:strCache>
            </c:strRef>
          </c:tx>
          <c:spPr>
            <a:ln w="28575" cap="rnd">
              <a:solidFill>
                <a:srgbClr val="DFD8AD"/>
              </a:solidFill>
              <a:prstDash val="sysDash"/>
              <a:round/>
            </a:ln>
            <a:effectLst/>
          </c:spPr>
          <c:marker>
            <c:symbol val="none"/>
          </c:marker>
          <c:cat>
            <c:numRef>
              <c:f>CorporateRates!$B$1:$AP$1</c:f>
              <c:numCache>
                <c:formatCode>General</c:formatCode>
                <c:ptCount val="41"/>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pt idx="39">
                  <c:v>2020</c:v>
                </c:pt>
                <c:pt idx="40">
                  <c:v>2021</c:v>
                </c:pt>
              </c:numCache>
            </c:numRef>
          </c:cat>
          <c:val>
            <c:numRef>
              <c:f>CorporateRates!$B$7:$AP$7</c:f>
              <c:numCache>
                <c:formatCode>0.00</c:formatCode>
                <c:ptCount val="41"/>
                <c:pt idx="0">
                  <c:v>47.450863479052813</c:v>
                </c:pt>
                <c:pt idx="1">
                  <c:v>48.032727122907446</c:v>
                </c:pt>
                <c:pt idx="2">
                  <c:v>47.847613479052825</c:v>
                </c:pt>
                <c:pt idx="3">
                  <c:v>47.711977153265671</c:v>
                </c:pt>
                <c:pt idx="4">
                  <c:v>48.178643819932347</c:v>
                </c:pt>
                <c:pt idx="5">
                  <c:v>47.230817659814377</c:v>
                </c:pt>
                <c:pt idx="6">
                  <c:v>46.567180692167582</c:v>
                </c:pt>
                <c:pt idx="7">
                  <c:v>43.998915883424402</c:v>
                </c:pt>
                <c:pt idx="8">
                  <c:v>42.661488143732406</c:v>
                </c:pt>
                <c:pt idx="9">
                  <c:v>41.046738856850759</c:v>
                </c:pt>
                <c:pt idx="10">
                  <c:v>39.557044116578588</c:v>
                </c:pt>
                <c:pt idx="11">
                  <c:v>38.05628054952296</c:v>
                </c:pt>
                <c:pt idx="12">
                  <c:v>37.630000954937309</c:v>
                </c:pt>
                <c:pt idx="13">
                  <c:v>37.084123028515904</c:v>
                </c:pt>
                <c:pt idx="14">
                  <c:v>36.237729908076318</c:v>
                </c:pt>
                <c:pt idx="15">
                  <c:v>36.193778933929686</c:v>
                </c:pt>
                <c:pt idx="16">
                  <c:v>36.181103748352825</c:v>
                </c:pt>
                <c:pt idx="17">
                  <c:v>35.243356593304803</c:v>
                </c:pt>
                <c:pt idx="18">
                  <c:v>34.458263895418845</c:v>
                </c:pt>
                <c:pt idx="19">
                  <c:v>32.319189189189188</c:v>
                </c:pt>
                <c:pt idx="20">
                  <c:v>31.4427027027027</c:v>
                </c:pt>
                <c:pt idx="21">
                  <c:v>30.143729729729728</c:v>
                </c:pt>
                <c:pt idx="22">
                  <c:v>29.643270270270275</c:v>
                </c:pt>
                <c:pt idx="23">
                  <c:v>28.822270270270277</c:v>
                </c:pt>
                <c:pt idx="24">
                  <c:v>27.831702702702707</c:v>
                </c:pt>
                <c:pt idx="25">
                  <c:v>27.398054054054057</c:v>
                </c:pt>
                <c:pt idx="26">
                  <c:v>26.709378378378378</c:v>
                </c:pt>
                <c:pt idx="27">
                  <c:v>25.654594594594592</c:v>
                </c:pt>
                <c:pt idx="28">
                  <c:v>25.528486486486486</c:v>
                </c:pt>
                <c:pt idx="29">
                  <c:v>25.357216216216216</c:v>
                </c:pt>
                <c:pt idx="30">
                  <c:v>25.295783783783779</c:v>
                </c:pt>
                <c:pt idx="31">
                  <c:v>25.208297297297296</c:v>
                </c:pt>
                <c:pt idx="32">
                  <c:v>25.330621621621621</c:v>
                </c:pt>
                <c:pt idx="33">
                  <c:v>25.157324324324325</c:v>
                </c:pt>
                <c:pt idx="34">
                  <c:v>25.106378378378384</c:v>
                </c:pt>
                <c:pt idx="35">
                  <c:v>24.802567567567568</c:v>
                </c:pt>
                <c:pt idx="36">
                  <c:v>24.623486486486485</c:v>
                </c:pt>
                <c:pt idx="37">
                  <c:v>24.046783783783784</c:v>
                </c:pt>
                <c:pt idx="38">
                  <c:v>23.728324324324323</c:v>
                </c:pt>
                <c:pt idx="39">
                  <c:v>23.505216216216219</c:v>
                </c:pt>
                <c:pt idx="40">
                  <c:v>23.172105263157899</c:v>
                </c:pt>
              </c:numCache>
            </c:numRef>
          </c:val>
          <c:smooth val="0"/>
          <c:extLst>
            <c:ext xmlns:c16="http://schemas.microsoft.com/office/drawing/2014/chart" uri="{C3380CC4-5D6E-409C-BE32-E72D297353CC}">
              <c16:uniqueId val="{00000005-1D94-4796-82D8-1DF6696144E1}"/>
            </c:ext>
          </c:extLst>
        </c:ser>
        <c:ser>
          <c:idx val="6"/>
          <c:order val="6"/>
          <c:tx>
            <c:strRef>
              <c:f>CorporateRates!$A$8</c:f>
              <c:strCache>
                <c:ptCount val="1"/>
                <c:pt idx="0">
                  <c:v>OECD weighted average</c:v>
                </c:pt>
              </c:strCache>
            </c:strRef>
          </c:tx>
          <c:spPr>
            <a:ln w="28575" cap="rnd">
              <a:solidFill>
                <a:srgbClr val="D3471F"/>
              </a:solidFill>
              <a:prstDash val="sysDash"/>
              <a:round/>
            </a:ln>
            <a:effectLst/>
          </c:spPr>
          <c:marker>
            <c:symbol val="none"/>
          </c:marker>
          <c:cat>
            <c:numRef>
              <c:f>CorporateRates!$B$1:$AP$1</c:f>
              <c:numCache>
                <c:formatCode>General</c:formatCode>
                <c:ptCount val="41"/>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pt idx="39">
                  <c:v>2020</c:v>
                </c:pt>
                <c:pt idx="40">
                  <c:v>2021</c:v>
                </c:pt>
              </c:numCache>
            </c:numRef>
          </c:cat>
          <c:val>
            <c:numRef>
              <c:f>CorporateRates!$B$8:$AP$8</c:f>
              <c:numCache>
                <c:formatCode>0.00</c:formatCode>
                <c:ptCount val="41"/>
                <c:pt idx="0">
                  <c:v>40.249582071288849</c:v>
                </c:pt>
                <c:pt idx="1">
                  <c:v>40.591151272103374</c:v>
                </c:pt>
                <c:pt idx="2">
                  <c:v>40.356743387659598</c:v>
                </c:pt>
                <c:pt idx="3">
                  <c:v>40.33049992567075</c:v>
                </c:pt>
                <c:pt idx="4">
                  <c:v>40.068954833452139</c:v>
                </c:pt>
                <c:pt idx="5">
                  <c:v>39.240020067732416</c:v>
                </c:pt>
                <c:pt idx="6">
                  <c:v>36.642390538101964</c:v>
                </c:pt>
                <c:pt idx="7">
                  <c:v>33.833447566151925</c:v>
                </c:pt>
                <c:pt idx="8">
                  <c:v>33.693132095547796</c:v>
                </c:pt>
                <c:pt idx="9">
                  <c:v>38.651296074812869</c:v>
                </c:pt>
                <c:pt idx="10">
                  <c:v>38.645230683270853</c:v>
                </c:pt>
                <c:pt idx="11">
                  <c:v>38.755506295741306</c:v>
                </c:pt>
                <c:pt idx="12">
                  <c:v>38.810226160477114</c:v>
                </c:pt>
                <c:pt idx="13">
                  <c:v>38.358354172340974</c:v>
                </c:pt>
                <c:pt idx="14">
                  <c:v>38.759379829809099</c:v>
                </c:pt>
                <c:pt idx="15">
                  <c:v>38.6497004445405</c:v>
                </c:pt>
                <c:pt idx="16">
                  <c:v>38.644882056852147</c:v>
                </c:pt>
                <c:pt idx="17">
                  <c:v>37.539792974727703</c:v>
                </c:pt>
                <c:pt idx="18">
                  <c:v>36.364423090325147</c:v>
                </c:pt>
                <c:pt idx="19">
                  <c:v>38.189484923296959</c:v>
                </c:pt>
                <c:pt idx="20">
                  <c:v>36.793065333775473</c:v>
                </c:pt>
                <c:pt idx="21">
                  <c:v>36.510060156620398</c:v>
                </c:pt>
                <c:pt idx="22">
                  <c:v>36.275698088606852</c:v>
                </c:pt>
                <c:pt idx="23">
                  <c:v>35.748089753613982</c:v>
                </c:pt>
                <c:pt idx="24">
                  <c:v>35.253340198028049</c:v>
                </c:pt>
                <c:pt idx="25">
                  <c:v>34.810818012981542</c:v>
                </c:pt>
                <c:pt idx="26">
                  <c:v>34.413466534896415</c:v>
                </c:pt>
                <c:pt idx="27">
                  <c:v>33.060576232108232</c:v>
                </c:pt>
                <c:pt idx="28">
                  <c:v>32.853729796343316</c:v>
                </c:pt>
                <c:pt idx="29">
                  <c:v>32.821549681205703</c:v>
                </c:pt>
                <c:pt idx="30">
                  <c:v>32.661455765222073</c:v>
                </c:pt>
                <c:pt idx="31">
                  <c:v>32.516784401970099</c:v>
                </c:pt>
                <c:pt idx="32">
                  <c:v>32.278089775523767</c:v>
                </c:pt>
                <c:pt idx="33">
                  <c:v>32.146085105791911</c:v>
                </c:pt>
                <c:pt idx="34">
                  <c:v>31.586185235486603</c:v>
                </c:pt>
                <c:pt idx="35">
                  <c:v>31.032859673841102</c:v>
                </c:pt>
                <c:pt idx="36">
                  <c:v>31.248773038756706</c:v>
                </c:pt>
                <c:pt idx="37">
                  <c:v>26.459608893795654</c:v>
                </c:pt>
                <c:pt idx="38">
                  <c:v>26.376631522001102</c:v>
                </c:pt>
                <c:pt idx="39">
                  <c:v>26.158397278772249</c:v>
                </c:pt>
                <c:pt idx="40">
                  <c:v>24.6</c:v>
                </c:pt>
              </c:numCache>
            </c:numRef>
          </c:val>
          <c:smooth val="0"/>
          <c:extLst>
            <c:ext xmlns:c16="http://schemas.microsoft.com/office/drawing/2014/chart" uri="{C3380CC4-5D6E-409C-BE32-E72D297353CC}">
              <c16:uniqueId val="{00000006-1D94-4796-82D8-1DF6696144E1}"/>
            </c:ext>
          </c:extLst>
        </c:ser>
        <c:dLbls>
          <c:showLegendKey val="0"/>
          <c:showVal val="0"/>
          <c:showCatName val="0"/>
          <c:showSerName val="0"/>
          <c:showPercent val="0"/>
          <c:showBubbleSize val="0"/>
        </c:dLbls>
        <c:smooth val="0"/>
        <c:axId val="1036226400"/>
        <c:axId val="1036226816"/>
      </c:lineChart>
      <c:catAx>
        <c:axId val="1036226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rgbClr val="008B8C"/>
                </a:solidFill>
                <a:latin typeface="Cronos Pro" panose="020C0502030403020304" pitchFamily="34" charset="0"/>
                <a:ea typeface="+mn-ea"/>
                <a:cs typeface="+mn-cs"/>
              </a:defRPr>
            </a:pPr>
            <a:endParaRPr lang="en-US"/>
          </a:p>
        </c:txPr>
        <c:crossAx val="1036226816"/>
        <c:crosses val="autoZero"/>
        <c:auto val="1"/>
        <c:lblAlgn val="ctr"/>
        <c:lblOffset val="100"/>
        <c:tickLblSkip val="2"/>
        <c:noMultiLvlLbl val="0"/>
      </c:catAx>
      <c:valAx>
        <c:axId val="1036226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rgbClr val="008B8C"/>
                    </a:solidFill>
                    <a:latin typeface="+mn-lt"/>
                    <a:ea typeface="+mn-ea"/>
                    <a:cs typeface="+mn-cs"/>
                  </a:defRPr>
                </a:pPr>
                <a:r>
                  <a:rPr lang="en-NZ">
                    <a:solidFill>
                      <a:srgbClr val="008B8C"/>
                    </a:solidFill>
                    <a:latin typeface="Cronos Pro" panose="020C0502030403020304" pitchFamily="34" charset="0"/>
                  </a:rPr>
                  <a:t>Company</a:t>
                </a:r>
                <a:r>
                  <a:rPr lang="en-NZ" baseline="0">
                    <a:solidFill>
                      <a:srgbClr val="008B8C"/>
                    </a:solidFill>
                    <a:latin typeface="Cronos Pro" panose="020C0502030403020304" pitchFamily="34" charset="0"/>
                  </a:rPr>
                  <a:t> Tax Rate </a:t>
                </a:r>
              </a:p>
              <a:p>
                <a:pPr>
                  <a:defRPr>
                    <a:solidFill>
                      <a:srgbClr val="008B8C"/>
                    </a:solidFill>
                  </a:defRPr>
                </a:pPr>
                <a:r>
                  <a:rPr lang="en-NZ" baseline="0">
                    <a:solidFill>
                      <a:srgbClr val="008B8C"/>
                    </a:solidFill>
                    <a:latin typeface="Cronos Pro" panose="020C0502030403020304" pitchFamily="34" charset="0"/>
                  </a:rPr>
                  <a:t>(%)</a:t>
                </a:r>
                <a:endParaRPr lang="en-NZ">
                  <a:solidFill>
                    <a:srgbClr val="008B8C"/>
                  </a:solidFill>
                  <a:latin typeface="Cronos Pro" panose="020C0502030403020304" pitchFamily="34" charset="0"/>
                </a:endParaRPr>
              </a:p>
            </c:rich>
          </c:tx>
          <c:layout>
            <c:manualLayout>
              <c:xMode val="edge"/>
              <c:yMode val="edge"/>
              <c:x val="1.0922039181962325E-2"/>
              <c:y val="0.3807066466561131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rgbClr val="008B8C"/>
                  </a:solidFill>
                  <a:latin typeface="+mn-lt"/>
                  <a:ea typeface="+mn-ea"/>
                  <a:cs typeface="+mn-cs"/>
                </a:defRPr>
              </a:pPr>
              <a:endParaRPr lang="en-US"/>
            </a:p>
          </c:txPr>
        </c:title>
        <c:numFmt formatCode="#,##0" sourceLinked="0"/>
        <c:majorTickMark val="out"/>
        <c:minorTickMark val="none"/>
        <c:tickLblPos val="nextTo"/>
        <c:spPr>
          <a:noFill/>
          <a:ln w="12700">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rgbClr val="008B8C"/>
                </a:solidFill>
                <a:latin typeface="Cronos Pro" panose="020C0502030403020304" pitchFamily="34" charset="0"/>
                <a:ea typeface="+mn-ea"/>
                <a:cs typeface="+mn-cs"/>
              </a:defRPr>
            </a:pPr>
            <a:endParaRPr lang="en-US"/>
          </a:p>
        </c:txPr>
        <c:crossAx val="1036226400"/>
        <c:crosses val="autoZero"/>
        <c:crossBetween val="midCat"/>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Fdi_1!$A$2</c:f>
              <c:strCache>
                <c:ptCount val="1"/>
                <c:pt idx="0">
                  <c:v>Australia</c:v>
                </c:pt>
              </c:strCache>
            </c:strRef>
          </c:tx>
          <c:spPr>
            <a:ln w="28575" cap="rnd">
              <a:solidFill>
                <a:srgbClr val="4C5762"/>
              </a:solidFill>
              <a:round/>
            </a:ln>
            <a:effectLst/>
          </c:spPr>
          <c:marker>
            <c:symbol val="none"/>
          </c:marker>
          <c:dPt>
            <c:idx val="1"/>
            <c:marker>
              <c:symbol val="none"/>
            </c:marker>
            <c:bubble3D val="0"/>
            <c:spPr>
              <a:ln w="28575" cap="rnd">
                <a:solidFill>
                  <a:srgbClr val="4C5762"/>
                </a:solidFill>
                <a:prstDash val="solid"/>
                <a:round/>
              </a:ln>
              <a:effectLst/>
            </c:spPr>
            <c:extLst>
              <c:ext xmlns:c16="http://schemas.microsoft.com/office/drawing/2014/chart" uri="{C3380CC4-5D6E-409C-BE32-E72D297353CC}">
                <c16:uniqueId val="{00000001-84FB-4BCD-99D1-638BAAEE06A9}"/>
              </c:ext>
            </c:extLst>
          </c:dPt>
          <c:dPt>
            <c:idx val="16"/>
            <c:marker>
              <c:symbol val="none"/>
            </c:marker>
            <c:bubble3D val="0"/>
            <c:spPr>
              <a:ln w="28575" cap="rnd">
                <a:solidFill>
                  <a:srgbClr val="4C5762"/>
                </a:solidFill>
                <a:prstDash val="sysDot"/>
                <a:round/>
              </a:ln>
              <a:effectLst/>
            </c:spPr>
            <c:extLst>
              <c:ext xmlns:c16="http://schemas.microsoft.com/office/drawing/2014/chart" uri="{C3380CC4-5D6E-409C-BE32-E72D297353CC}">
                <c16:uniqueId val="{00000003-84FB-4BCD-99D1-638BAAEE06A9}"/>
              </c:ext>
            </c:extLst>
          </c:dPt>
          <c:cat>
            <c:numRef>
              <c:f>Fdi_1!$B$1:$R$1</c:f>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Fdi_1!$B$2:$R$2</c:f>
              <c:numCache>
                <c:formatCode>0</c:formatCode>
                <c:ptCount val="17"/>
                <c:pt idx="0">
                  <c:v>32</c:v>
                </c:pt>
                <c:pt idx="1">
                  <c:v>37</c:v>
                </c:pt>
                <c:pt idx="2">
                  <c:v>40</c:v>
                </c:pt>
                <c:pt idx="3">
                  <c:v>29</c:v>
                </c:pt>
                <c:pt idx="4">
                  <c:v>43</c:v>
                </c:pt>
                <c:pt idx="5">
                  <c:v>41</c:v>
                </c:pt>
                <c:pt idx="6">
                  <c:v>36</c:v>
                </c:pt>
                <c:pt idx="7">
                  <c:v>39</c:v>
                </c:pt>
                <c:pt idx="8">
                  <c:v>37</c:v>
                </c:pt>
                <c:pt idx="9">
                  <c:v>40</c:v>
                </c:pt>
                <c:pt idx="10">
                  <c:v>45</c:v>
                </c:pt>
                <c:pt idx="11">
                  <c:v>47</c:v>
                </c:pt>
                <c:pt idx="12">
                  <c:v>50</c:v>
                </c:pt>
                <c:pt idx="13">
                  <c:v>48</c:v>
                </c:pt>
                <c:pt idx="14">
                  <c:v>53</c:v>
                </c:pt>
                <c:pt idx="15">
                  <c:v>56</c:v>
                </c:pt>
                <c:pt idx="16">
                  <c:v>56</c:v>
                </c:pt>
              </c:numCache>
            </c:numRef>
          </c:val>
          <c:smooth val="0"/>
          <c:extLst>
            <c:ext xmlns:c16="http://schemas.microsoft.com/office/drawing/2014/chart" uri="{C3380CC4-5D6E-409C-BE32-E72D297353CC}">
              <c16:uniqueId val="{00000004-84FB-4BCD-99D1-638BAAEE06A9}"/>
            </c:ext>
          </c:extLst>
        </c:ser>
        <c:ser>
          <c:idx val="3"/>
          <c:order val="3"/>
          <c:tx>
            <c:strRef>
              <c:f>Fdi_1!$A$4</c:f>
              <c:strCache>
                <c:ptCount val="1"/>
                <c:pt idx="0">
                  <c:v>New Zealand</c:v>
                </c:pt>
              </c:strCache>
            </c:strRef>
          </c:tx>
          <c:spPr>
            <a:ln w="28575" cap="rnd">
              <a:solidFill>
                <a:srgbClr val="F2E24F"/>
              </a:solidFill>
              <a:round/>
            </a:ln>
            <a:effectLst/>
          </c:spPr>
          <c:marker>
            <c:symbol val="none"/>
          </c:marker>
          <c:cat>
            <c:numRef>
              <c:f>Fdi_1!$B$1:$R$1</c:f>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Fdi_1!$B$4:$R$4</c:f>
              <c:numCache>
                <c:formatCode>0</c:formatCode>
                <c:ptCount val="17"/>
                <c:pt idx="0">
                  <c:v>45</c:v>
                </c:pt>
                <c:pt idx="1">
                  <c:v>43</c:v>
                </c:pt>
                <c:pt idx="2">
                  <c:v>33</c:v>
                </c:pt>
                <c:pt idx="3">
                  <c:v>47</c:v>
                </c:pt>
                <c:pt idx="4">
                  <c:v>39</c:v>
                </c:pt>
                <c:pt idx="5">
                  <c:v>38</c:v>
                </c:pt>
                <c:pt idx="6">
                  <c:v>41</c:v>
                </c:pt>
                <c:pt idx="7">
                  <c:v>39</c:v>
                </c:pt>
                <c:pt idx="8">
                  <c:v>38</c:v>
                </c:pt>
                <c:pt idx="9">
                  <c:v>37</c:v>
                </c:pt>
                <c:pt idx="10">
                  <c:v>37</c:v>
                </c:pt>
                <c:pt idx="11">
                  <c:v>37</c:v>
                </c:pt>
                <c:pt idx="12">
                  <c:v>36</c:v>
                </c:pt>
                <c:pt idx="13">
                  <c:v>38</c:v>
                </c:pt>
                <c:pt idx="14">
                  <c:v>44</c:v>
                </c:pt>
                <c:pt idx="15">
                  <c:v>37</c:v>
                </c:pt>
                <c:pt idx="16" formatCode="General">
                  <c:v>37</c:v>
                </c:pt>
              </c:numCache>
            </c:numRef>
          </c:val>
          <c:smooth val="0"/>
          <c:extLst>
            <c:ext xmlns:c16="http://schemas.microsoft.com/office/drawing/2014/chart" uri="{C3380CC4-5D6E-409C-BE32-E72D297353CC}">
              <c16:uniqueId val="{00000005-84FB-4BCD-99D1-638BAAEE06A9}"/>
            </c:ext>
          </c:extLst>
        </c:ser>
        <c:ser>
          <c:idx val="4"/>
          <c:order val="4"/>
          <c:tx>
            <c:strRef>
              <c:f>Fdi_1!$A$5</c:f>
              <c:strCache>
                <c:ptCount val="1"/>
                <c:pt idx="0">
                  <c:v>United Kingdom</c:v>
                </c:pt>
              </c:strCache>
            </c:strRef>
          </c:tx>
          <c:spPr>
            <a:ln w="28575" cap="rnd">
              <a:solidFill>
                <a:srgbClr val="612166"/>
              </a:solidFill>
              <a:round/>
            </a:ln>
            <a:effectLst/>
          </c:spPr>
          <c:marker>
            <c:symbol val="none"/>
          </c:marker>
          <c:cat>
            <c:numRef>
              <c:f>Fdi_1!$B$1:$R$1</c:f>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Fdi_1!$B$5:$R$5</c:f>
              <c:numCache>
                <c:formatCode>0</c:formatCode>
                <c:ptCount val="17"/>
                <c:pt idx="0">
                  <c:v>38</c:v>
                </c:pt>
                <c:pt idx="1">
                  <c:v>36</c:v>
                </c:pt>
                <c:pt idx="2">
                  <c:v>31</c:v>
                </c:pt>
                <c:pt idx="3">
                  <c:v>43</c:v>
                </c:pt>
                <c:pt idx="4">
                  <c:v>43</c:v>
                </c:pt>
                <c:pt idx="5">
                  <c:v>44</c:v>
                </c:pt>
                <c:pt idx="6">
                  <c:v>53</c:v>
                </c:pt>
                <c:pt idx="7">
                  <c:v>54</c:v>
                </c:pt>
                <c:pt idx="8">
                  <c:v>52</c:v>
                </c:pt>
                <c:pt idx="9">
                  <c:v>52</c:v>
                </c:pt>
                <c:pt idx="10">
                  <c:v>54</c:v>
                </c:pt>
                <c:pt idx="11">
                  <c:v>71</c:v>
                </c:pt>
                <c:pt idx="12">
                  <c:v>70</c:v>
                </c:pt>
                <c:pt idx="13">
                  <c:v>72</c:v>
                </c:pt>
                <c:pt idx="14">
                  <c:v>82</c:v>
                </c:pt>
                <c:pt idx="15">
                  <c:v>83</c:v>
                </c:pt>
                <c:pt idx="16" formatCode="General">
                  <c:v>83</c:v>
                </c:pt>
              </c:numCache>
            </c:numRef>
          </c:val>
          <c:smooth val="0"/>
          <c:extLst>
            <c:ext xmlns:c16="http://schemas.microsoft.com/office/drawing/2014/chart" uri="{C3380CC4-5D6E-409C-BE32-E72D297353CC}">
              <c16:uniqueId val="{00000006-84FB-4BCD-99D1-638BAAEE06A9}"/>
            </c:ext>
          </c:extLst>
        </c:ser>
        <c:ser>
          <c:idx val="5"/>
          <c:order val="5"/>
          <c:tx>
            <c:strRef>
              <c:f>Fdi_1!$A$6</c:f>
              <c:strCache>
                <c:ptCount val="1"/>
                <c:pt idx="0">
                  <c:v>United States</c:v>
                </c:pt>
              </c:strCache>
            </c:strRef>
          </c:tx>
          <c:spPr>
            <a:ln w="28575" cap="rnd">
              <a:solidFill>
                <a:srgbClr val="008B8C"/>
              </a:solidFill>
              <a:round/>
            </a:ln>
            <a:effectLst/>
          </c:spPr>
          <c:marker>
            <c:symbol val="none"/>
          </c:marker>
          <c:cat>
            <c:numRef>
              <c:f>Fdi_1!$B$1:$R$1</c:f>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Fdi_1!$B$6:$R$6</c:f>
              <c:numCache>
                <c:formatCode>0</c:formatCode>
                <c:ptCount val="17"/>
                <c:pt idx="0">
                  <c:v>24</c:v>
                </c:pt>
                <c:pt idx="1">
                  <c:v>25</c:v>
                </c:pt>
                <c:pt idx="2">
                  <c:v>17</c:v>
                </c:pt>
                <c:pt idx="3">
                  <c:v>21</c:v>
                </c:pt>
                <c:pt idx="4">
                  <c:v>23</c:v>
                </c:pt>
                <c:pt idx="5">
                  <c:v>23</c:v>
                </c:pt>
                <c:pt idx="6">
                  <c:v>24</c:v>
                </c:pt>
                <c:pt idx="7">
                  <c:v>29</c:v>
                </c:pt>
                <c:pt idx="8">
                  <c:v>31</c:v>
                </c:pt>
                <c:pt idx="9">
                  <c:v>31</c:v>
                </c:pt>
                <c:pt idx="10">
                  <c:v>35</c:v>
                </c:pt>
                <c:pt idx="11">
                  <c:v>40</c:v>
                </c:pt>
                <c:pt idx="12">
                  <c:v>36</c:v>
                </c:pt>
                <c:pt idx="13">
                  <c:v>44</c:v>
                </c:pt>
                <c:pt idx="14">
                  <c:v>52</c:v>
                </c:pt>
                <c:pt idx="15">
                  <c:v>59</c:v>
                </c:pt>
                <c:pt idx="16" formatCode="General">
                  <c:v>59</c:v>
                </c:pt>
              </c:numCache>
            </c:numRef>
          </c:val>
          <c:smooth val="0"/>
          <c:extLst>
            <c:ext xmlns:c16="http://schemas.microsoft.com/office/drawing/2014/chart" uri="{C3380CC4-5D6E-409C-BE32-E72D297353CC}">
              <c16:uniqueId val="{00000007-84FB-4BCD-99D1-638BAAEE06A9}"/>
            </c:ext>
          </c:extLst>
        </c:ser>
        <c:ser>
          <c:idx val="7"/>
          <c:order val="8"/>
          <c:tx>
            <c:strRef>
              <c:f>Fdi_2!$A$41</c:f>
              <c:strCache>
                <c:ptCount val="1"/>
                <c:pt idx="0">
                  <c:v>OECD weighted average</c:v>
                </c:pt>
              </c:strCache>
            </c:strRef>
          </c:tx>
          <c:spPr>
            <a:ln w="28575" cap="rnd">
              <a:solidFill>
                <a:srgbClr val="D3471F"/>
              </a:solidFill>
              <a:prstDash val="sysDash"/>
              <a:round/>
            </a:ln>
            <a:effectLst/>
          </c:spPr>
          <c:marker>
            <c:symbol val="none"/>
          </c:marker>
          <c:cat>
            <c:numRef>
              <c:f>Fdi_1!$B$1:$R$1</c:f>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Fdi_2!$B$41:$R$41</c:f>
              <c:numCache>
                <c:formatCode>0</c:formatCode>
                <c:ptCount val="17"/>
                <c:pt idx="0">
                  <c:v>19.843942545788128</c:v>
                </c:pt>
                <c:pt idx="1">
                  <c:v>22.378326748489101</c:v>
                </c:pt>
                <c:pt idx="2">
                  <c:v>24.33025871916179</c:v>
                </c:pt>
                <c:pt idx="3">
                  <c:v>18.218015704238333</c:v>
                </c:pt>
                <c:pt idx="4">
                  <c:v>23.234288876046236</c:v>
                </c:pt>
                <c:pt idx="5">
                  <c:v>23.800548709169007</c:v>
                </c:pt>
                <c:pt idx="6">
                  <c:v>22.812295740851983</c:v>
                </c:pt>
                <c:pt idx="7">
                  <c:v>25.546814267670658</c:v>
                </c:pt>
                <c:pt idx="8">
                  <c:v>31.746451959451072</c:v>
                </c:pt>
                <c:pt idx="9">
                  <c:v>33.612546296088098</c:v>
                </c:pt>
                <c:pt idx="10">
                  <c:v>37.130136499642838</c:v>
                </c:pt>
                <c:pt idx="11">
                  <c:v>39.32020974887179</c:v>
                </c:pt>
                <c:pt idx="12">
                  <c:v>44.501286837369307</c:v>
                </c:pt>
                <c:pt idx="13">
                  <c:v>40.877229101717575</c:v>
                </c:pt>
                <c:pt idx="14">
                  <c:v>46.557738335100566</c:v>
                </c:pt>
                <c:pt idx="15">
                  <c:v>56.387628749687607</c:v>
                </c:pt>
                <c:pt idx="16">
                  <c:v>55.618595446462649</c:v>
                </c:pt>
              </c:numCache>
            </c:numRef>
          </c:val>
          <c:smooth val="0"/>
          <c:extLst>
            <c:ext xmlns:c16="http://schemas.microsoft.com/office/drawing/2014/chart" uri="{C3380CC4-5D6E-409C-BE32-E72D297353CC}">
              <c16:uniqueId val="{00000008-84FB-4BCD-99D1-638BAAEE06A9}"/>
            </c:ext>
          </c:extLst>
        </c:ser>
        <c:dLbls>
          <c:showLegendKey val="0"/>
          <c:showVal val="0"/>
          <c:showCatName val="0"/>
          <c:showSerName val="0"/>
          <c:showPercent val="0"/>
          <c:showBubbleSize val="0"/>
        </c:dLbls>
        <c:smooth val="0"/>
        <c:axId val="2112602576"/>
        <c:axId val="2112603824"/>
        <c:extLst>
          <c:ext xmlns:c15="http://schemas.microsoft.com/office/drawing/2012/chart" uri="{02D57815-91ED-43cb-92C2-25804820EDAC}">
            <c15:filteredLineSeries>
              <c15:ser>
                <c:idx val="0"/>
                <c:order val="0"/>
                <c:tx>
                  <c:strRef>
                    <c:extLst>
                      <c:ext uri="{02D57815-91ED-43cb-92C2-25804820EDAC}">
                        <c15:formulaRef>
                          <c15:sqref>Fdi_1!$A$1</c15:sqref>
                        </c15:formulaRef>
                      </c:ext>
                    </c:extLst>
                    <c:strCache>
                      <c:ptCount val="1"/>
                      <c:pt idx="0">
                        <c:v>(Year, Country)</c:v>
                      </c:pt>
                    </c:strCache>
                  </c:strRef>
                </c:tx>
                <c:spPr>
                  <a:ln w="28575" cap="rnd">
                    <a:solidFill>
                      <a:schemeClr val="accent1"/>
                    </a:solidFill>
                    <a:round/>
                  </a:ln>
                  <a:effectLst/>
                </c:spPr>
                <c:marker>
                  <c:symbol val="none"/>
                </c:marker>
                <c:cat>
                  <c:numRef>
                    <c:extLst>
                      <c:ext uri="{02D57815-91ED-43cb-92C2-25804820EDAC}">
                        <c15:formulaRef>
                          <c15:sqref>Fdi_1!$B$1:$R$1</c15:sqref>
                        </c15:formulaRef>
                      </c:ext>
                    </c:extLst>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extLst>
                      <c:ext uri="{02D57815-91ED-43cb-92C2-25804820EDAC}">
                        <c15:formulaRef>
                          <c15:sqref>Fdi_1!$B$1:$R$1</c15:sqref>
                        </c15:formulaRef>
                      </c:ext>
                    </c:extLst>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val>
                <c:smooth val="0"/>
                <c:extLst>
                  <c:ext xmlns:c16="http://schemas.microsoft.com/office/drawing/2014/chart" uri="{C3380CC4-5D6E-409C-BE32-E72D297353CC}">
                    <c16:uniqueId val="{00000009-84FB-4BCD-99D1-638BAAEE06A9}"/>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Fdi_1!$A$3</c15:sqref>
                        </c15:formulaRef>
                      </c:ext>
                    </c:extLst>
                    <c:strCache>
                      <c:ptCount val="1"/>
                      <c:pt idx="0">
                        <c:v>Canada</c:v>
                      </c:pt>
                    </c:strCache>
                  </c:strRef>
                </c:tx>
                <c:spPr>
                  <a:ln w="28575" cap="rnd">
                    <a:solidFill>
                      <a:srgbClr val="AA1974"/>
                    </a:solidFill>
                    <a:round/>
                  </a:ln>
                  <a:effectLst/>
                </c:spPr>
                <c:marker>
                  <c:symbol val="none"/>
                </c:marker>
                <c:cat>
                  <c:numRef>
                    <c:extLst xmlns:c15="http://schemas.microsoft.com/office/drawing/2012/chart">
                      <c:ext xmlns:c15="http://schemas.microsoft.com/office/drawing/2012/chart" uri="{02D57815-91ED-43cb-92C2-25804820EDAC}">
                        <c15:formulaRef>
                          <c15:sqref>Fdi_1!$B$1:$R$1</c15:sqref>
                        </c15:formulaRef>
                      </c:ext>
                    </c:extLst>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extLst xmlns:c15="http://schemas.microsoft.com/office/drawing/2012/chart">
                      <c:ext xmlns:c15="http://schemas.microsoft.com/office/drawing/2012/chart" uri="{02D57815-91ED-43cb-92C2-25804820EDAC}">
                        <c15:formulaRef>
                          <c15:sqref>Fdi_1!$B$3:$R$3</c15:sqref>
                        </c15:formulaRef>
                      </c:ext>
                    </c:extLst>
                    <c:numCache>
                      <c:formatCode>0</c:formatCode>
                      <c:ptCount val="17"/>
                      <c:pt idx="0">
                        <c:v>54</c:v>
                      </c:pt>
                      <c:pt idx="1">
                        <c:v>70</c:v>
                      </c:pt>
                      <c:pt idx="2">
                        <c:v>40</c:v>
                      </c:pt>
                      <c:pt idx="3">
                        <c:v>63</c:v>
                      </c:pt>
                      <c:pt idx="4">
                        <c:v>61</c:v>
                      </c:pt>
                      <c:pt idx="5">
                        <c:v>48</c:v>
                      </c:pt>
                      <c:pt idx="6">
                        <c:v>52</c:v>
                      </c:pt>
                      <c:pt idx="7">
                        <c:v>53</c:v>
                      </c:pt>
                      <c:pt idx="8">
                        <c:v>55</c:v>
                      </c:pt>
                      <c:pt idx="9">
                        <c:v>52</c:v>
                      </c:pt>
                      <c:pt idx="10">
                        <c:v>59</c:v>
                      </c:pt>
                      <c:pt idx="11">
                        <c:v>57</c:v>
                      </c:pt>
                      <c:pt idx="12">
                        <c:v>54</c:v>
                      </c:pt>
                      <c:pt idx="13">
                        <c:v>66</c:v>
                      </c:pt>
                      <c:pt idx="14">
                        <c:v>75</c:v>
                      </c:pt>
                      <c:pt idx="15">
                        <c:v>72</c:v>
                      </c:pt>
                      <c:pt idx="16" formatCode="General">
                        <c:v>72</c:v>
                      </c:pt>
                    </c:numCache>
                  </c:numRef>
                </c:val>
                <c:smooth val="0"/>
                <c:extLst xmlns:c15="http://schemas.microsoft.com/office/drawing/2012/chart">
                  <c:ext xmlns:c16="http://schemas.microsoft.com/office/drawing/2014/chart" uri="{C3380CC4-5D6E-409C-BE32-E72D297353CC}">
                    <c16:uniqueId val="{0000000A-84FB-4BCD-99D1-638BAAEE06A9}"/>
                  </c:ext>
                </c:extLst>
              </c15:ser>
            </c15:filteredLineSeries>
            <c15:filteredLineSeries>
              <c15:ser>
                <c:idx val="6"/>
                <c:order val="6"/>
                <c:tx>
                  <c:v>OECD</c:v>
                </c:tx>
                <c:spPr>
                  <a:ln w="28575" cap="rnd">
                    <a:solidFill>
                      <a:srgbClr val="DFD8AD"/>
                    </a:solidFill>
                    <a:round/>
                  </a:ln>
                  <a:effectLst/>
                </c:spPr>
                <c:marker>
                  <c:symbol val="none"/>
                </c:marker>
                <c:cat>
                  <c:numRef>
                    <c:extLst xmlns:c15="http://schemas.microsoft.com/office/drawing/2012/chart">
                      <c:ext xmlns:c15="http://schemas.microsoft.com/office/drawing/2012/chart" uri="{02D57815-91ED-43cb-92C2-25804820EDAC}">
                        <c15:formulaRef>
                          <c15:sqref>Fdi_1!$B$1:$R$1</c15:sqref>
                        </c15:formulaRef>
                      </c:ext>
                    </c:extLst>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extLst xmlns:c15="http://schemas.microsoft.com/office/drawing/2012/chart">
                      <c:ext xmlns:c15="http://schemas.microsoft.com/office/drawing/2012/chart" uri="{02D57815-91ED-43cb-92C2-25804820EDAC}">
                        <c15:formulaRef>
                          <c15:sqref>Fdi_1!$B$7:$R$7</c15:sqref>
                        </c15:formulaRef>
                      </c:ext>
                    </c:extLst>
                    <c:numCache>
                      <c:formatCode>General</c:formatCode>
                      <c:ptCount val="17"/>
                      <c:pt idx="0">
                        <c:v>24</c:v>
                      </c:pt>
                      <c:pt idx="1">
                        <c:v>27</c:v>
                      </c:pt>
                      <c:pt idx="2">
                        <c:v>30</c:v>
                      </c:pt>
                      <c:pt idx="3">
                        <c:v>23</c:v>
                      </c:pt>
                      <c:pt idx="4">
                        <c:v>29</c:v>
                      </c:pt>
                      <c:pt idx="5">
                        <c:v>29</c:v>
                      </c:pt>
                      <c:pt idx="6">
                        <c:v>28</c:v>
                      </c:pt>
                      <c:pt idx="7">
                        <c:v>31</c:v>
                      </c:pt>
                      <c:pt idx="8">
                        <c:v>34</c:v>
                      </c:pt>
                      <c:pt idx="9">
                        <c:v>34</c:v>
                      </c:pt>
                      <c:pt idx="10">
                        <c:v>37</c:v>
                      </c:pt>
                      <c:pt idx="11">
                        <c:v>39</c:v>
                      </c:pt>
                      <c:pt idx="12">
                        <c:v>44</c:v>
                      </c:pt>
                      <c:pt idx="13">
                        <c:v>41</c:v>
                      </c:pt>
                      <c:pt idx="14">
                        <c:v>46</c:v>
                      </c:pt>
                      <c:pt idx="15">
                        <c:v>56</c:v>
                      </c:pt>
                      <c:pt idx="16">
                        <c:v>56</c:v>
                      </c:pt>
                    </c:numCache>
                  </c:numRef>
                </c:val>
                <c:smooth val="0"/>
                <c:extLst xmlns:c15="http://schemas.microsoft.com/office/drawing/2012/chart">
                  <c:ext xmlns:c16="http://schemas.microsoft.com/office/drawing/2014/chart" uri="{C3380CC4-5D6E-409C-BE32-E72D297353CC}">
                    <c16:uniqueId val="{0000000B-84FB-4BCD-99D1-638BAAEE06A9}"/>
                  </c:ext>
                </c:extLst>
              </c15:ser>
            </c15:filteredLineSeries>
            <c15:filteredLineSeries>
              <c15:ser>
                <c:idx val="8"/>
                <c:order val="7"/>
                <c:tx>
                  <c:strRef>
                    <c:extLst xmlns:c15="http://schemas.microsoft.com/office/drawing/2012/chart">
                      <c:ext xmlns:c15="http://schemas.microsoft.com/office/drawing/2012/chart" uri="{02D57815-91ED-43cb-92C2-25804820EDAC}">
                        <c15:formulaRef>
                          <c15:sqref>Fdi!$A$48</c15:sqref>
                        </c15:formulaRef>
                      </c:ext>
                    </c:extLst>
                    <c:strCache>
                      <c:ptCount val="1"/>
                      <c:pt idx="0">
                        <c:v>OECD unweighted average</c:v>
                      </c:pt>
                    </c:strCache>
                  </c:strRef>
                </c:tx>
                <c:spPr>
                  <a:ln w="28575" cap="rnd">
                    <a:solidFill>
                      <a:srgbClr val="DFD8AD"/>
                    </a:solidFill>
                    <a:prstDash val="sysDash"/>
                    <a:round/>
                  </a:ln>
                  <a:effectLst/>
                </c:spPr>
                <c:marker>
                  <c:symbol val="none"/>
                </c:marker>
                <c:val>
                  <c:numRef>
                    <c:extLst xmlns:c15="http://schemas.microsoft.com/office/drawing/2012/chart">
                      <c:ext xmlns:c15="http://schemas.microsoft.com/office/drawing/2012/chart" uri="{02D57815-91ED-43cb-92C2-25804820EDAC}">
                        <c15:formulaRef>
                          <c15:sqref>Fdi!$B$48:$R$48</c15:sqref>
                        </c15:formulaRef>
                      </c:ext>
                    </c:extLst>
                    <c:numCache>
                      <c:formatCode>0</c:formatCode>
                      <c:ptCount val="17"/>
                      <c:pt idx="0">
                        <c:v>33.428571428571431</c:v>
                      </c:pt>
                      <c:pt idx="1">
                        <c:v>37.785714285714285</c:v>
                      </c:pt>
                      <c:pt idx="2">
                        <c:v>41.535714285714285</c:v>
                      </c:pt>
                      <c:pt idx="3">
                        <c:v>32.785714285714285</c:v>
                      </c:pt>
                      <c:pt idx="4">
                        <c:v>42.620689655172413</c:v>
                      </c:pt>
                      <c:pt idx="5">
                        <c:v>43</c:v>
                      </c:pt>
                      <c:pt idx="6">
                        <c:v>39.620689655172413</c:v>
                      </c:pt>
                      <c:pt idx="7">
                        <c:v>53.3</c:v>
                      </c:pt>
                      <c:pt idx="8">
                        <c:v>54.5</c:v>
                      </c:pt>
                      <c:pt idx="9">
                        <c:v>50.472222222222221</c:v>
                      </c:pt>
                      <c:pt idx="10">
                        <c:v>67.432432432432435</c:v>
                      </c:pt>
                      <c:pt idx="11">
                        <c:v>65.810810810810807</c:v>
                      </c:pt>
                      <c:pt idx="12">
                        <c:v>68.89473684210526</c:v>
                      </c:pt>
                      <c:pt idx="13">
                        <c:v>61.473684210526315</c:v>
                      </c:pt>
                      <c:pt idx="14">
                        <c:v>67.55263157894737</c:v>
                      </c:pt>
                      <c:pt idx="15">
                        <c:v>112.27027027027027</c:v>
                      </c:pt>
                      <c:pt idx="16">
                        <c:v>111.89285714285714</c:v>
                      </c:pt>
                    </c:numCache>
                  </c:numRef>
                </c:val>
                <c:smooth val="0"/>
                <c:extLst xmlns:c15="http://schemas.microsoft.com/office/drawing/2012/chart">
                  <c:ext xmlns:c16="http://schemas.microsoft.com/office/drawing/2014/chart" uri="{C3380CC4-5D6E-409C-BE32-E72D297353CC}">
                    <c16:uniqueId val="{0000000C-84FB-4BCD-99D1-638BAAEE06A9}"/>
                  </c:ext>
                </c:extLst>
              </c15:ser>
            </c15:filteredLineSeries>
          </c:ext>
        </c:extLst>
      </c:lineChart>
      <c:catAx>
        <c:axId val="21126025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rgbClr val="008B8C"/>
                </a:solidFill>
                <a:latin typeface="Cronos Pro" panose="020C0502030403020304" pitchFamily="34" charset="0"/>
                <a:ea typeface="+mn-ea"/>
                <a:cs typeface="+mn-cs"/>
              </a:defRPr>
            </a:pPr>
            <a:endParaRPr lang="en-US"/>
          </a:p>
        </c:txPr>
        <c:crossAx val="2112603824"/>
        <c:crosses val="autoZero"/>
        <c:auto val="1"/>
        <c:lblAlgn val="ctr"/>
        <c:lblOffset val="100"/>
        <c:tickLblSkip val="1"/>
        <c:noMultiLvlLbl val="0"/>
      </c:catAx>
      <c:valAx>
        <c:axId val="2112603824"/>
        <c:scaling>
          <c:orientation val="minMax"/>
          <c:max val="13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solidFill>
                      <a:srgbClr val="008B8C"/>
                    </a:solidFill>
                    <a:latin typeface="Cronos Pro" panose="020C0502030403020304" pitchFamily="34" charset="0"/>
                  </a:rPr>
                  <a:t>Foreign Direct Investment as a Percentage of GDP</a:t>
                </a:r>
              </a:p>
              <a:p>
                <a:pPr>
                  <a:defRPr/>
                </a:pPr>
                <a:r>
                  <a:rPr lang="en-NZ">
                    <a:solidFill>
                      <a:srgbClr val="008B8C"/>
                    </a:solidFill>
                    <a:latin typeface="Cronos Pro" panose="020C0502030403020304" pitchFamily="34" charset="0"/>
                  </a:rPr>
                  <a:t>(%)</a:t>
                </a:r>
              </a:p>
            </c:rich>
          </c:tx>
          <c:overlay val="0"/>
          <c:spPr>
            <a:solidFill>
              <a:sysClr val="window" lastClr="FFFFFF"/>
            </a:solid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solidFill>
            <a:schemeClr val="bg1"/>
          </a:solidFill>
          <a:ln>
            <a:solidFill>
              <a:schemeClr val="bg2"/>
            </a:solidFill>
          </a:ln>
          <a:effectLst/>
        </c:spPr>
        <c:txPr>
          <a:bodyPr rot="-60000000" spcFirstLastPara="1" vertOverflow="ellipsis" vert="horz" wrap="square" anchor="ctr" anchorCtr="1"/>
          <a:lstStyle/>
          <a:p>
            <a:pPr>
              <a:defRPr sz="900" b="0" i="0" u="none" strike="noStrike" kern="1200" baseline="0">
                <a:solidFill>
                  <a:srgbClr val="008B8C"/>
                </a:solidFill>
                <a:latin typeface="Cronos Pro" panose="020C0502030403020304" pitchFamily="34" charset="0"/>
                <a:ea typeface="+mn-ea"/>
                <a:cs typeface="+mn-cs"/>
              </a:defRPr>
            </a:pPr>
            <a:endParaRPr lang="en-US"/>
          </a:p>
        </c:txPr>
        <c:crossAx val="2112602576"/>
        <c:crossesAt val="0"/>
        <c:crossBetween val="midCat"/>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Odi_1!$A$2</c:f>
              <c:strCache>
                <c:ptCount val="1"/>
                <c:pt idx="0">
                  <c:v>Australia</c:v>
                </c:pt>
              </c:strCache>
            </c:strRef>
          </c:tx>
          <c:spPr>
            <a:ln w="28575" cap="rnd">
              <a:solidFill>
                <a:srgbClr val="4C5762"/>
              </a:solidFill>
              <a:round/>
            </a:ln>
            <a:effectLst/>
          </c:spPr>
          <c:marker>
            <c:symbol val="none"/>
          </c:marker>
          <c:cat>
            <c:numRef>
              <c:f>Odi_1!$B$1:$Q$1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extLst/>
            </c:numRef>
          </c:cat>
          <c:val>
            <c:numRef>
              <c:f>Odi_1!$B$2:$Q$2</c:f>
              <c:numCache>
                <c:formatCode>0</c:formatCode>
                <c:ptCount val="16"/>
                <c:pt idx="0">
                  <c:v>27</c:v>
                </c:pt>
                <c:pt idx="1">
                  <c:v>32</c:v>
                </c:pt>
                <c:pt idx="2">
                  <c:v>35</c:v>
                </c:pt>
                <c:pt idx="3">
                  <c:v>23</c:v>
                </c:pt>
                <c:pt idx="4">
                  <c:v>36</c:v>
                </c:pt>
                <c:pt idx="5">
                  <c:v>35</c:v>
                </c:pt>
                <c:pt idx="6">
                  <c:v>27</c:v>
                </c:pt>
                <c:pt idx="7">
                  <c:v>30</c:v>
                </c:pt>
                <c:pt idx="8">
                  <c:v>30</c:v>
                </c:pt>
                <c:pt idx="9">
                  <c:v>32</c:v>
                </c:pt>
                <c:pt idx="10">
                  <c:v>33</c:v>
                </c:pt>
                <c:pt idx="11">
                  <c:v>33</c:v>
                </c:pt>
                <c:pt idx="12">
                  <c:v>36</c:v>
                </c:pt>
                <c:pt idx="13">
                  <c:v>34</c:v>
                </c:pt>
                <c:pt idx="14">
                  <c:v>42</c:v>
                </c:pt>
                <c:pt idx="15">
                  <c:v>44</c:v>
                </c:pt>
              </c:numCache>
              <c:extLst/>
            </c:numRef>
          </c:val>
          <c:smooth val="0"/>
          <c:extLst>
            <c:ext xmlns:c16="http://schemas.microsoft.com/office/drawing/2014/chart" uri="{C3380CC4-5D6E-409C-BE32-E72D297353CC}">
              <c16:uniqueId val="{00000000-C4AF-42B1-A77C-F4C416D9A086}"/>
            </c:ext>
          </c:extLst>
        </c:ser>
        <c:ser>
          <c:idx val="2"/>
          <c:order val="2"/>
          <c:tx>
            <c:strRef>
              <c:f>Odi_1!$A$4</c:f>
              <c:strCache>
                <c:ptCount val="1"/>
                <c:pt idx="0">
                  <c:v>New Zealand</c:v>
                </c:pt>
              </c:strCache>
            </c:strRef>
          </c:tx>
          <c:spPr>
            <a:ln w="28575" cap="rnd">
              <a:solidFill>
                <a:srgbClr val="F2E24F"/>
              </a:solidFill>
              <a:round/>
            </a:ln>
            <a:effectLst/>
          </c:spPr>
          <c:marker>
            <c:symbol val="none"/>
          </c:marker>
          <c:cat>
            <c:numRef>
              <c:f>Odi_1!$B$1:$Q$1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extLst/>
            </c:numRef>
          </c:cat>
          <c:val>
            <c:numRef>
              <c:f>Odi_1!$B$4:$Q$4</c:f>
              <c:numCache>
                <c:formatCode>0</c:formatCode>
                <c:ptCount val="16"/>
                <c:pt idx="0">
                  <c:v>10</c:v>
                </c:pt>
                <c:pt idx="1">
                  <c:v>11</c:v>
                </c:pt>
                <c:pt idx="2">
                  <c:v>11</c:v>
                </c:pt>
                <c:pt idx="3">
                  <c:v>10</c:v>
                </c:pt>
                <c:pt idx="4">
                  <c:v>11</c:v>
                </c:pt>
                <c:pt idx="5">
                  <c:v>11</c:v>
                </c:pt>
                <c:pt idx="6">
                  <c:v>11</c:v>
                </c:pt>
                <c:pt idx="7">
                  <c:v>11</c:v>
                </c:pt>
                <c:pt idx="8">
                  <c:v>10</c:v>
                </c:pt>
                <c:pt idx="9">
                  <c:v>9</c:v>
                </c:pt>
                <c:pt idx="10">
                  <c:v>10</c:v>
                </c:pt>
                <c:pt idx="11">
                  <c:v>9</c:v>
                </c:pt>
                <c:pt idx="12">
                  <c:v>9</c:v>
                </c:pt>
                <c:pt idx="13">
                  <c:v>8</c:v>
                </c:pt>
                <c:pt idx="14">
                  <c:v>8</c:v>
                </c:pt>
                <c:pt idx="15">
                  <c:v>10</c:v>
                </c:pt>
              </c:numCache>
              <c:extLst/>
            </c:numRef>
          </c:val>
          <c:smooth val="0"/>
          <c:extLst>
            <c:ext xmlns:c16="http://schemas.microsoft.com/office/drawing/2014/chart" uri="{C3380CC4-5D6E-409C-BE32-E72D297353CC}">
              <c16:uniqueId val="{00000001-C4AF-42B1-A77C-F4C416D9A086}"/>
            </c:ext>
          </c:extLst>
        </c:ser>
        <c:ser>
          <c:idx val="3"/>
          <c:order val="3"/>
          <c:tx>
            <c:strRef>
              <c:f>Odi_1!$A$5</c:f>
              <c:strCache>
                <c:ptCount val="1"/>
                <c:pt idx="0">
                  <c:v>United Kingdom</c:v>
                </c:pt>
              </c:strCache>
            </c:strRef>
          </c:tx>
          <c:spPr>
            <a:ln w="28575" cap="rnd">
              <a:solidFill>
                <a:srgbClr val="612166"/>
              </a:solidFill>
              <a:round/>
            </a:ln>
            <a:effectLst/>
          </c:spPr>
          <c:marker>
            <c:symbol val="none"/>
          </c:marker>
          <c:cat>
            <c:numRef>
              <c:f>Odi_1!$B$1:$Q$1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extLst/>
            </c:numRef>
          </c:cat>
          <c:val>
            <c:numRef>
              <c:f>Odi_1!$B$5:$Q$5</c:f>
              <c:numCache>
                <c:formatCode>0</c:formatCode>
                <c:ptCount val="16"/>
                <c:pt idx="0">
                  <c:v>49</c:v>
                </c:pt>
                <c:pt idx="1">
                  <c:v>54</c:v>
                </c:pt>
                <c:pt idx="2">
                  <c:v>60</c:v>
                </c:pt>
                <c:pt idx="3">
                  <c:v>56</c:v>
                </c:pt>
                <c:pt idx="4">
                  <c:v>68</c:v>
                </c:pt>
                <c:pt idx="5">
                  <c:v>68</c:v>
                </c:pt>
                <c:pt idx="6">
                  <c:v>65</c:v>
                </c:pt>
                <c:pt idx="7">
                  <c:v>63</c:v>
                </c:pt>
                <c:pt idx="8">
                  <c:v>65</c:v>
                </c:pt>
                <c:pt idx="9">
                  <c:v>55</c:v>
                </c:pt>
                <c:pt idx="10">
                  <c:v>55</c:v>
                </c:pt>
                <c:pt idx="11">
                  <c:v>58</c:v>
                </c:pt>
                <c:pt idx="12">
                  <c:v>69</c:v>
                </c:pt>
                <c:pt idx="13">
                  <c:v>65</c:v>
                </c:pt>
                <c:pt idx="14">
                  <c:v>69</c:v>
                </c:pt>
                <c:pt idx="15">
                  <c:v>79</c:v>
                </c:pt>
              </c:numCache>
              <c:extLst/>
            </c:numRef>
          </c:val>
          <c:smooth val="0"/>
          <c:extLst>
            <c:ext xmlns:c16="http://schemas.microsoft.com/office/drawing/2014/chart" uri="{C3380CC4-5D6E-409C-BE32-E72D297353CC}">
              <c16:uniqueId val="{00000002-C4AF-42B1-A77C-F4C416D9A086}"/>
            </c:ext>
          </c:extLst>
        </c:ser>
        <c:ser>
          <c:idx val="4"/>
          <c:order val="4"/>
          <c:tx>
            <c:strRef>
              <c:f>Odi_1!$A$6</c:f>
              <c:strCache>
                <c:ptCount val="1"/>
                <c:pt idx="0">
                  <c:v>United States</c:v>
                </c:pt>
              </c:strCache>
            </c:strRef>
          </c:tx>
          <c:spPr>
            <a:ln w="28575" cap="rnd">
              <a:solidFill>
                <a:srgbClr val="008B8C"/>
              </a:solidFill>
              <a:round/>
            </a:ln>
            <a:effectLst/>
          </c:spPr>
          <c:marker>
            <c:symbol val="none"/>
          </c:marker>
          <c:cat>
            <c:numRef>
              <c:f>Odi_1!$B$1:$Q$1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extLst/>
            </c:numRef>
          </c:cat>
          <c:val>
            <c:numRef>
              <c:f>Odi_1!$B$6:$Q$6</c:f>
              <c:numCache>
                <c:formatCode>0</c:formatCode>
                <c:ptCount val="16"/>
                <c:pt idx="0">
                  <c:v>28</c:v>
                </c:pt>
                <c:pt idx="1">
                  <c:v>32</c:v>
                </c:pt>
                <c:pt idx="2">
                  <c:v>37</c:v>
                </c:pt>
                <c:pt idx="3">
                  <c:v>21</c:v>
                </c:pt>
                <c:pt idx="4">
                  <c:v>30</c:v>
                </c:pt>
                <c:pt idx="5">
                  <c:v>32</c:v>
                </c:pt>
                <c:pt idx="6">
                  <c:v>29</c:v>
                </c:pt>
                <c:pt idx="7">
                  <c:v>32</c:v>
                </c:pt>
                <c:pt idx="8">
                  <c:v>37</c:v>
                </c:pt>
                <c:pt idx="9">
                  <c:v>36</c:v>
                </c:pt>
                <c:pt idx="10">
                  <c:v>33</c:v>
                </c:pt>
                <c:pt idx="11">
                  <c:v>34</c:v>
                </c:pt>
                <c:pt idx="12">
                  <c:v>40</c:v>
                </c:pt>
                <c:pt idx="13">
                  <c:v>31</c:v>
                </c:pt>
                <c:pt idx="14">
                  <c:v>35</c:v>
                </c:pt>
                <c:pt idx="15">
                  <c:v>39</c:v>
                </c:pt>
              </c:numCache>
              <c:extLst/>
            </c:numRef>
          </c:val>
          <c:smooth val="0"/>
          <c:extLst>
            <c:ext xmlns:c16="http://schemas.microsoft.com/office/drawing/2014/chart" uri="{C3380CC4-5D6E-409C-BE32-E72D297353CC}">
              <c16:uniqueId val="{00000003-C4AF-42B1-A77C-F4C416D9A086}"/>
            </c:ext>
          </c:extLst>
        </c:ser>
        <c:ser>
          <c:idx val="6"/>
          <c:order val="7"/>
          <c:tx>
            <c:strRef>
              <c:f>Odi_2!$A$41</c:f>
              <c:strCache>
                <c:ptCount val="1"/>
                <c:pt idx="0">
                  <c:v>OECD weighted average</c:v>
                </c:pt>
              </c:strCache>
            </c:strRef>
          </c:tx>
          <c:spPr>
            <a:ln w="28575" cap="rnd">
              <a:solidFill>
                <a:srgbClr val="D3471F"/>
              </a:solidFill>
              <a:prstDash val="sysDash"/>
              <a:round/>
            </a:ln>
            <a:effectLst/>
          </c:spPr>
          <c:marker>
            <c:symbol val="none"/>
          </c:marker>
          <c:cat>
            <c:numRef>
              <c:f>Odi_1!$B$1:$Q$1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extLst/>
            </c:numRef>
          </c:cat>
          <c:val>
            <c:numRef>
              <c:f>Odi_2!$B$41:$Q$41</c:f>
              <c:numCache>
                <c:formatCode>0</c:formatCode>
                <c:ptCount val="16"/>
                <c:pt idx="0">
                  <c:v>24.161077619537707</c:v>
                </c:pt>
                <c:pt idx="1">
                  <c:v>27.852610141335617</c:v>
                </c:pt>
                <c:pt idx="2">
                  <c:v>31.130521398631466</c:v>
                </c:pt>
                <c:pt idx="3">
                  <c:v>22.944727364306335</c:v>
                </c:pt>
                <c:pt idx="4">
                  <c:v>30.148073014492944</c:v>
                </c:pt>
                <c:pt idx="5">
                  <c:v>31.35245369555739</c:v>
                </c:pt>
                <c:pt idx="6">
                  <c:v>29.199217254403521</c:v>
                </c:pt>
                <c:pt idx="7">
                  <c:v>31.811121891699045</c:v>
                </c:pt>
                <c:pt idx="8">
                  <c:v>38.676922777021659</c:v>
                </c:pt>
                <c:pt idx="9">
                  <c:v>40.018315606837291</c:v>
                </c:pt>
                <c:pt idx="10">
                  <c:v>43.319873159054339</c:v>
                </c:pt>
                <c:pt idx="11">
                  <c:v>43.652048740654394</c:v>
                </c:pt>
                <c:pt idx="12">
                  <c:v>49.948977737493564</c:v>
                </c:pt>
                <c:pt idx="13">
                  <c:v>43.381257261478432</c:v>
                </c:pt>
                <c:pt idx="14">
                  <c:v>48.095451292239773</c:v>
                </c:pt>
                <c:pt idx="15">
                  <c:v>55.925193301942649</c:v>
                </c:pt>
              </c:numCache>
              <c:extLst/>
            </c:numRef>
          </c:val>
          <c:smooth val="0"/>
          <c:extLst>
            <c:ext xmlns:c16="http://schemas.microsoft.com/office/drawing/2014/chart" uri="{C3380CC4-5D6E-409C-BE32-E72D297353CC}">
              <c16:uniqueId val="{00000004-C4AF-42B1-A77C-F4C416D9A086}"/>
            </c:ext>
          </c:extLst>
        </c:ser>
        <c:dLbls>
          <c:showLegendKey val="0"/>
          <c:showVal val="0"/>
          <c:showCatName val="0"/>
          <c:showSerName val="0"/>
          <c:showPercent val="0"/>
          <c:showBubbleSize val="0"/>
        </c:dLbls>
        <c:smooth val="0"/>
        <c:axId val="1395974863"/>
        <c:axId val="1395978191"/>
        <c:extLst>
          <c:ext xmlns:c15="http://schemas.microsoft.com/office/drawing/2012/chart" uri="{02D57815-91ED-43cb-92C2-25804820EDAC}">
            <c15:filteredLineSeries>
              <c15:ser>
                <c:idx val="1"/>
                <c:order val="1"/>
                <c:tx>
                  <c:strRef>
                    <c:extLst>
                      <c:ext uri="{02D57815-91ED-43cb-92C2-25804820EDAC}">
                        <c15:formulaRef>
                          <c15:sqref>Odi_1!$A$3</c15:sqref>
                        </c15:formulaRef>
                      </c:ext>
                    </c:extLst>
                    <c:strCache>
                      <c:ptCount val="1"/>
                      <c:pt idx="0">
                        <c:v>Canada</c:v>
                      </c:pt>
                    </c:strCache>
                  </c:strRef>
                </c:tx>
                <c:spPr>
                  <a:ln w="28575" cap="rnd">
                    <a:solidFill>
                      <a:srgbClr val="99004F"/>
                    </a:solidFill>
                    <a:round/>
                  </a:ln>
                  <a:effectLst/>
                </c:spPr>
                <c:marker>
                  <c:symbol val="none"/>
                </c:marker>
                <c:cat>
                  <c:numRef>
                    <c:extLst>
                      <c:ext uri="{02D57815-91ED-43cb-92C2-25804820EDAC}">
                        <c15:formulaRef>
                          <c15:sqref>Odi_1!$B$1:$Q$1</c15:sqref>
                        </c15:formulaRef>
                      </c:ext>
                    </c:extLst>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extLst>
                      <c:ext uri="{02D57815-91ED-43cb-92C2-25804820EDAC}">
                        <c15:formulaRef>
                          <c15:sqref>Odi_1!$B$3:$Q$3</c15:sqref>
                        </c15:formulaRef>
                      </c:ext>
                    </c:extLst>
                    <c:numCache>
                      <c:formatCode>0</c:formatCode>
                      <c:ptCount val="16"/>
                      <c:pt idx="0">
                        <c:v>59</c:v>
                      </c:pt>
                      <c:pt idx="1">
                        <c:v>59</c:v>
                      </c:pt>
                      <c:pt idx="2">
                        <c:v>65</c:v>
                      </c:pt>
                      <c:pt idx="3">
                        <c:v>42</c:v>
                      </c:pt>
                      <c:pt idx="4">
                        <c:v>65</c:v>
                      </c:pt>
                      <c:pt idx="5">
                        <c:v>62</c:v>
                      </c:pt>
                      <c:pt idx="6">
                        <c:v>50</c:v>
                      </c:pt>
                      <c:pt idx="7">
                        <c:v>53</c:v>
                      </c:pt>
                      <c:pt idx="8">
                        <c:v>61</c:v>
                      </c:pt>
                      <c:pt idx="9">
                        <c:v>62</c:v>
                      </c:pt>
                      <c:pt idx="10">
                        <c:v>74</c:v>
                      </c:pt>
                      <c:pt idx="11">
                        <c:v>84</c:v>
                      </c:pt>
                      <c:pt idx="12">
                        <c:v>93</c:v>
                      </c:pt>
                      <c:pt idx="13">
                        <c:v>79</c:v>
                      </c:pt>
                      <c:pt idx="14">
                        <c:v>96</c:v>
                      </c:pt>
                      <c:pt idx="15">
                        <c:v>118</c:v>
                      </c:pt>
                    </c:numCache>
                  </c:numRef>
                </c:val>
                <c:smooth val="0"/>
                <c:extLst>
                  <c:ext xmlns:c16="http://schemas.microsoft.com/office/drawing/2014/chart" uri="{C3380CC4-5D6E-409C-BE32-E72D297353CC}">
                    <c16:uniqueId val="{00000005-C4AF-42B1-A77C-F4C416D9A086}"/>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Odi_1!$A$7</c15:sqref>
                        </c15:formulaRef>
                      </c:ext>
                    </c:extLst>
                    <c:strCache>
                      <c:ptCount val="1"/>
                      <c:pt idx="0">
                        <c:v>OECD unweighted average</c:v>
                      </c:pt>
                    </c:strCache>
                  </c:strRef>
                </c:tx>
                <c:spPr>
                  <a:ln w="28575" cap="rnd">
                    <a:solidFill>
                      <a:srgbClr val="DFD8AD"/>
                    </a:solidFill>
                    <a:round/>
                  </a:ln>
                  <a:effectLst/>
                </c:spPr>
                <c:marker>
                  <c:symbol val="none"/>
                </c:marker>
                <c:cat>
                  <c:numRef>
                    <c:extLst xmlns:c15="http://schemas.microsoft.com/office/drawing/2012/chart">
                      <c:ext xmlns:c15="http://schemas.microsoft.com/office/drawing/2012/chart" uri="{02D57815-91ED-43cb-92C2-25804820EDAC}">
                        <c15:formulaRef>
                          <c15:sqref>Odi_1!$B$1:$Q$1</c15:sqref>
                        </c15:formulaRef>
                      </c:ext>
                    </c:extLst>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extLst xmlns:c15="http://schemas.microsoft.com/office/drawing/2012/chart">
                      <c:ext xmlns:c15="http://schemas.microsoft.com/office/drawing/2012/chart" uri="{02D57815-91ED-43cb-92C2-25804820EDAC}">
                        <c15:formulaRef>
                          <c15:sqref>Odi_1!$B$7:$Q$7</c15:sqref>
                        </c15:formulaRef>
                      </c:ext>
                    </c:extLst>
                    <c:numCache>
                      <c:formatCode>General</c:formatCode>
                      <c:ptCount val="16"/>
                      <c:pt idx="0">
                        <c:v>28</c:v>
                      </c:pt>
                      <c:pt idx="1">
                        <c:v>33</c:v>
                      </c:pt>
                      <c:pt idx="2">
                        <c:v>37</c:v>
                      </c:pt>
                      <c:pt idx="3">
                        <c:v>28</c:v>
                      </c:pt>
                      <c:pt idx="4">
                        <c:v>36</c:v>
                      </c:pt>
                      <c:pt idx="5">
                        <c:v>37</c:v>
                      </c:pt>
                      <c:pt idx="6">
                        <c:v>35</c:v>
                      </c:pt>
                      <c:pt idx="7">
                        <c:v>38</c:v>
                      </c:pt>
                      <c:pt idx="8">
                        <c:v>41</c:v>
                      </c:pt>
                      <c:pt idx="9">
                        <c:v>40</c:v>
                      </c:pt>
                      <c:pt idx="10">
                        <c:v>44</c:v>
                      </c:pt>
                      <c:pt idx="11">
                        <c:v>44</c:v>
                      </c:pt>
                      <c:pt idx="12">
                        <c:v>50</c:v>
                      </c:pt>
                      <c:pt idx="13">
                        <c:v>44</c:v>
                      </c:pt>
                      <c:pt idx="14">
                        <c:v>49</c:v>
                      </c:pt>
                      <c:pt idx="15">
                        <c:v>58</c:v>
                      </c:pt>
                    </c:numCache>
                  </c:numRef>
                </c:val>
                <c:smooth val="0"/>
                <c:extLst xmlns:c15="http://schemas.microsoft.com/office/drawing/2012/chart">
                  <c:ext xmlns:c16="http://schemas.microsoft.com/office/drawing/2014/chart" uri="{C3380CC4-5D6E-409C-BE32-E72D297353CC}">
                    <c16:uniqueId val="{00000006-C4AF-42B1-A77C-F4C416D9A086}"/>
                  </c:ext>
                </c:extLst>
              </c15:ser>
            </c15:filteredLineSeries>
            <c15:filteredLineSeries>
              <c15:ser>
                <c:idx val="7"/>
                <c:order val="6"/>
                <c:tx>
                  <c:strRef>
                    <c:extLst xmlns:c15="http://schemas.microsoft.com/office/drawing/2012/chart">
                      <c:ext xmlns:c15="http://schemas.microsoft.com/office/drawing/2012/chart" uri="{02D57815-91ED-43cb-92C2-25804820EDAC}">
                        <c15:formulaRef>
                          <c15:sqref>Odi!$A$56</c15:sqref>
                        </c15:formulaRef>
                      </c:ext>
                    </c:extLst>
                    <c:strCache>
                      <c:ptCount val="1"/>
                      <c:pt idx="0">
                        <c:v>OECD unweighted average</c:v>
                      </c:pt>
                    </c:strCache>
                  </c:strRef>
                </c:tx>
                <c:spPr>
                  <a:ln w="28575" cap="rnd">
                    <a:solidFill>
                      <a:srgbClr val="DFD8AD"/>
                    </a:solidFill>
                    <a:prstDash val="sysDash"/>
                    <a:round/>
                  </a:ln>
                  <a:effectLst/>
                </c:spPr>
                <c:marker>
                  <c:symbol val="none"/>
                </c:marker>
                <c:cat>
                  <c:numRef>
                    <c:extLst xmlns:c15="http://schemas.microsoft.com/office/drawing/2012/chart">
                      <c:ext xmlns:c15="http://schemas.microsoft.com/office/drawing/2012/chart" uri="{02D57815-91ED-43cb-92C2-25804820EDAC}">
                        <c15:formulaRef>
                          <c15:sqref>Odi_1!$B$1:$Q$1</c15:sqref>
                        </c15:formulaRef>
                      </c:ext>
                    </c:extLst>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extLst xmlns:c15="http://schemas.microsoft.com/office/drawing/2012/chart">
                      <c:ext xmlns:c15="http://schemas.microsoft.com/office/drawing/2012/chart" uri="{02D57815-91ED-43cb-92C2-25804820EDAC}">
                        <c15:formulaRef>
                          <c15:sqref>Odi!$B$56:$Q$56</c15:sqref>
                        </c15:formulaRef>
                      </c:ext>
                    </c:extLst>
                    <c:numCache>
                      <c:formatCode>0</c:formatCode>
                      <c:ptCount val="16"/>
                      <c:pt idx="0">
                        <c:v>21.785714285714285</c:v>
                      </c:pt>
                      <c:pt idx="1">
                        <c:v>26.071428571428573</c:v>
                      </c:pt>
                      <c:pt idx="2">
                        <c:v>29.642857142857142</c:v>
                      </c:pt>
                      <c:pt idx="3">
                        <c:v>24.035714285714285</c:v>
                      </c:pt>
                      <c:pt idx="4">
                        <c:v>31.344827586206897</c:v>
                      </c:pt>
                      <c:pt idx="5">
                        <c:v>33</c:v>
                      </c:pt>
                      <c:pt idx="6">
                        <c:v>31.103448275862068</c:v>
                      </c:pt>
                      <c:pt idx="7">
                        <c:v>42.366666666666667</c:v>
                      </c:pt>
                      <c:pt idx="8">
                        <c:v>46.971428571428568</c:v>
                      </c:pt>
                      <c:pt idx="9">
                        <c:v>48.194444444444443</c:v>
                      </c:pt>
                      <c:pt idx="10">
                        <c:v>57.945945945945944</c:v>
                      </c:pt>
                      <c:pt idx="11">
                        <c:v>56.527777777777779</c:v>
                      </c:pt>
                      <c:pt idx="12">
                        <c:v>62.05263157894737</c:v>
                      </c:pt>
                      <c:pt idx="13">
                        <c:v>54.078947368421055</c:v>
                      </c:pt>
                      <c:pt idx="14">
                        <c:v>60.921052631578945</c:v>
                      </c:pt>
                      <c:pt idx="15">
                        <c:v>107.43243243243244</c:v>
                      </c:pt>
                    </c:numCache>
                  </c:numRef>
                </c:val>
                <c:smooth val="0"/>
                <c:extLst xmlns:c15="http://schemas.microsoft.com/office/drawing/2012/chart">
                  <c:ext xmlns:c16="http://schemas.microsoft.com/office/drawing/2014/chart" uri="{C3380CC4-5D6E-409C-BE32-E72D297353CC}">
                    <c16:uniqueId val="{00000007-C4AF-42B1-A77C-F4C416D9A086}"/>
                  </c:ext>
                </c:extLst>
              </c15:ser>
            </c15:filteredLineSeries>
          </c:ext>
        </c:extLst>
      </c:lineChart>
      <c:catAx>
        <c:axId val="139597486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rgbClr val="008B8C"/>
                </a:solidFill>
                <a:latin typeface="Cronos Pro" panose="020C0502030403020304" pitchFamily="34" charset="0"/>
                <a:ea typeface="+mn-ea"/>
                <a:cs typeface="+mn-cs"/>
              </a:defRPr>
            </a:pPr>
            <a:endParaRPr lang="en-US"/>
          </a:p>
        </c:txPr>
        <c:crossAx val="1395978191"/>
        <c:crosses val="autoZero"/>
        <c:auto val="1"/>
        <c:lblAlgn val="ctr"/>
        <c:lblOffset val="100"/>
        <c:noMultiLvlLbl val="0"/>
      </c:catAx>
      <c:valAx>
        <c:axId val="13959781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rgbClr val="008B8C"/>
                    </a:solidFill>
                    <a:latin typeface="Cronos Pro" panose="020C0502030403020304" pitchFamily="34" charset="0"/>
                  </a:rPr>
                  <a:t>Overseas Direct Investment as a Percentage of GDP</a:t>
                </a:r>
              </a:p>
              <a:p>
                <a:pPr>
                  <a:defRPr/>
                </a:pPr>
                <a:r>
                  <a:rPr lang="en-US">
                    <a:solidFill>
                      <a:srgbClr val="008B8C"/>
                    </a:solidFill>
                    <a:latin typeface="Cronos Pro" panose="020C0502030403020304" pitchFamily="34" charset="0"/>
                  </a:rPr>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rgbClr val="008B8C"/>
                </a:solidFill>
                <a:latin typeface="Cronos Pro" panose="020C0502030403020304" pitchFamily="34" charset="0"/>
                <a:ea typeface="+mn-ea"/>
                <a:cs typeface="+mn-cs"/>
              </a:defRPr>
            </a:pPr>
            <a:endParaRPr lang="en-US"/>
          </a:p>
        </c:txPr>
        <c:crossAx val="1395974863"/>
        <c:crosses val="autoZero"/>
        <c:crossBetween val="midCat"/>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072255041814762E-2"/>
          <c:y val="2.2988505747126436E-2"/>
          <c:w val="0.88755298794815229"/>
          <c:h val="0.69299893851296757"/>
        </c:manualLayout>
      </c:layout>
      <c:lineChart>
        <c:grouping val="standard"/>
        <c:varyColors val="0"/>
        <c:ser>
          <c:idx val="1"/>
          <c:order val="0"/>
          <c:spPr>
            <a:ln w="28575" cap="rnd">
              <a:solidFill>
                <a:srgbClr val="4C5762"/>
              </a:solidFill>
              <a:round/>
            </a:ln>
            <a:effectLst/>
          </c:spPr>
          <c:marker>
            <c:symbol val="none"/>
          </c:marker>
          <c:cat>
            <c:numRef>
              <c:f>Nfcf!$B$129:$B$149</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extLst/>
            </c:numRef>
          </c:cat>
          <c:val>
            <c:numRef>
              <c:f>Nfcf!$C$2:$C$22</c:f>
              <c:numCache>
                <c:formatCode>0.00</c:formatCode>
                <c:ptCount val="21"/>
                <c:pt idx="0">
                  <c:v>2.8123473743072118</c:v>
                </c:pt>
                <c:pt idx="1">
                  <c:v>3.1684310972115419</c:v>
                </c:pt>
                <c:pt idx="2">
                  <c:v>4.3173293790731577</c:v>
                </c:pt>
                <c:pt idx="3">
                  <c:v>4.7151072220710102</c:v>
                </c:pt>
                <c:pt idx="4">
                  <c:v>5.2205899053525409</c:v>
                </c:pt>
                <c:pt idx="5">
                  <c:v>6.3537372450512608</c:v>
                </c:pt>
                <c:pt idx="6">
                  <c:v>6.3499199674905276</c:v>
                </c:pt>
                <c:pt idx="7">
                  <c:v>7.4622192695089069</c:v>
                </c:pt>
                <c:pt idx="8">
                  <c:v>7.2676973949358494</c:v>
                </c:pt>
                <c:pt idx="9">
                  <c:v>6.1254564964101998</c:v>
                </c:pt>
                <c:pt idx="10">
                  <c:v>6.1768900160660358</c:v>
                </c:pt>
                <c:pt idx="11">
                  <c:v>8.4312350147085873</c:v>
                </c:pt>
                <c:pt idx="12">
                  <c:v>8.846343593755492</c:v>
                </c:pt>
                <c:pt idx="13">
                  <c:v>7.2915943356272823</c:v>
                </c:pt>
                <c:pt idx="14">
                  <c:v>5.2259508491523263</c:v>
                </c:pt>
                <c:pt idx="15">
                  <c:v>3.332420446100242</c:v>
                </c:pt>
                <c:pt idx="16">
                  <c:v>2.0257327571996808</c:v>
                </c:pt>
                <c:pt idx="17">
                  <c:v>2.600890096617047</c:v>
                </c:pt>
                <c:pt idx="18">
                  <c:v>2.298548782568127</c:v>
                </c:pt>
                <c:pt idx="19">
                  <c:v>1.89427250505587</c:v>
                </c:pt>
                <c:pt idx="20">
                  <c:v>1.414313428575575</c:v>
                </c:pt>
              </c:numCache>
              <c:extLst/>
            </c:numRef>
          </c:val>
          <c:smooth val="0"/>
          <c:extLst>
            <c:ext xmlns:c15="http://schemas.microsoft.com/office/drawing/2012/chart" uri="{02D57815-91ED-43cb-92C2-25804820EDAC}">
              <c15:filteredSeriesTitle>
                <c15:tx>
                  <c:strRef>
                    <c:extLst>
                      <c:ext uri="{02D57815-91ED-43cb-92C2-25804820EDAC}">
                        <c15:formulaRef>
                          <c15:sqref>Nfcf!$A$2</c15:sqref>
                        </c15:formulaRef>
                      </c:ext>
                    </c:extLst>
                    <c:strCache>
                      <c:ptCount val="1"/>
                      <c:pt idx="0">
                        <c:v>Australia</c:v>
                      </c:pt>
                    </c:strCache>
                  </c:strRef>
                </c15:tx>
              </c15:filteredSeriesTitle>
            </c:ext>
            <c:ext xmlns:c16="http://schemas.microsoft.com/office/drawing/2014/chart" uri="{C3380CC4-5D6E-409C-BE32-E72D297353CC}">
              <c16:uniqueId val="{00000000-5F2D-45C0-8C28-D655D3AF92E1}"/>
            </c:ext>
          </c:extLst>
        </c:ser>
        <c:ser>
          <c:idx val="4"/>
          <c:order val="1"/>
          <c:spPr>
            <a:ln w="28575" cap="rnd">
              <a:solidFill>
                <a:srgbClr val="AA1974"/>
              </a:solidFill>
              <a:round/>
            </a:ln>
            <a:effectLst/>
          </c:spPr>
          <c:marker>
            <c:symbol val="none"/>
          </c:marker>
          <c:cat>
            <c:numRef>
              <c:f>Nfcf!$B$129:$B$149</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extLst/>
            </c:numRef>
          </c:cat>
          <c:val>
            <c:numRef>
              <c:f>Nfcf!$C$23:$C$43</c:f>
              <c:numCache>
                <c:formatCode>0.00</c:formatCode>
                <c:ptCount val="21"/>
                <c:pt idx="0">
                  <c:v>1.3333779359765221</c:v>
                </c:pt>
                <c:pt idx="1">
                  <c:v>1.062527576701455</c:v>
                </c:pt>
                <c:pt idx="2">
                  <c:v>5.604484257598516E-2</c:v>
                </c:pt>
                <c:pt idx="3">
                  <c:v>0.14401366974246499</c:v>
                </c:pt>
                <c:pt idx="4">
                  <c:v>0.83340570357349275</c:v>
                </c:pt>
                <c:pt idx="5">
                  <c:v>1.470202374412007</c:v>
                </c:pt>
                <c:pt idx="6">
                  <c:v>1.9090268840698821</c:v>
                </c:pt>
                <c:pt idx="7">
                  <c:v>1.608965176273722</c:v>
                </c:pt>
                <c:pt idx="8">
                  <c:v>1.551018683918312</c:v>
                </c:pt>
                <c:pt idx="9">
                  <c:v>-1.2159731794768009</c:v>
                </c:pt>
                <c:pt idx="10">
                  <c:v>0.29326921345509072</c:v>
                </c:pt>
                <c:pt idx="11">
                  <c:v>1.3018703394411579</c:v>
                </c:pt>
                <c:pt idx="12">
                  <c:v>2.3255737588283738</c:v>
                </c:pt>
                <c:pt idx="13">
                  <c:v>2.1193860530351181</c:v>
                </c:pt>
                <c:pt idx="14">
                  <c:v>2.7942796044106539</c:v>
                </c:pt>
                <c:pt idx="15">
                  <c:v>0.64126460354031922</c:v>
                </c:pt>
                <c:pt idx="16">
                  <c:v>-0.49814048944154449</c:v>
                </c:pt>
                <c:pt idx="17">
                  <c:v>-5.9748458522470613E-2</c:v>
                </c:pt>
                <c:pt idx="18">
                  <c:v>-1.3642430553319091E-2</c:v>
                </c:pt>
                <c:pt idx="19">
                  <c:v>0.42833148876776389</c:v>
                </c:pt>
                <c:pt idx="20">
                  <c:v>-0.83411728666953067</c:v>
                </c:pt>
              </c:numCache>
              <c:extLst/>
            </c:numRef>
          </c:val>
          <c:smooth val="0"/>
          <c:extLst xmlns:c15="http://schemas.microsoft.com/office/drawing/2012/chart">
            <c:ext xmlns:c15="http://schemas.microsoft.com/office/drawing/2012/chart" uri="{02D57815-91ED-43cb-92C2-25804820EDAC}">
              <c15:filteredSeriesTitle>
                <c15:tx>
                  <c:strRef>
                    <c:extLst>
                      <c:ext uri="{02D57815-91ED-43cb-92C2-25804820EDAC}">
                        <c15:formulaRef>
                          <c15:sqref>Nfcf!$A$23</c15:sqref>
                        </c15:formulaRef>
                      </c:ext>
                    </c:extLst>
                    <c:strCache>
                      <c:ptCount val="1"/>
                      <c:pt idx="0">
                        <c:v>Canada</c:v>
                      </c:pt>
                    </c:strCache>
                  </c:strRef>
                </c15:tx>
              </c15:filteredSeriesTitle>
            </c:ext>
            <c:ext xmlns:c16="http://schemas.microsoft.com/office/drawing/2014/chart" uri="{C3380CC4-5D6E-409C-BE32-E72D297353CC}">
              <c16:uniqueId val="{00000001-5F2D-45C0-8C28-D655D3AF92E1}"/>
            </c:ext>
          </c:extLst>
        </c:ser>
        <c:ser>
          <c:idx val="2"/>
          <c:order val="2"/>
          <c:spPr>
            <a:ln w="28575" cap="rnd">
              <a:solidFill>
                <a:srgbClr val="F2E24F"/>
              </a:solidFill>
              <a:round/>
            </a:ln>
            <a:effectLst/>
          </c:spPr>
          <c:marker>
            <c:symbol val="none"/>
          </c:marker>
          <c:cat>
            <c:numRef>
              <c:f>Nfcf!$B$129:$B$149</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extLst/>
            </c:numRef>
          </c:cat>
          <c:val>
            <c:numRef>
              <c:f>Nfcf!$C$45:$C$64</c:f>
              <c:numCache>
                <c:formatCode>0.00</c:formatCode>
                <c:ptCount val="20"/>
                <c:pt idx="0">
                  <c:v>3.362010697686062</c:v>
                </c:pt>
                <c:pt idx="1">
                  <c:v>3.8123873453912611</c:v>
                </c:pt>
                <c:pt idx="2">
                  <c:v>4.0220149281333919</c:v>
                </c:pt>
                <c:pt idx="3">
                  <c:v>4.5348853303068468</c:v>
                </c:pt>
                <c:pt idx="4">
                  <c:v>5.3112403677560023</c:v>
                </c:pt>
                <c:pt idx="5">
                  <c:v>5.8574786573951894</c:v>
                </c:pt>
                <c:pt idx="6">
                  <c:v>4.6632636450315106</c:v>
                </c:pt>
                <c:pt idx="7">
                  <c:v>5.3157125026115182</c:v>
                </c:pt>
                <c:pt idx="8">
                  <c:v>3.703684149393367</c:v>
                </c:pt>
                <c:pt idx="9">
                  <c:v>1.3139001682903859</c:v>
                </c:pt>
                <c:pt idx="10">
                  <c:v>1.5304265719821779</c:v>
                </c:pt>
                <c:pt idx="11">
                  <c:v>3.0470602042013848</c:v>
                </c:pt>
                <c:pt idx="12">
                  <c:v>2.9771620633687221</c:v>
                </c:pt>
                <c:pt idx="13">
                  <c:v>3.227330718707178</c:v>
                </c:pt>
                <c:pt idx="14">
                  <c:v>4.0585980961799972</c:v>
                </c:pt>
                <c:pt idx="15">
                  <c:v>3.994673768308922</c:v>
                </c:pt>
                <c:pt idx="16">
                  <c:v>3.6856132797092198</c:v>
                </c:pt>
                <c:pt idx="17">
                  <c:v>4.0711269446087401</c:v>
                </c:pt>
                <c:pt idx="18">
                  <c:v>3.7316331893695298</c:v>
                </c:pt>
                <c:pt idx="19">
                  <c:v>3.7658156540635308</c:v>
                </c:pt>
              </c:numCache>
              <c:extLst/>
            </c:numRef>
          </c:val>
          <c:smooth val="0"/>
          <c:extLst>
            <c:ext xmlns:c15="http://schemas.microsoft.com/office/drawing/2012/chart" uri="{02D57815-91ED-43cb-92C2-25804820EDAC}">
              <c15:filteredSeriesTitle>
                <c15:tx>
                  <c:strRef>
                    <c:extLst>
                      <c:ext uri="{02D57815-91ED-43cb-92C2-25804820EDAC}">
                        <c15:formulaRef>
                          <c15:sqref>Nfcf!$A$45</c15:sqref>
                        </c15:formulaRef>
                      </c:ext>
                    </c:extLst>
                    <c:strCache>
                      <c:ptCount val="1"/>
                      <c:pt idx="0">
                        <c:v>New Zealand</c:v>
                      </c:pt>
                    </c:strCache>
                  </c:strRef>
                </c15:tx>
              </c15:filteredSeriesTitle>
            </c:ext>
            <c:ext xmlns:c16="http://schemas.microsoft.com/office/drawing/2014/chart" uri="{C3380CC4-5D6E-409C-BE32-E72D297353CC}">
              <c16:uniqueId val="{00000002-5F2D-45C0-8C28-D655D3AF92E1}"/>
            </c:ext>
          </c:extLst>
        </c:ser>
        <c:ser>
          <c:idx val="0"/>
          <c:order val="3"/>
          <c:spPr>
            <a:ln w="28575" cap="rnd">
              <a:solidFill>
                <a:srgbClr val="612166"/>
              </a:solidFill>
              <a:round/>
            </a:ln>
            <a:effectLst/>
          </c:spPr>
          <c:marker>
            <c:symbol val="none"/>
          </c:marker>
          <c:cat>
            <c:strLit>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extLst>
                <c:ext xmlns:c15="http://schemas.microsoft.com/office/drawing/2012/chart" uri="{02D57815-91ED-43cb-92C2-25804820EDAC}">
                  <c15:autoCat val="1"/>
                </c:ext>
              </c:extLst>
            </c:strLit>
          </c:cat>
          <c:val>
            <c:numRef>
              <c:f>Nfcf!$C$65:$C$85</c:f>
              <c:numCache>
                <c:formatCode>0.00</c:formatCode>
                <c:ptCount val="21"/>
                <c:pt idx="0">
                  <c:v>3.626126536185708</c:v>
                </c:pt>
                <c:pt idx="1">
                  <c:v>3.1411801688757581</c:v>
                </c:pt>
                <c:pt idx="2">
                  <c:v>2.5060151083391582</c:v>
                </c:pt>
                <c:pt idx="3">
                  <c:v>2.159733961919728</c:v>
                </c:pt>
                <c:pt idx="4">
                  <c:v>1.683556408967376</c:v>
                </c:pt>
                <c:pt idx="5">
                  <c:v>2.8662042673342589</c:v>
                </c:pt>
                <c:pt idx="6">
                  <c:v>2.0353864843890719</c:v>
                </c:pt>
                <c:pt idx="7">
                  <c:v>2.5404033572307352</c:v>
                </c:pt>
                <c:pt idx="8">
                  <c:v>1.845939833069794</c:v>
                </c:pt>
                <c:pt idx="9">
                  <c:v>0.1691584463625154</c:v>
                </c:pt>
                <c:pt idx="10">
                  <c:v>0.40119216347898362</c:v>
                </c:pt>
                <c:pt idx="11">
                  <c:v>0.4837350382657416</c:v>
                </c:pt>
                <c:pt idx="12">
                  <c:v>0.84567099755715691</c:v>
                </c:pt>
                <c:pt idx="13">
                  <c:v>1.120427403096776</c:v>
                </c:pt>
                <c:pt idx="14">
                  <c:v>1.4775376539978959</c:v>
                </c:pt>
                <c:pt idx="15">
                  <c:v>2.025824560823311</c:v>
                </c:pt>
                <c:pt idx="16">
                  <c:v>2.2099157111985388</c:v>
                </c:pt>
                <c:pt idx="17">
                  <c:v>1.960381337848683</c:v>
                </c:pt>
                <c:pt idx="18">
                  <c:v>1.809711274018341</c:v>
                </c:pt>
                <c:pt idx="19">
                  <c:v>1.661077567648938</c:v>
                </c:pt>
                <c:pt idx="20">
                  <c:v>0.39272110384159831</c:v>
                </c:pt>
              </c:numCache>
              <c:extLst/>
            </c:numRef>
          </c:val>
          <c:smooth val="0"/>
          <c:extLst>
            <c:ext xmlns:c15="http://schemas.microsoft.com/office/drawing/2012/chart" uri="{02D57815-91ED-43cb-92C2-25804820EDAC}">
              <c15:filteredSeriesTitle>
                <c15:tx>
                  <c:strRef>
                    <c:extLst>
                      <c:ext uri="{02D57815-91ED-43cb-92C2-25804820EDAC}">
                        <c15:formulaRef>
                          <c15:sqref>Nfcf!$A$65</c15:sqref>
                        </c15:formulaRef>
                      </c:ext>
                    </c:extLst>
                    <c:strCache>
                      <c:ptCount val="1"/>
                      <c:pt idx="0">
                        <c:v>United Kingdom</c:v>
                      </c:pt>
                    </c:strCache>
                  </c:strRef>
                </c15:tx>
              </c15:filteredSeriesTitle>
            </c:ext>
            <c:ext xmlns:c16="http://schemas.microsoft.com/office/drawing/2014/chart" uri="{C3380CC4-5D6E-409C-BE32-E72D297353CC}">
              <c16:uniqueId val="{00000003-5F2D-45C0-8C28-D655D3AF92E1}"/>
            </c:ext>
          </c:extLst>
        </c:ser>
        <c:ser>
          <c:idx val="3"/>
          <c:order val="4"/>
          <c:spPr>
            <a:ln w="28575" cap="rnd">
              <a:solidFill>
                <a:srgbClr val="008B8C"/>
              </a:solidFill>
              <a:round/>
            </a:ln>
            <a:effectLst/>
          </c:spPr>
          <c:marker>
            <c:symbol val="none"/>
          </c:marker>
          <c:cat>
            <c:numRef>
              <c:f>Nfcf!$B$129:$B$149</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extLst/>
            </c:numRef>
          </c:cat>
          <c:val>
            <c:numRef>
              <c:f>Nfcf!$C$86:$C$106</c:f>
              <c:numCache>
                <c:formatCode>0.00</c:formatCode>
                <c:ptCount val="21"/>
                <c:pt idx="0">
                  <c:v>4.0592350092888969</c:v>
                </c:pt>
                <c:pt idx="1">
                  <c:v>3.075451020285545</c:v>
                </c:pt>
                <c:pt idx="2">
                  <c:v>1.6913693453439449</c:v>
                </c:pt>
                <c:pt idx="3">
                  <c:v>1.6309605373116709</c:v>
                </c:pt>
                <c:pt idx="4">
                  <c:v>1.7990015169769109</c:v>
                </c:pt>
                <c:pt idx="5">
                  <c:v>2.1681121797725131</c:v>
                </c:pt>
                <c:pt idx="6">
                  <c:v>2.4867251495482989</c:v>
                </c:pt>
                <c:pt idx="7">
                  <c:v>2.701160412235903</c:v>
                </c:pt>
                <c:pt idx="8">
                  <c:v>2.3641625624576941</c:v>
                </c:pt>
                <c:pt idx="9">
                  <c:v>0.59626011898869091</c:v>
                </c:pt>
                <c:pt idx="10">
                  <c:v>0.91671111269291117</c:v>
                </c:pt>
                <c:pt idx="11">
                  <c:v>1.503910071355667</c:v>
                </c:pt>
                <c:pt idx="12">
                  <c:v>2.0825658788809789</c:v>
                </c:pt>
                <c:pt idx="13">
                  <c:v>2.09462670701769</c:v>
                </c:pt>
                <c:pt idx="14">
                  <c:v>2.487642216852656</c:v>
                </c:pt>
                <c:pt idx="15">
                  <c:v>2.3623692408522872</c:v>
                </c:pt>
                <c:pt idx="16">
                  <c:v>2.036159561033466</c:v>
                </c:pt>
                <c:pt idx="17">
                  <c:v>2.0953961725362391</c:v>
                </c:pt>
                <c:pt idx="18">
                  <c:v>2.415654667407408</c:v>
                </c:pt>
                <c:pt idx="19">
                  <c:v>2.4723514563927749</c:v>
                </c:pt>
                <c:pt idx="20">
                  <c:v>1.5419473316218231</c:v>
                </c:pt>
              </c:numCache>
              <c:extLst/>
            </c:numRef>
          </c:val>
          <c:smooth val="0"/>
          <c:extLst>
            <c:ext xmlns:c15="http://schemas.microsoft.com/office/drawing/2012/chart" uri="{02D57815-91ED-43cb-92C2-25804820EDAC}">
              <c15:filteredSeriesTitle>
                <c15:tx>
                  <c:strRef>
                    <c:extLst>
                      <c:ext uri="{02D57815-91ED-43cb-92C2-25804820EDAC}">
                        <c15:formulaRef>
                          <c15:sqref>Nfcf!$A$86</c15:sqref>
                        </c15:formulaRef>
                      </c:ext>
                    </c:extLst>
                    <c:strCache>
                      <c:ptCount val="1"/>
                      <c:pt idx="0">
                        <c:v>United States</c:v>
                      </c:pt>
                    </c:strCache>
                  </c:strRef>
                </c15:tx>
              </c15:filteredSeriesTitle>
            </c:ext>
            <c:ext xmlns:c16="http://schemas.microsoft.com/office/drawing/2014/chart" uri="{C3380CC4-5D6E-409C-BE32-E72D297353CC}">
              <c16:uniqueId val="{00000004-5F2D-45C0-8C28-D655D3AF92E1}"/>
            </c:ext>
          </c:extLst>
        </c:ser>
        <c:ser>
          <c:idx val="6"/>
          <c:order val="5"/>
          <c:spPr>
            <a:ln w="28575" cap="rnd">
              <a:solidFill>
                <a:srgbClr val="D3471F"/>
              </a:solidFill>
              <a:prstDash val="sysDash"/>
              <a:round/>
            </a:ln>
            <a:effectLst/>
          </c:spPr>
          <c:marker>
            <c:symbol val="none"/>
          </c:marker>
          <c:cat>
            <c:numRef>
              <c:f>Nfcf!$B$129:$B$149</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extLst/>
            </c:numRef>
          </c:cat>
          <c:val>
            <c:numRef>
              <c:f>Nfcf!$C$129:$C$149</c:f>
              <c:numCache>
                <c:formatCode>0.00</c:formatCode>
                <c:ptCount val="21"/>
                <c:pt idx="0">
                  <c:v>3.5452115980254271</c:v>
                </c:pt>
                <c:pt idx="1">
                  <c:v>2.9593987977553651</c:v>
                </c:pt>
                <c:pt idx="2">
                  <c:v>2.0316076623926951</c:v>
                </c:pt>
                <c:pt idx="3">
                  <c:v>1.860482028610583</c:v>
                </c:pt>
                <c:pt idx="4">
                  <c:v>2.0468324276839791</c:v>
                </c:pt>
                <c:pt idx="5">
                  <c:v>2.4236563744359412</c:v>
                </c:pt>
                <c:pt idx="6">
                  <c:v>2.6829200965133722</c:v>
                </c:pt>
                <c:pt idx="7">
                  <c:v>2.9782250624608522</c:v>
                </c:pt>
                <c:pt idx="8">
                  <c:v>2.6109056376071238</c:v>
                </c:pt>
                <c:pt idx="9">
                  <c:v>0.76714004699590843</c:v>
                </c:pt>
                <c:pt idx="10">
                  <c:v>1.010430043035234</c:v>
                </c:pt>
                <c:pt idx="11">
                  <c:v>1.5941549482566739</c:v>
                </c:pt>
                <c:pt idx="12">
                  <c:v>1.8762246954340811</c:v>
                </c:pt>
                <c:pt idx="13">
                  <c:v>1.7607550506954179</c:v>
                </c:pt>
                <c:pt idx="14">
                  <c:v>2.068676488172565</c:v>
                </c:pt>
                <c:pt idx="15">
                  <c:v>2.1064365568045931</c:v>
                </c:pt>
                <c:pt idx="16">
                  <c:v>1.9785967809848239</c:v>
                </c:pt>
                <c:pt idx="17">
                  <c:v>2.1659963423175199</c:v>
                </c:pt>
                <c:pt idx="18">
                  <c:v>2.2923387140482161</c:v>
                </c:pt>
                <c:pt idx="19">
                  <c:v>2.469681172307705</c:v>
                </c:pt>
                <c:pt idx="20">
                  <c:v>1.150798202143162</c:v>
                </c:pt>
              </c:numCache>
              <c:extLst/>
            </c:numRef>
          </c:val>
          <c:smooth val="0"/>
          <c:extLst>
            <c:ext xmlns:c15="http://schemas.microsoft.com/office/drawing/2012/chart" uri="{02D57815-91ED-43cb-92C2-25804820EDAC}">
              <c15:filteredSeriesTitle>
                <c15:tx>
                  <c:strRef>
                    <c:extLst>
                      <c:ext uri="{02D57815-91ED-43cb-92C2-25804820EDAC}">
                        <c15:formulaRef>
                          <c15:sqref>Nfcf!$A$129</c15:sqref>
                        </c15:formulaRef>
                      </c:ext>
                    </c:extLst>
                    <c:strCache>
                      <c:ptCount val="1"/>
                      <c:pt idx="0">
                        <c:v>OECD weighted average</c:v>
                      </c:pt>
                    </c:strCache>
                  </c:strRef>
                </c15:tx>
              </c15:filteredSeriesTitle>
            </c:ext>
            <c:ext xmlns:c16="http://schemas.microsoft.com/office/drawing/2014/chart" uri="{C3380CC4-5D6E-409C-BE32-E72D297353CC}">
              <c16:uniqueId val="{00000005-5F2D-45C0-8C28-D655D3AF92E1}"/>
            </c:ext>
          </c:extLst>
        </c:ser>
        <c:dLbls>
          <c:showLegendKey val="0"/>
          <c:showVal val="0"/>
          <c:showCatName val="0"/>
          <c:showSerName val="0"/>
          <c:showPercent val="0"/>
          <c:showBubbleSize val="0"/>
        </c:dLbls>
        <c:smooth val="0"/>
        <c:axId val="1036226400"/>
        <c:axId val="1036226816"/>
        <c:extLst/>
      </c:lineChart>
      <c:catAx>
        <c:axId val="1036226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rgbClr val="008B8C"/>
                </a:solidFill>
                <a:latin typeface="Cronos Pro" panose="020C0502030403020304" pitchFamily="34" charset="0"/>
                <a:ea typeface="+mn-ea"/>
                <a:cs typeface="+mn-cs"/>
              </a:defRPr>
            </a:pPr>
            <a:endParaRPr lang="en-US"/>
          </a:p>
        </c:txPr>
        <c:crossAx val="1036226816"/>
        <c:crosses val="autoZero"/>
        <c:auto val="0"/>
        <c:lblAlgn val="ctr"/>
        <c:lblOffset val="100"/>
        <c:tickLblSkip val="2"/>
        <c:noMultiLvlLbl val="0"/>
      </c:catAx>
      <c:valAx>
        <c:axId val="1036226816"/>
        <c:scaling>
          <c:orientation val="minMax"/>
          <c:max val="10"/>
          <c:min val="-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rgbClr val="008B8C"/>
                    </a:solidFill>
                    <a:latin typeface="+mn-lt"/>
                    <a:ea typeface="+mn-ea"/>
                    <a:cs typeface="+mn-cs"/>
                  </a:defRPr>
                </a:pPr>
                <a:r>
                  <a:rPr lang="en-NZ">
                    <a:solidFill>
                      <a:srgbClr val="008B8C"/>
                    </a:solidFill>
                    <a:latin typeface="Cronos Pro" panose="020C0502030403020304" pitchFamily="34" charset="0"/>
                  </a:rPr>
                  <a:t>Net Fixed</a:t>
                </a:r>
                <a:r>
                  <a:rPr lang="en-NZ" baseline="0">
                    <a:solidFill>
                      <a:srgbClr val="008B8C"/>
                    </a:solidFill>
                    <a:latin typeface="Cronos Pro" panose="020C0502030403020304" pitchFamily="34" charset="0"/>
                  </a:rPr>
                  <a:t> Capital Formation to GDP</a:t>
                </a:r>
              </a:p>
              <a:p>
                <a:pPr>
                  <a:defRPr>
                    <a:solidFill>
                      <a:srgbClr val="008B8C"/>
                    </a:solidFill>
                  </a:defRPr>
                </a:pPr>
                <a:r>
                  <a:rPr lang="en-NZ" baseline="0">
                    <a:solidFill>
                      <a:srgbClr val="008B8C"/>
                    </a:solidFill>
                    <a:latin typeface="Cronos Pro" panose="020C0502030403020304" pitchFamily="34" charset="0"/>
                  </a:rPr>
                  <a:t>(%)</a:t>
                </a:r>
                <a:endParaRPr lang="en-NZ">
                  <a:solidFill>
                    <a:srgbClr val="008B8C"/>
                  </a:solidFill>
                  <a:latin typeface="Cronos Pro" panose="020C0502030403020304" pitchFamily="34" charset="0"/>
                </a:endParaRPr>
              </a:p>
            </c:rich>
          </c:tx>
          <c:layout>
            <c:manualLayout>
              <c:xMode val="edge"/>
              <c:yMode val="edge"/>
              <c:x val="1.0922073840053514E-2"/>
              <c:y val="0.2803931248405862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rgbClr val="008B8C"/>
                  </a:solidFill>
                  <a:latin typeface="+mn-lt"/>
                  <a:ea typeface="+mn-ea"/>
                  <a:cs typeface="+mn-cs"/>
                </a:defRPr>
              </a:pPr>
              <a:endParaRPr lang="en-US"/>
            </a:p>
          </c:txPr>
        </c:title>
        <c:numFmt formatCode="#,##0" sourceLinked="0"/>
        <c:majorTickMark val="out"/>
        <c:minorTickMark val="none"/>
        <c:tickLblPos val="nextTo"/>
        <c:spPr>
          <a:noFill/>
          <a:ln w="12700">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rgbClr val="008B8C"/>
                </a:solidFill>
                <a:latin typeface="Cronos Pro" panose="020C0502030403020304" pitchFamily="34" charset="0"/>
                <a:ea typeface="+mn-ea"/>
                <a:cs typeface="+mn-cs"/>
              </a:defRPr>
            </a:pPr>
            <a:endParaRPr lang="en-US"/>
          </a:p>
        </c:txPr>
        <c:crossAx val="1036226400"/>
        <c:crosses val="autoZero"/>
        <c:crossBetween val="midCat"/>
        <c:majorUnit val="1"/>
      </c:valAx>
      <c:spPr>
        <a:noFill/>
        <a:ln>
          <a:noFill/>
        </a:ln>
        <a:effectLst/>
      </c:spPr>
    </c:plotArea>
    <c:legend>
      <c:legendPos val="b"/>
      <c:layout>
        <c:manualLayout>
          <c:xMode val="edge"/>
          <c:yMode val="edge"/>
          <c:x val="0.12557001682663949"/>
          <c:y val="0.86524472533122843"/>
          <c:w val="0.81126542183240946"/>
          <c:h val="0.1145400678948422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51464237202485"/>
          <c:y val="3.4855350296270481E-2"/>
          <c:w val="0.8132473057390357"/>
          <c:h val="0.747478201683486"/>
        </c:manualLayout>
      </c:layout>
      <c:lineChart>
        <c:grouping val="standard"/>
        <c:varyColors val="0"/>
        <c:ser>
          <c:idx val="0"/>
          <c:order val="0"/>
          <c:tx>
            <c:strRef>
              <c:f>GdpPerCapToUs!$A$2</c:f>
              <c:strCache>
                <c:ptCount val="1"/>
                <c:pt idx="0">
                  <c:v>Australia</c:v>
                </c:pt>
              </c:strCache>
            </c:strRef>
          </c:tx>
          <c:spPr>
            <a:ln w="28575" cap="rnd">
              <a:solidFill>
                <a:srgbClr val="4C5762"/>
              </a:solidFill>
              <a:round/>
            </a:ln>
            <a:effectLst/>
          </c:spPr>
          <c:marker>
            <c:symbol val="none"/>
          </c:marker>
          <c:cat>
            <c:numRef>
              <c:f>GdpPerCapToUs!$B$2:$B$52</c:f>
              <c:numCache>
                <c:formatCode>General</c:formatCode>
                <c:ptCount val="51"/>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pt idx="48">
                  <c:v>2018</c:v>
                </c:pt>
                <c:pt idx="49">
                  <c:v>2019</c:v>
                </c:pt>
                <c:pt idx="50">
                  <c:v>2020</c:v>
                </c:pt>
              </c:numCache>
            </c:numRef>
          </c:cat>
          <c:val>
            <c:numRef>
              <c:f>GdpPerCapToUs!$D$2:$D$52</c:f>
              <c:numCache>
                <c:formatCode>General</c:formatCode>
                <c:ptCount val="51"/>
                <c:pt idx="0" formatCode="0.0">
                  <c:v>88.8</c:v>
                </c:pt>
                <c:pt idx="1">
                  <c:v>86.6</c:v>
                </c:pt>
                <c:pt idx="2">
                  <c:v>85.4</c:v>
                </c:pt>
                <c:pt idx="3">
                  <c:v>86.1</c:v>
                </c:pt>
                <c:pt idx="4">
                  <c:v>86.4</c:v>
                </c:pt>
                <c:pt idx="5">
                  <c:v>88.9</c:v>
                </c:pt>
                <c:pt idx="6">
                  <c:v>86</c:v>
                </c:pt>
                <c:pt idx="7">
                  <c:v>81.7</c:v>
                </c:pt>
                <c:pt idx="8">
                  <c:v>80.900000000000006</c:v>
                </c:pt>
                <c:pt idx="9">
                  <c:v>81</c:v>
                </c:pt>
                <c:pt idx="10">
                  <c:v>83.4</c:v>
                </c:pt>
                <c:pt idx="11">
                  <c:v>85.7</c:v>
                </c:pt>
                <c:pt idx="12">
                  <c:v>83.2</c:v>
                </c:pt>
                <c:pt idx="13">
                  <c:v>82.3</c:v>
                </c:pt>
                <c:pt idx="14">
                  <c:v>79.599999999999994</c:v>
                </c:pt>
                <c:pt idx="15">
                  <c:v>79.7</c:v>
                </c:pt>
                <c:pt idx="16">
                  <c:v>78.7</c:v>
                </c:pt>
                <c:pt idx="17">
                  <c:v>80.2</c:v>
                </c:pt>
                <c:pt idx="18">
                  <c:v>80.099999999999994</c:v>
                </c:pt>
                <c:pt idx="19">
                  <c:v>78.099999999999994</c:v>
                </c:pt>
                <c:pt idx="20">
                  <c:v>74.8</c:v>
                </c:pt>
                <c:pt idx="21">
                  <c:v>74.8</c:v>
                </c:pt>
                <c:pt idx="22">
                  <c:v>75.400000000000006</c:v>
                </c:pt>
                <c:pt idx="23">
                  <c:v>76.5</c:v>
                </c:pt>
                <c:pt idx="24">
                  <c:v>77.400000000000006</c:v>
                </c:pt>
                <c:pt idx="25">
                  <c:v>78.2</c:v>
                </c:pt>
                <c:pt idx="26">
                  <c:v>77.7</c:v>
                </c:pt>
                <c:pt idx="27">
                  <c:v>77.8</c:v>
                </c:pt>
                <c:pt idx="28">
                  <c:v>78.2</c:v>
                </c:pt>
                <c:pt idx="29">
                  <c:v>78.7</c:v>
                </c:pt>
                <c:pt idx="30">
                  <c:v>78</c:v>
                </c:pt>
                <c:pt idx="31">
                  <c:v>79.7</c:v>
                </c:pt>
                <c:pt idx="32">
                  <c:v>81.2</c:v>
                </c:pt>
                <c:pt idx="33">
                  <c:v>82.1</c:v>
                </c:pt>
                <c:pt idx="34">
                  <c:v>81.5</c:v>
                </c:pt>
                <c:pt idx="35">
                  <c:v>80.900000000000006</c:v>
                </c:pt>
                <c:pt idx="36">
                  <c:v>82</c:v>
                </c:pt>
                <c:pt idx="37">
                  <c:v>82.7</c:v>
                </c:pt>
                <c:pt idx="38">
                  <c:v>82.7</c:v>
                </c:pt>
                <c:pt idx="39">
                  <c:v>88.4</c:v>
                </c:pt>
                <c:pt idx="40">
                  <c:v>88.1</c:v>
                </c:pt>
                <c:pt idx="41">
                  <c:v>88.9</c:v>
                </c:pt>
                <c:pt idx="42">
                  <c:v>84.8</c:v>
                </c:pt>
                <c:pt idx="43">
                  <c:v>89.7</c:v>
                </c:pt>
                <c:pt idx="44">
                  <c:v>86.4</c:v>
                </c:pt>
                <c:pt idx="45">
                  <c:v>83.3</c:v>
                </c:pt>
                <c:pt idx="46">
                  <c:v>86.7</c:v>
                </c:pt>
                <c:pt idx="47">
                  <c:v>84.6</c:v>
                </c:pt>
                <c:pt idx="48">
                  <c:v>84.4</c:v>
                </c:pt>
                <c:pt idx="49">
                  <c:v>81</c:v>
                </c:pt>
                <c:pt idx="50">
                  <c:v>87.9</c:v>
                </c:pt>
              </c:numCache>
            </c:numRef>
          </c:val>
          <c:smooth val="0"/>
          <c:extLst>
            <c:ext xmlns:c16="http://schemas.microsoft.com/office/drawing/2014/chart" uri="{C3380CC4-5D6E-409C-BE32-E72D297353CC}">
              <c16:uniqueId val="{00000000-7493-402B-A3C6-9D37D7251A2C}"/>
            </c:ext>
          </c:extLst>
        </c:ser>
        <c:ser>
          <c:idx val="1"/>
          <c:order val="1"/>
          <c:tx>
            <c:strRef>
              <c:f>GdpPerCapToUs!$A$53</c:f>
              <c:strCache>
                <c:ptCount val="1"/>
                <c:pt idx="0">
                  <c:v>New Zealand</c:v>
                </c:pt>
              </c:strCache>
            </c:strRef>
          </c:tx>
          <c:spPr>
            <a:ln w="28575" cap="rnd">
              <a:solidFill>
                <a:srgbClr val="F2E24F"/>
              </a:solidFill>
              <a:round/>
            </a:ln>
            <a:effectLst/>
          </c:spPr>
          <c:marker>
            <c:symbol val="none"/>
          </c:marker>
          <c:cat>
            <c:numRef>
              <c:f>GdpPerCapToUs!$B$2:$B$52</c:f>
              <c:numCache>
                <c:formatCode>General</c:formatCode>
                <c:ptCount val="51"/>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pt idx="48">
                  <c:v>2018</c:v>
                </c:pt>
                <c:pt idx="49">
                  <c:v>2019</c:v>
                </c:pt>
                <c:pt idx="50">
                  <c:v>2020</c:v>
                </c:pt>
              </c:numCache>
              <c:extLst xmlns:c15="http://schemas.microsoft.com/office/drawing/2012/chart"/>
            </c:numRef>
          </c:cat>
          <c:val>
            <c:numRef>
              <c:f>GdpPerCapToUs!$D$53:$D$103</c:f>
              <c:numCache>
                <c:formatCode>General</c:formatCode>
                <c:ptCount val="51"/>
                <c:pt idx="0">
                  <c:v>74.900000000000006</c:v>
                </c:pt>
                <c:pt idx="1">
                  <c:v>76.7</c:v>
                </c:pt>
                <c:pt idx="2">
                  <c:v>77.400000000000006</c:v>
                </c:pt>
                <c:pt idx="3">
                  <c:v>75.5</c:v>
                </c:pt>
                <c:pt idx="4">
                  <c:v>78.599999999999994</c:v>
                </c:pt>
                <c:pt idx="5">
                  <c:v>80.599999999999994</c:v>
                </c:pt>
                <c:pt idx="6">
                  <c:v>76.099999999999994</c:v>
                </c:pt>
                <c:pt idx="7">
                  <c:v>68.400000000000006</c:v>
                </c:pt>
                <c:pt idx="8">
                  <c:v>68.599999999999994</c:v>
                </c:pt>
                <c:pt idx="9">
                  <c:v>65.599999999999994</c:v>
                </c:pt>
                <c:pt idx="10">
                  <c:v>67.3</c:v>
                </c:pt>
                <c:pt idx="11">
                  <c:v>67.7</c:v>
                </c:pt>
                <c:pt idx="12">
                  <c:v>72.5</c:v>
                </c:pt>
                <c:pt idx="13">
                  <c:v>72.3</c:v>
                </c:pt>
                <c:pt idx="14">
                  <c:v>72</c:v>
                </c:pt>
                <c:pt idx="15">
                  <c:v>69.5</c:v>
                </c:pt>
                <c:pt idx="16">
                  <c:v>69.599999999999994</c:v>
                </c:pt>
                <c:pt idx="17">
                  <c:v>66.900000000000006</c:v>
                </c:pt>
                <c:pt idx="18">
                  <c:v>64.8</c:v>
                </c:pt>
                <c:pt idx="19">
                  <c:v>63.3</c:v>
                </c:pt>
                <c:pt idx="20">
                  <c:v>61.6</c:v>
                </c:pt>
                <c:pt idx="21">
                  <c:v>59.8</c:v>
                </c:pt>
                <c:pt idx="22">
                  <c:v>58.6</c:v>
                </c:pt>
                <c:pt idx="23">
                  <c:v>60.3</c:v>
                </c:pt>
                <c:pt idx="24">
                  <c:v>61.4</c:v>
                </c:pt>
                <c:pt idx="25">
                  <c:v>62.2</c:v>
                </c:pt>
                <c:pt idx="26">
                  <c:v>61.5</c:v>
                </c:pt>
                <c:pt idx="27">
                  <c:v>60.7</c:v>
                </c:pt>
                <c:pt idx="28">
                  <c:v>58.8</c:v>
                </c:pt>
                <c:pt idx="29">
                  <c:v>59.6</c:v>
                </c:pt>
                <c:pt idx="30">
                  <c:v>59.1</c:v>
                </c:pt>
                <c:pt idx="31">
                  <c:v>60.4</c:v>
                </c:pt>
                <c:pt idx="32">
                  <c:v>61.1</c:v>
                </c:pt>
                <c:pt idx="33">
                  <c:v>60.5</c:v>
                </c:pt>
                <c:pt idx="34">
                  <c:v>60</c:v>
                </c:pt>
                <c:pt idx="35">
                  <c:v>58.1</c:v>
                </c:pt>
                <c:pt idx="36">
                  <c:v>59.9</c:v>
                </c:pt>
                <c:pt idx="37">
                  <c:v>61.1</c:v>
                </c:pt>
                <c:pt idx="38">
                  <c:v>61.3</c:v>
                </c:pt>
                <c:pt idx="39">
                  <c:v>64.900000000000006</c:v>
                </c:pt>
                <c:pt idx="40">
                  <c:v>64.099999999999994</c:v>
                </c:pt>
                <c:pt idx="41">
                  <c:v>65.3</c:v>
                </c:pt>
                <c:pt idx="42">
                  <c:v>63.6</c:v>
                </c:pt>
                <c:pt idx="43">
                  <c:v>67.8</c:v>
                </c:pt>
                <c:pt idx="44">
                  <c:v>67.3</c:v>
                </c:pt>
                <c:pt idx="45">
                  <c:v>65.7</c:v>
                </c:pt>
                <c:pt idx="46">
                  <c:v>68.7</c:v>
                </c:pt>
                <c:pt idx="47">
                  <c:v>70.2</c:v>
                </c:pt>
                <c:pt idx="48">
                  <c:v>67.5</c:v>
                </c:pt>
                <c:pt idx="49">
                  <c:v>69.099999999999994</c:v>
                </c:pt>
                <c:pt idx="50">
                  <c:v>70</c:v>
                </c:pt>
              </c:numCache>
            </c:numRef>
          </c:val>
          <c:smooth val="0"/>
          <c:extLst xmlns:c15="http://schemas.microsoft.com/office/drawing/2012/chart">
            <c:ext xmlns:c16="http://schemas.microsoft.com/office/drawing/2014/chart" uri="{C3380CC4-5D6E-409C-BE32-E72D297353CC}">
              <c16:uniqueId val="{00000001-7493-402B-A3C6-9D37D7251A2C}"/>
            </c:ext>
          </c:extLst>
        </c:ser>
        <c:ser>
          <c:idx val="2"/>
          <c:order val="2"/>
          <c:tx>
            <c:strRef>
              <c:f>GdpPerCapToUs!$A$104</c:f>
              <c:strCache>
                <c:ptCount val="1"/>
                <c:pt idx="0">
                  <c:v>United Kingdom</c:v>
                </c:pt>
              </c:strCache>
            </c:strRef>
          </c:tx>
          <c:spPr>
            <a:ln w="28575" cap="rnd">
              <a:solidFill>
                <a:srgbClr val="612166"/>
              </a:solidFill>
              <a:round/>
            </a:ln>
            <a:effectLst/>
          </c:spPr>
          <c:marker>
            <c:symbol val="none"/>
          </c:marker>
          <c:cat>
            <c:numRef>
              <c:f>GdpPerCapToUs!$B$2:$B$52</c:f>
              <c:numCache>
                <c:formatCode>General</c:formatCode>
                <c:ptCount val="51"/>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pt idx="48">
                  <c:v>2018</c:v>
                </c:pt>
                <c:pt idx="49">
                  <c:v>2019</c:v>
                </c:pt>
                <c:pt idx="50">
                  <c:v>2020</c:v>
                </c:pt>
              </c:numCache>
            </c:numRef>
          </c:cat>
          <c:val>
            <c:numRef>
              <c:f>GdpPerCapToUs!$D$104:$D$154</c:f>
              <c:numCache>
                <c:formatCode>General</c:formatCode>
                <c:ptCount val="51"/>
                <c:pt idx="0">
                  <c:v>69.5</c:v>
                </c:pt>
                <c:pt idx="1">
                  <c:v>70.099999999999994</c:v>
                </c:pt>
                <c:pt idx="2">
                  <c:v>70</c:v>
                </c:pt>
                <c:pt idx="3">
                  <c:v>71.099999999999994</c:v>
                </c:pt>
                <c:pt idx="4">
                  <c:v>70.400000000000006</c:v>
                </c:pt>
                <c:pt idx="5">
                  <c:v>70.2</c:v>
                </c:pt>
                <c:pt idx="6">
                  <c:v>69.2</c:v>
                </c:pt>
                <c:pt idx="7">
                  <c:v>68.5</c:v>
                </c:pt>
                <c:pt idx="8">
                  <c:v>68.3</c:v>
                </c:pt>
                <c:pt idx="9">
                  <c:v>69.400000000000006</c:v>
                </c:pt>
                <c:pt idx="10">
                  <c:v>68.900000000000006</c:v>
                </c:pt>
                <c:pt idx="11">
                  <c:v>67.3</c:v>
                </c:pt>
                <c:pt idx="12">
                  <c:v>70.599999999999994</c:v>
                </c:pt>
                <c:pt idx="13">
                  <c:v>71</c:v>
                </c:pt>
                <c:pt idx="14">
                  <c:v>68.2</c:v>
                </c:pt>
                <c:pt idx="15">
                  <c:v>68.599999999999994</c:v>
                </c:pt>
                <c:pt idx="16">
                  <c:v>68.900000000000006</c:v>
                </c:pt>
                <c:pt idx="17">
                  <c:v>70.599999999999994</c:v>
                </c:pt>
                <c:pt idx="18">
                  <c:v>72.2</c:v>
                </c:pt>
                <c:pt idx="19">
                  <c:v>71.900000000000006</c:v>
                </c:pt>
                <c:pt idx="20">
                  <c:v>71.7</c:v>
                </c:pt>
                <c:pt idx="21">
                  <c:v>71.7</c:v>
                </c:pt>
                <c:pt idx="22">
                  <c:v>70.3</c:v>
                </c:pt>
                <c:pt idx="23">
                  <c:v>70.8</c:v>
                </c:pt>
                <c:pt idx="24">
                  <c:v>71.400000000000006</c:v>
                </c:pt>
                <c:pt idx="25">
                  <c:v>71.900000000000006</c:v>
                </c:pt>
                <c:pt idx="26">
                  <c:v>73.400000000000006</c:v>
                </c:pt>
                <c:pt idx="27">
                  <c:v>73.400000000000006</c:v>
                </c:pt>
                <c:pt idx="28">
                  <c:v>72.2</c:v>
                </c:pt>
                <c:pt idx="29">
                  <c:v>70.900000000000006</c:v>
                </c:pt>
                <c:pt idx="30">
                  <c:v>72.900000000000006</c:v>
                </c:pt>
                <c:pt idx="31">
                  <c:v>75</c:v>
                </c:pt>
                <c:pt idx="32">
                  <c:v>76.599999999999994</c:v>
                </c:pt>
                <c:pt idx="33">
                  <c:v>77</c:v>
                </c:pt>
                <c:pt idx="34">
                  <c:v>77</c:v>
                </c:pt>
                <c:pt idx="35">
                  <c:v>74.3</c:v>
                </c:pt>
                <c:pt idx="36">
                  <c:v>75.400000000000006</c:v>
                </c:pt>
                <c:pt idx="37">
                  <c:v>74.400000000000006</c:v>
                </c:pt>
                <c:pt idx="38">
                  <c:v>76</c:v>
                </c:pt>
                <c:pt idx="39">
                  <c:v>74.7</c:v>
                </c:pt>
                <c:pt idx="40">
                  <c:v>75.3</c:v>
                </c:pt>
                <c:pt idx="41">
                  <c:v>74.7</c:v>
                </c:pt>
                <c:pt idx="42">
                  <c:v>74.400000000000006</c:v>
                </c:pt>
                <c:pt idx="43">
                  <c:v>75.599999999999994</c:v>
                </c:pt>
                <c:pt idx="44">
                  <c:v>75.5</c:v>
                </c:pt>
                <c:pt idx="45">
                  <c:v>75.599999999999994</c:v>
                </c:pt>
                <c:pt idx="46">
                  <c:v>77.099999999999994</c:v>
                </c:pt>
                <c:pt idx="47">
                  <c:v>77.400000000000006</c:v>
                </c:pt>
                <c:pt idx="48">
                  <c:v>75.8</c:v>
                </c:pt>
                <c:pt idx="49">
                  <c:v>75.400000000000006</c:v>
                </c:pt>
                <c:pt idx="50">
                  <c:v>73.599999999999994</c:v>
                </c:pt>
              </c:numCache>
            </c:numRef>
          </c:val>
          <c:smooth val="0"/>
          <c:extLst>
            <c:ext xmlns:c16="http://schemas.microsoft.com/office/drawing/2014/chart" uri="{C3380CC4-5D6E-409C-BE32-E72D297353CC}">
              <c16:uniqueId val="{00000002-7493-402B-A3C6-9D37D7251A2C}"/>
            </c:ext>
          </c:extLst>
        </c:ser>
        <c:ser>
          <c:idx val="4"/>
          <c:order val="3"/>
          <c:tx>
            <c:strRef>
              <c:f>GdpPerCapToUs!$A$156</c:f>
              <c:strCache>
                <c:ptCount val="1"/>
                <c:pt idx="0">
                  <c:v>United States</c:v>
                </c:pt>
              </c:strCache>
            </c:strRef>
          </c:tx>
          <c:spPr>
            <a:ln w="28575" cap="rnd">
              <a:solidFill>
                <a:srgbClr val="008B8C"/>
              </a:solidFill>
              <a:round/>
            </a:ln>
            <a:effectLst/>
          </c:spPr>
          <c:marker>
            <c:symbol val="none"/>
          </c:marker>
          <c:cat>
            <c:numRef>
              <c:f>GdpPerCapToUs!$B$2:$B$52</c:f>
              <c:numCache>
                <c:formatCode>General</c:formatCode>
                <c:ptCount val="51"/>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pt idx="48">
                  <c:v>2018</c:v>
                </c:pt>
                <c:pt idx="49">
                  <c:v>2019</c:v>
                </c:pt>
                <c:pt idx="50">
                  <c:v>2020</c:v>
                </c:pt>
              </c:numCache>
            </c:numRef>
          </c:cat>
          <c:val>
            <c:numRef>
              <c:f>GdpPerCapToUs!$D$156:$D$206</c:f>
              <c:numCache>
                <c:formatCode>0.0</c:formatCode>
                <c:ptCount val="5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numCache>
            </c:numRef>
          </c:val>
          <c:smooth val="0"/>
          <c:extLst>
            <c:ext xmlns:c16="http://schemas.microsoft.com/office/drawing/2014/chart" uri="{C3380CC4-5D6E-409C-BE32-E72D297353CC}">
              <c16:uniqueId val="{00000003-7493-402B-A3C6-9D37D7251A2C}"/>
            </c:ext>
          </c:extLst>
        </c:ser>
        <c:ser>
          <c:idx val="5"/>
          <c:order val="4"/>
          <c:tx>
            <c:strRef>
              <c:f>GdpPerCapToUs!$A$207</c:f>
              <c:strCache>
                <c:ptCount val="1"/>
                <c:pt idx="0">
                  <c:v>OECD unweighted average</c:v>
                </c:pt>
              </c:strCache>
            </c:strRef>
          </c:tx>
          <c:spPr>
            <a:ln w="28575" cap="rnd">
              <a:solidFill>
                <a:srgbClr val="DFD8AD"/>
              </a:solidFill>
              <a:prstDash val="sysDash"/>
              <a:round/>
            </a:ln>
            <a:effectLst/>
          </c:spPr>
          <c:marker>
            <c:symbol val="none"/>
          </c:marker>
          <c:cat>
            <c:numRef>
              <c:f>GdpPerCapToUs!$B$2:$B$52</c:f>
              <c:numCache>
                <c:formatCode>General</c:formatCode>
                <c:ptCount val="51"/>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pt idx="48">
                  <c:v>2018</c:v>
                </c:pt>
                <c:pt idx="49">
                  <c:v>2019</c:v>
                </c:pt>
                <c:pt idx="50">
                  <c:v>2020</c:v>
                </c:pt>
              </c:numCache>
            </c:numRef>
          </c:cat>
          <c:val>
            <c:numRef>
              <c:f>GdpPerCapToUs!$D$207:$D$257</c:f>
              <c:numCache>
                <c:formatCode>General</c:formatCode>
                <c:ptCount val="51"/>
                <c:pt idx="0">
                  <c:v>70.645097846153845</c:v>
                </c:pt>
                <c:pt idx="1">
                  <c:v>71.530552</c:v>
                </c:pt>
                <c:pt idx="2">
                  <c:v>71.727202115384614</c:v>
                </c:pt>
                <c:pt idx="3">
                  <c:v>72.013432846153847</c:v>
                </c:pt>
                <c:pt idx="4">
                  <c:v>74.181373769230774</c:v>
                </c:pt>
                <c:pt idx="5">
                  <c:v>72.438377185185189</c:v>
                </c:pt>
                <c:pt idx="6">
                  <c:v>71.651090703703701</c:v>
                </c:pt>
                <c:pt idx="7">
                  <c:v>70.393310571428572</c:v>
                </c:pt>
                <c:pt idx="8">
                  <c:v>69.453278428571423</c:v>
                </c:pt>
                <c:pt idx="9">
                  <c:v>70.089207607142853</c:v>
                </c:pt>
                <c:pt idx="10">
                  <c:v>72.244033142857148</c:v>
                </c:pt>
                <c:pt idx="11">
                  <c:v>71.890210392857142</c:v>
                </c:pt>
                <c:pt idx="12">
                  <c:v>74.024015821428577</c:v>
                </c:pt>
                <c:pt idx="13">
                  <c:v>72.511362642857137</c:v>
                </c:pt>
                <c:pt idx="14">
                  <c:v>70.376774249999997</c:v>
                </c:pt>
                <c:pt idx="15">
                  <c:v>70.055570214285709</c:v>
                </c:pt>
                <c:pt idx="16">
                  <c:v>68.440168275862064</c:v>
                </c:pt>
                <c:pt idx="17">
                  <c:v>68.675487206896548</c:v>
                </c:pt>
                <c:pt idx="18">
                  <c:v>68.66984410344827</c:v>
                </c:pt>
                <c:pt idx="19">
                  <c:v>68.807715999999999</c:v>
                </c:pt>
                <c:pt idx="20">
                  <c:v>67.450384593750002</c:v>
                </c:pt>
                <c:pt idx="21">
                  <c:v>66.247709970588232</c:v>
                </c:pt>
                <c:pt idx="22">
                  <c:v>64.219465742857139</c:v>
                </c:pt>
                <c:pt idx="23">
                  <c:v>62.593216388888891</c:v>
                </c:pt>
                <c:pt idx="24">
                  <c:v>61.46863362162162</c:v>
                </c:pt>
                <c:pt idx="25">
                  <c:v>60.996688368421047</c:v>
                </c:pt>
                <c:pt idx="26">
                  <c:v>60.996027236842103</c:v>
                </c:pt>
                <c:pt idx="27">
                  <c:v>61.301699052631577</c:v>
                </c:pt>
                <c:pt idx="28">
                  <c:v>60.881636184210528</c:v>
                </c:pt>
                <c:pt idx="29">
                  <c:v>60.66770605263158</c:v>
                </c:pt>
                <c:pt idx="30">
                  <c:v>61.950210815789482</c:v>
                </c:pt>
                <c:pt idx="31">
                  <c:v>63.095836157894738</c:v>
                </c:pt>
                <c:pt idx="32">
                  <c:v>64.271021315789469</c:v>
                </c:pt>
                <c:pt idx="33">
                  <c:v>63.642996842105262</c:v>
                </c:pt>
                <c:pt idx="34">
                  <c:v>63.89718547368421</c:v>
                </c:pt>
                <c:pt idx="35">
                  <c:v>63.419386710526318</c:v>
                </c:pt>
                <c:pt idx="36">
                  <c:v>65.904022736842109</c:v>
                </c:pt>
                <c:pt idx="37">
                  <c:v>67.607126473684204</c:v>
                </c:pt>
                <c:pt idx="38">
                  <c:v>69.704322421052638</c:v>
                </c:pt>
                <c:pt idx="39">
                  <c:v>69.377739447368427</c:v>
                </c:pt>
                <c:pt idx="40">
                  <c:v>69.718746447368417</c:v>
                </c:pt>
                <c:pt idx="41">
                  <c:v>70.892784578947371</c:v>
                </c:pt>
                <c:pt idx="42">
                  <c:v>70.208110526315792</c:v>
                </c:pt>
                <c:pt idx="43">
                  <c:v>71.130440263157894</c:v>
                </c:pt>
                <c:pt idx="44">
                  <c:v>70.700767105263154</c:v>
                </c:pt>
                <c:pt idx="45">
                  <c:v>70.950980315789479</c:v>
                </c:pt>
                <c:pt idx="46">
                  <c:v>72.8007412368421</c:v>
                </c:pt>
                <c:pt idx="47">
                  <c:v>73.553412605263162</c:v>
                </c:pt>
                <c:pt idx="48">
                  <c:v>73.296396947368422</c:v>
                </c:pt>
                <c:pt idx="49">
                  <c:v>72.092197657894729</c:v>
                </c:pt>
                <c:pt idx="50">
                  <c:v>73.032619921052628</c:v>
                </c:pt>
              </c:numCache>
            </c:numRef>
          </c:val>
          <c:smooth val="0"/>
          <c:extLst>
            <c:ext xmlns:c16="http://schemas.microsoft.com/office/drawing/2014/chart" uri="{C3380CC4-5D6E-409C-BE32-E72D297353CC}">
              <c16:uniqueId val="{00000004-7493-402B-A3C6-9D37D7251A2C}"/>
            </c:ext>
          </c:extLst>
        </c:ser>
        <c:ser>
          <c:idx val="6"/>
          <c:order val="5"/>
          <c:tx>
            <c:strRef>
              <c:f>GdpPerCapToUs!$A$258</c:f>
              <c:strCache>
                <c:ptCount val="1"/>
                <c:pt idx="0">
                  <c:v>OECD weighted average</c:v>
                </c:pt>
              </c:strCache>
            </c:strRef>
          </c:tx>
          <c:spPr>
            <a:ln w="28575" cap="rnd">
              <a:solidFill>
                <a:srgbClr val="D3471F"/>
              </a:solidFill>
              <a:prstDash val="sysDash"/>
              <a:round/>
            </a:ln>
            <a:effectLst/>
          </c:spPr>
          <c:marker>
            <c:symbol val="none"/>
          </c:marker>
          <c:cat>
            <c:numRef>
              <c:f>GdpPerCapToUs!$B$2:$B$52</c:f>
              <c:numCache>
                <c:formatCode>General</c:formatCode>
                <c:ptCount val="51"/>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pt idx="48">
                  <c:v>2018</c:v>
                </c:pt>
                <c:pt idx="49">
                  <c:v>2019</c:v>
                </c:pt>
                <c:pt idx="50">
                  <c:v>2020</c:v>
                </c:pt>
              </c:numCache>
            </c:numRef>
          </c:cat>
          <c:val>
            <c:numRef>
              <c:f>GdpPerCapToUs!$D$258:$D$308</c:f>
              <c:numCache>
                <c:formatCode>General</c:formatCode>
                <c:ptCount val="51"/>
                <c:pt idx="0">
                  <c:v>82.360527198463458</c:v>
                </c:pt>
                <c:pt idx="1">
                  <c:v>82.622678387886353</c:v>
                </c:pt>
                <c:pt idx="2">
                  <c:v>82.53160760949892</c:v>
                </c:pt>
                <c:pt idx="3">
                  <c:v>82.633074614005977</c:v>
                </c:pt>
                <c:pt idx="4">
                  <c:v>83.560245477202187</c:v>
                </c:pt>
                <c:pt idx="5">
                  <c:v>83.342491340725516</c:v>
                </c:pt>
                <c:pt idx="6">
                  <c:v>82.982717951896618</c:v>
                </c:pt>
                <c:pt idx="7">
                  <c:v>82.680720399566454</c:v>
                </c:pt>
                <c:pt idx="8">
                  <c:v>82.075070819472913</c:v>
                </c:pt>
                <c:pt idx="9">
                  <c:v>82.651243990884822</c:v>
                </c:pt>
                <c:pt idx="10">
                  <c:v>83.884276568120171</c:v>
                </c:pt>
                <c:pt idx="11">
                  <c:v>83.66369549966376</c:v>
                </c:pt>
                <c:pt idx="12">
                  <c:v>84.942226695937336</c:v>
                </c:pt>
                <c:pt idx="13">
                  <c:v>84.189829087131727</c:v>
                </c:pt>
                <c:pt idx="14">
                  <c:v>82.84526793841637</c:v>
                </c:pt>
                <c:pt idx="15">
                  <c:v>82.794333474913884</c:v>
                </c:pt>
                <c:pt idx="16">
                  <c:v>82.574621369098097</c:v>
                </c:pt>
                <c:pt idx="17">
                  <c:v>82.673576032815561</c:v>
                </c:pt>
                <c:pt idx="18">
                  <c:v>83.032649851148108</c:v>
                </c:pt>
                <c:pt idx="19">
                  <c:v>83.206147432592729</c:v>
                </c:pt>
                <c:pt idx="20">
                  <c:v>83.347157062523337</c:v>
                </c:pt>
                <c:pt idx="21">
                  <c:v>84.373758268997719</c:v>
                </c:pt>
                <c:pt idx="22">
                  <c:v>83.660064142915232</c:v>
                </c:pt>
                <c:pt idx="23">
                  <c:v>82.872482782074954</c:v>
                </c:pt>
                <c:pt idx="24">
                  <c:v>82.441814616684326</c:v>
                </c:pt>
                <c:pt idx="25">
                  <c:v>82.681451183325066</c:v>
                </c:pt>
                <c:pt idx="26">
                  <c:v>82.473371693398207</c:v>
                </c:pt>
                <c:pt idx="27">
                  <c:v>81.996378669696284</c:v>
                </c:pt>
                <c:pt idx="28">
                  <c:v>81.371850101386769</c:v>
                </c:pt>
                <c:pt idx="29">
                  <c:v>80.889383148967468</c:v>
                </c:pt>
                <c:pt idx="30">
                  <c:v>81.409327641797333</c:v>
                </c:pt>
                <c:pt idx="31">
                  <c:v>82.08977888715215</c:v>
                </c:pt>
                <c:pt idx="32">
                  <c:v>82.56373814956801</c:v>
                </c:pt>
                <c:pt idx="33">
                  <c:v>81.939571461513935</c:v>
                </c:pt>
                <c:pt idx="34">
                  <c:v>81.576184686673017</c:v>
                </c:pt>
                <c:pt idx="35">
                  <c:v>80.850583322947756</c:v>
                </c:pt>
                <c:pt idx="36">
                  <c:v>81.70118607565756</c:v>
                </c:pt>
                <c:pt idx="37">
                  <c:v>82.212469446330019</c:v>
                </c:pt>
                <c:pt idx="38">
                  <c:v>83.091720639068484</c:v>
                </c:pt>
                <c:pt idx="39">
                  <c:v>83.137003538176543</c:v>
                </c:pt>
                <c:pt idx="40">
                  <c:v>83.440007997088713</c:v>
                </c:pt>
                <c:pt idx="41">
                  <c:v>83.891705981279671</c:v>
                </c:pt>
                <c:pt idx="42">
                  <c:v>83.346091493138431</c:v>
                </c:pt>
                <c:pt idx="43">
                  <c:v>83.857172789622936</c:v>
                </c:pt>
                <c:pt idx="44">
                  <c:v>83.340780360244878</c:v>
                </c:pt>
                <c:pt idx="45">
                  <c:v>83.1429712035211</c:v>
                </c:pt>
                <c:pt idx="46">
                  <c:v>84.067770995479151</c:v>
                </c:pt>
                <c:pt idx="47">
                  <c:v>84.205556992164176</c:v>
                </c:pt>
                <c:pt idx="48">
                  <c:v>83.762803625393175</c:v>
                </c:pt>
                <c:pt idx="49">
                  <c:v>82.883030864289637</c:v>
                </c:pt>
                <c:pt idx="50">
                  <c:v>83.551149634875031</c:v>
                </c:pt>
              </c:numCache>
            </c:numRef>
          </c:val>
          <c:smooth val="0"/>
          <c:extLst>
            <c:ext xmlns:c16="http://schemas.microsoft.com/office/drawing/2014/chart" uri="{C3380CC4-5D6E-409C-BE32-E72D297353CC}">
              <c16:uniqueId val="{00000005-7493-402B-A3C6-9D37D7251A2C}"/>
            </c:ext>
          </c:extLst>
        </c:ser>
        <c:dLbls>
          <c:showLegendKey val="0"/>
          <c:showVal val="0"/>
          <c:showCatName val="0"/>
          <c:showSerName val="0"/>
          <c:showPercent val="0"/>
          <c:showBubbleSize val="0"/>
        </c:dLbls>
        <c:smooth val="0"/>
        <c:axId val="1036226400"/>
        <c:axId val="1036226816"/>
        <c:extLst/>
      </c:lineChart>
      <c:dateAx>
        <c:axId val="1036226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rgbClr val="008B8C"/>
                </a:solidFill>
                <a:latin typeface="Cronos Pro" panose="020C0502030403020304" pitchFamily="34" charset="0"/>
                <a:ea typeface="+mn-ea"/>
                <a:cs typeface="+mn-cs"/>
              </a:defRPr>
            </a:pPr>
            <a:endParaRPr lang="en-US"/>
          </a:p>
        </c:txPr>
        <c:crossAx val="1036226816"/>
        <c:crosses val="autoZero"/>
        <c:auto val="0"/>
        <c:lblOffset val="100"/>
        <c:baseTimeUnit val="days"/>
        <c:majorUnit val="5"/>
      </c:dateAx>
      <c:valAx>
        <c:axId val="1036226816"/>
        <c:scaling>
          <c:orientation val="minMax"/>
          <c:max val="11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rgbClr val="008B8C"/>
                    </a:solidFill>
                    <a:latin typeface="+mn-lt"/>
                    <a:ea typeface="+mn-ea"/>
                    <a:cs typeface="+mn-cs"/>
                  </a:defRPr>
                </a:pPr>
                <a:r>
                  <a:rPr lang="en-NZ">
                    <a:solidFill>
                      <a:srgbClr val="008B8C"/>
                    </a:solidFill>
                    <a:latin typeface="Cronos Pro" panose="020C0502030403020304" pitchFamily="34" charset="0"/>
                  </a:rPr>
                  <a:t>GDP Per Capita Relative to US GDP Per Capita</a:t>
                </a:r>
              </a:p>
              <a:p>
                <a:pPr>
                  <a:defRPr>
                    <a:solidFill>
                      <a:srgbClr val="008B8C"/>
                    </a:solidFill>
                  </a:defRPr>
                </a:pPr>
                <a:r>
                  <a:rPr lang="en-NZ">
                    <a:solidFill>
                      <a:srgbClr val="008B8C"/>
                    </a:solidFill>
                    <a:latin typeface="Cronos Pro" panose="020C0502030403020304" pitchFamily="34" charset="0"/>
                  </a:rPr>
                  <a:t>(%)</a:t>
                </a:r>
              </a:p>
            </c:rich>
          </c:tx>
          <c:layout>
            <c:manualLayout>
              <c:xMode val="edge"/>
              <c:yMode val="edge"/>
              <c:x val="1.3137899087674976E-2"/>
              <c:y val="0.1005493375085833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rgbClr val="008B8C"/>
                  </a:solidFill>
                  <a:latin typeface="+mn-lt"/>
                  <a:ea typeface="+mn-ea"/>
                  <a:cs typeface="+mn-cs"/>
                </a:defRPr>
              </a:pPr>
              <a:endParaRPr lang="en-US"/>
            </a:p>
          </c:txPr>
        </c:title>
        <c:numFmt formatCode="#,##0" sourceLinked="0"/>
        <c:majorTickMark val="out"/>
        <c:minorTickMark val="none"/>
        <c:tickLblPos val="nextTo"/>
        <c:spPr>
          <a:noFill/>
          <a:ln w="12700">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rgbClr val="008B8C"/>
                </a:solidFill>
                <a:latin typeface="Cronos Pro" panose="020C0502030403020304" pitchFamily="34" charset="0"/>
                <a:ea typeface="+mn-ea"/>
                <a:cs typeface="+mn-cs"/>
              </a:defRPr>
            </a:pPr>
            <a:endParaRPr lang="en-US"/>
          </a:p>
        </c:txPr>
        <c:crossAx val="1036226400"/>
        <c:crosses val="autoZero"/>
        <c:crossBetween val="midCat"/>
        <c:majorUnit val="10"/>
      </c:valAx>
      <c:spPr>
        <a:noFill/>
        <a:ln>
          <a:noFill/>
        </a:ln>
        <a:effectLst/>
      </c:spPr>
    </c:plotArea>
    <c:legend>
      <c:legendPos val="b"/>
      <c:layout>
        <c:manualLayout>
          <c:xMode val="edge"/>
          <c:yMode val="edge"/>
          <c:x val="7.7141625854268772E-2"/>
          <c:y val="0.89441391085021738"/>
          <c:w val="0.92285837414573102"/>
          <c:h val="9.63456765054012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FB5A4D8CB3714A90B797AC39F80CD6" ma:contentTypeVersion="17" ma:contentTypeDescription="Create a new document." ma:contentTypeScope="" ma:versionID="6eae49b547074f6b624517ee4f3a86c5">
  <xsd:schema xmlns:xsd="http://www.w3.org/2001/XMLSchema" xmlns:xs="http://www.w3.org/2001/XMLSchema" xmlns:p="http://schemas.microsoft.com/office/2006/metadata/properties" xmlns:ns2="a59dc1bb-5b0e-47fe-abe2-b7e0ea38cbdb" xmlns:ns3="c5a873d1-aea3-4488-bc86-b3aeb44b66f3" targetNamespace="http://schemas.microsoft.com/office/2006/metadata/properties" ma:root="true" ma:fieldsID="70a703945fb5bfabe32805e9714c551c" ns2:_="" ns3:_="">
    <xsd:import namespace="a59dc1bb-5b0e-47fe-abe2-b7e0ea38cbdb"/>
    <xsd:import namespace="c5a873d1-aea3-4488-bc86-b3aeb44b66f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dc1bb-5b0e-47fe-abe2-b7e0ea38cbd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927ce2a-d703-4d88-aeb0-762fc977e67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14fdf27-13f2-4bcc-908f-ba071c849fe8}" ma:internalName="TaxCatchAll" ma:showField="CatchAllData" ma:web="a59dc1bb-5b0e-47fe-abe2-b7e0ea38cbd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873d1-aea3-4488-bc86-b3aeb44b66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D4521B-E8C4-4148-86E5-073D9F2A5A2D}">
  <ds:schemaRefs>
    <ds:schemaRef ds:uri="http://schemas.openxmlformats.org/officeDocument/2006/bibliography"/>
  </ds:schemaRefs>
</ds:datastoreItem>
</file>

<file path=customXml/itemProps2.xml><?xml version="1.0" encoding="utf-8"?>
<ds:datastoreItem xmlns:ds="http://schemas.openxmlformats.org/officeDocument/2006/customXml" ds:itemID="{931585CA-8499-4F8E-8D68-82056ECD3BC3}"/>
</file>

<file path=customXml/itemProps3.xml><?xml version="1.0" encoding="utf-8"?>
<ds:datastoreItem xmlns:ds="http://schemas.openxmlformats.org/officeDocument/2006/customXml" ds:itemID="{A93424CF-1287-4903-9292-54374DF7F3AF}"/>
</file>

<file path=docProps/app.xml><?xml version="1.0" encoding="utf-8"?>
<Properties xmlns="http://schemas.openxmlformats.org/officeDocument/2006/extended-properties" xmlns:vt="http://schemas.openxmlformats.org/officeDocument/2006/docPropsVTypes">
  <Template>Normal</Template>
  <TotalTime>1</TotalTime>
  <Pages>111</Pages>
  <Words>47034</Words>
  <Characters>246375</Characters>
  <Application>Microsoft Office Word</Application>
  <DocSecurity>0</DocSecurity>
  <Lines>2053</Lines>
  <Paragraphs>585</Paragraphs>
  <ScaleCrop>false</ScaleCrop>
  <HeadingPairs>
    <vt:vector size="2" baseType="variant">
      <vt:variant>
        <vt:lpstr>Title</vt:lpstr>
      </vt:variant>
      <vt:variant>
        <vt:i4>1</vt:i4>
      </vt:variant>
    </vt:vector>
  </HeadingPairs>
  <TitlesOfParts>
    <vt:vector size="1" baseType="lpstr">
      <vt:lpstr>Tax, foreign investment and productivity - long-term insights briefing (August 2022)</vt:lpstr>
    </vt:vector>
  </TitlesOfParts>
  <Company>Inland Revenue, New Zealand</Company>
  <LinksUpToDate>false</LinksUpToDate>
  <CharactersWithSpaces>292824</CharactersWithSpaces>
  <SharedDoc>false</SharedDoc>
  <HLinks>
    <vt:vector size="702" baseType="variant">
      <vt:variant>
        <vt:i4>5111899</vt:i4>
      </vt:variant>
      <vt:variant>
        <vt:i4>525</vt:i4>
      </vt:variant>
      <vt:variant>
        <vt:i4>0</vt:i4>
      </vt:variant>
      <vt:variant>
        <vt:i4>5</vt:i4>
      </vt:variant>
      <vt:variant>
        <vt:lpwstr>https://www.treasury.govt.nz/sites/default/files/2007-11/taxreview2001-report.pdf</vt:lpwstr>
      </vt:variant>
      <vt:variant>
        <vt:lpwstr/>
      </vt:variant>
      <vt:variant>
        <vt:i4>6</vt:i4>
      </vt:variant>
      <vt:variant>
        <vt:i4>522</vt:i4>
      </vt:variant>
      <vt:variant>
        <vt:i4>0</vt:i4>
      </vt:variant>
      <vt:variant>
        <vt:i4>5</vt:i4>
      </vt:variant>
      <vt:variant>
        <vt:lpwstr>https://ideas.repec.org/a/kap/itaxpf/v17y2010i3p315-336.html</vt:lpwstr>
      </vt:variant>
      <vt:variant>
        <vt:lpwstr/>
      </vt:variant>
      <vt:variant>
        <vt:i4>2555938</vt:i4>
      </vt:variant>
      <vt:variant>
        <vt:i4>519</vt:i4>
      </vt:variant>
      <vt:variant>
        <vt:i4>0</vt:i4>
      </vt:variant>
      <vt:variant>
        <vt:i4>5</vt:i4>
      </vt:variant>
      <vt:variant>
        <vt:lpwstr>https://openknowledge.worldbank.org/handle/10986/22924</vt:lpwstr>
      </vt:variant>
      <vt:variant>
        <vt:lpwstr/>
      </vt:variant>
      <vt:variant>
        <vt:i4>1638423</vt:i4>
      </vt:variant>
      <vt:variant>
        <vt:i4>516</vt:i4>
      </vt:variant>
      <vt:variant>
        <vt:i4>0</vt:i4>
      </vt:variant>
      <vt:variant>
        <vt:i4>5</vt:i4>
      </vt:variant>
      <vt:variant>
        <vt:lpwstr>https://taxpolicy.ird.govt.nz/publications/2022/2022-other-draft-ltib</vt:lpwstr>
      </vt:variant>
      <vt:variant>
        <vt:lpwstr/>
      </vt:variant>
      <vt:variant>
        <vt:i4>4980810</vt:i4>
      </vt:variant>
      <vt:variant>
        <vt:i4>513</vt:i4>
      </vt:variant>
      <vt:variant>
        <vt:i4>0</vt:i4>
      </vt:variant>
      <vt:variant>
        <vt:i4>5</vt:i4>
      </vt:variant>
      <vt:variant>
        <vt:lpwstr>https://taxpolicy.ird.govt.nz/publications/2021/2021-other-scope-ird-ltib-tax-liability-productivity</vt:lpwstr>
      </vt:variant>
      <vt:variant>
        <vt:lpwstr/>
      </vt:variant>
      <vt:variant>
        <vt:i4>3276852</vt:i4>
      </vt:variant>
      <vt:variant>
        <vt:i4>510</vt:i4>
      </vt:variant>
      <vt:variant>
        <vt:i4>0</vt:i4>
      </vt:variant>
      <vt:variant>
        <vt:i4>5</vt:i4>
      </vt:variant>
      <vt:variant>
        <vt:lpwstr>https://taxpolicy.ird.govt.nz/publications/2016/2016-other-nz-framework-inbound-investment</vt:lpwstr>
      </vt:variant>
      <vt:variant>
        <vt:lpwstr/>
      </vt:variant>
      <vt:variant>
        <vt:i4>7274540</vt:i4>
      </vt:variant>
      <vt:variant>
        <vt:i4>507</vt:i4>
      </vt:variant>
      <vt:variant>
        <vt:i4>0</vt:i4>
      </vt:variant>
      <vt:variant>
        <vt:i4>5</vt:i4>
      </vt:variant>
      <vt:variant>
        <vt:lpwstr>https://www.wgtn.ac.nz/cagtr/events/past-events/tax-working-group-2009/publications/4-company-tax-issues-facing-nz.pdf</vt:lpwstr>
      </vt:variant>
      <vt:variant>
        <vt:lpwstr/>
      </vt:variant>
      <vt:variant>
        <vt:i4>4915322</vt:i4>
      </vt:variant>
      <vt:variant>
        <vt:i4>504</vt:i4>
      </vt:variant>
      <vt:variant>
        <vt:i4>0</vt:i4>
      </vt:variant>
      <vt:variant>
        <vt:i4>5</vt:i4>
      </vt:variant>
      <vt:variant>
        <vt:lpwstr>https://www.oecd-ilibrary.org/taxation/corporate-effective-tax-rates_a07f9958-en</vt:lpwstr>
      </vt:variant>
      <vt:variant>
        <vt:lpwstr/>
      </vt:variant>
      <vt:variant>
        <vt:i4>5636188</vt:i4>
      </vt:variant>
      <vt:variant>
        <vt:i4>501</vt:i4>
      </vt:variant>
      <vt:variant>
        <vt:i4>0</vt:i4>
      </vt:variant>
      <vt:variant>
        <vt:i4>5</vt:i4>
      </vt:variant>
      <vt:variant>
        <vt:lpwstr>https://www.wgtn.ac.nz/cagtr/events/past-events/tax-working-group-2009/publications/4-capital-taxation-in-nz-intl-perspective.pdf</vt:lpwstr>
      </vt:variant>
      <vt:variant>
        <vt:lpwstr/>
      </vt:variant>
      <vt:variant>
        <vt:i4>1114171</vt:i4>
      </vt:variant>
      <vt:variant>
        <vt:i4>485</vt:i4>
      </vt:variant>
      <vt:variant>
        <vt:i4>0</vt:i4>
      </vt:variant>
      <vt:variant>
        <vt:i4>5</vt:i4>
      </vt:variant>
      <vt:variant>
        <vt:lpwstr/>
      </vt:variant>
      <vt:variant>
        <vt:lpwstr>_Toc108450729</vt:lpwstr>
      </vt:variant>
      <vt:variant>
        <vt:i4>1114171</vt:i4>
      </vt:variant>
      <vt:variant>
        <vt:i4>479</vt:i4>
      </vt:variant>
      <vt:variant>
        <vt:i4>0</vt:i4>
      </vt:variant>
      <vt:variant>
        <vt:i4>5</vt:i4>
      </vt:variant>
      <vt:variant>
        <vt:lpwstr/>
      </vt:variant>
      <vt:variant>
        <vt:lpwstr>_Toc108450728</vt:lpwstr>
      </vt:variant>
      <vt:variant>
        <vt:i4>1114171</vt:i4>
      </vt:variant>
      <vt:variant>
        <vt:i4>473</vt:i4>
      </vt:variant>
      <vt:variant>
        <vt:i4>0</vt:i4>
      </vt:variant>
      <vt:variant>
        <vt:i4>5</vt:i4>
      </vt:variant>
      <vt:variant>
        <vt:lpwstr/>
      </vt:variant>
      <vt:variant>
        <vt:lpwstr>_Toc108450727</vt:lpwstr>
      </vt:variant>
      <vt:variant>
        <vt:i4>1114171</vt:i4>
      </vt:variant>
      <vt:variant>
        <vt:i4>467</vt:i4>
      </vt:variant>
      <vt:variant>
        <vt:i4>0</vt:i4>
      </vt:variant>
      <vt:variant>
        <vt:i4>5</vt:i4>
      </vt:variant>
      <vt:variant>
        <vt:lpwstr/>
      </vt:variant>
      <vt:variant>
        <vt:lpwstr>_Toc108450726</vt:lpwstr>
      </vt:variant>
      <vt:variant>
        <vt:i4>1114171</vt:i4>
      </vt:variant>
      <vt:variant>
        <vt:i4>461</vt:i4>
      </vt:variant>
      <vt:variant>
        <vt:i4>0</vt:i4>
      </vt:variant>
      <vt:variant>
        <vt:i4>5</vt:i4>
      </vt:variant>
      <vt:variant>
        <vt:lpwstr/>
      </vt:variant>
      <vt:variant>
        <vt:lpwstr>_Toc108450725</vt:lpwstr>
      </vt:variant>
      <vt:variant>
        <vt:i4>1114171</vt:i4>
      </vt:variant>
      <vt:variant>
        <vt:i4>455</vt:i4>
      </vt:variant>
      <vt:variant>
        <vt:i4>0</vt:i4>
      </vt:variant>
      <vt:variant>
        <vt:i4>5</vt:i4>
      </vt:variant>
      <vt:variant>
        <vt:lpwstr/>
      </vt:variant>
      <vt:variant>
        <vt:lpwstr>_Toc108450724</vt:lpwstr>
      </vt:variant>
      <vt:variant>
        <vt:i4>1114171</vt:i4>
      </vt:variant>
      <vt:variant>
        <vt:i4>449</vt:i4>
      </vt:variant>
      <vt:variant>
        <vt:i4>0</vt:i4>
      </vt:variant>
      <vt:variant>
        <vt:i4>5</vt:i4>
      </vt:variant>
      <vt:variant>
        <vt:lpwstr/>
      </vt:variant>
      <vt:variant>
        <vt:lpwstr>_Toc108450723</vt:lpwstr>
      </vt:variant>
      <vt:variant>
        <vt:i4>1114171</vt:i4>
      </vt:variant>
      <vt:variant>
        <vt:i4>443</vt:i4>
      </vt:variant>
      <vt:variant>
        <vt:i4>0</vt:i4>
      </vt:variant>
      <vt:variant>
        <vt:i4>5</vt:i4>
      </vt:variant>
      <vt:variant>
        <vt:lpwstr/>
      </vt:variant>
      <vt:variant>
        <vt:lpwstr>_Toc108450722</vt:lpwstr>
      </vt:variant>
      <vt:variant>
        <vt:i4>1114171</vt:i4>
      </vt:variant>
      <vt:variant>
        <vt:i4>437</vt:i4>
      </vt:variant>
      <vt:variant>
        <vt:i4>0</vt:i4>
      </vt:variant>
      <vt:variant>
        <vt:i4>5</vt:i4>
      </vt:variant>
      <vt:variant>
        <vt:lpwstr/>
      </vt:variant>
      <vt:variant>
        <vt:lpwstr>_Toc108450721</vt:lpwstr>
      </vt:variant>
      <vt:variant>
        <vt:i4>1114171</vt:i4>
      </vt:variant>
      <vt:variant>
        <vt:i4>431</vt:i4>
      </vt:variant>
      <vt:variant>
        <vt:i4>0</vt:i4>
      </vt:variant>
      <vt:variant>
        <vt:i4>5</vt:i4>
      </vt:variant>
      <vt:variant>
        <vt:lpwstr/>
      </vt:variant>
      <vt:variant>
        <vt:lpwstr>_Toc108450720</vt:lpwstr>
      </vt:variant>
      <vt:variant>
        <vt:i4>1179707</vt:i4>
      </vt:variant>
      <vt:variant>
        <vt:i4>425</vt:i4>
      </vt:variant>
      <vt:variant>
        <vt:i4>0</vt:i4>
      </vt:variant>
      <vt:variant>
        <vt:i4>5</vt:i4>
      </vt:variant>
      <vt:variant>
        <vt:lpwstr/>
      </vt:variant>
      <vt:variant>
        <vt:lpwstr>_Toc108450719</vt:lpwstr>
      </vt:variant>
      <vt:variant>
        <vt:i4>1179707</vt:i4>
      </vt:variant>
      <vt:variant>
        <vt:i4>419</vt:i4>
      </vt:variant>
      <vt:variant>
        <vt:i4>0</vt:i4>
      </vt:variant>
      <vt:variant>
        <vt:i4>5</vt:i4>
      </vt:variant>
      <vt:variant>
        <vt:lpwstr/>
      </vt:variant>
      <vt:variant>
        <vt:lpwstr>_Toc108450718</vt:lpwstr>
      </vt:variant>
      <vt:variant>
        <vt:i4>1179707</vt:i4>
      </vt:variant>
      <vt:variant>
        <vt:i4>413</vt:i4>
      </vt:variant>
      <vt:variant>
        <vt:i4>0</vt:i4>
      </vt:variant>
      <vt:variant>
        <vt:i4>5</vt:i4>
      </vt:variant>
      <vt:variant>
        <vt:lpwstr/>
      </vt:variant>
      <vt:variant>
        <vt:lpwstr>_Toc108450717</vt:lpwstr>
      </vt:variant>
      <vt:variant>
        <vt:i4>1179707</vt:i4>
      </vt:variant>
      <vt:variant>
        <vt:i4>407</vt:i4>
      </vt:variant>
      <vt:variant>
        <vt:i4>0</vt:i4>
      </vt:variant>
      <vt:variant>
        <vt:i4>5</vt:i4>
      </vt:variant>
      <vt:variant>
        <vt:lpwstr/>
      </vt:variant>
      <vt:variant>
        <vt:lpwstr>_Toc108450716</vt:lpwstr>
      </vt:variant>
      <vt:variant>
        <vt:i4>1179707</vt:i4>
      </vt:variant>
      <vt:variant>
        <vt:i4>401</vt:i4>
      </vt:variant>
      <vt:variant>
        <vt:i4>0</vt:i4>
      </vt:variant>
      <vt:variant>
        <vt:i4>5</vt:i4>
      </vt:variant>
      <vt:variant>
        <vt:lpwstr/>
      </vt:variant>
      <vt:variant>
        <vt:lpwstr>_Toc108450715</vt:lpwstr>
      </vt:variant>
      <vt:variant>
        <vt:i4>1179707</vt:i4>
      </vt:variant>
      <vt:variant>
        <vt:i4>395</vt:i4>
      </vt:variant>
      <vt:variant>
        <vt:i4>0</vt:i4>
      </vt:variant>
      <vt:variant>
        <vt:i4>5</vt:i4>
      </vt:variant>
      <vt:variant>
        <vt:lpwstr/>
      </vt:variant>
      <vt:variant>
        <vt:lpwstr>_Toc108450714</vt:lpwstr>
      </vt:variant>
      <vt:variant>
        <vt:i4>1179707</vt:i4>
      </vt:variant>
      <vt:variant>
        <vt:i4>389</vt:i4>
      </vt:variant>
      <vt:variant>
        <vt:i4>0</vt:i4>
      </vt:variant>
      <vt:variant>
        <vt:i4>5</vt:i4>
      </vt:variant>
      <vt:variant>
        <vt:lpwstr/>
      </vt:variant>
      <vt:variant>
        <vt:lpwstr>_Toc108450713</vt:lpwstr>
      </vt:variant>
      <vt:variant>
        <vt:i4>1179707</vt:i4>
      </vt:variant>
      <vt:variant>
        <vt:i4>383</vt:i4>
      </vt:variant>
      <vt:variant>
        <vt:i4>0</vt:i4>
      </vt:variant>
      <vt:variant>
        <vt:i4>5</vt:i4>
      </vt:variant>
      <vt:variant>
        <vt:lpwstr/>
      </vt:variant>
      <vt:variant>
        <vt:lpwstr>_Toc108450712</vt:lpwstr>
      </vt:variant>
      <vt:variant>
        <vt:i4>1179707</vt:i4>
      </vt:variant>
      <vt:variant>
        <vt:i4>377</vt:i4>
      </vt:variant>
      <vt:variant>
        <vt:i4>0</vt:i4>
      </vt:variant>
      <vt:variant>
        <vt:i4>5</vt:i4>
      </vt:variant>
      <vt:variant>
        <vt:lpwstr/>
      </vt:variant>
      <vt:variant>
        <vt:lpwstr>_Toc108450711</vt:lpwstr>
      </vt:variant>
      <vt:variant>
        <vt:i4>1179707</vt:i4>
      </vt:variant>
      <vt:variant>
        <vt:i4>371</vt:i4>
      </vt:variant>
      <vt:variant>
        <vt:i4>0</vt:i4>
      </vt:variant>
      <vt:variant>
        <vt:i4>5</vt:i4>
      </vt:variant>
      <vt:variant>
        <vt:lpwstr/>
      </vt:variant>
      <vt:variant>
        <vt:lpwstr>_Toc108450710</vt:lpwstr>
      </vt:variant>
      <vt:variant>
        <vt:i4>1245243</vt:i4>
      </vt:variant>
      <vt:variant>
        <vt:i4>365</vt:i4>
      </vt:variant>
      <vt:variant>
        <vt:i4>0</vt:i4>
      </vt:variant>
      <vt:variant>
        <vt:i4>5</vt:i4>
      </vt:variant>
      <vt:variant>
        <vt:lpwstr/>
      </vt:variant>
      <vt:variant>
        <vt:lpwstr>_Toc108450709</vt:lpwstr>
      </vt:variant>
      <vt:variant>
        <vt:i4>1245243</vt:i4>
      </vt:variant>
      <vt:variant>
        <vt:i4>359</vt:i4>
      </vt:variant>
      <vt:variant>
        <vt:i4>0</vt:i4>
      </vt:variant>
      <vt:variant>
        <vt:i4>5</vt:i4>
      </vt:variant>
      <vt:variant>
        <vt:lpwstr/>
      </vt:variant>
      <vt:variant>
        <vt:lpwstr>_Toc108450708</vt:lpwstr>
      </vt:variant>
      <vt:variant>
        <vt:i4>1245243</vt:i4>
      </vt:variant>
      <vt:variant>
        <vt:i4>353</vt:i4>
      </vt:variant>
      <vt:variant>
        <vt:i4>0</vt:i4>
      </vt:variant>
      <vt:variant>
        <vt:i4>5</vt:i4>
      </vt:variant>
      <vt:variant>
        <vt:lpwstr/>
      </vt:variant>
      <vt:variant>
        <vt:lpwstr>_Toc108450707</vt:lpwstr>
      </vt:variant>
      <vt:variant>
        <vt:i4>1245243</vt:i4>
      </vt:variant>
      <vt:variant>
        <vt:i4>347</vt:i4>
      </vt:variant>
      <vt:variant>
        <vt:i4>0</vt:i4>
      </vt:variant>
      <vt:variant>
        <vt:i4>5</vt:i4>
      </vt:variant>
      <vt:variant>
        <vt:lpwstr/>
      </vt:variant>
      <vt:variant>
        <vt:lpwstr>_Toc108450706</vt:lpwstr>
      </vt:variant>
      <vt:variant>
        <vt:i4>1245243</vt:i4>
      </vt:variant>
      <vt:variant>
        <vt:i4>341</vt:i4>
      </vt:variant>
      <vt:variant>
        <vt:i4>0</vt:i4>
      </vt:variant>
      <vt:variant>
        <vt:i4>5</vt:i4>
      </vt:variant>
      <vt:variant>
        <vt:lpwstr/>
      </vt:variant>
      <vt:variant>
        <vt:lpwstr>_Toc108450705</vt:lpwstr>
      </vt:variant>
      <vt:variant>
        <vt:i4>1245243</vt:i4>
      </vt:variant>
      <vt:variant>
        <vt:i4>335</vt:i4>
      </vt:variant>
      <vt:variant>
        <vt:i4>0</vt:i4>
      </vt:variant>
      <vt:variant>
        <vt:i4>5</vt:i4>
      </vt:variant>
      <vt:variant>
        <vt:lpwstr/>
      </vt:variant>
      <vt:variant>
        <vt:lpwstr>_Toc108450704</vt:lpwstr>
      </vt:variant>
      <vt:variant>
        <vt:i4>1245243</vt:i4>
      </vt:variant>
      <vt:variant>
        <vt:i4>329</vt:i4>
      </vt:variant>
      <vt:variant>
        <vt:i4>0</vt:i4>
      </vt:variant>
      <vt:variant>
        <vt:i4>5</vt:i4>
      </vt:variant>
      <vt:variant>
        <vt:lpwstr/>
      </vt:variant>
      <vt:variant>
        <vt:lpwstr>_Toc108450703</vt:lpwstr>
      </vt:variant>
      <vt:variant>
        <vt:i4>1245243</vt:i4>
      </vt:variant>
      <vt:variant>
        <vt:i4>323</vt:i4>
      </vt:variant>
      <vt:variant>
        <vt:i4>0</vt:i4>
      </vt:variant>
      <vt:variant>
        <vt:i4>5</vt:i4>
      </vt:variant>
      <vt:variant>
        <vt:lpwstr/>
      </vt:variant>
      <vt:variant>
        <vt:lpwstr>_Toc108450702</vt:lpwstr>
      </vt:variant>
      <vt:variant>
        <vt:i4>1245243</vt:i4>
      </vt:variant>
      <vt:variant>
        <vt:i4>317</vt:i4>
      </vt:variant>
      <vt:variant>
        <vt:i4>0</vt:i4>
      </vt:variant>
      <vt:variant>
        <vt:i4>5</vt:i4>
      </vt:variant>
      <vt:variant>
        <vt:lpwstr/>
      </vt:variant>
      <vt:variant>
        <vt:lpwstr>_Toc108450701</vt:lpwstr>
      </vt:variant>
      <vt:variant>
        <vt:i4>1245243</vt:i4>
      </vt:variant>
      <vt:variant>
        <vt:i4>311</vt:i4>
      </vt:variant>
      <vt:variant>
        <vt:i4>0</vt:i4>
      </vt:variant>
      <vt:variant>
        <vt:i4>5</vt:i4>
      </vt:variant>
      <vt:variant>
        <vt:lpwstr/>
      </vt:variant>
      <vt:variant>
        <vt:lpwstr>_Toc108450700</vt:lpwstr>
      </vt:variant>
      <vt:variant>
        <vt:i4>1703994</vt:i4>
      </vt:variant>
      <vt:variant>
        <vt:i4>305</vt:i4>
      </vt:variant>
      <vt:variant>
        <vt:i4>0</vt:i4>
      </vt:variant>
      <vt:variant>
        <vt:i4>5</vt:i4>
      </vt:variant>
      <vt:variant>
        <vt:lpwstr/>
      </vt:variant>
      <vt:variant>
        <vt:lpwstr>_Toc108450699</vt:lpwstr>
      </vt:variant>
      <vt:variant>
        <vt:i4>1703994</vt:i4>
      </vt:variant>
      <vt:variant>
        <vt:i4>299</vt:i4>
      </vt:variant>
      <vt:variant>
        <vt:i4>0</vt:i4>
      </vt:variant>
      <vt:variant>
        <vt:i4>5</vt:i4>
      </vt:variant>
      <vt:variant>
        <vt:lpwstr/>
      </vt:variant>
      <vt:variant>
        <vt:lpwstr>_Toc108450698</vt:lpwstr>
      </vt:variant>
      <vt:variant>
        <vt:i4>1703994</vt:i4>
      </vt:variant>
      <vt:variant>
        <vt:i4>293</vt:i4>
      </vt:variant>
      <vt:variant>
        <vt:i4>0</vt:i4>
      </vt:variant>
      <vt:variant>
        <vt:i4>5</vt:i4>
      </vt:variant>
      <vt:variant>
        <vt:lpwstr/>
      </vt:variant>
      <vt:variant>
        <vt:lpwstr>_Toc108450697</vt:lpwstr>
      </vt:variant>
      <vt:variant>
        <vt:i4>1703994</vt:i4>
      </vt:variant>
      <vt:variant>
        <vt:i4>287</vt:i4>
      </vt:variant>
      <vt:variant>
        <vt:i4>0</vt:i4>
      </vt:variant>
      <vt:variant>
        <vt:i4>5</vt:i4>
      </vt:variant>
      <vt:variant>
        <vt:lpwstr/>
      </vt:variant>
      <vt:variant>
        <vt:lpwstr>_Toc108450696</vt:lpwstr>
      </vt:variant>
      <vt:variant>
        <vt:i4>1703994</vt:i4>
      </vt:variant>
      <vt:variant>
        <vt:i4>281</vt:i4>
      </vt:variant>
      <vt:variant>
        <vt:i4>0</vt:i4>
      </vt:variant>
      <vt:variant>
        <vt:i4>5</vt:i4>
      </vt:variant>
      <vt:variant>
        <vt:lpwstr/>
      </vt:variant>
      <vt:variant>
        <vt:lpwstr>_Toc108450695</vt:lpwstr>
      </vt:variant>
      <vt:variant>
        <vt:i4>1703994</vt:i4>
      </vt:variant>
      <vt:variant>
        <vt:i4>275</vt:i4>
      </vt:variant>
      <vt:variant>
        <vt:i4>0</vt:i4>
      </vt:variant>
      <vt:variant>
        <vt:i4>5</vt:i4>
      </vt:variant>
      <vt:variant>
        <vt:lpwstr/>
      </vt:variant>
      <vt:variant>
        <vt:lpwstr>_Toc108450694</vt:lpwstr>
      </vt:variant>
      <vt:variant>
        <vt:i4>1703994</vt:i4>
      </vt:variant>
      <vt:variant>
        <vt:i4>269</vt:i4>
      </vt:variant>
      <vt:variant>
        <vt:i4>0</vt:i4>
      </vt:variant>
      <vt:variant>
        <vt:i4>5</vt:i4>
      </vt:variant>
      <vt:variant>
        <vt:lpwstr/>
      </vt:variant>
      <vt:variant>
        <vt:lpwstr>_Toc108450693</vt:lpwstr>
      </vt:variant>
      <vt:variant>
        <vt:i4>1703994</vt:i4>
      </vt:variant>
      <vt:variant>
        <vt:i4>263</vt:i4>
      </vt:variant>
      <vt:variant>
        <vt:i4>0</vt:i4>
      </vt:variant>
      <vt:variant>
        <vt:i4>5</vt:i4>
      </vt:variant>
      <vt:variant>
        <vt:lpwstr/>
      </vt:variant>
      <vt:variant>
        <vt:lpwstr>_Toc108450692</vt:lpwstr>
      </vt:variant>
      <vt:variant>
        <vt:i4>1703994</vt:i4>
      </vt:variant>
      <vt:variant>
        <vt:i4>257</vt:i4>
      </vt:variant>
      <vt:variant>
        <vt:i4>0</vt:i4>
      </vt:variant>
      <vt:variant>
        <vt:i4>5</vt:i4>
      </vt:variant>
      <vt:variant>
        <vt:lpwstr/>
      </vt:variant>
      <vt:variant>
        <vt:lpwstr>_Toc108450691</vt:lpwstr>
      </vt:variant>
      <vt:variant>
        <vt:i4>1703994</vt:i4>
      </vt:variant>
      <vt:variant>
        <vt:i4>251</vt:i4>
      </vt:variant>
      <vt:variant>
        <vt:i4>0</vt:i4>
      </vt:variant>
      <vt:variant>
        <vt:i4>5</vt:i4>
      </vt:variant>
      <vt:variant>
        <vt:lpwstr/>
      </vt:variant>
      <vt:variant>
        <vt:lpwstr>_Toc108450690</vt:lpwstr>
      </vt:variant>
      <vt:variant>
        <vt:i4>1769530</vt:i4>
      </vt:variant>
      <vt:variant>
        <vt:i4>245</vt:i4>
      </vt:variant>
      <vt:variant>
        <vt:i4>0</vt:i4>
      </vt:variant>
      <vt:variant>
        <vt:i4>5</vt:i4>
      </vt:variant>
      <vt:variant>
        <vt:lpwstr/>
      </vt:variant>
      <vt:variant>
        <vt:lpwstr>_Toc108450689</vt:lpwstr>
      </vt:variant>
      <vt:variant>
        <vt:i4>1769530</vt:i4>
      </vt:variant>
      <vt:variant>
        <vt:i4>239</vt:i4>
      </vt:variant>
      <vt:variant>
        <vt:i4>0</vt:i4>
      </vt:variant>
      <vt:variant>
        <vt:i4>5</vt:i4>
      </vt:variant>
      <vt:variant>
        <vt:lpwstr/>
      </vt:variant>
      <vt:variant>
        <vt:lpwstr>_Toc108450688</vt:lpwstr>
      </vt:variant>
      <vt:variant>
        <vt:i4>1769530</vt:i4>
      </vt:variant>
      <vt:variant>
        <vt:i4>233</vt:i4>
      </vt:variant>
      <vt:variant>
        <vt:i4>0</vt:i4>
      </vt:variant>
      <vt:variant>
        <vt:i4>5</vt:i4>
      </vt:variant>
      <vt:variant>
        <vt:lpwstr/>
      </vt:variant>
      <vt:variant>
        <vt:lpwstr>_Toc108450687</vt:lpwstr>
      </vt:variant>
      <vt:variant>
        <vt:i4>1769530</vt:i4>
      </vt:variant>
      <vt:variant>
        <vt:i4>227</vt:i4>
      </vt:variant>
      <vt:variant>
        <vt:i4>0</vt:i4>
      </vt:variant>
      <vt:variant>
        <vt:i4>5</vt:i4>
      </vt:variant>
      <vt:variant>
        <vt:lpwstr/>
      </vt:variant>
      <vt:variant>
        <vt:lpwstr>_Toc108450686</vt:lpwstr>
      </vt:variant>
      <vt:variant>
        <vt:i4>1769530</vt:i4>
      </vt:variant>
      <vt:variant>
        <vt:i4>221</vt:i4>
      </vt:variant>
      <vt:variant>
        <vt:i4>0</vt:i4>
      </vt:variant>
      <vt:variant>
        <vt:i4>5</vt:i4>
      </vt:variant>
      <vt:variant>
        <vt:lpwstr/>
      </vt:variant>
      <vt:variant>
        <vt:lpwstr>_Toc108450685</vt:lpwstr>
      </vt:variant>
      <vt:variant>
        <vt:i4>1769530</vt:i4>
      </vt:variant>
      <vt:variant>
        <vt:i4>215</vt:i4>
      </vt:variant>
      <vt:variant>
        <vt:i4>0</vt:i4>
      </vt:variant>
      <vt:variant>
        <vt:i4>5</vt:i4>
      </vt:variant>
      <vt:variant>
        <vt:lpwstr/>
      </vt:variant>
      <vt:variant>
        <vt:lpwstr>_Toc108450684</vt:lpwstr>
      </vt:variant>
      <vt:variant>
        <vt:i4>1769530</vt:i4>
      </vt:variant>
      <vt:variant>
        <vt:i4>209</vt:i4>
      </vt:variant>
      <vt:variant>
        <vt:i4>0</vt:i4>
      </vt:variant>
      <vt:variant>
        <vt:i4>5</vt:i4>
      </vt:variant>
      <vt:variant>
        <vt:lpwstr/>
      </vt:variant>
      <vt:variant>
        <vt:lpwstr>_Toc108450683</vt:lpwstr>
      </vt:variant>
      <vt:variant>
        <vt:i4>1769530</vt:i4>
      </vt:variant>
      <vt:variant>
        <vt:i4>203</vt:i4>
      </vt:variant>
      <vt:variant>
        <vt:i4>0</vt:i4>
      </vt:variant>
      <vt:variant>
        <vt:i4>5</vt:i4>
      </vt:variant>
      <vt:variant>
        <vt:lpwstr/>
      </vt:variant>
      <vt:variant>
        <vt:lpwstr>_Toc108450682</vt:lpwstr>
      </vt:variant>
      <vt:variant>
        <vt:i4>1769530</vt:i4>
      </vt:variant>
      <vt:variant>
        <vt:i4>197</vt:i4>
      </vt:variant>
      <vt:variant>
        <vt:i4>0</vt:i4>
      </vt:variant>
      <vt:variant>
        <vt:i4>5</vt:i4>
      </vt:variant>
      <vt:variant>
        <vt:lpwstr/>
      </vt:variant>
      <vt:variant>
        <vt:lpwstr>_Toc108450681</vt:lpwstr>
      </vt:variant>
      <vt:variant>
        <vt:i4>1769530</vt:i4>
      </vt:variant>
      <vt:variant>
        <vt:i4>191</vt:i4>
      </vt:variant>
      <vt:variant>
        <vt:i4>0</vt:i4>
      </vt:variant>
      <vt:variant>
        <vt:i4>5</vt:i4>
      </vt:variant>
      <vt:variant>
        <vt:lpwstr/>
      </vt:variant>
      <vt:variant>
        <vt:lpwstr>_Toc108450680</vt:lpwstr>
      </vt:variant>
      <vt:variant>
        <vt:i4>1310778</vt:i4>
      </vt:variant>
      <vt:variant>
        <vt:i4>185</vt:i4>
      </vt:variant>
      <vt:variant>
        <vt:i4>0</vt:i4>
      </vt:variant>
      <vt:variant>
        <vt:i4>5</vt:i4>
      </vt:variant>
      <vt:variant>
        <vt:lpwstr/>
      </vt:variant>
      <vt:variant>
        <vt:lpwstr>_Toc108450679</vt:lpwstr>
      </vt:variant>
      <vt:variant>
        <vt:i4>1310778</vt:i4>
      </vt:variant>
      <vt:variant>
        <vt:i4>179</vt:i4>
      </vt:variant>
      <vt:variant>
        <vt:i4>0</vt:i4>
      </vt:variant>
      <vt:variant>
        <vt:i4>5</vt:i4>
      </vt:variant>
      <vt:variant>
        <vt:lpwstr/>
      </vt:variant>
      <vt:variant>
        <vt:lpwstr>_Toc108450678</vt:lpwstr>
      </vt:variant>
      <vt:variant>
        <vt:i4>1310778</vt:i4>
      </vt:variant>
      <vt:variant>
        <vt:i4>173</vt:i4>
      </vt:variant>
      <vt:variant>
        <vt:i4>0</vt:i4>
      </vt:variant>
      <vt:variant>
        <vt:i4>5</vt:i4>
      </vt:variant>
      <vt:variant>
        <vt:lpwstr/>
      </vt:variant>
      <vt:variant>
        <vt:lpwstr>_Toc108450677</vt:lpwstr>
      </vt:variant>
      <vt:variant>
        <vt:i4>1310778</vt:i4>
      </vt:variant>
      <vt:variant>
        <vt:i4>167</vt:i4>
      </vt:variant>
      <vt:variant>
        <vt:i4>0</vt:i4>
      </vt:variant>
      <vt:variant>
        <vt:i4>5</vt:i4>
      </vt:variant>
      <vt:variant>
        <vt:lpwstr/>
      </vt:variant>
      <vt:variant>
        <vt:lpwstr>_Toc108450676</vt:lpwstr>
      </vt:variant>
      <vt:variant>
        <vt:i4>1310778</vt:i4>
      </vt:variant>
      <vt:variant>
        <vt:i4>161</vt:i4>
      </vt:variant>
      <vt:variant>
        <vt:i4>0</vt:i4>
      </vt:variant>
      <vt:variant>
        <vt:i4>5</vt:i4>
      </vt:variant>
      <vt:variant>
        <vt:lpwstr/>
      </vt:variant>
      <vt:variant>
        <vt:lpwstr>_Toc108450675</vt:lpwstr>
      </vt:variant>
      <vt:variant>
        <vt:i4>1310778</vt:i4>
      </vt:variant>
      <vt:variant>
        <vt:i4>155</vt:i4>
      </vt:variant>
      <vt:variant>
        <vt:i4>0</vt:i4>
      </vt:variant>
      <vt:variant>
        <vt:i4>5</vt:i4>
      </vt:variant>
      <vt:variant>
        <vt:lpwstr/>
      </vt:variant>
      <vt:variant>
        <vt:lpwstr>_Toc108450674</vt:lpwstr>
      </vt:variant>
      <vt:variant>
        <vt:i4>1310778</vt:i4>
      </vt:variant>
      <vt:variant>
        <vt:i4>149</vt:i4>
      </vt:variant>
      <vt:variant>
        <vt:i4>0</vt:i4>
      </vt:variant>
      <vt:variant>
        <vt:i4>5</vt:i4>
      </vt:variant>
      <vt:variant>
        <vt:lpwstr/>
      </vt:variant>
      <vt:variant>
        <vt:lpwstr>_Toc108450673</vt:lpwstr>
      </vt:variant>
      <vt:variant>
        <vt:i4>1310778</vt:i4>
      </vt:variant>
      <vt:variant>
        <vt:i4>143</vt:i4>
      </vt:variant>
      <vt:variant>
        <vt:i4>0</vt:i4>
      </vt:variant>
      <vt:variant>
        <vt:i4>5</vt:i4>
      </vt:variant>
      <vt:variant>
        <vt:lpwstr/>
      </vt:variant>
      <vt:variant>
        <vt:lpwstr>_Toc108450672</vt:lpwstr>
      </vt:variant>
      <vt:variant>
        <vt:i4>1310778</vt:i4>
      </vt:variant>
      <vt:variant>
        <vt:i4>137</vt:i4>
      </vt:variant>
      <vt:variant>
        <vt:i4>0</vt:i4>
      </vt:variant>
      <vt:variant>
        <vt:i4>5</vt:i4>
      </vt:variant>
      <vt:variant>
        <vt:lpwstr/>
      </vt:variant>
      <vt:variant>
        <vt:lpwstr>_Toc108450671</vt:lpwstr>
      </vt:variant>
      <vt:variant>
        <vt:i4>1310778</vt:i4>
      </vt:variant>
      <vt:variant>
        <vt:i4>131</vt:i4>
      </vt:variant>
      <vt:variant>
        <vt:i4>0</vt:i4>
      </vt:variant>
      <vt:variant>
        <vt:i4>5</vt:i4>
      </vt:variant>
      <vt:variant>
        <vt:lpwstr/>
      </vt:variant>
      <vt:variant>
        <vt:lpwstr>_Toc108450670</vt:lpwstr>
      </vt:variant>
      <vt:variant>
        <vt:i4>1376314</vt:i4>
      </vt:variant>
      <vt:variant>
        <vt:i4>125</vt:i4>
      </vt:variant>
      <vt:variant>
        <vt:i4>0</vt:i4>
      </vt:variant>
      <vt:variant>
        <vt:i4>5</vt:i4>
      </vt:variant>
      <vt:variant>
        <vt:lpwstr/>
      </vt:variant>
      <vt:variant>
        <vt:lpwstr>_Toc108450669</vt:lpwstr>
      </vt:variant>
      <vt:variant>
        <vt:i4>1376314</vt:i4>
      </vt:variant>
      <vt:variant>
        <vt:i4>119</vt:i4>
      </vt:variant>
      <vt:variant>
        <vt:i4>0</vt:i4>
      </vt:variant>
      <vt:variant>
        <vt:i4>5</vt:i4>
      </vt:variant>
      <vt:variant>
        <vt:lpwstr/>
      </vt:variant>
      <vt:variant>
        <vt:lpwstr>_Toc108450668</vt:lpwstr>
      </vt:variant>
      <vt:variant>
        <vt:i4>1376314</vt:i4>
      </vt:variant>
      <vt:variant>
        <vt:i4>113</vt:i4>
      </vt:variant>
      <vt:variant>
        <vt:i4>0</vt:i4>
      </vt:variant>
      <vt:variant>
        <vt:i4>5</vt:i4>
      </vt:variant>
      <vt:variant>
        <vt:lpwstr/>
      </vt:variant>
      <vt:variant>
        <vt:lpwstr>_Toc108450667</vt:lpwstr>
      </vt:variant>
      <vt:variant>
        <vt:i4>1376314</vt:i4>
      </vt:variant>
      <vt:variant>
        <vt:i4>107</vt:i4>
      </vt:variant>
      <vt:variant>
        <vt:i4>0</vt:i4>
      </vt:variant>
      <vt:variant>
        <vt:i4>5</vt:i4>
      </vt:variant>
      <vt:variant>
        <vt:lpwstr/>
      </vt:variant>
      <vt:variant>
        <vt:lpwstr>_Toc108450666</vt:lpwstr>
      </vt:variant>
      <vt:variant>
        <vt:i4>1376314</vt:i4>
      </vt:variant>
      <vt:variant>
        <vt:i4>101</vt:i4>
      </vt:variant>
      <vt:variant>
        <vt:i4>0</vt:i4>
      </vt:variant>
      <vt:variant>
        <vt:i4>5</vt:i4>
      </vt:variant>
      <vt:variant>
        <vt:lpwstr/>
      </vt:variant>
      <vt:variant>
        <vt:lpwstr>_Toc108450665</vt:lpwstr>
      </vt:variant>
      <vt:variant>
        <vt:i4>1376314</vt:i4>
      </vt:variant>
      <vt:variant>
        <vt:i4>95</vt:i4>
      </vt:variant>
      <vt:variant>
        <vt:i4>0</vt:i4>
      </vt:variant>
      <vt:variant>
        <vt:i4>5</vt:i4>
      </vt:variant>
      <vt:variant>
        <vt:lpwstr/>
      </vt:variant>
      <vt:variant>
        <vt:lpwstr>_Toc108450664</vt:lpwstr>
      </vt:variant>
      <vt:variant>
        <vt:i4>1376314</vt:i4>
      </vt:variant>
      <vt:variant>
        <vt:i4>89</vt:i4>
      </vt:variant>
      <vt:variant>
        <vt:i4>0</vt:i4>
      </vt:variant>
      <vt:variant>
        <vt:i4>5</vt:i4>
      </vt:variant>
      <vt:variant>
        <vt:lpwstr/>
      </vt:variant>
      <vt:variant>
        <vt:lpwstr>_Toc108450663</vt:lpwstr>
      </vt:variant>
      <vt:variant>
        <vt:i4>1376314</vt:i4>
      </vt:variant>
      <vt:variant>
        <vt:i4>83</vt:i4>
      </vt:variant>
      <vt:variant>
        <vt:i4>0</vt:i4>
      </vt:variant>
      <vt:variant>
        <vt:i4>5</vt:i4>
      </vt:variant>
      <vt:variant>
        <vt:lpwstr/>
      </vt:variant>
      <vt:variant>
        <vt:lpwstr>_Toc108450662</vt:lpwstr>
      </vt:variant>
      <vt:variant>
        <vt:i4>1376314</vt:i4>
      </vt:variant>
      <vt:variant>
        <vt:i4>77</vt:i4>
      </vt:variant>
      <vt:variant>
        <vt:i4>0</vt:i4>
      </vt:variant>
      <vt:variant>
        <vt:i4>5</vt:i4>
      </vt:variant>
      <vt:variant>
        <vt:lpwstr/>
      </vt:variant>
      <vt:variant>
        <vt:lpwstr>_Toc108450661</vt:lpwstr>
      </vt:variant>
      <vt:variant>
        <vt:i4>1376314</vt:i4>
      </vt:variant>
      <vt:variant>
        <vt:i4>71</vt:i4>
      </vt:variant>
      <vt:variant>
        <vt:i4>0</vt:i4>
      </vt:variant>
      <vt:variant>
        <vt:i4>5</vt:i4>
      </vt:variant>
      <vt:variant>
        <vt:lpwstr/>
      </vt:variant>
      <vt:variant>
        <vt:lpwstr>_Toc108450660</vt:lpwstr>
      </vt:variant>
      <vt:variant>
        <vt:i4>1441850</vt:i4>
      </vt:variant>
      <vt:variant>
        <vt:i4>65</vt:i4>
      </vt:variant>
      <vt:variant>
        <vt:i4>0</vt:i4>
      </vt:variant>
      <vt:variant>
        <vt:i4>5</vt:i4>
      </vt:variant>
      <vt:variant>
        <vt:lpwstr/>
      </vt:variant>
      <vt:variant>
        <vt:lpwstr>_Toc108450659</vt:lpwstr>
      </vt:variant>
      <vt:variant>
        <vt:i4>1441850</vt:i4>
      </vt:variant>
      <vt:variant>
        <vt:i4>59</vt:i4>
      </vt:variant>
      <vt:variant>
        <vt:i4>0</vt:i4>
      </vt:variant>
      <vt:variant>
        <vt:i4>5</vt:i4>
      </vt:variant>
      <vt:variant>
        <vt:lpwstr/>
      </vt:variant>
      <vt:variant>
        <vt:lpwstr>_Toc108450658</vt:lpwstr>
      </vt:variant>
      <vt:variant>
        <vt:i4>1441850</vt:i4>
      </vt:variant>
      <vt:variant>
        <vt:i4>53</vt:i4>
      </vt:variant>
      <vt:variant>
        <vt:i4>0</vt:i4>
      </vt:variant>
      <vt:variant>
        <vt:i4>5</vt:i4>
      </vt:variant>
      <vt:variant>
        <vt:lpwstr/>
      </vt:variant>
      <vt:variant>
        <vt:lpwstr>_Toc108450657</vt:lpwstr>
      </vt:variant>
      <vt:variant>
        <vt:i4>1441850</vt:i4>
      </vt:variant>
      <vt:variant>
        <vt:i4>47</vt:i4>
      </vt:variant>
      <vt:variant>
        <vt:i4>0</vt:i4>
      </vt:variant>
      <vt:variant>
        <vt:i4>5</vt:i4>
      </vt:variant>
      <vt:variant>
        <vt:lpwstr/>
      </vt:variant>
      <vt:variant>
        <vt:lpwstr>_Toc108450656</vt:lpwstr>
      </vt:variant>
      <vt:variant>
        <vt:i4>1441850</vt:i4>
      </vt:variant>
      <vt:variant>
        <vt:i4>41</vt:i4>
      </vt:variant>
      <vt:variant>
        <vt:i4>0</vt:i4>
      </vt:variant>
      <vt:variant>
        <vt:i4>5</vt:i4>
      </vt:variant>
      <vt:variant>
        <vt:lpwstr/>
      </vt:variant>
      <vt:variant>
        <vt:lpwstr>_Toc108450655</vt:lpwstr>
      </vt:variant>
      <vt:variant>
        <vt:i4>1441850</vt:i4>
      </vt:variant>
      <vt:variant>
        <vt:i4>35</vt:i4>
      </vt:variant>
      <vt:variant>
        <vt:i4>0</vt:i4>
      </vt:variant>
      <vt:variant>
        <vt:i4>5</vt:i4>
      </vt:variant>
      <vt:variant>
        <vt:lpwstr/>
      </vt:variant>
      <vt:variant>
        <vt:lpwstr>_Toc108450654</vt:lpwstr>
      </vt:variant>
      <vt:variant>
        <vt:i4>1441850</vt:i4>
      </vt:variant>
      <vt:variant>
        <vt:i4>29</vt:i4>
      </vt:variant>
      <vt:variant>
        <vt:i4>0</vt:i4>
      </vt:variant>
      <vt:variant>
        <vt:i4>5</vt:i4>
      </vt:variant>
      <vt:variant>
        <vt:lpwstr/>
      </vt:variant>
      <vt:variant>
        <vt:lpwstr>_Toc108450653</vt:lpwstr>
      </vt:variant>
      <vt:variant>
        <vt:i4>1441850</vt:i4>
      </vt:variant>
      <vt:variant>
        <vt:i4>23</vt:i4>
      </vt:variant>
      <vt:variant>
        <vt:i4>0</vt:i4>
      </vt:variant>
      <vt:variant>
        <vt:i4>5</vt:i4>
      </vt:variant>
      <vt:variant>
        <vt:lpwstr/>
      </vt:variant>
      <vt:variant>
        <vt:lpwstr>_Toc108450652</vt:lpwstr>
      </vt:variant>
      <vt:variant>
        <vt:i4>1441850</vt:i4>
      </vt:variant>
      <vt:variant>
        <vt:i4>17</vt:i4>
      </vt:variant>
      <vt:variant>
        <vt:i4>0</vt:i4>
      </vt:variant>
      <vt:variant>
        <vt:i4>5</vt:i4>
      </vt:variant>
      <vt:variant>
        <vt:lpwstr/>
      </vt:variant>
      <vt:variant>
        <vt:lpwstr>_Toc108450651</vt:lpwstr>
      </vt:variant>
      <vt:variant>
        <vt:i4>1441850</vt:i4>
      </vt:variant>
      <vt:variant>
        <vt:i4>11</vt:i4>
      </vt:variant>
      <vt:variant>
        <vt:i4>0</vt:i4>
      </vt:variant>
      <vt:variant>
        <vt:i4>5</vt:i4>
      </vt:variant>
      <vt:variant>
        <vt:lpwstr/>
      </vt:variant>
      <vt:variant>
        <vt:lpwstr>_Toc108450650</vt:lpwstr>
      </vt:variant>
      <vt:variant>
        <vt:i4>1507386</vt:i4>
      </vt:variant>
      <vt:variant>
        <vt:i4>5</vt:i4>
      </vt:variant>
      <vt:variant>
        <vt:i4>0</vt:i4>
      </vt:variant>
      <vt:variant>
        <vt:i4>5</vt:i4>
      </vt:variant>
      <vt:variant>
        <vt:lpwstr/>
      </vt:variant>
      <vt:variant>
        <vt:lpwstr>_Toc108450649</vt:lpwstr>
      </vt:variant>
      <vt:variant>
        <vt:i4>786443</vt:i4>
      </vt:variant>
      <vt:variant>
        <vt:i4>0</vt:i4>
      </vt:variant>
      <vt:variant>
        <vt:i4>0</vt:i4>
      </vt:variant>
      <vt:variant>
        <vt:i4>5</vt:i4>
      </vt:variant>
      <vt:variant>
        <vt:lpwstr>https://taxpolicy.ird.govt.nz/publications/2022/2022-other-final-ltib</vt:lpwstr>
      </vt:variant>
      <vt:variant>
        <vt:lpwstr/>
      </vt:variant>
      <vt:variant>
        <vt:i4>1835095</vt:i4>
      </vt:variant>
      <vt:variant>
        <vt:i4>96</vt:i4>
      </vt:variant>
      <vt:variant>
        <vt:i4>0</vt:i4>
      </vt:variant>
      <vt:variant>
        <vt:i4>5</vt:i4>
      </vt:variant>
      <vt:variant>
        <vt:lpwstr>https://www.skatteetaten.no/en/person/taxes/get-the-taxes-right/shares-and-securities/about-shares-and-securities/the-shareholder-model/</vt:lpwstr>
      </vt:variant>
      <vt:variant>
        <vt:lpwstr/>
      </vt:variant>
      <vt:variant>
        <vt:i4>3473523</vt:i4>
      </vt:variant>
      <vt:variant>
        <vt:i4>93</vt:i4>
      </vt:variant>
      <vt:variant>
        <vt:i4>0</vt:i4>
      </vt:variant>
      <vt:variant>
        <vt:i4>5</vt:i4>
      </vt:variant>
      <vt:variant>
        <vt:lpwstr>https://taxsummaries.pwc.com/republic-of-korea/corporate/tax-credits-and-incentives</vt:lpwstr>
      </vt:variant>
      <vt:variant>
        <vt:lpwstr/>
      </vt:variant>
      <vt:variant>
        <vt:i4>2424870</vt:i4>
      </vt:variant>
      <vt:variant>
        <vt:i4>90</vt:i4>
      </vt:variant>
      <vt:variant>
        <vt:i4>0</vt:i4>
      </vt:variant>
      <vt:variant>
        <vt:i4>5</vt:i4>
      </vt:variant>
      <vt:variant>
        <vt:lpwstr>https://doi.org/10.1787/7af51916-en</vt:lpwstr>
      </vt:variant>
      <vt:variant>
        <vt:lpwstr/>
      </vt:variant>
      <vt:variant>
        <vt:i4>7012415</vt:i4>
      </vt:variant>
      <vt:variant>
        <vt:i4>87</vt:i4>
      </vt:variant>
      <vt:variant>
        <vt:i4>0</vt:i4>
      </vt:variant>
      <vt:variant>
        <vt:i4>5</vt:i4>
      </vt:variant>
      <vt:variant>
        <vt:lpwstr>https://www.norskpetroleum.no/en/economy/petroleum-tax</vt:lpwstr>
      </vt:variant>
      <vt:variant>
        <vt:lpwstr/>
      </vt:variant>
      <vt:variant>
        <vt:i4>2818094</vt:i4>
      </vt:variant>
      <vt:variant>
        <vt:i4>84</vt:i4>
      </vt:variant>
      <vt:variant>
        <vt:i4>0</vt:i4>
      </vt:variant>
      <vt:variant>
        <vt:i4>5</vt:i4>
      </vt:variant>
      <vt:variant>
        <vt:lpwstr>https://aus01.safelinks.protection.outlook.com/?url=https%3A%2F%2Fwww.oecd.org%2Ftax%2Ftax-policy%2Fexplanatory-annex-corporate-effective-tax-rates.pdf&amp;data=04%7C01%7CMatt.Benge%40ird.govt.nz%7C3ea86ec685c741da37af08d9f443ea98%7Cfb39e3e923a9404e93a2b42a87d94f35%7C1%7C0%7C637809394803746406%7CUnknown%7CTWFpbGZsb3d8eyJWIjoiMC4wLjAwMDAiLCJQIjoiV2luMzIiLCJBTiI6Ik1haWwiLCJXVCI6Mn0%3D%7C3000&amp;sdata=YCIvMlQd36YogeLFGwDw%2BjvBvPMSEW9XTanLYjIytZI%3D&amp;reserved=0</vt:lpwstr>
      </vt:variant>
      <vt:variant>
        <vt:lpwstr/>
      </vt:variant>
      <vt:variant>
        <vt:i4>5701637</vt:i4>
      </vt:variant>
      <vt:variant>
        <vt:i4>81</vt:i4>
      </vt:variant>
      <vt:variant>
        <vt:i4>0</vt:i4>
      </vt:variant>
      <vt:variant>
        <vt:i4>5</vt:i4>
      </vt:variant>
      <vt:variant>
        <vt:lpwstr>https://taxpolicy.ird.govt.nz/-/media/project/ir/tp/publications/1989/1989-dd-taxation-income-capital/1989-dd-taxation-income-capital-pdf.pdf?modified=20200910102401&amp;modified=20200910102401</vt:lpwstr>
      </vt:variant>
      <vt:variant>
        <vt:lpwstr/>
      </vt:variant>
      <vt:variant>
        <vt:i4>5570562</vt:i4>
      </vt:variant>
      <vt:variant>
        <vt:i4>78</vt:i4>
      </vt:variant>
      <vt:variant>
        <vt:i4>0</vt:i4>
      </vt:variant>
      <vt:variant>
        <vt:i4>5</vt:i4>
      </vt:variant>
      <vt:variant>
        <vt:lpwstr>https://taxworkinggroup.govt.nz/resources/twg-bg-3985472-appendix-e-inflation-indexing-the-tax-system</vt:lpwstr>
      </vt:variant>
      <vt:variant>
        <vt:lpwstr/>
      </vt:variant>
      <vt:variant>
        <vt:i4>3604542</vt:i4>
      </vt:variant>
      <vt:variant>
        <vt:i4>75</vt:i4>
      </vt:variant>
      <vt:variant>
        <vt:i4>0</vt:i4>
      </vt:variant>
      <vt:variant>
        <vt:i4>5</vt:i4>
      </vt:variant>
      <vt:variant>
        <vt:lpwstr>https://www.treasury.govt.nz/publications/strategies-and-plans/long-term-insights-briefings</vt:lpwstr>
      </vt:variant>
      <vt:variant>
        <vt:lpwstr/>
      </vt:variant>
      <vt:variant>
        <vt:i4>4849681</vt:i4>
      </vt:variant>
      <vt:variant>
        <vt:i4>57</vt:i4>
      </vt:variant>
      <vt:variant>
        <vt:i4>0</vt:i4>
      </vt:variant>
      <vt:variant>
        <vt:i4>5</vt:i4>
      </vt:variant>
      <vt:variant>
        <vt:lpwstr>https://taxpolicy.ird.govt.nz/publications/2004/2004-ip-depreciation</vt:lpwstr>
      </vt:variant>
      <vt:variant>
        <vt:lpwstr/>
      </vt:variant>
      <vt:variant>
        <vt:i4>2555949</vt:i4>
      </vt:variant>
      <vt:variant>
        <vt:i4>54</vt:i4>
      </vt:variant>
      <vt:variant>
        <vt:i4>0</vt:i4>
      </vt:variant>
      <vt:variant>
        <vt:i4>5</vt:i4>
      </vt:variant>
      <vt:variant>
        <vt:lpwstr>https://oxfordtax.sbs.ox.ac.uk/cbt-tax-database</vt:lpwstr>
      </vt:variant>
      <vt:variant>
        <vt:lpwstr/>
      </vt:variant>
      <vt:variant>
        <vt:i4>5439516</vt:i4>
      </vt:variant>
      <vt:variant>
        <vt:i4>51</vt:i4>
      </vt:variant>
      <vt:variant>
        <vt:i4>0</vt:i4>
      </vt:variant>
      <vt:variant>
        <vt:i4>5</vt:i4>
      </vt:variant>
      <vt:variant>
        <vt:lpwstr>https://stat.link/en6415</vt:lpwstr>
      </vt:variant>
      <vt:variant>
        <vt:lpwstr/>
      </vt:variant>
      <vt:variant>
        <vt:i4>8126582</vt:i4>
      </vt:variant>
      <vt:variant>
        <vt:i4>48</vt:i4>
      </vt:variant>
      <vt:variant>
        <vt:i4>0</vt:i4>
      </vt:variant>
      <vt:variant>
        <vt:i4>5</vt:i4>
      </vt:variant>
      <vt:variant>
        <vt:lpwstr>https://doi.org/10.1787/a4fd214c-en</vt:lpwstr>
      </vt:variant>
      <vt:variant>
        <vt:lpwstr/>
      </vt:variant>
      <vt:variant>
        <vt:i4>3539057</vt:i4>
      </vt:variant>
      <vt:variant>
        <vt:i4>39</vt:i4>
      </vt:variant>
      <vt:variant>
        <vt:i4>0</vt:i4>
      </vt:variant>
      <vt:variant>
        <vt:i4>5</vt:i4>
      </vt:variant>
      <vt:variant>
        <vt:lpwstr>https://stats.oecd.org/</vt:lpwstr>
      </vt:variant>
      <vt:variant>
        <vt:lpwstr/>
      </vt:variant>
      <vt:variant>
        <vt:i4>1245198</vt:i4>
      </vt:variant>
      <vt:variant>
        <vt:i4>36</vt:i4>
      </vt:variant>
      <vt:variant>
        <vt:i4>0</vt:i4>
      </vt:variant>
      <vt:variant>
        <vt:i4>5</vt:i4>
      </vt:variant>
      <vt:variant>
        <vt:lpwstr>https://www.treasury.govt.nz/publications/tax-outturn-data/tax-outturn-data-june-2021</vt:lpwstr>
      </vt:variant>
      <vt:variant>
        <vt:lpwstr/>
      </vt:variant>
      <vt:variant>
        <vt:i4>3276852</vt:i4>
      </vt:variant>
      <vt:variant>
        <vt:i4>33</vt:i4>
      </vt:variant>
      <vt:variant>
        <vt:i4>0</vt:i4>
      </vt:variant>
      <vt:variant>
        <vt:i4>5</vt:i4>
      </vt:variant>
      <vt:variant>
        <vt:lpwstr>https://taxpolicy.ird.govt.nz/publications/2016/2016-other-nz-framework-inbound-investment</vt:lpwstr>
      </vt:variant>
      <vt:variant>
        <vt:lpwstr/>
      </vt:variant>
      <vt:variant>
        <vt:i4>5111899</vt:i4>
      </vt:variant>
      <vt:variant>
        <vt:i4>30</vt:i4>
      </vt:variant>
      <vt:variant>
        <vt:i4>0</vt:i4>
      </vt:variant>
      <vt:variant>
        <vt:i4>5</vt:i4>
      </vt:variant>
      <vt:variant>
        <vt:lpwstr>https://www.treasury.govt.nz/sites/default/files/2007-11/taxreview2001-report.pdf</vt:lpwstr>
      </vt:variant>
      <vt:variant>
        <vt:lpwstr/>
      </vt:variant>
      <vt:variant>
        <vt:i4>786443</vt:i4>
      </vt:variant>
      <vt:variant>
        <vt:i4>27</vt:i4>
      </vt:variant>
      <vt:variant>
        <vt:i4>0</vt:i4>
      </vt:variant>
      <vt:variant>
        <vt:i4>5</vt:i4>
      </vt:variant>
      <vt:variant>
        <vt:lpwstr>https://taxpolicy.ird.govt.nz/publications/2022/2022-other-final-ltib</vt:lpwstr>
      </vt:variant>
      <vt:variant>
        <vt:lpwstr/>
      </vt:variant>
      <vt:variant>
        <vt:i4>2359406</vt:i4>
      </vt:variant>
      <vt:variant>
        <vt:i4>24</vt:i4>
      </vt:variant>
      <vt:variant>
        <vt:i4>0</vt:i4>
      </vt:variant>
      <vt:variant>
        <vt:i4>5</vt:i4>
      </vt:variant>
      <vt:variant>
        <vt:lpwstr>https://taxpolicy.ird.govt.nz/publications/2022/2022-ir-ltib-scope-submissions</vt:lpwstr>
      </vt:variant>
      <vt:variant>
        <vt:lpwstr/>
      </vt:variant>
      <vt:variant>
        <vt:i4>3539057</vt:i4>
      </vt:variant>
      <vt:variant>
        <vt:i4>21</vt:i4>
      </vt:variant>
      <vt:variant>
        <vt:i4>0</vt:i4>
      </vt:variant>
      <vt:variant>
        <vt:i4>5</vt:i4>
      </vt:variant>
      <vt:variant>
        <vt:lpwstr>https://stats.oecd.org/</vt:lpwstr>
      </vt:variant>
      <vt:variant>
        <vt:lpwstr/>
      </vt:variant>
      <vt:variant>
        <vt:i4>1376342</vt:i4>
      </vt:variant>
      <vt:variant>
        <vt:i4>18</vt:i4>
      </vt:variant>
      <vt:variant>
        <vt:i4>0</vt:i4>
      </vt:variant>
      <vt:variant>
        <vt:i4>5</vt:i4>
      </vt:variant>
      <vt:variant>
        <vt:lpwstr>http://www.productivity.govt.nz/research/productivity-by-the-numbers/</vt:lpwstr>
      </vt:variant>
      <vt:variant>
        <vt:lpwstr/>
      </vt:variant>
      <vt:variant>
        <vt:i4>3539057</vt:i4>
      </vt:variant>
      <vt:variant>
        <vt:i4>15</vt:i4>
      </vt:variant>
      <vt:variant>
        <vt:i4>0</vt:i4>
      </vt:variant>
      <vt:variant>
        <vt:i4>5</vt:i4>
      </vt:variant>
      <vt:variant>
        <vt:lpwstr>https://stats.oecd.org/</vt:lpwstr>
      </vt:variant>
      <vt:variant>
        <vt:lpwstr/>
      </vt:variant>
      <vt:variant>
        <vt:i4>3539057</vt:i4>
      </vt:variant>
      <vt:variant>
        <vt:i4>12</vt:i4>
      </vt:variant>
      <vt:variant>
        <vt:i4>0</vt:i4>
      </vt:variant>
      <vt:variant>
        <vt:i4>5</vt:i4>
      </vt:variant>
      <vt:variant>
        <vt:lpwstr>https://stats.oecd.org/</vt:lpwstr>
      </vt:variant>
      <vt:variant>
        <vt:lpwstr/>
      </vt:variant>
      <vt:variant>
        <vt:i4>3539057</vt:i4>
      </vt:variant>
      <vt:variant>
        <vt:i4>9</vt:i4>
      </vt:variant>
      <vt:variant>
        <vt:i4>0</vt:i4>
      </vt:variant>
      <vt:variant>
        <vt:i4>5</vt:i4>
      </vt:variant>
      <vt:variant>
        <vt:lpwstr>https://stats.oecd.org/</vt:lpwstr>
      </vt:variant>
      <vt:variant>
        <vt:lpwstr/>
      </vt:variant>
      <vt:variant>
        <vt:i4>6357051</vt:i4>
      </vt:variant>
      <vt:variant>
        <vt:i4>6</vt:i4>
      </vt:variant>
      <vt:variant>
        <vt:i4>0</vt:i4>
      </vt:variant>
      <vt:variant>
        <vt:i4>5</vt:i4>
      </vt:variant>
      <vt:variant>
        <vt:lpwstr>https://www.mbie.govt.nz/dmsdocument/20250-the-future-of-business-for-aotearoa-new-zealand</vt:lpwstr>
      </vt:variant>
      <vt:variant>
        <vt:lpwstr/>
      </vt:variant>
      <vt:variant>
        <vt:i4>4980810</vt:i4>
      </vt:variant>
      <vt:variant>
        <vt:i4>3</vt:i4>
      </vt:variant>
      <vt:variant>
        <vt:i4>0</vt:i4>
      </vt:variant>
      <vt:variant>
        <vt:i4>5</vt:i4>
      </vt:variant>
      <vt:variant>
        <vt:lpwstr>https://taxpolicy.ird.govt.nz/publications/2021/2021-other-scope-ird-ltib-tax-liability-productivity</vt:lpwstr>
      </vt:variant>
      <vt:variant>
        <vt:lpwstr/>
      </vt:variant>
      <vt:variant>
        <vt:i4>6225985</vt:i4>
      </vt:variant>
      <vt:variant>
        <vt:i4>0</vt:i4>
      </vt:variant>
      <vt:variant>
        <vt:i4>0</vt:i4>
      </vt:variant>
      <vt:variant>
        <vt:i4>5</vt:i4>
      </vt:variant>
      <vt:variant>
        <vt:lpwstr>https://taxpolicy.ird.govt.nz/publications/2022/2022-other-final-ltib-tech-appendices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foreign investment and productivity - long-term insights briefing (August 2022)</dc:title>
  <dc:subject/>
  <dc:creator>Policy and Regulatory Stewardship</dc:creator>
  <cp:keywords/>
  <dc:description/>
  <dcterms:created xsi:type="dcterms:W3CDTF">2022-08-31T05:01:00Z</dcterms:created>
  <dcterms:modified xsi:type="dcterms:W3CDTF">2022-08-31T05:01:00Z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MSIP_Label_993bc26a-ca06-4f83-a49a-54da0c892e4f_Enabled">
    <vt:lpwstr>true</vt:lpwstr>
  </property>
  <property fmtid="{D5CDD505-2E9C-101B-9397-08002B2CF9AE}" pid="4" name="MSIP_Label_993bc26a-ca06-4f83-a49a-54da0c892e4f_SetDate">
    <vt:lpwstr>2022-08-31T05:01:31Z</vt:lpwstr>
  </property>
  <property fmtid="{D5CDD505-2E9C-101B-9397-08002B2CF9AE}" pid="5" name="MSIP_Label_993bc26a-ca06-4f83-a49a-54da0c892e4f_Method">
    <vt:lpwstr>Privileged</vt:lpwstr>
  </property>
  <property fmtid="{D5CDD505-2E9C-101B-9397-08002B2CF9AE}" pid="6" name="MSIP_Label_993bc26a-ca06-4f83-a49a-54da0c892e4f_Name">
    <vt:lpwstr>993bc26a-ca06-4f83-a49a-54da0c892e4f</vt:lpwstr>
  </property>
  <property fmtid="{D5CDD505-2E9C-101B-9397-08002B2CF9AE}" pid="7" name="MSIP_Label_993bc26a-ca06-4f83-a49a-54da0c892e4f_SiteId">
    <vt:lpwstr>fb39e3e9-23a9-404e-93a2-b42a87d94f35</vt:lpwstr>
  </property>
  <property fmtid="{D5CDD505-2E9C-101B-9397-08002B2CF9AE}" pid="8" name="MSIP_Label_993bc26a-ca06-4f83-a49a-54da0c892e4f_ActionId">
    <vt:lpwstr>e8dcf944-e678-4d22-8006-948eb5f3b95f</vt:lpwstr>
  </property>
  <property fmtid="{D5CDD505-2E9C-101B-9397-08002B2CF9AE}" pid="9" name="MSIP_Label_993bc26a-ca06-4f83-a49a-54da0c892e4f_ContentBits">
    <vt:lpwstr>0</vt:lpwstr>
  </property>
</Properties>
</file>