
<file path=[Content_Types].xml><?xml version="1.0" encoding="utf-8"?>
<Types xmlns="http://schemas.openxmlformats.org/package/2006/content-types">
  <Default Extension="bin" ContentType="application/vnd.openxmlformats-officedocument.oleObject"/>
  <Default Extension="png" ContentType="image/png"/>
  <Default Extension="svg" ContentType="image/svg+xml"/>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7.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0CD3B" w14:textId="2C70C1EB" w:rsidR="00B70CDE" w:rsidRPr="00DA11DD" w:rsidRDefault="00834748" w:rsidP="0019277A">
      <w:pPr>
        <w:pStyle w:val="Title"/>
      </w:pPr>
      <w:bookmarkStart w:id="0" w:name="_Toc429977995"/>
      <w:r>
        <w:rPr>
          <w:rFonts w:eastAsia="Calibri"/>
        </w:rPr>
        <w:t xml:space="preserve">Tax, </w:t>
      </w:r>
      <w:r w:rsidR="00DF2BA2">
        <w:rPr>
          <w:rFonts w:eastAsia="Calibri"/>
        </w:rPr>
        <w:t xml:space="preserve">foreign </w:t>
      </w:r>
      <w:proofErr w:type="gramStart"/>
      <w:r>
        <w:rPr>
          <w:rFonts w:eastAsia="Calibri"/>
        </w:rPr>
        <w:t>investment</w:t>
      </w:r>
      <w:proofErr w:type="gramEnd"/>
      <w:r>
        <w:rPr>
          <w:rFonts w:eastAsia="Calibri"/>
        </w:rPr>
        <w:t xml:space="preserve"> and productivity</w:t>
      </w:r>
    </w:p>
    <w:p w14:paraId="587E380F" w14:textId="597FCD39" w:rsidR="00B70CDE" w:rsidRPr="00DA11DD" w:rsidRDefault="00C0247A" w:rsidP="00702B7E">
      <w:pPr>
        <w:pStyle w:val="Subtitle"/>
      </w:pPr>
      <w:r>
        <w:t>T</w:t>
      </w:r>
      <w:r w:rsidR="00CE77B6">
        <w:t>echnical appendices</w:t>
      </w:r>
      <w:r>
        <w:t xml:space="preserve"> to support</w:t>
      </w:r>
      <w:r w:rsidR="00177F24">
        <w:t xml:space="preserve"> Inland </w:t>
      </w:r>
      <w:r w:rsidR="00177F24" w:rsidRPr="001D688D">
        <w:t xml:space="preserve">Revenue’s </w:t>
      </w:r>
      <w:r w:rsidR="00D67CE1">
        <w:br/>
      </w:r>
      <w:r>
        <w:t>long-term insights briefing (LTIB)</w:t>
      </w:r>
    </w:p>
    <w:p w14:paraId="7D39794D" w14:textId="77777777" w:rsidR="00B70CDE" w:rsidRPr="00DA11DD" w:rsidRDefault="00B70CDE"/>
    <w:p w14:paraId="20EF87B8" w14:textId="77777777" w:rsidR="00B70CDE" w:rsidRPr="00DA11DD" w:rsidRDefault="00B70CDE"/>
    <w:p w14:paraId="2036645B" w14:textId="77777777" w:rsidR="00B70CDE" w:rsidRPr="00DA11DD" w:rsidRDefault="00B70CDE"/>
    <w:p w14:paraId="61B4A79C" w14:textId="77777777" w:rsidR="00B70CDE" w:rsidRPr="00DA11DD" w:rsidRDefault="00B70CDE"/>
    <w:p w14:paraId="6A8F007C" w14:textId="77777777" w:rsidR="00B70CDE" w:rsidRPr="00DA11DD" w:rsidRDefault="00B70CDE"/>
    <w:p w14:paraId="0B1275B5" w14:textId="77777777" w:rsidR="00B70CDE" w:rsidRPr="00DA11DD" w:rsidRDefault="00B70CDE"/>
    <w:p w14:paraId="5E3A605E" w14:textId="77777777" w:rsidR="00B70CDE" w:rsidRPr="00DA11DD" w:rsidRDefault="00B70CDE"/>
    <w:p w14:paraId="008FD829" w14:textId="77777777" w:rsidR="00B70CDE" w:rsidRPr="00DA11DD" w:rsidRDefault="00B70CDE"/>
    <w:p w14:paraId="2964407D" w14:textId="77777777" w:rsidR="00B70CDE" w:rsidRPr="00DA11DD" w:rsidRDefault="00B70CDE"/>
    <w:p w14:paraId="060AB99B" w14:textId="77777777" w:rsidR="00B70CDE" w:rsidRPr="00DA11DD" w:rsidRDefault="00B70CDE"/>
    <w:p w14:paraId="647F2525" w14:textId="02C8AB61" w:rsidR="00B70CDE" w:rsidRDefault="00B70CDE"/>
    <w:p w14:paraId="67634E4D" w14:textId="77777777" w:rsidR="00475E03" w:rsidRPr="00DA11DD" w:rsidRDefault="00475E03"/>
    <w:p w14:paraId="7CC0D69D" w14:textId="77777777" w:rsidR="00B70CDE" w:rsidRPr="00DA11DD" w:rsidRDefault="00B70CDE"/>
    <w:p w14:paraId="5F635FFA" w14:textId="77777777" w:rsidR="00B70CDE" w:rsidRPr="00DA11DD" w:rsidRDefault="00B70CDE"/>
    <w:p w14:paraId="0265DEFA" w14:textId="100D9343" w:rsidR="00B70CDE" w:rsidRDefault="00B70CDE"/>
    <w:p w14:paraId="05081B47" w14:textId="77777777" w:rsidR="00936C85" w:rsidRPr="00DA11DD" w:rsidRDefault="00936C85"/>
    <w:p w14:paraId="1927D88A" w14:textId="77777777" w:rsidR="00B70CDE" w:rsidRPr="00DA11DD" w:rsidRDefault="00B70CDE"/>
    <w:p w14:paraId="28AAF70F" w14:textId="77777777" w:rsidR="00B70CDE" w:rsidRPr="00DA11DD" w:rsidRDefault="00B70CDE"/>
    <w:p w14:paraId="41D4CB86" w14:textId="4DF1837F" w:rsidR="00B70CDE" w:rsidRPr="00DA11DD" w:rsidRDefault="0029164E" w:rsidP="003A57E0">
      <w:pPr>
        <w:pStyle w:val="Publicationdate-Cover"/>
      </w:pPr>
      <w:r w:rsidRPr="00B40D1A">
        <w:t>August</w:t>
      </w:r>
      <w:r w:rsidR="00390395" w:rsidRPr="00B40D1A">
        <w:t xml:space="preserve"> </w:t>
      </w:r>
      <w:r w:rsidR="007F74B9">
        <w:t>2022</w:t>
      </w:r>
    </w:p>
    <w:p w14:paraId="1B909BB0" w14:textId="77777777" w:rsidR="00B70CDE" w:rsidRPr="00DA11DD" w:rsidRDefault="00B70CDE" w:rsidP="00151296">
      <w:pPr>
        <w:pStyle w:val="Authorname-Agency"/>
      </w:pPr>
      <w:r w:rsidRPr="00DA11DD">
        <w:t xml:space="preserve">Prepared by Policy and </w:t>
      </w:r>
      <w:r w:rsidR="0057127B" w:rsidRPr="00DA11DD">
        <w:t>Regulat</w:t>
      </w:r>
      <w:r w:rsidR="00A85243" w:rsidRPr="00DA11DD">
        <w:t>ory Stewardship</w:t>
      </w:r>
      <w:r w:rsidRPr="00DA11DD">
        <w:t>, Inland Revenue</w:t>
      </w:r>
    </w:p>
    <w:p w14:paraId="15B177C5" w14:textId="77777777" w:rsidR="003959E1" w:rsidRPr="00DA11DD" w:rsidRDefault="003959E1" w:rsidP="00B70CDE">
      <w:r w:rsidRPr="00DA11DD">
        <w:br w:type="page"/>
      </w:r>
    </w:p>
    <w:p w14:paraId="544C8952" w14:textId="77777777" w:rsidR="003959E1" w:rsidRPr="00DA11DD" w:rsidRDefault="003959E1"/>
    <w:p w14:paraId="173CF6F1" w14:textId="77777777" w:rsidR="00D929C1" w:rsidRPr="00DA11DD" w:rsidRDefault="00D929C1"/>
    <w:p w14:paraId="18DA4176" w14:textId="77777777" w:rsidR="00D929C1" w:rsidRPr="00DA11DD" w:rsidRDefault="00D929C1"/>
    <w:p w14:paraId="080E1168" w14:textId="77777777" w:rsidR="00D929C1" w:rsidRPr="00DA11DD" w:rsidRDefault="00D929C1"/>
    <w:p w14:paraId="1EBE657A" w14:textId="77777777" w:rsidR="00D929C1" w:rsidRPr="00DA11DD" w:rsidRDefault="00D929C1"/>
    <w:p w14:paraId="0947B09F" w14:textId="77777777" w:rsidR="00D929C1" w:rsidRPr="00DA11DD" w:rsidRDefault="00D929C1"/>
    <w:p w14:paraId="1E4F7930" w14:textId="77777777" w:rsidR="00D929C1" w:rsidRPr="00DA11DD" w:rsidRDefault="00D929C1"/>
    <w:p w14:paraId="69E8ED78" w14:textId="77777777" w:rsidR="00D929C1" w:rsidRPr="00DA11DD" w:rsidRDefault="00D929C1"/>
    <w:p w14:paraId="27EAF5ED" w14:textId="77777777" w:rsidR="00D929C1" w:rsidRPr="00DA11DD" w:rsidRDefault="00D929C1"/>
    <w:p w14:paraId="7BE95D0F" w14:textId="77777777" w:rsidR="00D929C1" w:rsidRPr="00DA11DD" w:rsidRDefault="00D929C1"/>
    <w:p w14:paraId="42A41218" w14:textId="77777777" w:rsidR="00D929C1" w:rsidRPr="00DA11DD" w:rsidRDefault="00D929C1"/>
    <w:p w14:paraId="2B56F01F" w14:textId="77777777" w:rsidR="00D929C1" w:rsidRPr="00DA11DD" w:rsidRDefault="00D929C1"/>
    <w:p w14:paraId="4146A117" w14:textId="77777777" w:rsidR="00D929C1" w:rsidRPr="00DA11DD" w:rsidRDefault="00D929C1"/>
    <w:p w14:paraId="4D9EC24D" w14:textId="77777777" w:rsidR="00D929C1" w:rsidRPr="00DA11DD" w:rsidRDefault="00D929C1"/>
    <w:p w14:paraId="5E90E0BB" w14:textId="77777777" w:rsidR="00D929C1" w:rsidRPr="00DA11DD" w:rsidRDefault="00D929C1"/>
    <w:p w14:paraId="770A6130" w14:textId="77777777" w:rsidR="00D929C1" w:rsidRPr="00DA11DD" w:rsidRDefault="00D929C1"/>
    <w:p w14:paraId="643F66EC" w14:textId="77777777" w:rsidR="00D929C1" w:rsidRPr="00DA11DD" w:rsidRDefault="00D929C1"/>
    <w:p w14:paraId="6F5C4891" w14:textId="3CD53D73" w:rsidR="00D929C1" w:rsidRDefault="00D929C1"/>
    <w:p w14:paraId="5BA34C54" w14:textId="25B98100" w:rsidR="00936C85" w:rsidRDefault="00936C85"/>
    <w:p w14:paraId="480B858D" w14:textId="01A4DC65" w:rsidR="00936C85" w:rsidRPr="00DA11DD" w:rsidRDefault="00936C85"/>
    <w:p w14:paraId="67524011" w14:textId="77777777" w:rsidR="00D929C1" w:rsidRPr="00DA11DD" w:rsidRDefault="00D929C1"/>
    <w:p w14:paraId="5970B752" w14:textId="77777777" w:rsidR="0026287E" w:rsidRPr="00DA11DD" w:rsidRDefault="0026287E"/>
    <w:p w14:paraId="2C5D66C2" w14:textId="1114A377" w:rsidR="00702B7E" w:rsidRPr="00DA11DD" w:rsidRDefault="00702B7E" w:rsidP="00177F24">
      <w:pPr>
        <w:pStyle w:val="InsideCover"/>
      </w:pPr>
      <w:r w:rsidRPr="00DA11DD">
        <w:t xml:space="preserve">First published in </w:t>
      </w:r>
      <w:r w:rsidR="00D56B32" w:rsidRPr="001002DB">
        <w:t>August</w:t>
      </w:r>
      <w:r w:rsidR="00F35836">
        <w:t xml:space="preserve"> </w:t>
      </w:r>
      <w:r w:rsidR="007F74B9">
        <w:t>2022</w:t>
      </w:r>
      <w:r w:rsidRPr="00DA11DD">
        <w:t xml:space="preserve"> by Policy and </w:t>
      </w:r>
      <w:r w:rsidR="00F210A7" w:rsidRPr="00DA11DD">
        <w:t>Regulatory Stewardship</w:t>
      </w:r>
      <w:r w:rsidR="0026287E" w:rsidRPr="00DA11DD">
        <w:t xml:space="preserve">, </w:t>
      </w:r>
      <w:r w:rsidRPr="00DA11DD">
        <w:t>Inland Revenue, PO Box 2198, Wellington 6140.</w:t>
      </w:r>
    </w:p>
    <w:p w14:paraId="163BF885" w14:textId="4BC90B34" w:rsidR="00702B7E" w:rsidRPr="008A4F91" w:rsidRDefault="00B013C5" w:rsidP="00177F24">
      <w:pPr>
        <w:pStyle w:val="InsideCover"/>
        <w:rPr>
          <w:rFonts w:eastAsia="Calibri"/>
          <w:b/>
          <w:bCs/>
          <w:lang w:eastAsia="en-US"/>
        </w:rPr>
      </w:pPr>
      <w:r w:rsidRPr="008A4F91">
        <w:rPr>
          <w:rFonts w:eastAsia="Calibri"/>
          <w:b/>
          <w:bCs/>
          <w:lang w:eastAsia="en-US"/>
        </w:rPr>
        <w:t xml:space="preserve">Tax, foreign </w:t>
      </w:r>
      <w:proofErr w:type="gramStart"/>
      <w:r w:rsidRPr="008A4F91">
        <w:rPr>
          <w:rFonts w:eastAsia="Calibri"/>
          <w:b/>
          <w:bCs/>
          <w:lang w:eastAsia="en-US"/>
        </w:rPr>
        <w:t>investment</w:t>
      </w:r>
      <w:proofErr w:type="gramEnd"/>
      <w:r w:rsidR="00592546" w:rsidRPr="008A4F91">
        <w:rPr>
          <w:rFonts w:eastAsia="Calibri"/>
          <w:b/>
          <w:bCs/>
          <w:lang w:eastAsia="en-US"/>
        </w:rPr>
        <w:t xml:space="preserve"> and productivity </w:t>
      </w:r>
      <w:r w:rsidR="00BF137C" w:rsidRPr="008A4F91">
        <w:rPr>
          <w:rFonts w:eastAsia="Calibri"/>
          <w:b/>
          <w:bCs/>
          <w:lang w:eastAsia="en-US"/>
        </w:rPr>
        <w:t>–</w:t>
      </w:r>
      <w:r w:rsidR="00592546" w:rsidRPr="008A4F91">
        <w:rPr>
          <w:rFonts w:eastAsia="Calibri"/>
          <w:b/>
          <w:bCs/>
          <w:lang w:eastAsia="en-US"/>
        </w:rPr>
        <w:t xml:space="preserve"> </w:t>
      </w:r>
      <w:r w:rsidR="00831F97" w:rsidRPr="008A4F91">
        <w:rPr>
          <w:rFonts w:eastAsia="Calibri"/>
          <w:b/>
          <w:bCs/>
          <w:lang w:eastAsia="en-US"/>
        </w:rPr>
        <w:t>T</w:t>
      </w:r>
      <w:r w:rsidR="00BF137C" w:rsidRPr="008A4F91">
        <w:rPr>
          <w:rFonts w:eastAsia="Calibri"/>
          <w:b/>
          <w:bCs/>
          <w:lang w:eastAsia="en-US"/>
        </w:rPr>
        <w:t xml:space="preserve">echnical appendices to support </w:t>
      </w:r>
      <w:r w:rsidR="00177F24" w:rsidRPr="008A4F91">
        <w:rPr>
          <w:rFonts w:eastAsia="Calibri"/>
          <w:b/>
          <w:bCs/>
          <w:lang w:eastAsia="en-US"/>
        </w:rPr>
        <w:t xml:space="preserve">Inland Revenue’s </w:t>
      </w:r>
      <w:r w:rsidR="00C0247A" w:rsidRPr="008A4F91">
        <w:rPr>
          <w:rFonts w:eastAsia="Calibri"/>
          <w:b/>
          <w:bCs/>
          <w:lang w:eastAsia="en-US"/>
        </w:rPr>
        <w:t>l</w:t>
      </w:r>
      <w:r w:rsidR="00AF6195" w:rsidRPr="008A4F91">
        <w:rPr>
          <w:rFonts w:eastAsia="Calibri"/>
          <w:b/>
          <w:bCs/>
          <w:lang w:eastAsia="en-US"/>
        </w:rPr>
        <w:t>ong-term insights briefing (LTIB)</w:t>
      </w:r>
    </w:p>
    <w:p w14:paraId="223C9332" w14:textId="461AD90B" w:rsidR="003B0B80" w:rsidRPr="00DA11DD" w:rsidRDefault="003B0B80" w:rsidP="00177F24">
      <w:pPr>
        <w:pStyle w:val="InsideCover"/>
      </w:pPr>
      <w:r w:rsidRPr="00384EE3">
        <w:t xml:space="preserve">ISBN </w:t>
      </w:r>
      <w:r w:rsidR="003B03C1" w:rsidRPr="00384EE3">
        <w:t>978</w:t>
      </w:r>
      <w:r w:rsidR="001002DB" w:rsidRPr="00384EE3">
        <w:t>-</w:t>
      </w:r>
      <w:r w:rsidR="00384EE3" w:rsidRPr="00384EE3">
        <w:t>1-98-857344-1</w:t>
      </w:r>
      <w:r w:rsidRPr="00384EE3">
        <w:t xml:space="preserve"> (Online)</w:t>
      </w:r>
    </w:p>
    <w:p w14:paraId="138EF619" w14:textId="77777777" w:rsidR="00702B7E" w:rsidRPr="00DA11DD" w:rsidRDefault="00376F5C" w:rsidP="00D929C1">
      <w:pPr>
        <w:spacing w:after="480"/>
        <w:rPr>
          <w:szCs w:val="20"/>
        </w:rPr>
      </w:pPr>
      <w:r w:rsidRPr="00DA11DD">
        <w:rPr>
          <w:noProof/>
          <w:szCs w:val="20"/>
        </w:rPr>
        <w:drawing>
          <wp:anchor distT="0" distB="0" distL="114300" distR="114300" simplePos="0" relativeHeight="251658240" behindDoc="0" locked="0" layoutInCell="1" allowOverlap="1" wp14:anchorId="76106491" wp14:editId="6DEF03C9">
            <wp:simplePos x="0" y="0"/>
            <wp:positionH relativeFrom="column">
              <wp:posOffset>635</wp:posOffset>
            </wp:positionH>
            <wp:positionV relativeFrom="paragraph">
              <wp:posOffset>150495</wp:posOffset>
            </wp:positionV>
            <wp:extent cx="982345" cy="341630"/>
            <wp:effectExtent l="0" t="0" r="8255" b="1270"/>
            <wp:wrapSquare wrapText="bothSides"/>
            <wp:docPr id="3" name="Graphic 3" descr="Creative Commons Attribution 4.0 International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82345" cy="341630"/>
                    </a:xfrm>
                    <a:prstGeom prst="rect">
                      <a:avLst/>
                    </a:prstGeom>
                  </pic:spPr>
                </pic:pic>
              </a:graphicData>
            </a:graphic>
          </wp:anchor>
        </w:drawing>
      </w:r>
      <w:r w:rsidR="00702B7E" w:rsidRPr="00DA11DD">
        <w:rPr>
          <w:szCs w:val="20"/>
        </w:rPr>
        <w:t>© Crown Copyright</w:t>
      </w:r>
    </w:p>
    <w:p w14:paraId="6E83E250" w14:textId="77777777" w:rsidR="00702B7E" w:rsidRPr="00DA11DD" w:rsidRDefault="00702B7E" w:rsidP="00177F24">
      <w:pPr>
        <w:pStyle w:val="InsideCover"/>
      </w:pPr>
      <w:r w:rsidRPr="00DA11DD">
        <w:t>This work is licensed under the Creative Commons Attribution 4.0 International Licence. In essence, you are free to copy, distribute and adapt the work, as long as you attribute the work to the Crown and abide by the other licence terms.</w:t>
      </w:r>
    </w:p>
    <w:p w14:paraId="60E1AD2D" w14:textId="69145422" w:rsidR="00702B7E" w:rsidRDefault="00702B7E" w:rsidP="00E30C50">
      <w:pPr>
        <w:pStyle w:val="InsideCover"/>
        <w:jc w:val="left"/>
      </w:pPr>
      <w:r w:rsidRPr="00DA11DD">
        <w:t>The document is available at</w:t>
      </w:r>
      <w:r w:rsidR="000A6E3B" w:rsidRPr="00DA11DD">
        <w:t xml:space="preserve"> </w:t>
      </w:r>
      <w:r w:rsidR="0051145F">
        <w:br/>
      </w:r>
      <w:hyperlink r:id="rId10" w:history="1">
        <w:r w:rsidR="00A62CE1" w:rsidRPr="00914A2F">
          <w:rPr>
            <w:rStyle w:val="Hyperlink"/>
          </w:rPr>
          <w:t>https://taxpolicy.ird.govt.nz/publications/2022/</w:t>
        </w:r>
        <w:r w:rsidR="00A62CE1" w:rsidRPr="001002DB">
          <w:rPr>
            <w:rStyle w:val="Hyperlink"/>
          </w:rPr>
          <w:t>2022-other-final-ltib</w:t>
        </w:r>
      </w:hyperlink>
    </w:p>
    <w:p w14:paraId="1D01F536" w14:textId="1500BBB1" w:rsidR="00F54A61" w:rsidRDefault="00F54A61" w:rsidP="00E30C50">
      <w:pPr>
        <w:pStyle w:val="InsideCover"/>
        <w:jc w:val="left"/>
      </w:pPr>
    </w:p>
    <w:p w14:paraId="692DE850" w14:textId="4CBD80C5" w:rsidR="00F54A61" w:rsidRPr="00DA11DD" w:rsidRDefault="00F54A61" w:rsidP="00E30C50">
      <w:pPr>
        <w:pStyle w:val="InsideCover"/>
        <w:jc w:val="left"/>
        <w:sectPr w:rsidR="00F54A61" w:rsidRPr="00DA11DD" w:rsidSect="00702B7E">
          <w:footerReference w:type="even" r:id="rId11"/>
          <w:headerReference w:type="first" r:id="rId12"/>
          <w:type w:val="nextColumn"/>
          <w:pgSz w:w="11906" w:h="16838" w:code="9"/>
          <w:pgMar w:top="1304" w:right="1559" w:bottom="1134" w:left="1559" w:header="720" w:footer="567" w:gutter="0"/>
          <w:pgNumType w:start="1"/>
          <w:cols w:space="720"/>
          <w:titlePg/>
        </w:sectPr>
      </w:pPr>
    </w:p>
    <w:p w14:paraId="21362652" w14:textId="582D2DF2" w:rsidR="003959E1" w:rsidRPr="00BC060D" w:rsidRDefault="003959E1" w:rsidP="00BC060D">
      <w:pPr>
        <w:pStyle w:val="Heading1"/>
      </w:pPr>
      <w:bookmarkStart w:id="1" w:name="_Toc106723305"/>
      <w:bookmarkStart w:id="2" w:name="_Toc108451945"/>
      <w:r w:rsidRPr="00BC060D">
        <w:lastRenderedPageBreak/>
        <w:t>CONTENTS</w:t>
      </w:r>
      <w:bookmarkEnd w:id="1"/>
      <w:bookmarkEnd w:id="2"/>
    </w:p>
    <w:bookmarkStart w:id="3" w:name="_Hlt510587982"/>
    <w:bookmarkStart w:id="4" w:name="_Hlt478443407"/>
    <w:bookmarkStart w:id="5" w:name="_Toc14174909"/>
    <w:bookmarkEnd w:id="0"/>
    <w:bookmarkEnd w:id="3"/>
    <w:bookmarkEnd w:id="4"/>
    <w:p w14:paraId="7A830E77" w14:textId="3E581845" w:rsidR="007938B0" w:rsidRDefault="001448F7">
      <w:pPr>
        <w:pStyle w:val="TOC1"/>
        <w:rPr>
          <w:rFonts w:asciiTheme="minorHAnsi" w:eastAsiaTheme="minorEastAsia" w:hAnsiTheme="minorHAnsi" w:cstheme="minorBidi"/>
          <w:b w:val="0"/>
          <w:sz w:val="22"/>
          <w:szCs w:val="22"/>
        </w:rPr>
      </w:pPr>
      <w:r>
        <w:fldChar w:fldCharType="begin"/>
      </w:r>
      <w:r>
        <w:instrText xml:space="preserve"> TOC \o "1-2" \h \z \u </w:instrText>
      </w:r>
      <w:r>
        <w:fldChar w:fldCharType="separate"/>
      </w:r>
      <w:hyperlink w:anchor="_Toc108451945" w:history="1">
        <w:r w:rsidR="007938B0" w:rsidRPr="00D91044">
          <w:rPr>
            <w:rStyle w:val="Hyperlink"/>
          </w:rPr>
          <w:t>CONTENTS</w:t>
        </w:r>
        <w:r w:rsidR="007938B0">
          <w:rPr>
            <w:webHidden/>
          </w:rPr>
          <w:tab/>
        </w:r>
        <w:r w:rsidR="007938B0">
          <w:rPr>
            <w:webHidden/>
          </w:rPr>
          <w:tab/>
        </w:r>
        <w:r w:rsidR="007938B0">
          <w:rPr>
            <w:webHidden/>
          </w:rPr>
          <w:fldChar w:fldCharType="begin"/>
        </w:r>
        <w:r w:rsidR="007938B0">
          <w:rPr>
            <w:webHidden/>
          </w:rPr>
          <w:instrText xml:space="preserve"> PAGEREF _Toc108451945 \h </w:instrText>
        </w:r>
        <w:r w:rsidR="007938B0">
          <w:rPr>
            <w:webHidden/>
          </w:rPr>
        </w:r>
        <w:r w:rsidR="007938B0">
          <w:rPr>
            <w:webHidden/>
          </w:rPr>
          <w:fldChar w:fldCharType="separate"/>
        </w:r>
        <w:r w:rsidR="00D87553">
          <w:rPr>
            <w:webHidden/>
          </w:rPr>
          <w:t>3</w:t>
        </w:r>
        <w:r w:rsidR="007938B0">
          <w:rPr>
            <w:webHidden/>
          </w:rPr>
          <w:fldChar w:fldCharType="end"/>
        </w:r>
      </w:hyperlink>
    </w:p>
    <w:p w14:paraId="10CEEC1C" w14:textId="48E99A97" w:rsidR="007938B0" w:rsidRDefault="008F32C3">
      <w:pPr>
        <w:pStyle w:val="TOC1"/>
        <w:rPr>
          <w:rFonts w:asciiTheme="minorHAnsi" w:eastAsiaTheme="minorEastAsia" w:hAnsiTheme="minorHAnsi" w:cstheme="minorBidi"/>
          <w:b w:val="0"/>
          <w:sz w:val="22"/>
          <w:szCs w:val="22"/>
        </w:rPr>
      </w:pPr>
      <w:hyperlink w:anchor="_Toc108451946" w:history="1">
        <w:r w:rsidR="007938B0" w:rsidRPr="00D91044">
          <w:rPr>
            <w:rStyle w:val="Hyperlink"/>
          </w:rPr>
          <w:t>OVERVIEW</w:t>
        </w:r>
        <w:r w:rsidR="007938B0">
          <w:rPr>
            <w:webHidden/>
          </w:rPr>
          <w:tab/>
        </w:r>
        <w:r w:rsidR="007938B0">
          <w:rPr>
            <w:webHidden/>
          </w:rPr>
          <w:tab/>
        </w:r>
        <w:r w:rsidR="007938B0">
          <w:rPr>
            <w:webHidden/>
          </w:rPr>
          <w:fldChar w:fldCharType="begin"/>
        </w:r>
        <w:r w:rsidR="007938B0">
          <w:rPr>
            <w:webHidden/>
          </w:rPr>
          <w:instrText xml:space="preserve"> PAGEREF _Toc108451946 \h </w:instrText>
        </w:r>
        <w:r w:rsidR="007938B0">
          <w:rPr>
            <w:webHidden/>
          </w:rPr>
        </w:r>
        <w:r w:rsidR="007938B0">
          <w:rPr>
            <w:webHidden/>
          </w:rPr>
          <w:fldChar w:fldCharType="separate"/>
        </w:r>
        <w:r w:rsidR="00D87553">
          <w:rPr>
            <w:webHidden/>
          </w:rPr>
          <w:t>4</w:t>
        </w:r>
        <w:r w:rsidR="007938B0">
          <w:rPr>
            <w:webHidden/>
          </w:rPr>
          <w:fldChar w:fldCharType="end"/>
        </w:r>
      </w:hyperlink>
    </w:p>
    <w:p w14:paraId="6D44B1D4" w14:textId="58622D67" w:rsidR="007938B0" w:rsidRDefault="008F32C3">
      <w:pPr>
        <w:pStyle w:val="TOC1"/>
        <w:rPr>
          <w:rFonts w:asciiTheme="minorHAnsi" w:eastAsiaTheme="minorEastAsia" w:hAnsiTheme="minorHAnsi" w:cstheme="minorBidi"/>
          <w:b w:val="0"/>
          <w:sz w:val="22"/>
          <w:szCs w:val="22"/>
        </w:rPr>
      </w:pPr>
      <w:hyperlink w:anchor="_Toc108451947" w:history="1">
        <w:r w:rsidR="007938B0" w:rsidRPr="00D91044">
          <w:rPr>
            <w:rStyle w:val="Hyperlink"/>
            <w:rFonts w:eastAsia="Calibri"/>
          </w:rPr>
          <w:t xml:space="preserve">APPENDIX 1 </w:t>
        </w:r>
        <w:r w:rsidR="007938B0">
          <w:rPr>
            <w:rStyle w:val="Hyperlink"/>
            <w:rFonts w:eastAsia="Calibri"/>
          </w:rPr>
          <w:tab/>
        </w:r>
        <w:r w:rsidR="007938B0" w:rsidRPr="00D91044">
          <w:rPr>
            <w:rStyle w:val="Hyperlink"/>
            <w:rFonts w:eastAsia="Calibri"/>
          </w:rPr>
          <w:t>Cost of capital and EMTR estimates: two formal models</w:t>
        </w:r>
        <w:r w:rsidR="007938B0">
          <w:rPr>
            <w:webHidden/>
          </w:rPr>
          <w:tab/>
        </w:r>
        <w:r w:rsidR="007938B0">
          <w:rPr>
            <w:webHidden/>
          </w:rPr>
          <w:fldChar w:fldCharType="begin"/>
        </w:r>
        <w:r w:rsidR="007938B0">
          <w:rPr>
            <w:webHidden/>
          </w:rPr>
          <w:instrText xml:space="preserve"> PAGEREF _Toc108451947 \h </w:instrText>
        </w:r>
        <w:r w:rsidR="007938B0">
          <w:rPr>
            <w:webHidden/>
          </w:rPr>
        </w:r>
        <w:r w:rsidR="007938B0">
          <w:rPr>
            <w:webHidden/>
          </w:rPr>
          <w:fldChar w:fldCharType="separate"/>
        </w:r>
        <w:r w:rsidR="00D87553">
          <w:rPr>
            <w:webHidden/>
          </w:rPr>
          <w:t>5</w:t>
        </w:r>
        <w:r w:rsidR="007938B0">
          <w:rPr>
            <w:webHidden/>
          </w:rPr>
          <w:fldChar w:fldCharType="end"/>
        </w:r>
      </w:hyperlink>
    </w:p>
    <w:p w14:paraId="7F67130A" w14:textId="1BEBBF5B" w:rsidR="007938B0" w:rsidRDefault="008F32C3">
      <w:pPr>
        <w:pStyle w:val="TOC2"/>
        <w:rPr>
          <w:rFonts w:asciiTheme="minorHAnsi" w:eastAsiaTheme="minorEastAsia" w:hAnsiTheme="minorHAnsi" w:cstheme="minorBidi"/>
          <w:noProof/>
          <w:sz w:val="22"/>
          <w:szCs w:val="22"/>
        </w:rPr>
      </w:pPr>
      <w:hyperlink w:anchor="_Toc108451948" w:history="1">
        <w:r w:rsidR="007938B0" w:rsidRPr="00D91044">
          <w:rPr>
            <w:rStyle w:val="Hyperlink"/>
            <w:rFonts w:eastAsia="Calibri"/>
            <w:noProof/>
            <w:lang w:eastAsia="en-US"/>
          </w:rPr>
          <w:t>OECD company tax model</w:t>
        </w:r>
        <w:r w:rsidR="007938B0">
          <w:rPr>
            <w:noProof/>
            <w:webHidden/>
          </w:rPr>
          <w:tab/>
        </w:r>
        <w:r w:rsidR="007938B0">
          <w:rPr>
            <w:noProof/>
            <w:webHidden/>
          </w:rPr>
          <w:fldChar w:fldCharType="begin"/>
        </w:r>
        <w:r w:rsidR="007938B0">
          <w:rPr>
            <w:noProof/>
            <w:webHidden/>
          </w:rPr>
          <w:instrText xml:space="preserve"> PAGEREF _Toc108451948 \h </w:instrText>
        </w:r>
        <w:r w:rsidR="007938B0">
          <w:rPr>
            <w:noProof/>
            <w:webHidden/>
          </w:rPr>
        </w:r>
        <w:r w:rsidR="007938B0">
          <w:rPr>
            <w:noProof/>
            <w:webHidden/>
          </w:rPr>
          <w:fldChar w:fldCharType="separate"/>
        </w:r>
        <w:r w:rsidR="00D87553">
          <w:rPr>
            <w:noProof/>
            <w:webHidden/>
          </w:rPr>
          <w:t>6</w:t>
        </w:r>
        <w:r w:rsidR="007938B0">
          <w:rPr>
            <w:noProof/>
            <w:webHidden/>
          </w:rPr>
          <w:fldChar w:fldCharType="end"/>
        </w:r>
      </w:hyperlink>
    </w:p>
    <w:p w14:paraId="30525EBF" w14:textId="582D7070" w:rsidR="007938B0" w:rsidRDefault="008F32C3">
      <w:pPr>
        <w:pStyle w:val="TOC2"/>
        <w:rPr>
          <w:rFonts w:asciiTheme="minorHAnsi" w:eastAsiaTheme="minorEastAsia" w:hAnsiTheme="minorHAnsi" w:cstheme="minorBidi"/>
          <w:noProof/>
          <w:sz w:val="22"/>
          <w:szCs w:val="22"/>
        </w:rPr>
      </w:pPr>
      <w:hyperlink w:anchor="_Toc108451949" w:history="1">
        <w:r w:rsidR="007938B0" w:rsidRPr="00D91044">
          <w:rPr>
            <w:rStyle w:val="Hyperlink"/>
            <w:rFonts w:eastAsia="Calibri"/>
            <w:noProof/>
            <w:lang w:eastAsia="en-US"/>
          </w:rPr>
          <w:t>Domestic SME variant</w:t>
        </w:r>
        <w:r w:rsidR="007938B0">
          <w:rPr>
            <w:noProof/>
            <w:webHidden/>
          </w:rPr>
          <w:tab/>
        </w:r>
        <w:r w:rsidR="007938B0">
          <w:rPr>
            <w:noProof/>
            <w:webHidden/>
          </w:rPr>
          <w:fldChar w:fldCharType="begin"/>
        </w:r>
        <w:r w:rsidR="007938B0">
          <w:rPr>
            <w:noProof/>
            <w:webHidden/>
          </w:rPr>
          <w:instrText xml:space="preserve"> PAGEREF _Toc108451949 \h </w:instrText>
        </w:r>
        <w:r w:rsidR="007938B0">
          <w:rPr>
            <w:noProof/>
            <w:webHidden/>
          </w:rPr>
        </w:r>
        <w:r w:rsidR="007938B0">
          <w:rPr>
            <w:noProof/>
            <w:webHidden/>
          </w:rPr>
          <w:fldChar w:fldCharType="separate"/>
        </w:r>
        <w:r w:rsidR="00D87553">
          <w:rPr>
            <w:noProof/>
            <w:webHidden/>
          </w:rPr>
          <w:t>8</w:t>
        </w:r>
        <w:r w:rsidR="007938B0">
          <w:rPr>
            <w:noProof/>
            <w:webHidden/>
          </w:rPr>
          <w:fldChar w:fldCharType="end"/>
        </w:r>
      </w:hyperlink>
    </w:p>
    <w:p w14:paraId="63097F74" w14:textId="32AF9252" w:rsidR="007938B0" w:rsidRDefault="008F32C3">
      <w:pPr>
        <w:pStyle w:val="TOC2"/>
        <w:rPr>
          <w:rFonts w:asciiTheme="minorHAnsi" w:eastAsiaTheme="minorEastAsia" w:hAnsiTheme="minorHAnsi" w:cstheme="minorBidi"/>
          <w:noProof/>
          <w:sz w:val="22"/>
          <w:szCs w:val="22"/>
        </w:rPr>
      </w:pPr>
      <w:hyperlink w:anchor="_Toc108451950" w:history="1">
        <w:r w:rsidR="007938B0" w:rsidRPr="00D91044">
          <w:rPr>
            <w:rStyle w:val="Hyperlink"/>
            <w:rFonts w:eastAsia="Calibri"/>
            <w:noProof/>
            <w:lang w:eastAsia="en-US"/>
          </w:rPr>
          <w:t>Augmenting the OECD model for approved issuer levy (AIL) and non-resident withholding tax on interest</w:t>
        </w:r>
        <w:r w:rsidR="007938B0">
          <w:rPr>
            <w:noProof/>
            <w:webHidden/>
          </w:rPr>
          <w:tab/>
        </w:r>
        <w:r w:rsidR="007938B0">
          <w:rPr>
            <w:noProof/>
            <w:webHidden/>
          </w:rPr>
          <w:fldChar w:fldCharType="begin"/>
        </w:r>
        <w:r w:rsidR="007938B0">
          <w:rPr>
            <w:noProof/>
            <w:webHidden/>
          </w:rPr>
          <w:instrText xml:space="preserve"> PAGEREF _Toc108451950 \h </w:instrText>
        </w:r>
        <w:r w:rsidR="007938B0">
          <w:rPr>
            <w:noProof/>
            <w:webHidden/>
          </w:rPr>
        </w:r>
        <w:r w:rsidR="007938B0">
          <w:rPr>
            <w:noProof/>
            <w:webHidden/>
          </w:rPr>
          <w:fldChar w:fldCharType="separate"/>
        </w:r>
        <w:r w:rsidR="00D87553">
          <w:rPr>
            <w:noProof/>
            <w:webHidden/>
          </w:rPr>
          <w:t>10</w:t>
        </w:r>
        <w:r w:rsidR="007938B0">
          <w:rPr>
            <w:noProof/>
            <w:webHidden/>
          </w:rPr>
          <w:fldChar w:fldCharType="end"/>
        </w:r>
      </w:hyperlink>
    </w:p>
    <w:p w14:paraId="7E6B7C93" w14:textId="034AF723" w:rsidR="007938B0" w:rsidRDefault="008F32C3">
      <w:pPr>
        <w:pStyle w:val="TOC1"/>
        <w:rPr>
          <w:rFonts w:asciiTheme="minorHAnsi" w:eastAsiaTheme="minorEastAsia" w:hAnsiTheme="minorHAnsi" w:cstheme="minorBidi"/>
          <w:b w:val="0"/>
          <w:sz w:val="22"/>
          <w:szCs w:val="22"/>
        </w:rPr>
      </w:pPr>
      <w:hyperlink w:anchor="_Toc108451951" w:history="1">
        <w:r w:rsidR="007938B0" w:rsidRPr="00D91044">
          <w:rPr>
            <w:rStyle w:val="Hyperlink"/>
          </w:rPr>
          <w:t xml:space="preserve">APPENDIX 2 </w:t>
        </w:r>
        <w:r w:rsidR="007938B0">
          <w:rPr>
            <w:rStyle w:val="Hyperlink"/>
          </w:rPr>
          <w:tab/>
        </w:r>
        <w:r w:rsidR="007938B0" w:rsidRPr="00D91044">
          <w:rPr>
            <w:rStyle w:val="Hyperlink"/>
          </w:rPr>
          <w:t xml:space="preserve">A deeper look at costs of capital and EMTRs  for </w:t>
        </w:r>
        <w:r w:rsidR="007938B0">
          <w:rPr>
            <w:rStyle w:val="Hyperlink"/>
          </w:rPr>
          <w:br/>
        </w:r>
        <w:r w:rsidR="007938B0" w:rsidRPr="00D91044">
          <w:rPr>
            <w:rStyle w:val="Hyperlink"/>
          </w:rPr>
          <w:t>New Zealand</w:t>
        </w:r>
        <w:r w:rsidR="007938B0">
          <w:rPr>
            <w:webHidden/>
          </w:rPr>
          <w:tab/>
        </w:r>
        <w:r w:rsidR="007938B0">
          <w:rPr>
            <w:webHidden/>
          </w:rPr>
          <w:fldChar w:fldCharType="begin"/>
        </w:r>
        <w:r w:rsidR="007938B0">
          <w:rPr>
            <w:webHidden/>
          </w:rPr>
          <w:instrText xml:space="preserve"> PAGEREF _Toc108451951 \h </w:instrText>
        </w:r>
        <w:r w:rsidR="007938B0">
          <w:rPr>
            <w:webHidden/>
          </w:rPr>
        </w:r>
        <w:r w:rsidR="007938B0">
          <w:rPr>
            <w:webHidden/>
          </w:rPr>
          <w:fldChar w:fldCharType="separate"/>
        </w:r>
        <w:r w:rsidR="00D87553">
          <w:rPr>
            <w:webHidden/>
          </w:rPr>
          <w:t>11</w:t>
        </w:r>
        <w:r w:rsidR="007938B0">
          <w:rPr>
            <w:webHidden/>
          </w:rPr>
          <w:fldChar w:fldCharType="end"/>
        </w:r>
      </w:hyperlink>
    </w:p>
    <w:p w14:paraId="7C9701C5" w14:textId="4EED62CE" w:rsidR="007938B0" w:rsidRDefault="008F32C3">
      <w:pPr>
        <w:pStyle w:val="TOC2"/>
        <w:rPr>
          <w:rFonts w:asciiTheme="minorHAnsi" w:eastAsiaTheme="minorEastAsia" w:hAnsiTheme="minorHAnsi" w:cstheme="minorBidi"/>
          <w:noProof/>
          <w:sz w:val="22"/>
          <w:szCs w:val="22"/>
        </w:rPr>
      </w:pPr>
      <w:hyperlink w:anchor="_Toc108451952" w:history="1">
        <w:r w:rsidR="007938B0" w:rsidRPr="00D91044">
          <w:rPr>
            <w:rStyle w:val="Hyperlink"/>
            <w:rFonts w:eastAsia="Calibri"/>
            <w:noProof/>
            <w:lang w:eastAsia="en-US"/>
          </w:rPr>
          <w:t>Introduction</w:t>
        </w:r>
        <w:r w:rsidR="007938B0">
          <w:rPr>
            <w:noProof/>
            <w:webHidden/>
          </w:rPr>
          <w:tab/>
        </w:r>
        <w:r w:rsidR="007938B0">
          <w:rPr>
            <w:noProof/>
            <w:webHidden/>
          </w:rPr>
          <w:fldChar w:fldCharType="begin"/>
        </w:r>
        <w:r w:rsidR="007938B0">
          <w:rPr>
            <w:noProof/>
            <w:webHidden/>
          </w:rPr>
          <w:instrText xml:space="preserve"> PAGEREF _Toc108451952 \h </w:instrText>
        </w:r>
        <w:r w:rsidR="007938B0">
          <w:rPr>
            <w:noProof/>
            <w:webHidden/>
          </w:rPr>
        </w:r>
        <w:r w:rsidR="007938B0">
          <w:rPr>
            <w:noProof/>
            <w:webHidden/>
          </w:rPr>
          <w:fldChar w:fldCharType="separate"/>
        </w:r>
        <w:r w:rsidR="00D87553">
          <w:rPr>
            <w:noProof/>
            <w:webHidden/>
          </w:rPr>
          <w:t>11</w:t>
        </w:r>
        <w:r w:rsidR="007938B0">
          <w:rPr>
            <w:noProof/>
            <w:webHidden/>
          </w:rPr>
          <w:fldChar w:fldCharType="end"/>
        </w:r>
      </w:hyperlink>
    </w:p>
    <w:p w14:paraId="482BD1D6" w14:textId="51A3EB08" w:rsidR="007938B0" w:rsidRDefault="008F32C3">
      <w:pPr>
        <w:pStyle w:val="TOC2"/>
        <w:rPr>
          <w:rFonts w:asciiTheme="minorHAnsi" w:eastAsiaTheme="minorEastAsia" w:hAnsiTheme="minorHAnsi" w:cstheme="minorBidi"/>
          <w:noProof/>
          <w:sz w:val="22"/>
          <w:szCs w:val="22"/>
        </w:rPr>
      </w:pPr>
      <w:hyperlink w:anchor="_Toc108451953" w:history="1">
        <w:r w:rsidR="007938B0" w:rsidRPr="00D91044">
          <w:rPr>
            <w:rStyle w:val="Hyperlink"/>
            <w:rFonts w:eastAsia="Calibri"/>
            <w:noProof/>
            <w:lang w:eastAsia="en-US"/>
          </w:rPr>
          <w:t>Extending the OECD model to take account of New Zealand settings – no NRWT on interest and no AIL</w:t>
        </w:r>
        <w:r w:rsidR="007938B0">
          <w:rPr>
            <w:noProof/>
            <w:webHidden/>
          </w:rPr>
          <w:tab/>
        </w:r>
        <w:r w:rsidR="007938B0">
          <w:rPr>
            <w:noProof/>
            <w:webHidden/>
          </w:rPr>
          <w:fldChar w:fldCharType="begin"/>
        </w:r>
        <w:r w:rsidR="007938B0">
          <w:rPr>
            <w:noProof/>
            <w:webHidden/>
          </w:rPr>
          <w:instrText xml:space="preserve"> PAGEREF _Toc108451953 \h </w:instrText>
        </w:r>
        <w:r w:rsidR="007938B0">
          <w:rPr>
            <w:noProof/>
            <w:webHidden/>
          </w:rPr>
        </w:r>
        <w:r w:rsidR="007938B0">
          <w:rPr>
            <w:noProof/>
            <w:webHidden/>
          </w:rPr>
          <w:fldChar w:fldCharType="separate"/>
        </w:r>
        <w:r w:rsidR="00D87553">
          <w:rPr>
            <w:noProof/>
            <w:webHidden/>
          </w:rPr>
          <w:t>12</w:t>
        </w:r>
        <w:r w:rsidR="007938B0">
          <w:rPr>
            <w:noProof/>
            <w:webHidden/>
          </w:rPr>
          <w:fldChar w:fldCharType="end"/>
        </w:r>
      </w:hyperlink>
    </w:p>
    <w:p w14:paraId="541DCE8A" w14:textId="7B186F35" w:rsidR="007938B0" w:rsidRDefault="008F32C3">
      <w:pPr>
        <w:pStyle w:val="TOC2"/>
        <w:rPr>
          <w:rFonts w:asciiTheme="minorHAnsi" w:eastAsiaTheme="minorEastAsia" w:hAnsiTheme="minorHAnsi" w:cstheme="minorBidi"/>
          <w:noProof/>
          <w:sz w:val="22"/>
          <w:szCs w:val="22"/>
        </w:rPr>
      </w:pPr>
      <w:hyperlink w:anchor="_Toc108451954" w:history="1">
        <w:r w:rsidR="007938B0" w:rsidRPr="00D91044">
          <w:rPr>
            <w:rStyle w:val="Hyperlink"/>
            <w:rFonts w:eastAsia="Calibri"/>
            <w:noProof/>
            <w:lang w:eastAsia="en-US"/>
          </w:rPr>
          <w:t>Non-resident withholding tax (NRWT), approved issuer levy (AIL), interest rates and thin capitalisation provisions</w:t>
        </w:r>
        <w:r w:rsidR="007938B0">
          <w:rPr>
            <w:noProof/>
            <w:webHidden/>
          </w:rPr>
          <w:tab/>
        </w:r>
        <w:r w:rsidR="007938B0">
          <w:rPr>
            <w:noProof/>
            <w:webHidden/>
          </w:rPr>
          <w:fldChar w:fldCharType="begin"/>
        </w:r>
        <w:r w:rsidR="007938B0">
          <w:rPr>
            <w:noProof/>
            <w:webHidden/>
          </w:rPr>
          <w:instrText xml:space="preserve"> PAGEREF _Toc108451954 \h </w:instrText>
        </w:r>
        <w:r w:rsidR="007938B0">
          <w:rPr>
            <w:noProof/>
            <w:webHidden/>
          </w:rPr>
        </w:r>
        <w:r w:rsidR="007938B0">
          <w:rPr>
            <w:noProof/>
            <w:webHidden/>
          </w:rPr>
          <w:fldChar w:fldCharType="separate"/>
        </w:r>
        <w:r w:rsidR="00D87553">
          <w:rPr>
            <w:noProof/>
            <w:webHidden/>
          </w:rPr>
          <w:t>17</w:t>
        </w:r>
        <w:r w:rsidR="007938B0">
          <w:rPr>
            <w:noProof/>
            <w:webHidden/>
          </w:rPr>
          <w:fldChar w:fldCharType="end"/>
        </w:r>
      </w:hyperlink>
    </w:p>
    <w:p w14:paraId="16896F22" w14:textId="0CED21E9" w:rsidR="007938B0" w:rsidRDefault="008F32C3">
      <w:pPr>
        <w:pStyle w:val="TOC2"/>
        <w:rPr>
          <w:rFonts w:asciiTheme="minorHAnsi" w:eastAsiaTheme="minorEastAsia" w:hAnsiTheme="minorHAnsi" w:cstheme="minorBidi"/>
          <w:noProof/>
          <w:sz w:val="22"/>
          <w:szCs w:val="22"/>
        </w:rPr>
      </w:pPr>
      <w:hyperlink w:anchor="_Toc108451955" w:history="1">
        <w:r w:rsidR="007938B0" w:rsidRPr="00D91044">
          <w:rPr>
            <w:rStyle w:val="Hyperlink"/>
            <w:noProof/>
          </w:rPr>
          <w:t>Different real interest rate assumptions</w:t>
        </w:r>
        <w:r w:rsidR="007938B0">
          <w:rPr>
            <w:noProof/>
            <w:webHidden/>
          </w:rPr>
          <w:tab/>
        </w:r>
        <w:r w:rsidR="007938B0">
          <w:rPr>
            <w:noProof/>
            <w:webHidden/>
          </w:rPr>
          <w:fldChar w:fldCharType="begin"/>
        </w:r>
        <w:r w:rsidR="007938B0">
          <w:rPr>
            <w:noProof/>
            <w:webHidden/>
          </w:rPr>
          <w:instrText xml:space="preserve"> PAGEREF _Toc108451955 \h </w:instrText>
        </w:r>
        <w:r w:rsidR="007938B0">
          <w:rPr>
            <w:noProof/>
            <w:webHidden/>
          </w:rPr>
        </w:r>
        <w:r w:rsidR="007938B0">
          <w:rPr>
            <w:noProof/>
            <w:webHidden/>
          </w:rPr>
          <w:fldChar w:fldCharType="separate"/>
        </w:r>
        <w:r w:rsidR="00D87553">
          <w:rPr>
            <w:noProof/>
            <w:webHidden/>
          </w:rPr>
          <w:t>26</w:t>
        </w:r>
        <w:r w:rsidR="007938B0">
          <w:rPr>
            <w:noProof/>
            <w:webHidden/>
          </w:rPr>
          <w:fldChar w:fldCharType="end"/>
        </w:r>
      </w:hyperlink>
    </w:p>
    <w:p w14:paraId="31792D84" w14:textId="663DA4D3" w:rsidR="007938B0" w:rsidRDefault="008F32C3">
      <w:pPr>
        <w:pStyle w:val="TOC2"/>
        <w:rPr>
          <w:rFonts w:asciiTheme="minorHAnsi" w:eastAsiaTheme="minorEastAsia" w:hAnsiTheme="minorHAnsi" w:cstheme="minorBidi"/>
          <w:noProof/>
          <w:sz w:val="22"/>
          <w:szCs w:val="22"/>
        </w:rPr>
      </w:pPr>
      <w:hyperlink w:anchor="_Toc108451956" w:history="1">
        <w:r w:rsidR="007938B0" w:rsidRPr="00D91044">
          <w:rPr>
            <w:rStyle w:val="Hyperlink"/>
            <w:rFonts w:eastAsia="Calibri"/>
            <w:noProof/>
            <w:lang w:eastAsia="en-US"/>
          </w:rPr>
          <w:t>SMEs where there may be little or no shareholding by non-residents</w:t>
        </w:r>
        <w:r w:rsidR="007938B0">
          <w:rPr>
            <w:noProof/>
            <w:webHidden/>
          </w:rPr>
          <w:tab/>
        </w:r>
        <w:r w:rsidR="007938B0">
          <w:rPr>
            <w:noProof/>
            <w:webHidden/>
          </w:rPr>
          <w:fldChar w:fldCharType="begin"/>
        </w:r>
        <w:r w:rsidR="007938B0">
          <w:rPr>
            <w:noProof/>
            <w:webHidden/>
          </w:rPr>
          <w:instrText xml:space="preserve"> PAGEREF _Toc108451956 \h </w:instrText>
        </w:r>
        <w:r w:rsidR="007938B0">
          <w:rPr>
            <w:noProof/>
            <w:webHidden/>
          </w:rPr>
        </w:r>
        <w:r w:rsidR="007938B0">
          <w:rPr>
            <w:noProof/>
            <w:webHidden/>
          </w:rPr>
          <w:fldChar w:fldCharType="separate"/>
        </w:r>
        <w:r w:rsidR="00D87553">
          <w:rPr>
            <w:noProof/>
            <w:webHidden/>
          </w:rPr>
          <w:t>27</w:t>
        </w:r>
        <w:r w:rsidR="007938B0">
          <w:rPr>
            <w:noProof/>
            <w:webHidden/>
          </w:rPr>
          <w:fldChar w:fldCharType="end"/>
        </w:r>
      </w:hyperlink>
    </w:p>
    <w:p w14:paraId="10D3E358" w14:textId="3B5FBD80" w:rsidR="007938B0" w:rsidRDefault="008F32C3">
      <w:pPr>
        <w:pStyle w:val="TOC1"/>
        <w:rPr>
          <w:rFonts w:asciiTheme="minorHAnsi" w:eastAsiaTheme="minorEastAsia" w:hAnsiTheme="minorHAnsi" w:cstheme="minorBidi"/>
          <w:b w:val="0"/>
          <w:sz w:val="22"/>
          <w:szCs w:val="22"/>
        </w:rPr>
      </w:pPr>
      <w:hyperlink w:anchor="_Toc108451957" w:history="1">
        <w:r w:rsidR="007938B0" w:rsidRPr="00D91044">
          <w:rPr>
            <w:rStyle w:val="Hyperlink"/>
            <w:rFonts w:eastAsia="Calibri"/>
          </w:rPr>
          <w:t xml:space="preserve">APPENDIX 3 </w:t>
        </w:r>
        <w:r w:rsidR="007938B0">
          <w:rPr>
            <w:rStyle w:val="Hyperlink"/>
            <w:rFonts w:eastAsia="Calibri"/>
          </w:rPr>
          <w:tab/>
        </w:r>
        <w:r w:rsidR="007938B0" w:rsidRPr="00D91044">
          <w:rPr>
            <w:rStyle w:val="Hyperlink"/>
            <w:rFonts w:eastAsia="Calibri"/>
          </w:rPr>
          <w:t>Economic depreciation and EMTRs for equity-financed and debt-financed investments</w:t>
        </w:r>
        <w:r w:rsidR="007938B0">
          <w:rPr>
            <w:webHidden/>
          </w:rPr>
          <w:tab/>
        </w:r>
        <w:r w:rsidR="007938B0">
          <w:rPr>
            <w:webHidden/>
          </w:rPr>
          <w:fldChar w:fldCharType="begin"/>
        </w:r>
        <w:r w:rsidR="007938B0">
          <w:rPr>
            <w:webHidden/>
          </w:rPr>
          <w:instrText xml:space="preserve"> PAGEREF _Toc108451957 \h </w:instrText>
        </w:r>
        <w:r w:rsidR="007938B0">
          <w:rPr>
            <w:webHidden/>
          </w:rPr>
        </w:r>
        <w:r w:rsidR="007938B0">
          <w:rPr>
            <w:webHidden/>
          </w:rPr>
          <w:fldChar w:fldCharType="separate"/>
        </w:r>
        <w:r w:rsidR="00D87553">
          <w:rPr>
            <w:webHidden/>
          </w:rPr>
          <w:t>30</w:t>
        </w:r>
        <w:r w:rsidR="007938B0">
          <w:rPr>
            <w:webHidden/>
          </w:rPr>
          <w:fldChar w:fldCharType="end"/>
        </w:r>
      </w:hyperlink>
    </w:p>
    <w:p w14:paraId="2BC557E6" w14:textId="06ACA7C4" w:rsidR="007938B0" w:rsidRDefault="008F32C3">
      <w:pPr>
        <w:pStyle w:val="TOC1"/>
        <w:rPr>
          <w:rFonts w:asciiTheme="minorHAnsi" w:eastAsiaTheme="minorEastAsia" w:hAnsiTheme="minorHAnsi" w:cstheme="minorBidi"/>
          <w:b w:val="0"/>
          <w:sz w:val="22"/>
          <w:szCs w:val="22"/>
        </w:rPr>
      </w:pPr>
      <w:hyperlink w:anchor="_Toc108451958" w:history="1">
        <w:r w:rsidR="007938B0" w:rsidRPr="00D91044">
          <w:rPr>
            <w:rStyle w:val="Hyperlink"/>
            <w:rFonts w:eastAsia="Calibri"/>
          </w:rPr>
          <w:t xml:space="preserve">APPENDIX 4 </w:t>
        </w:r>
        <w:r w:rsidR="007938B0">
          <w:rPr>
            <w:rStyle w:val="Hyperlink"/>
            <w:rFonts w:eastAsia="Calibri"/>
          </w:rPr>
          <w:tab/>
        </w:r>
        <w:r w:rsidR="007938B0" w:rsidRPr="00D91044">
          <w:rPr>
            <w:rStyle w:val="Hyperlink"/>
            <w:rFonts w:eastAsia="Calibri"/>
          </w:rPr>
          <w:t xml:space="preserve">Risk and the required real rate of return net of  any </w:t>
        </w:r>
        <w:r w:rsidR="007938B0">
          <w:rPr>
            <w:rStyle w:val="Hyperlink"/>
            <w:rFonts w:eastAsia="Calibri"/>
          </w:rPr>
          <w:br/>
        </w:r>
        <w:r w:rsidR="007938B0" w:rsidRPr="00D91044">
          <w:rPr>
            <w:rStyle w:val="Hyperlink"/>
            <w:rFonts w:eastAsia="Calibri"/>
          </w:rPr>
          <w:t>New Zealand taxes</w:t>
        </w:r>
        <w:r w:rsidR="007938B0">
          <w:rPr>
            <w:webHidden/>
          </w:rPr>
          <w:tab/>
        </w:r>
        <w:r w:rsidR="007938B0">
          <w:rPr>
            <w:webHidden/>
          </w:rPr>
          <w:fldChar w:fldCharType="begin"/>
        </w:r>
        <w:r w:rsidR="007938B0">
          <w:rPr>
            <w:webHidden/>
          </w:rPr>
          <w:instrText xml:space="preserve"> PAGEREF _Toc108451958 \h </w:instrText>
        </w:r>
        <w:r w:rsidR="007938B0">
          <w:rPr>
            <w:webHidden/>
          </w:rPr>
        </w:r>
        <w:r w:rsidR="007938B0">
          <w:rPr>
            <w:webHidden/>
          </w:rPr>
          <w:fldChar w:fldCharType="separate"/>
        </w:r>
        <w:r w:rsidR="00D87553">
          <w:rPr>
            <w:webHidden/>
          </w:rPr>
          <w:t>35</w:t>
        </w:r>
        <w:r w:rsidR="007938B0">
          <w:rPr>
            <w:webHidden/>
          </w:rPr>
          <w:fldChar w:fldCharType="end"/>
        </w:r>
      </w:hyperlink>
    </w:p>
    <w:p w14:paraId="4CC9DD7C" w14:textId="036BEB1D" w:rsidR="007938B0" w:rsidRDefault="008F32C3">
      <w:pPr>
        <w:pStyle w:val="TOC1"/>
        <w:rPr>
          <w:rFonts w:asciiTheme="minorHAnsi" w:eastAsiaTheme="minorEastAsia" w:hAnsiTheme="minorHAnsi" w:cstheme="minorBidi"/>
          <w:b w:val="0"/>
          <w:sz w:val="22"/>
          <w:szCs w:val="22"/>
        </w:rPr>
      </w:pPr>
      <w:hyperlink w:anchor="_Toc108451959" w:history="1">
        <w:r w:rsidR="007938B0" w:rsidRPr="00D91044">
          <w:rPr>
            <w:rStyle w:val="Hyperlink"/>
            <w:rFonts w:eastAsia="Calibri"/>
          </w:rPr>
          <w:t xml:space="preserve">APPENDIX 5 </w:t>
        </w:r>
        <w:r w:rsidR="007938B0">
          <w:rPr>
            <w:rStyle w:val="Hyperlink"/>
            <w:rFonts w:eastAsia="Calibri"/>
          </w:rPr>
          <w:tab/>
        </w:r>
        <w:r w:rsidR="007938B0" w:rsidRPr="00D91044">
          <w:rPr>
            <w:rStyle w:val="Hyperlink"/>
            <w:rFonts w:eastAsia="Calibri"/>
          </w:rPr>
          <w:t>Marginal investments with expensing</w:t>
        </w:r>
        <w:r w:rsidR="007938B0">
          <w:rPr>
            <w:webHidden/>
          </w:rPr>
          <w:tab/>
        </w:r>
        <w:r w:rsidR="007938B0">
          <w:rPr>
            <w:webHidden/>
          </w:rPr>
          <w:fldChar w:fldCharType="begin"/>
        </w:r>
        <w:r w:rsidR="007938B0">
          <w:rPr>
            <w:webHidden/>
          </w:rPr>
          <w:instrText xml:space="preserve"> PAGEREF _Toc108451959 \h </w:instrText>
        </w:r>
        <w:r w:rsidR="007938B0">
          <w:rPr>
            <w:webHidden/>
          </w:rPr>
        </w:r>
        <w:r w:rsidR="007938B0">
          <w:rPr>
            <w:webHidden/>
          </w:rPr>
          <w:fldChar w:fldCharType="separate"/>
        </w:r>
        <w:r w:rsidR="00D87553">
          <w:rPr>
            <w:webHidden/>
          </w:rPr>
          <w:t>36</w:t>
        </w:r>
        <w:r w:rsidR="007938B0">
          <w:rPr>
            <w:webHidden/>
          </w:rPr>
          <w:fldChar w:fldCharType="end"/>
        </w:r>
      </w:hyperlink>
    </w:p>
    <w:p w14:paraId="7742AA19" w14:textId="2AC8122D" w:rsidR="007938B0" w:rsidRDefault="008F32C3">
      <w:pPr>
        <w:pStyle w:val="TOC2"/>
        <w:rPr>
          <w:rFonts w:asciiTheme="minorHAnsi" w:eastAsiaTheme="minorEastAsia" w:hAnsiTheme="minorHAnsi" w:cstheme="minorBidi"/>
          <w:noProof/>
          <w:sz w:val="22"/>
          <w:szCs w:val="22"/>
        </w:rPr>
      </w:pPr>
      <w:hyperlink w:anchor="_Toc108451960" w:history="1">
        <w:r w:rsidR="007938B0" w:rsidRPr="00D91044">
          <w:rPr>
            <w:rStyle w:val="Hyperlink"/>
            <w:rFonts w:eastAsia="Calibri"/>
            <w:noProof/>
            <w:lang w:eastAsia="en-US"/>
          </w:rPr>
          <w:t>Equity-financed investment</w:t>
        </w:r>
        <w:r w:rsidR="007938B0">
          <w:rPr>
            <w:noProof/>
            <w:webHidden/>
          </w:rPr>
          <w:tab/>
        </w:r>
        <w:r w:rsidR="007938B0">
          <w:rPr>
            <w:noProof/>
            <w:webHidden/>
          </w:rPr>
          <w:fldChar w:fldCharType="begin"/>
        </w:r>
        <w:r w:rsidR="007938B0">
          <w:rPr>
            <w:noProof/>
            <w:webHidden/>
          </w:rPr>
          <w:instrText xml:space="preserve"> PAGEREF _Toc108451960 \h </w:instrText>
        </w:r>
        <w:r w:rsidR="007938B0">
          <w:rPr>
            <w:noProof/>
            <w:webHidden/>
          </w:rPr>
        </w:r>
        <w:r w:rsidR="007938B0">
          <w:rPr>
            <w:noProof/>
            <w:webHidden/>
          </w:rPr>
          <w:fldChar w:fldCharType="separate"/>
        </w:r>
        <w:r w:rsidR="00D87553">
          <w:rPr>
            <w:noProof/>
            <w:webHidden/>
          </w:rPr>
          <w:t>36</w:t>
        </w:r>
        <w:r w:rsidR="007938B0">
          <w:rPr>
            <w:noProof/>
            <w:webHidden/>
          </w:rPr>
          <w:fldChar w:fldCharType="end"/>
        </w:r>
      </w:hyperlink>
    </w:p>
    <w:p w14:paraId="538468EF" w14:textId="1090463D" w:rsidR="007938B0" w:rsidRDefault="008F32C3">
      <w:pPr>
        <w:pStyle w:val="TOC2"/>
        <w:rPr>
          <w:rFonts w:asciiTheme="minorHAnsi" w:eastAsiaTheme="minorEastAsia" w:hAnsiTheme="minorHAnsi" w:cstheme="minorBidi"/>
          <w:noProof/>
          <w:sz w:val="22"/>
          <w:szCs w:val="22"/>
        </w:rPr>
      </w:pPr>
      <w:hyperlink w:anchor="_Toc108451961" w:history="1">
        <w:r w:rsidR="007938B0" w:rsidRPr="00D91044">
          <w:rPr>
            <w:rStyle w:val="Hyperlink"/>
            <w:rFonts w:eastAsia="Calibri"/>
            <w:noProof/>
            <w:lang w:eastAsia="en-US"/>
          </w:rPr>
          <w:t>Debt-financed investment</w:t>
        </w:r>
        <w:r w:rsidR="007938B0">
          <w:rPr>
            <w:noProof/>
            <w:webHidden/>
          </w:rPr>
          <w:tab/>
        </w:r>
        <w:r w:rsidR="007938B0">
          <w:rPr>
            <w:noProof/>
            <w:webHidden/>
          </w:rPr>
          <w:fldChar w:fldCharType="begin"/>
        </w:r>
        <w:r w:rsidR="007938B0">
          <w:rPr>
            <w:noProof/>
            <w:webHidden/>
          </w:rPr>
          <w:instrText xml:space="preserve"> PAGEREF _Toc108451961 \h </w:instrText>
        </w:r>
        <w:r w:rsidR="007938B0">
          <w:rPr>
            <w:noProof/>
            <w:webHidden/>
          </w:rPr>
        </w:r>
        <w:r w:rsidR="007938B0">
          <w:rPr>
            <w:noProof/>
            <w:webHidden/>
          </w:rPr>
          <w:fldChar w:fldCharType="separate"/>
        </w:r>
        <w:r w:rsidR="00D87553">
          <w:rPr>
            <w:noProof/>
            <w:webHidden/>
          </w:rPr>
          <w:t>37</w:t>
        </w:r>
        <w:r w:rsidR="007938B0">
          <w:rPr>
            <w:noProof/>
            <w:webHidden/>
          </w:rPr>
          <w:fldChar w:fldCharType="end"/>
        </w:r>
      </w:hyperlink>
    </w:p>
    <w:p w14:paraId="19BA6960" w14:textId="6FCDC60E" w:rsidR="007938B0" w:rsidRDefault="008F32C3">
      <w:pPr>
        <w:pStyle w:val="TOC1"/>
        <w:rPr>
          <w:rFonts w:asciiTheme="minorHAnsi" w:eastAsiaTheme="minorEastAsia" w:hAnsiTheme="minorHAnsi" w:cstheme="minorBidi"/>
          <w:b w:val="0"/>
          <w:sz w:val="22"/>
          <w:szCs w:val="22"/>
        </w:rPr>
      </w:pPr>
      <w:hyperlink w:anchor="_Toc108451962" w:history="1">
        <w:r w:rsidR="007938B0" w:rsidRPr="00D91044">
          <w:rPr>
            <w:rStyle w:val="Hyperlink"/>
            <w:rFonts w:eastAsia="Calibri"/>
            <w:lang w:eastAsia="en-US"/>
          </w:rPr>
          <w:t xml:space="preserve">APPENDIX 6 </w:t>
        </w:r>
        <w:r w:rsidR="007938B0">
          <w:rPr>
            <w:rStyle w:val="Hyperlink"/>
            <w:rFonts w:eastAsia="Calibri"/>
            <w:lang w:eastAsia="en-US"/>
          </w:rPr>
          <w:tab/>
        </w:r>
        <w:r w:rsidR="007938B0" w:rsidRPr="00D91044">
          <w:rPr>
            <w:rStyle w:val="Hyperlink"/>
            <w:rFonts w:eastAsia="Calibri"/>
            <w:lang w:eastAsia="en-US"/>
          </w:rPr>
          <w:t>Tax changes since the 2000/01 income year and their impact on corporate costs of capital and EMTRs</w:t>
        </w:r>
        <w:r w:rsidR="007938B0">
          <w:rPr>
            <w:webHidden/>
          </w:rPr>
          <w:tab/>
        </w:r>
        <w:r w:rsidR="007938B0">
          <w:rPr>
            <w:webHidden/>
          </w:rPr>
          <w:fldChar w:fldCharType="begin"/>
        </w:r>
        <w:r w:rsidR="007938B0">
          <w:rPr>
            <w:webHidden/>
          </w:rPr>
          <w:instrText xml:space="preserve"> PAGEREF _Toc108451962 \h </w:instrText>
        </w:r>
        <w:r w:rsidR="007938B0">
          <w:rPr>
            <w:webHidden/>
          </w:rPr>
        </w:r>
        <w:r w:rsidR="007938B0">
          <w:rPr>
            <w:webHidden/>
          </w:rPr>
          <w:fldChar w:fldCharType="separate"/>
        </w:r>
        <w:r w:rsidR="00D87553">
          <w:rPr>
            <w:webHidden/>
          </w:rPr>
          <w:t>38</w:t>
        </w:r>
        <w:r w:rsidR="007938B0">
          <w:rPr>
            <w:webHidden/>
          </w:rPr>
          <w:fldChar w:fldCharType="end"/>
        </w:r>
      </w:hyperlink>
    </w:p>
    <w:p w14:paraId="1F694578" w14:textId="1A05BF46" w:rsidR="007938B0" w:rsidRDefault="008F32C3">
      <w:pPr>
        <w:pStyle w:val="TOC2"/>
        <w:rPr>
          <w:rFonts w:asciiTheme="minorHAnsi" w:eastAsiaTheme="minorEastAsia" w:hAnsiTheme="minorHAnsi" w:cstheme="minorBidi"/>
          <w:noProof/>
          <w:sz w:val="22"/>
          <w:szCs w:val="22"/>
        </w:rPr>
      </w:pPr>
      <w:hyperlink w:anchor="_Toc108451963" w:history="1">
        <w:r w:rsidR="007938B0" w:rsidRPr="00D91044">
          <w:rPr>
            <w:rStyle w:val="Hyperlink"/>
            <w:rFonts w:eastAsia="Calibri"/>
            <w:noProof/>
            <w:lang w:eastAsia="en-US"/>
          </w:rPr>
          <w:t>Tax parameters that have changed since the 2000/01 year</w:t>
        </w:r>
        <w:r w:rsidR="007938B0">
          <w:rPr>
            <w:noProof/>
            <w:webHidden/>
          </w:rPr>
          <w:tab/>
        </w:r>
        <w:r w:rsidR="007938B0">
          <w:rPr>
            <w:noProof/>
            <w:webHidden/>
          </w:rPr>
          <w:fldChar w:fldCharType="begin"/>
        </w:r>
        <w:r w:rsidR="007938B0">
          <w:rPr>
            <w:noProof/>
            <w:webHidden/>
          </w:rPr>
          <w:instrText xml:space="preserve"> PAGEREF _Toc108451963 \h </w:instrText>
        </w:r>
        <w:r w:rsidR="007938B0">
          <w:rPr>
            <w:noProof/>
            <w:webHidden/>
          </w:rPr>
        </w:r>
        <w:r w:rsidR="007938B0">
          <w:rPr>
            <w:noProof/>
            <w:webHidden/>
          </w:rPr>
          <w:fldChar w:fldCharType="separate"/>
        </w:r>
        <w:r w:rsidR="00D87553">
          <w:rPr>
            <w:noProof/>
            <w:webHidden/>
          </w:rPr>
          <w:t>39</w:t>
        </w:r>
        <w:r w:rsidR="007938B0">
          <w:rPr>
            <w:noProof/>
            <w:webHidden/>
          </w:rPr>
          <w:fldChar w:fldCharType="end"/>
        </w:r>
      </w:hyperlink>
    </w:p>
    <w:p w14:paraId="249ACBE9" w14:textId="105367B1" w:rsidR="007938B0" w:rsidRDefault="008F32C3">
      <w:pPr>
        <w:pStyle w:val="TOC2"/>
        <w:rPr>
          <w:rFonts w:asciiTheme="minorHAnsi" w:eastAsiaTheme="minorEastAsia" w:hAnsiTheme="minorHAnsi" w:cstheme="minorBidi"/>
          <w:noProof/>
          <w:sz w:val="22"/>
          <w:szCs w:val="22"/>
        </w:rPr>
      </w:pPr>
      <w:hyperlink w:anchor="_Toc108451964" w:history="1">
        <w:r w:rsidR="007938B0" w:rsidRPr="00D91044">
          <w:rPr>
            <w:rStyle w:val="Hyperlink"/>
            <w:rFonts w:eastAsia="Calibri"/>
            <w:noProof/>
            <w:lang w:eastAsia="en-US"/>
          </w:rPr>
          <w:t>Our estimates</w:t>
        </w:r>
        <w:r w:rsidR="007938B0">
          <w:rPr>
            <w:noProof/>
            <w:webHidden/>
          </w:rPr>
          <w:tab/>
        </w:r>
        <w:r w:rsidR="007938B0">
          <w:rPr>
            <w:noProof/>
            <w:webHidden/>
          </w:rPr>
          <w:fldChar w:fldCharType="begin"/>
        </w:r>
        <w:r w:rsidR="007938B0">
          <w:rPr>
            <w:noProof/>
            <w:webHidden/>
          </w:rPr>
          <w:instrText xml:space="preserve"> PAGEREF _Toc108451964 \h </w:instrText>
        </w:r>
        <w:r w:rsidR="007938B0">
          <w:rPr>
            <w:noProof/>
            <w:webHidden/>
          </w:rPr>
        </w:r>
        <w:r w:rsidR="007938B0">
          <w:rPr>
            <w:noProof/>
            <w:webHidden/>
          </w:rPr>
          <w:fldChar w:fldCharType="separate"/>
        </w:r>
        <w:r w:rsidR="00D87553">
          <w:rPr>
            <w:noProof/>
            <w:webHidden/>
          </w:rPr>
          <w:t>41</w:t>
        </w:r>
        <w:r w:rsidR="007938B0">
          <w:rPr>
            <w:noProof/>
            <w:webHidden/>
          </w:rPr>
          <w:fldChar w:fldCharType="end"/>
        </w:r>
      </w:hyperlink>
    </w:p>
    <w:p w14:paraId="618D6FC7" w14:textId="07DA5E4E" w:rsidR="007938B0" w:rsidRDefault="008F32C3">
      <w:pPr>
        <w:pStyle w:val="TOC1"/>
        <w:rPr>
          <w:rFonts w:asciiTheme="minorHAnsi" w:eastAsiaTheme="minorEastAsia" w:hAnsiTheme="minorHAnsi" w:cstheme="minorBidi"/>
          <w:b w:val="0"/>
          <w:sz w:val="22"/>
          <w:szCs w:val="22"/>
        </w:rPr>
      </w:pPr>
      <w:hyperlink w:anchor="_Toc108451965" w:history="1">
        <w:r w:rsidR="007938B0" w:rsidRPr="00D91044">
          <w:rPr>
            <w:rStyle w:val="Hyperlink"/>
          </w:rPr>
          <w:t>REFERENCES</w:t>
        </w:r>
        <w:r w:rsidR="007938B0">
          <w:rPr>
            <w:webHidden/>
          </w:rPr>
          <w:tab/>
        </w:r>
        <w:r w:rsidR="007938B0">
          <w:rPr>
            <w:webHidden/>
          </w:rPr>
          <w:tab/>
        </w:r>
        <w:r w:rsidR="007938B0">
          <w:rPr>
            <w:webHidden/>
          </w:rPr>
          <w:fldChar w:fldCharType="begin"/>
        </w:r>
        <w:r w:rsidR="007938B0">
          <w:rPr>
            <w:webHidden/>
          </w:rPr>
          <w:instrText xml:space="preserve"> PAGEREF _Toc108451965 \h </w:instrText>
        </w:r>
        <w:r w:rsidR="007938B0">
          <w:rPr>
            <w:webHidden/>
          </w:rPr>
        </w:r>
        <w:r w:rsidR="007938B0">
          <w:rPr>
            <w:webHidden/>
          </w:rPr>
          <w:fldChar w:fldCharType="separate"/>
        </w:r>
        <w:r w:rsidR="00D87553">
          <w:rPr>
            <w:webHidden/>
          </w:rPr>
          <w:t>45</w:t>
        </w:r>
        <w:r w:rsidR="007938B0">
          <w:rPr>
            <w:webHidden/>
          </w:rPr>
          <w:fldChar w:fldCharType="end"/>
        </w:r>
      </w:hyperlink>
    </w:p>
    <w:p w14:paraId="76F96302" w14:textId="0A05FFBC" w:rsidR="003A010A" w:rsidRDefault="001448F7" w:rsidP="00E57CA2">
      <w:pPr>
        <w:sectPr w:rsidR="003A010A" w:rsidSect="006D088A">
          <w:headerReference w:type="even" r:id="rId13"/>
          <w:headerReference w:type="default" r:id="rId14"/>
          <w:headerReference w:type="first" r:id="rId15"/>
          <w:footerReference w:type="first" r:id="rId16"/>
          <w:pgSz w:w="11906" w:h="16838" w:code="9"/>
          <w:pgMar w:top="1304" w:right="1274" w:bottom="1134" w:left="1559" w:header="720" w:footer="567" w:gutter="0"/>
          <w:cols w:space="720"/>
          <w:docGrid w:linePitch="326"/>
        </w:sectPr>
      </w:pPr>
      <w:r>
        <w:rPr>
          <w:b/>
        </w:rPr>
        <w:fldChar w:fldCharType="end"/>
      </w:r>
      <w:bookmarkStart w:id="6" w:name="_Toc14174911"/>
      <w:bookmarkEnd w:id="5"/>
    </w:p>
    <w:p w14:paraId="662313F3" w14:textId="117A28AF" w:rsidR="00A6368B" w:rsidRPr="00A6368B" w:rsidRDefault="00A6368B" w:rsidP="00A6368B">
      <w:r>
        <w:br w:type="page"/>
      </w:r>
    </w:p>
    <w:p w14:paraId="29C94C76" w14:textId="7E6E3CE5" w:rsidR="00600FCD" w:rsidRPr="006B6E8E" w:rsidRDefault="00983E7B" w:rsidP="004E3E08">
      <w:pPr>
        <w:pStyle w:val="Heading1"/>
      </w:pPr>
      <w:bookmarkStart w:id="7" w:name="_Toc108451946"/>
      <w:r w:rsidRPr="006B6E8E">
        <w:lastRenderedPageBreak/>
        <w:t>O</w:t>
      </w:r>
      <w:r w:rsidR="00772545" w:rsidRPr="006B6E8E">
        <w:t>VERVIEW</w:t>
      </w:r>
      <w:bookmarkEnd w:id="7"/>
    </w:p>
    <w:p w14:paraId="1A64CA49" w14:textId="426CAEC1" w:rsidR="00600FCD" w:rsidRPr="00600FCD" w:rsidRDefault="00533049" w:rsidP="00E75272">
      <w:pPr>
        <w:pStyle w:val="ListParagraph"/>
        <w:numPr>
          <w:ilvl w:val="0"/>
          <w:numId w:val="102"/>
        </w:numPr>
        <w:ind w:left="851" w:hanging="851"/>
      </w:pPr>
      <w:r>
        <w:t xml:space="preserve">Inland Revenue’s </w:t>
      </w:r>
      <w:r w:rsidR="00A90304">
        <w:t xml:space="preserve">long-term insights briefing </w:t>
      </w:r>
      <w:r w:rsidR="00B33309">
        <w:t xml:space="preserve">(LTIB) </w:t>
      </w:r>
      <w:r w:rsidR="00A90304">
        <w:t>on tax</w:t>
      </w:r>
      <w:r w:rsidR="00061720">
        <w:t>, foreign</w:t>
      </w:r>
      <w:r w:rsidR="00A90304">
        <w:t xml:space="preserve"> investment and productivity is available </w:t>
      </w:r>
      <w:r w:rsidR="0019277A">
        <w:t>on its tax policy website</w:t>
      </w:r>
      <w:r w:rsidR="00467C4D">
        <w:t>.</w:t>
      </w:r>
      <w:r w:rsidR="0019277A">
        <w:rPr>
          <w:rStyle w:val="FootnoteReference"/>
        </w:rPr>
        <w:footnoteReference w:id="2"/>
      </w:r>
      <w:r w:rsidR="00CE4839">
        <w:t xml:space="preserve"> </w:t>
      </w:r>
      <w:r w:rsidR="000552A3">
        <w:t>T</w:t>
      </w:r>
      <w:r w:rsidR="00CE4839">
        <w:t>hese technical appendices provide some</w:t>
      </w:r>
      <w:r w:rsidR="002B61A5">
        <w:t xml:space="preserve"> </w:t>
      </w:r>
      <w:r w:rsidR="000552A3">
        <w:t>additional support</w:t>
      </w:r>
      <w:r w:rsidR="00D47A5B">
        <w:t xml:space="preserve"> for the analysis in the LTIB. </w:t>
      </w:r>
      <w:r w:rsidR="00693953">
        <w:t xml:space="preserve">They </w:t>
      </w:r>
      <w:r w:rsidR="00D47A5B">
        <w:t>provide further analy</w:t>
      </w:r>
      <w:r w:rsidR="0025253B">
        <w:t xml:space="preserve">tical detail on the </w:t>
      </w:r>
      <w:r w:rsidR="006559EB">
        <w:t>forma</w:t>
      </w:r>
      <w:r w:rsidR="3AD66963">
        <w:t>l</w:t>
      </w:r>
      <w:r w:rsidR="006559EB">
        <w:t xml:space="preserve"> </w:t>
      </w:r>
      <w:r w:rsidR="0025253B">
        <w:t>models being used</w:t>
      </w:r>
      <w:r w:rsidR="006559EB">
        <w:t xml:space="preserve"> </w:t>
      </w:r>
      <w:r w:rsidR="00693953">
        <w:t>and</w:t>
      </w:r>
      <w:r w:rsidR="00DA0FF3">
        <w:t xml:space="preserve"> d</w:t>
      </w:r>
      <w:r w:rsidR="006570FA">
        <w:t>iscussion</w:t>
      </w:r>
      <w:r w:rsidR="00DA0FF3">
        <w:t xml:space="preserve"> on implications of the formal modelling.</w:t>
      </w:r>
      <w:r w:rsidR="001C1EFA">
        <w:t xml:space="preserve"> </w:t>
      </w:r>
      <w:r w:rsidR="00064C71">
        <w:t>Following submissions from stakeholders and external reviews</w:t>
      </w:r>
      <w:r w:rsidR="003F5F3F">
        <w:t>,</w:t>
      </w:r>
      <w:r w:rsidR="00064C71">
        <w:t xml:space="preserve"> </w:t>
      </w:r>
      <w:r w:rsidR="003F5F3F">
        <w:t>t</w:t>
      </w:r>
      <w:r w:rsidR="002E7B2E">
        <w:t>he</w:t>
      </w:r>
      <w:r w:rsidR="003F5F3F">
        <w:t>se</w:t>
      </w:r>
      <w:r w:rsidR="002E7B2E">
        <w:t xml:space="preserve"> are an update of the technical appendices </w:t>
      </w:r>
      <w:r w:rsidR="00C939D5">
        <w:t>that</w:t>
      </w:r>
      <w:r w:rsidR="002E7B2E">
        <w:t xml:space="preserve"> accompanied the </w:t>
      </w:r>
      <w:r w:rsidR="005859ED">
        <w:t>d</w:t>
      </w:r>
      <w:r w:rsidR="002E7B2E">
        <w:t>raft LTIB.</w:t>
      </w:r>
      <w:r w:rsidR="002E7B2E">
        <w:rPr>
          <w:rStyle w:val="FootnoteReference"/>
        </w:rPr>
        <w:footnoteReference w:id="3"/>
      </w:r>
    </w:p>
    <w:p w14:paraId="30963A2B" w14:textId="77777777" w:rsidR="00F758E9" w:rsidRDefault="00781931" w:rsidP="00E75272">
      <w:pPr>
        <w:pStyle w:val="ListParagraph"/>
        <w:numPr>
          <w:ilvl w:val="0"/>
          <w:numId w:val="102"/>
        </w:numPr>
        <w:ind w:left="851" w:hanging="851"/>
      </w:pPr>
      <w:r>
        <w:t xml:space="preserve">The technical </w:t>
      </w:r>
      <w:r w:rsidR="00F758E9">
        <w:t>appendices are as follows:</w:t>
      </w:r>
    </w:p>
    <w:p w14:paraId="5DBA60E9" w14:textId="79193511" w:rsidR="00DE1EC9" w:rsidRDefault="00867B4A" w:rsidP="00694E93">
      <w:pPr>
        <w:pStyle w:val="NumberedParagraph-BulletL1"/>
      </w:pPr>
      <w:r w:rsidRPr="00FE4182">
        <w:rPr>
          <w:rStyle w:val="Strong"/>
        </w:rPr>
        <w:t>Appendix 1</w:t>
      </w:r>
      <w:r>
        <w:rPr>
          <w:i/>
          <w:iCs/>
        </w:rPr>
        <w:t xml:space="preserve"> </w:t>
      </w:r>
      <w:r w:rsidRPr="00E04033">
        <w:t xml:space="preserve">provides two </w:t>
      </w:r>
      <w:r w:rsidR="00E04033">
        <w:t xml:space="preserve">formal </w:t>
      </w:r>
      <w:r w:rsidR="00797AE3" w:rsidRPr="00E04033">
        <w:t xml:space="preserve">economic </w:t>
      </w:r>
      <w:r w:rsidR="00A40893" w:rsidRPr="00E04033">
        <w:t>models</w:t>
      </w:r>
      <w:r w:rsidR="003B14F1">
        <w:t xml:space="preserve"> of how taxes can affect costs of capital and </w:t>
      </w:r>
      <w:r w:rsidR="00E101DF">
        <w:t>effective marginal tax rates (</w:t>
      </w:r>
      <w:r w:rsidR="003B14F1">
        <w:t>EMTRs</w:t>
      </w:r>
      <w:r w:rsidR="00E101DF">
        <w:t>)</w:t>
      </w:r>
      <w:r w:rsidR="00A40893">
        <w:rPr>
          <w:i/>
          <w:iCs/>
        </w:rPr>
        <w:t>.</w:t>
      </w:r>
      <w:r w:rsidR="00A40893" w:rsidRPr="003307D1">
        <w:t xml:space="preserve"> </w:t>
      </w:r>
      <w:r w:rsidR="00501595">
        <w:t>The fir</w:t>
      </w:r>
      <w:r w:rsidR="008C4212">
        <w:t>st</w:t>
      </w:r>
      <w:r w:rsidR="00A40893">
        <w:t xml:space="preserve"> </w:t>
      </w:r>
      <w:r w:rsidR="003B14F1">
        <w:t>of these is</w:t>
      </w:r>
      <w:r w:rsidR="00A40893">
        <w:t xml:space="preserve"> the </w:t>
      </w:r>
      <w:r w:rsidR="008C0086">
        <w:t xml:space="preserve">main </w:t>
      </w:r>
      <w:r w:rsidR="00B73B11">
        <w:t xml:space="preserve">OECD </w:t>
      </w:r>
      <w:r w:rsidR="008C0086">
        <w:t xml:space="preserve">model </w:t>
      </w:r>
      <w:r w:rsidR="00B73B11">
        <w:t>that</w:t>
      </w:r>
      <w:r w:rsidR="008C0086">
        <w:t xml:space="preserve"> is being used throughout the LTIB. </w:t>
      </w:r>
      <w:r w:rsidR="00B80324">
        <w:t xml:space="preserve">A </w:t>
      </w:r>
      <w:r w:rsidR="00AA62F7">
        <w:t>crucial assumption in th</w:t>
      </w:r>
      <w:r w:rsidR="00645641">
        <w:t>is</w:t>
      </w:r>
      <w:r w:rsidR="00AA62F7">
        <w:t xml:space="preserve"> </w:t>
      </w:r>
      <w:r w:rsidR="00B80324">
        <w:t>first model is that no</w:t>
      </w:r>
      <w:r w:rsidR="00A24397">
        <w:t xml:space="preserve">n-residents are marginal shareholders. </w:t>
      </w:r>
      <w:r w:rsidR="00FD4BDE">
        <w:t>This model may</w:t>
      </w:r>
      <w:r w:rsidR="00B04899">
        <w:t>,</w:t>
      </w:r>
      <w:r w:rsidR="00FD4BDE">
        <w:t xml:space="preserve"> or may not</w:t>
      </w:r>
      <w:r w:rsidR="00B04899">
        <w:t>,</w:t>
      </w:r>
      <w:r w:rsidR="00FD4BDE">
        <w:t xml:space="preserve"> be relevant </w:t>
      </w:r>
      <w:r w:rsidR="00186FB8">
        <w:t xml:space="preserve">for </w:t>
      </w:r>
      <w:r w:rsidR="00301483">
        <w:t>small and medium enterprises</w:t>
      </w:r>
      <w:r w:rsidR="00186FB8">
        <w:t xml:space="preserve"> </w:t>
      </w:r>
      <w:r w:rsidR="009528A6">
        <w:t xml:space="preserve">(SMEs) </w:t>
      </w:r>
      <w:r w:rsidR="00186FB8">
        <w:t xml:space="preserve">where </w:t>
      </w:r>
      <w:r w:rsidR="00A205EE">
        <w:t xml:space="preserve">non-residents </w:t>
      </w:r>
      <w:r w:rsidR="001742EE">
        <w:t xml:space="preserve">own negligible amounts of the business. </w:t>
      </w:r>
      <w:r w:rsidR="00426254">
        <w:t>We also explore t</w:t>
      </w:r>
      <w:r w:rsidR="00301743">
        <w:t>w</w:t>
      </w:r>
      <w:r w:rsidR="00426254">
        <w:t>o variants of a second model where resident individual</w:t>
      </w:r>
      <w:r w:rsidR="00285F6B">
        <w:t>s</w:t>
      </w:r>
      <w:r w:rsidR="00426254">
        <w:t xml:space="preserve"> are marginal investors in the business</w:t>
      </w:r>
      <w:r w:rsidR="002D30EF">
        <w:t>.</w:t>
      </w:r>
    </w:p>
    <w:p w14:paraId="27B11D26" w14:textId="0CAD0F59" w:rsidR="00600FCD" w:rsidRDefault="00FF7D25" w:rsidP="00694E93">
      <w:pPr>
        <w:pStyle w:val="NumberedParagraph-BulletL1"/>
      </w:pPr>
      <w:r w:rsidRPr="00FE4182">
        <w:rPr>
          <w:rStyle w:val="Strong"/>
        </w:rPr>
        <w:t>Appendix 2</w:t>
      </w:r>
      <w:r w:rsidRPr="33883D33">
        <w:rPr>
          <w:i/>
          <w:iCs/>
        </w:rPr>
        <w:t xml:space="preserve"> </w:t>
      </w:r>
      <w:r w:rsidR="002024A3">
        <w:t>provides a more detailed analysis of how</w:t>
      </w:r>
      <w:r w:rsidR="000826C3">
        <w:t xml:space="preserve"> N</w:t>
      </w:r>
      <w:r w:rsidR="5AD3018E">
        <w:t xml:space="preserve">ew </w:t>
      </w:r>
      <w:r w:rsidR="000826C3">
        <w:t>Z</w:t>
      </w:r>
      <w:r w:rsidR="4C67B393">
        <w:t>ealand’s</w:t>
      </w:r>
      <w:r w:rsidR="000826C3">
        <w:t xml:space="preserve"> tax settings can impact on costs of capital and EMTRs. It </w:t>
      </w:r>
      <w:r w:rsidR="006C57ED">
        <w:t>considers</w:t>
      </w:r>
      <w:r w:rsidR="006E4077">
        <w:t xml:space="preserve"> </w:t>
      </w:r>
      <w:r w:rsidR="002A4518">
        <w:t xml:space="preserve">how differences in the tax treatment of </w:t>
      </w:r>
      <w:r w:rsidR="00486525">
        <w:t xml:space="preserve">different </w:t>
      </w:r>
      <w:r w:rsidR="00285F6B">
        <w:t xml:space="preserve">asset </w:t>
      </w:r>
      <w:r w:rsidR="00486525">
        <w:t xml:space="preserve">types and firms financed in different ways can create tax biases </w:t>
      </w:r>
      <w:r w:rsidR="002E5FCA">
        <w:t>that</w:t>
      </w:r>
      <w:r w:rsidR="00654DD0">
        <w:t xml:space="preserve"> may reduc</w:t>
      </w:r>
      <w:r w:rsidR="11474F34">
        <w:t>e</w:t>
      </w:r>
      <w:r w:rsidR="00654DD0">
        <w:t xml:space="preserve"> economic efficiency and productivity. </w:t>
      </w:r>
      <w:r w:rsidR="006C57ED">
        <w:t xml:space="preserve">While </w:t>
      </w:r>
      <w:r w:rsidR="001901E2">
        <w:t>EMTRs in New Zealand may often be high</w:t>
      </w:r>
      <w:r w:rsidR="00203820">
        <w:t xml:space="preserve"> relative</w:t>
      </w:r>
      <w:r w:rsidR="003E4EDC">
        <w:t xml:space="preserve"> to those in many other countries</w:t>
      </w:r>
      <w:r w:rsidR="001901E2">
        <w:t xml:space="preserve">, at times they can be negative. </w:t>
      </w:r>
      <w:r w:rsidR="0002245D">
        <w:t xml:space="preserve">The </w:t>
      </w:r>
      <w:r w:rsidR="00B03549">
        <w:t xml:space="preserve">appendix </w:t>
      </w:r>
      <w:r w:rsidR="0002245D">
        <w:t xml:space="preserve">explores the way inflation can </w:t>
      </w:r>
      <w:r w:rsidR="001457CB">
        <w:t>increase tax imposts</w:t>
      </w:r>
      <w:r w:rsidR="0002245D">
        <w:t xml:space="preserve"> on assets that </w:t>
      </w:r>
      <w:r w:rsidR="001457CB">
        <w:t>have high EMTRs in the first place and increase tax subsidies to assets with negative EMTRs</w:t>
      </w:r>
      <w:r w:rsidR="00481A19">
        <w:t xml:space="preserve">. </w:t>
      </w:r>
      <w:r w:rsidR="00654DD0">
        <w:t>It</w:t>
      </w:r>
      <w:r w:rsidR="004F630A">
        <w:t xml:space="preserve"> considers how non-resident withholding tax on interest and </w:t>
      </w:r>
      <w:r w:rsidR="00F50515">
        <w:t>approved issuer levy</w:t>
      </w:r>
      <w:r w:rsidR="004F630A">
        <w:t xml:space="preserve"> can affect costs of capital and EMTRs </w:t>
      </w:r>
      <w:r w:rsidR="00E442B5">
        <w:t xml:space="preserve">for foreign-controlled and other companies. </w:t>
      </w:r>
      <w:r w:rsidR="002967D4">
        <w:t xml:space="preserve">It </w:t>
      </w:r>
      <w:r w:rsidR="00FA58C2">
        <w:t>discuss</w:t>
      </w:r>
      <w:r w:rsidR="002967D4">
        <w:t>es how changes in assumptions about the marginal investor might affect the analysis.</w:t>
      </w:r>
    </w:p>
    <w:p w14:paraId="4B3F724D" w14:textId="5942C0C4" w:rsidR="00894434" w:rsidRPr="00C92668" w:rsidRDefault="00894434" w:rsidP="00694E93">
      <w:pPr>
        <w:pStyle w:val="NumberedParagraph-BulletL1"/>
        <w:rPr>
          <w:rStyle w:val="Strong"/>
          <w:b w:val="0"/>
          <w:bCs w:val="0"/>
        </w:rPr>
      </w:pPr>
      <w:r>
        <w:rPr>
          <w:rStyle w:val="Strong"/>
        </w:rPr>
        <w:t xml:space="preserve">Appendix 3 </w:t>
      </w:r>
      <w:r w:rsidR="00582990">
        <w:rPr>
          <w:rStyle w:val="Strong"/>
          <w:b w:val="0"/>
          <w:bCs w:val="0"/>
        </w:rPr>
        <w:t xml:space="preserve">provides some cash flow examples </w:t>
      </w:r>
      <w:r w:rsidR="00B96395">
        <w:rPr>
          <w:rStyle w:val="Strong"/>
          <w:b w:val="0"/>
          <w:bCs w:val="0"/>
        </w:rPr>
        <w:t xml:space="preserve">illustrating </w:t>
      </w:r>
      <w:r w:rsidR="006D3D7E">
        <w:rPr>
          <w:rStyle w:val="Strong"/>
          <w:b w:val="0"/>
          <w:bCs w:val="0"/>
        </w:rPr>
        <w:t>the impacts of taxes and inflation on costs of capital and EMTRs</w:t>
      </w:r>
      <w:r w:rsidR="009E79F0">
        <w:rPr>
          <w:rStyle w:val="Strong"/>
          <w:b w:val="0"/>
          <w:bCs w:val="0"/>
        </w:rPr>
        <w:t xml:space="preserve"> for equity-financed and debt-financed investments</w:t>
      </w:r>
      <w:r w:rsidR="003408FD">
        <w:rPr>
          <w:rStyle w:val="Strong"/>
          <w:b w:val="0"/>
          <w:bCs w:val="0"/>
        </w:rPr>
        <w:t>.</w:t>
      </w:r>
    </w:p>
    <w:p w14:paraId="4D76F86D" w14:textId="5B24E189" w:rsidR="006862BB" w:rsidRDefault="006862BB" w:rsidP="00694E93">
      <w:pPr>
        <w:pStyle w:val="NumberedParagraph-BulletL1"/>
      </w:pPr>
      <w:r w:rsidRPr="00B91D5F">
        <w:rPr>
          <w:rStyle w:val="Strong"/>
        </w:rPr>
        <w:t xml:space="preserve">Appendix </w:t>
      </w:r>
      <w:r w:rsidR="003408FD">
        <w:rPr>
          <w:rStyle w:val="Strong"/>
        </w:rPr>
        <w:t>4</w:t>
      </w:r>
      <w:r w:rsidR="005F08E6">
        <w:rPr>
          <w:i/>
          <w:iCs/>
        </w:rPr>
        <w:t xml:space="preserve"> </w:t>
      </w:r>
      <w:r w:rsidR="005F08E6">
        <w:t xml:space="preserve">discusses </w:t>
      </w:r>
      <w:r w:rsidR="007B5518">
        <w:t>risk and its likely impact on costs of capital and EMTRs.</w:t>
      </w:r>
    </w:p>
    <w:p w14:paraId="5D3F11CE" w14:textId="30ED3E28" w:rsidR="00590EAB" w:rsidRDefault="00590EAB" w:rsidP="00694E93">
      <w:pPr>
        <w:pStyle w:val="NumberedParagraph-BulletL1"/>
      </w:pPr>
      <w:r w:rsidRPr="00B91D5F">
        <w:rPr>
          <w:rStyle w:val="Strong"/>
        </w:rPr>
        <w:t xml:space="preserve">Appendix </w:t>
      </w:r>
      <w:r w:rsidR="003408FD">
        <w:rPr>
          <w:rStyle w:val="Strong"/>
        </w:rPr>
        <w:t>5</w:t>
      </w:r>
      <w:r>
        <w:t xml:space="preserve"> provides a simple cash flow example to show how</w:t>
      </w:r>
      <w:r w:rsidR="00536C72">
        <w:t xml:space="preserve"> some </w:t>
      </w:r>
      <w:r w:rsidR="004C5A8F">
        <w:t xml:space="preserve">debt-financed </w:t>
      </w:r>
      <w:r w:rsidR="00536C72">
        <w:t xml:space="preserve">investments can end up </w:t>
      </w:r>
      <w:r w:rsidR="00A378DF">
        <w:t>with negative EMTRs</w:t>
      </w:r>
      <w:r w:rsidR="0078048F">
        <w:t>. Rather than investment</w:t>
      </w:r>
      <w:r w:rsidR="00EF1970">
        <w:t>s</w:t>
      </w:r>
      <w:r w:rsidR="0078048F">
        <w:t xml:space="preserve"> being taxed</w:t>
      </w:r>
      <w:r w:rsidR="00F50515">
        <w:t>,</w:t>
      </w:r>
      <w:r w:rsidR="0078048F">
        <w:t xml:space="preserve"> </w:t>
      </w:r>
      <w:r w:rsidR="009F4623">
        <w:t>they</w:t>
      </w:r>
      <w:r w:rsidR="0078048F">
        <w:t xml:space="preserve"> can end up being subsidised</w:t>
      </w:r>
      <w:r w:rsidR="00722612">
        <w:t>,</w:t>
      </w:r>
      <w:r w:rsidR="001A6819">
        <w:t xml:space="preserve"> and higher rates of inflation will </w:t>
      </w:r>
      <w:r w:rsidR="00DC24EB">
        <w:t>tend to lead to higher subsidies for these subsidised assets.</w:t>
      </w:r>
    </w:p>
    <w:p w14:paraId="5ECACE6B" w14:textId="4F4825DA" w:rsidR="00235661" w:rsidRDefault="002F7E3B" w:rsidP="008F74D2">
      <w:pPr>
        <w:pStyle w:val="NumberedParagraph-BulletL1"/>
      </w:pPr>
      <w:r w:rsidRPr="00B91D5F">
        <w:rPr>
          <w:rStyle w:val="Strong"/>
        </w:rPr>
        <w:t>Appendix</w:t>
      </w:r>
      <w:r w:rsidR="00090D40" w:rsidRPr="00B91D5F">
        <w:rPr>
          <w:rStyle w:val="Strong"/>
        </w:rPr>
        <w:t xml:space="preserve"> </w:t>
      </w:r>
      <w:r w:rsidR="003408FD">
        <w:rPr>
          <w:rStyle w:val="Strong"/>
        </w:rPr>
        <w:t>6</w:t>
      </w:r>
      <w:r w:rsidR="00090D40" w:rsidRPr="00235661">
        <w:rPr>
          <w:i/>
          <w:iCs/>
        </w:rPr>
        <w:t xml:space="preserve"> </w:t>
      </w:r>
      <w:r w:rsidR="00090D40">
        <w:t xml:space="preserve">examines how </w:t>
      </w:r>
      <w:r w:rsidR="001B2AAA">
        <w:t>s</w:t>
      </w:r>
      <w:r w:rsidR="00396F8F">
        <w:t>om</w:t>
      </w:r>
      <w:r w:rsidR="00BE4127">
        <w:t>e</w:t>
      </w:r>
      <w:r w:rsidR="00090D40">
        <w:t xml:space="preserve"> tax changes, including changes to the company tax rate, depreciation </w:t>
      </w:r>
      <w:r w:rsidR="00B70107">
        <w:t>rates and R&amp;D tax credit</w:t>
      </w:r>
      <w:r w:rsidR="008F55DB">
        <w:t>,</w:t>
      </w:r>
      <w:r w:rsidR="00B70107">
        <w:t xml:space="preserve"> are likely to have affected costs of capital and EMTRs. There are other measures though</w:t>
      </w:r>
      <w:r w:rsidR="008F55DB">
        <w:t>,</w:t>
      </w:r>
      <w:r w:rsidR="00B70107">
        <w:t xml:space="preserve"> such as </w:t>
      </w:r>
      <w:r w:rsidR="001A3FCA">
        <w:t>thin capitalisation rules and transfer pricing measures</w:t>
      </w:r>
      <w:r w:rsidR="008F55DB">
        <w:t>,</w:t>
      </w:r>
      <w:r w:rsidR="001A3FCA">
        <w:t xml:space="preserve"> </w:t>
      </w:r>
      <w:r w:rsidR="005A0389">
        <w:t>that</w:t>
      </w:r>
      <w:r w:rsidR="001A3FCA">
        <w:t xml:space="preserve"> we have not been able to analyse.</w:t>
      </w:r>
    </w:p>
    <w:p w14:paraId="4639B0DB" w14:textId="77777777" w:rsidR="00235661" w:rsidRDefault="00235661" w:rsidP="008449AC">
      <w:pPr>
        <w:pStyle w:val="NumberedParagraph-BulletL1"/>
        <w:numPr>
          <w:ilvl w:val="0"/>
          <w:numId w:val="0"/>
        </w:numPr>
        <w:sectPr w:rsidR="00235661" w:rsidSect="00182DEF">
          <w:headerReference w:type="even" r:id="rId17"/>
          <w:headerReference w:type="default" r:id="rId18"/>
          <w:footerReference w:type="default" r:id="rId19"/>
          <w:headerReference w:type="first" r:id="rId20"/>
          <w:type w:val="continuous"/>
          <w:pgSz w:w="11906" w:h="16838" w:code="9"/>
          <w:pgMar w:top="1304" w:right="1559" w:bottom="1134" w:left="1559" w:header="720" w:footer="567" w:gutter="0"/>
          <w:cols w:space="720"/>
          <w:docGrid w:linePitch="326"/>
        </w:sectPr>
      </w:pPr>
    </w:p>
    <w:p w14:paraId="146C09D9" w14:textId="2BD488BF" w:rsidR="00252B76" w:rsidRDefault="00252B76" w:rsidP="00AC72F6">
      <w:pPr>
        <w:pStyle w:val="Heading1-Appendix"/>
        <w:numPr>
          <w:ilvl w:val="0"/>
          <w:numId w:val="59"/>
        </w:numPr>
        <w:ind w:left="0"/>
        <w:rPr>
          <w:rFonts w:eastAsia="Calibri"/>
        </w:rPr>
      </w:pPr>
      <w:r>
        <w:lastRenderedPageBreak/>
        <w:br/>
      </w:r>
      <w:r w:rsidRPr="00353059">
        <w:rPr>
          <w:rFonts w:eastAsia="Calibri"/>
        </w:rPr>
        <w:br/>
      </w:r>
      <w:bookmarkStart w:id="8" w:name="_Toc108451947"/>
      <w:r w:rsidRPr="00353059">
        <w:rPr>
          <w:rFonts w:eastAsia="Calibri"/>
        </w:rPr>
        <w:t>Cost of capital and EMTR estimates: two formal models</w:t>
      </w:r>
      <w:bookmarkEnd w:id="8"/>
    </w:p>
    <w:bookmarkEnd w:id="6"/>
    <w:p w14:paraId="691A86F9" w14:textId="106E124E" w:rsidR="007C1EA1" w:rsidRDefault="007C1EA1" w:rsidP="00695BCD">
      <w:pPr>
        <w:pStyle w:val="NumberedParagraph"/>
      </w:pPr>
      <w:r w:rsidRPr="007A05F5">
        <w:t>The OECD website provides estimates across OECD countries and s</w:t>
      </w:r>
      <w:r w:rsidR="002019D5">
        <w:t>ome</w:t>
      </w:r>
      <w:r w:rsidRPr="007A05F5">
        <w:t xml:space="preserve"> other countries for the cost of capital, the effective marginal tax rate (EMTR) and the effective average tax rate (EATR) for a set of assets.</w:t>
      </w:r>
      <w:r w:rsidR="00177F24">
        <w:rPr>
          <w:rStyle w:val="FootnoteReference"/>
        </w:rPr>
        <w:footnoteReference w:id="4"/>
      </w:r>
      <w:r w:rsidRPr="007A05F5">
        <w:t xml:space="preserve"> Our focus is on the cost of capital </w:t>
      </w:r>
      <w:r w:rsidR="006F06F6">
        <w:t>(</w:t>
      </w:r>
      <w:r w:rsidRPr="007A05F5">
        <w:t>or the threshold real rate of return at which investment becomes profitable</w:t>
      </w:r>
      <w:r w:rsidR="006F06F6">
        <w:t>)</w:t>
      </w:r>
      <w:r w:rsidRPr="007A05F5">
        <w:t xml:space="preserve"> and on the closely associated EMTR. Tax provisions will affect the cost of capital and incentives to invest. Changes in the cost of capital will lead to changes in New Zealand’s capital stock.</w:t>
      </w:r>
    </w:p>
    <w:p w14:paraId="39B8DAB2" w14:textId="4894F926" w:rsidR="007C1EA1" w:rsidRDefault="00BB7559" w:rsidP="00D90B48">
      <w:pPr>
        <w:pStyle w:val="NumberedParagraph"/>
      </w:pPr>
      <w:r>
        <w:t xml:space="preserve">This </w:t>
      </w:r>
      <w:r w:rsidR="007C1EA1" w:rsidRPr="007A05F5">
        <w:t>appendix presents two variants of a formal model of how tax rules affect costs of capital and EMTRs.</w:t>
      </w:r>
    </w:p>
    <w:p w14:paraId="03AAA926" w14:textId="5F197015" w:rsidR="007C1EA1" w:rsidRDefault="00BB7559" w:rsidP="00D90B48">
      <w:pPr>
        <w:pStyle w:val="NumberedParagraph"/>
      </w:pPr>
      <w:r>
        <w:t xml:space="preserve">The </w:t>
      </w:r>
      <w:bookmarkStart w:id="9" w:name="_Ref96351243"/>
      <w:r w:rsidR="007C1EA1" w:rsidRPr="007A05F5">
        <w:t xml:space="preserve">first of these is just a simple version of the OECD model. It allows us to analyse costs of capital when investment is being undertaken through companies in which non-residents are the marginal equity investors (the case </w:t>
      </w:r>
      <w:r w:rsidR="005D6E2C">
        <w:t>that</w:t>
      </w:r>
      <w:r w:rsidR="007C1EA1" w:rsidRPr="007A05F5">
        <w:t xml:space="preserve"> underlies the numerical estimates posted on the OECD website). It provides cost of capital results that are identical to the OECD’s analysis in this case. Our model is less general than the OECD’s. For example, the model cannot be as easily adapted to consider different possible marginal investors. At the same time, it is considerably simpler than the OECD model and allows varying levels of debt and their impact on costs of capital to be analysed directly.</w:t>
      </w:r>
      <w:r w:rsidR="007C1EA1" w:rsidRPr="00B77198">
        <w:rPr>
          <w:vertAlign w:val="superscript"/>
        </w:rPr>
        <w:footnoteReference w:id="5"/>
      </w:r>
      <w:r w:rsidR="007C1EA1" w:rsidRPr="007A05F5">
        <w:t xml:space="preserve"> </w:t>
      </w:r>
      <w:r w:rsidR="00A701FA">
        <w:t>We</w:t>
      </w:r>
      <w:r w:rsidR="00A81C08">
        <w:t xml:space="preserve"> focus primarily on t</w:t>
      </w:r>
      <w:r w:rsidR="007C1EA1" w:rsidRPr="007A05F5">
        <w:t>his variant and refer to it as the ‘OECD company tax model’.</w:t>
      </w:r>
      <w:r w:rsidR="00995894" w:rsidRPr="007A05F5">
        <w:t xml:space="preserve"> It is the model the OECD has used to benchmark different countries.</w:t>
      </w:r>
      <w:bookmarkEnd w:id="9"/>
    </w:p>
    <w:p w14:paraId="4527B90C" w14:textId="7D393278" w:rsidR="007C1EA1" w:rsidRDefault="00BB7559" w:rsidP="00D90B48">
      <w:pPr>
        <w:pStyle w:val="NumberedParagraph"/>
      </w:pPr>
      <w:r>
        <w:t xml:space="preserve">We </w:t>
      </w:r>
      <w:r w:rsidR="007C1EA1" w:rsidRPr="007A05F5">
        <w:t xml:space="preserve">also consider an alternative domestic small and medium enterprise (SME) </w:t>
      </w:r>
      <w:r w:rsidR="00655190" w:rsidRPr="007A05F5">
        <w:t>variant</w:t>
      </w:r>
      <w:r w:rsidR="007C1EA1" w:rsidRPr="007A05F5">
        <w:t xml:space="preserve">. In this </w:t>
      </w:r>
      <w:r w:rsidR="00655190" w:rsidRPr="007A05F5">
        <w:t>variant</w:t>
      </w:r>
      <w:r w:rsidR="007C1EA1" w:rsidRPr="007A05F5">
        <w:t xml:space="preserve">, foreigners are still the marginal suppliers of debt finance, but there is no foreign equity finance. All equity finance is supplied by resident individuals. There are two </w:t>
      </w:r>
      <w:r w:rsidR="00655190" w:rsidRPr="007A05F5">
        <w:t>sub-</w:t>
      </w:r>
      <w:r w:rsidR="007C1EA1" w:rsidRPr="007A05F5">
        <w:t xml:space="preserve">variants. In the first, the individuals invest </w:t>
      </w:r>
      <w:r w:rsidR="00DA3433">
        <w:t xml:space="preserve">either </w:t>
      </w:r>
      <w:r w:rsidR="007C1EA1" w:rsidRPr="007A05F5">
        <w:t>through unincorporated enterprises or through companies</w:t>
      </w:r>
      <w:r w:rsidR="007C1EA1" w:rsidRPr="007C1EA1">
        <w:t xml:space="preserve"> that pay the maximum possible level of imputed dividends each year</w:t>
      </w:r>
      <w:r w:rsidR="004C13FC">
        <w:t xml:space="preserve"> but no unimputed dividends</w:t>
      </w:r>
      <w:r w:rsidR="007C1EA1" w:rsidRPr="007C1EA1">
        <w:t xml:space="preserve">. </w:t>
      </w:r>
      <w:r w:rsidR="00BD2825">
        <w:t>I</w:t>
      </w:r>
      <w:r w:rsidR="007C1EA1" w:rsidRPr="007C1EA1">
        <w:t>n either case, t</w:t>
      </w:r>
      <w:r w:rsidR="00C42BC3">
        <w:t>axable</w:t>
      </w:r>
      <w:r w:rsidR="007C1EA1" w:rsidRPr="007C1EA1">
        <w:t xml:space="preserve"> income is assumed to be taxed at personal tax rates each year.</w:t>
      </w:r>
      <w:r w:rsidR="00A20B77">
        <w:t xml:space="preserve"> </w:t>
      </w:r>
      <w:r w:rsidR="007C1EA1" w:rsidRPr="007C1EA1">
        <w:t xml:space="preserve">This is only a </w:t>
      </w:r>
      <w:r w:rsidR="00C8408E">
        <w:t>‘</w:t>
      </w:r>
      <w:r w:rsidR="007C1EA1" w:rsidRPr="007C1EA1">
        <w:t>first cut</w:t>
      </w:r>
      <w:r w:rsidR="00C8408E">
        <w:t>’</w:t>
      </w:r>
      <w:r w:rsidR="007C1EA1" w:rsidRPr="007C1EA1">
        <w:t xml:space="preserve"> way of analysing investment incentives for SMEs organised as companies. Under New Zealand’s full imputation system, corporate profits are eventually taxed at shareholders’ tax rates when they are paid as dividends. However, there can be important deferral benefits when the company tax rate is less than the marginal tax rates of shareholders (as will often be the case) and if profits are retained in </w:t>
      </w:r>
      <w:r w:rsidR="007C1EA1" w:rsidRPr="007C1EA1">
        <w:lastRenderedPageBreak/>
        <w:t xml:space="preserve">companies and reinvested for considerable periods of time. The second </w:t>
      </w:r>
      <w:r w:rsidR="00655190">
        <w:t>sub-</w:t>
      </w:r>
      <w:r w:rsidR="007C1EA1" w:rsidRPr="007C1EA1">
        <w:t>variant assumes that profits are retained in companies forever</w:t>
      </w:r>
      <w:r w:rsidR="00EF3863">
        <w:t>,</w:t>
      </w:r>
      <w:r w:rsidR="007C1EA1" w:rsidRPr="007C1EA1">
        <w:t xml:space="preserve"> so the personal tax rate becomes irrelevant</w:t>
      </w:r>
      <w:r w:rsidR="00F8314E">
        <w:t>,</w:t>
      </w:r>
      <w:r w:rsidR="007C1EA1" w:rsidRPr="007C1EA1">
        <w:t xml:space="preserve"> and costs of capital depend solely on the company tax rate.</w:t>
      </w:r>
    </w:p>
    <w:p w14:paraId="06C6A0AA" w14:textId="6B7BCFEA" w:rsidR="003D21BE" w:rsidRPr="007C1EA1" w:rsidRDefault="003D21BE" w:rsidP="00000DC5">
      <w:pPr>
        <w:pStyle w:val="Heading2"/>
        <w:rPr>
          <w:rFonts w:eastAsia="Calibri"/>
          <w:lang w:eastAsia="en-US"/>
        </w:rPr>
      </w:pPr>
      <w:bookmarkStart w:id="10" w:name="_Toc108451948"/>
      <w:r w:rsidRPr="007C1EA1">
        <w:rPr>
          <w:rFonts w:eastAsia="Calibri"/>
          <w:lang w:eastAsia="en-US"/>
        </w:rPr>
        <w:t>OECD company tax model</w:t>
      </w:r>
      <w:bookmarkEnd w:id="10"/>
    </w:p>
    <w:p w14:paraId="42DE648D" w14:textId="00958C0D" w:rsidR="007C1EA1" w:rsidRPr="007C1EA1" w:rsidRDefault="00E03CE5" w:rsidP="00447F49">
      <w:pPr>
        <w:pStyle w:val="NumberedParagraph"/>
      </w:pPr>
      <w:r>
        <w:t xml:space="preserve">Assume </w:t>
      </w:r>
      <w:r w:rsidR="007C1EA1" w:rsidRPr="007C1EA1">
        <w:t xml:space="preserve">that foreign equity investors demand the real return, </w:t>
      </w:r>
      <w:r w:rsidR="003332D0" w:rsidRPr="007C1EA1">
        <w:rPr>
          <w:position w:val="-10"/>
        </w:rPr>
        <w:object w:dxaOrig="400" w:dyaOrig="320" w14:anchorId="3088C54F">
          <v:shape id="_x0000_i1025" type="#_x0000_t75" style="width:27.75pt;height:15pt" o:ole="">
            <v:imagedata r:id="rId21" o:title=""/>
          </v:shape>
          <o:OLEObject Type="Embed" ProgID="Equation.DSMT4" ShapeID="_x0000_i1025" DrawAspect="Content" ObjectID="_1723472624" r:id="rId22"/>
        </w:object>
      </w:r>
      <w:r w:rsidR="007C1EA1" w:rsidRPr="007C1EA1">
        <w:t xml:space="preserve">, on their equity finance and as much equity capital as wanted can be attracted at this fixed rate of return. Debt finance is attracted at a real interest rate, </w:t>
      </w:r>
      <w:r w:rsidR="00895366" w:rsidRPr="007C1EA1">
        <w:rPr>
          <w:i/>
          <w:iCs/>
          <w:position w:val="-10"/>
        </w:rPr>
        <w:object w:dxaOrig="420" w:dyaOrig="320" w14:anchorId="0A0627D7">
          <v:shape id="_x0000_i1026" type="#_x0000_t75" style="width:21.75pt;height:17.25pt" o:ole="">
            <v:imagedata r:id="rId23" o:title=""/>
          </v:shape>
          <o:OLEObject Type="Embed" ProgID="Equation.DSMT4" ShapeID="_x0000_i1026" DrawAspect="Content" ObjectID="_1723472625" r:id="rId24"/>
        </w:object>
      </w:r>
      <w:r w:rsidR="007C1EA1" w:rsidRPr="007C1EA1">
        <w:t xml:space="preserve">. A fixed proportion, </w:t>
      </w:r>
      <w:r w:rsidR="007C1EA1" w:rsidRPr="00A301E7">
        <w:rPr>
          <w:i/>
          <w:iCs/>
        </w:rPr>
        <w:t>b</w:t>
      </w:r>
      <w:r w:rsidR="007C1EA1" w:rsidRPr="007C1EA1">
        <w:t xml:space="preserve">, is borrowed and the remaining </w:t>
      </w:r>
      <w:r w:rsidR="007C1EA1" w:rsidRPr="007C1EA1">
        <w:rPr>
          <w:position w:val="-6"/>
        </w:rPr>
        <w:object w:dxaOrig="520" w:dyaOrig="260" w14:anchorId="2933292A">
          <v:shape id="_x0000_i1027" type="#_x0000_t75" style="width:27pt;height:12pt" o:ole="">
            <v:imagedata r:id="rId25" o:title=""/>
          </v:shape>
          <o:OLEObject Type="Embed" ProgID="Equation.DSMT4" ShapeID="_x0000_i1027" DrawAspect="Content" ObjectID="_1723472626" r:id="rId26"/>
        </w:object>
      </w:r>
      <w:r w:rsidR="007C1EA1" w:rsidRPr="007C1EA1">
        <w:t xml:space="preserve"> is financed by equity. The OECD study ignores any </w:t>
      </w:r>
      <w:r w:rsidR="00A91B7F">
        <w:t xml:space="preserve">levies or </w:t>
      </w:r>
      <w:r w:rsidR="008A5AEA">
        <w:t>non</w:t>
      </w:r>
      <w:r w:rsidR="00EE40A8">
        <w:t>-</w:t>
      </w:r>
      <w:r w:rsidR="008A5AEA">
        <w:t xml:space="preserve">resident </w:t>
      </w:r>
      <w:r w:rsidR="007C1EA1" w:rsidRPr="007C1EA1">
        <w:t>withholding tax on interest and</w:t>
      </w:r>
      <w:r w:rsidR="00877747">
        <w:t>,</w:t>
      </w:r>
      <w:r w:rsidR="007C1EA1" w:rsidRPr="007C1EA1">
        <w:t xml:space="preserve"> for the time being, we also ignore these </w:t>
      </w:r>
      <w:r w:rsidR="00A94D7A">
        <w:t xml:space="preserve">levies and </w:t>
      </w:r>
      <w:r w:rsidR="007C1EA1" w:rsidRPr="007C1EA1">
        <w:t>taxes.</w:t>
      </w:r>
      <w:r w:rsidR="002F23BC">
        <w:t xml:space="preserve"> </w:t>
      </w:r>
      <w:r w:rsidR="00BD43F5">
        <w:t>The asterisk denotes that these are world rates of return</w:t>
      </w:r>
      <w:r w:rsidR="0015542D">
        <w:t xml:space="preserve">. </w:t>
      </w:r>
      <w:r w:rsidR="005A6CC3">
        <w:t>L</w:t>
      </w:r>
      <w:r w:rsidR="00C93513">
        <w:t xml:space="preserve">evies or </w:t>
      </w:r>
      <w:r w:rsidR="00706E7D">
        <w:t xml:space="preserve">non-resident </w:t>
      </w:r>
      <w:r w:rsidR="00C93513">
        <w:t>withholding taxes on interest</w:t>
      </w:r>
      <w:r w:rsidR="005A6CC3">
        <w:t xml:space="preserve"> can increase </w:t>
      </w:r>
      <w:r w:rsidR="00273677">
        <w:t>domestic real interest rate</w:t>
      </w:r>
      <w:r w:rsidR="00D54505">
        <w:t>s</w:t>
      </w:r>
      <w:r w:rsidR="006B4896">
        <w:t xml:space="preserve"> above world real interest rate</w:t>
      </w:r>
      <w:r w:rsidR="00C02D93">
        <w:t>s</w:t>
      </w:r>
      <w:r w:rsidR="00C93513">
        <w:t>.</w:t>
      </w:r>
    </w:p>
    <w:p w14:paraId="52EAFB57" w14:textId="31B0ADC8" w:rsidR="00C939D5" w:rsidRDefault="007C1EA1" w:rsidP="008E5C41">
      <w:pPr>
        <w:pStyle w:val="NumberedParagraph"/>
      </w:pPr>
      <w:r w:rsidRPr="007C1EA1">
        <w:t xml:space="preserve">Let </w:t>
      </w:r>
      <w:r w:rsidR="00C927BD" w:rsidRPr="007C1EA1">
        <w:rPr>
          <w:position w:val="-10"/>
        </w:rPr>
        <w:object w:dxaOrig="420" w:dyaOrig="320" w14:anchorId="2ABF03BB">
          <v:shape id="_x0000_i1028" type="#_x0000_t75" style="width:25.5pt;height:15pt" o:ole="">
            <v:imagedata r:id="rId27" o:title=""/>
          </v:shape>
          <o:OLEObject Type="Embed" ProgID="Equation.DSMT4" ShapeID="_x0000_i1028" DrawAspect="Content" ObjectID="_1723472627" r:id="rId28"/>
        </w:object>
      </w:r>
      <w:r w:rsidRPr="007C1EA1">
        <w:t xml:space="preserve"> be the pre-tax real weighted average cost of funds to </w:t>
      </w:r>
      <w:r w:rsidR="002B6F0E">
        <w:t>New Zealand</w:t>
      </w:r>
      <w:r w:rsidRPr="007C1EA1">
        <w:t xml:space="preserve"> so</w:t>
      </w:r>
    </w:p>
    <w:p w14:paraId="50B1EC9C" w14:textId="108C02EE" w:rsidR="007C1EA1" w:rsidRPr="007C1EA1" w:rsidRDefault="00062D8E" w:rsidP="002D0FD3">
      <w:pPr>
        <w:spacing w:before="0" w:after="200"/>
        <w:jc w:val="center"/>
        <w:rPr>
          <w:rFonts w:eastAsia="Calibri"/>
          <w:szCs w:val="20"/>
          <w:lang w:eastAsia="en-US"/>
        </w:rPr>
      </w:pPr>
      <w:r w:rsidRPr="007C1EA1">
        <w:rPr>
          <w:rFonts w:eastAsia="Calibri"/>
          <w:position w:val="-10"/>
          <w:szCs w:val="20"/>
          <w:lang w:eastAsia="en-US"/>
        </w:rPr>
        <w:object w:dxaOrig="2180" w:dyaOrig="320" w14:anchorId="7CFEDDBE">
          <v:shape id="_x0000_i1029" type="#_x0000_t75" style="width:109.5pt;height:15pt" o:ole="">
            <v:imagedata r:id="rId29" o:title=""/>
          </v:shape>
          <o:OLEObject Type="Embed" ProgID="Equation.DSMT4" ShapeID="_x0000_i1029" DrawAspect="Content" ObjectID="_1723472628" r:id="rId30"/>
        </w:object>
      </w:r>
      <w:r w:rsidR="007C1EA1" w:rsidRPr="007C1EA1">
        <w:rPr>
          <w:rFonts w:eastAsia="Calibri"/>
          <w:szCs w:val="20"/>
          <w:lang w:eastAsia="en-US"/>
        </w:rPr>
        <w:t xml:space="preserve"> </w:t>
      </w:r>
      <w:r w:rsidR="007C1EA1" w:rsidRPr="007C1EA1">
        <w:rPr>
          <w:rFonts w:eastAsia="Calibri"/>
          <w:szCs w:val="20"/>
          <w:lang w:eastAsia="en-US"/>
        </w:rPr>
        <w:tab/>
        <w:t>(1)</w:t>
      </w:r>
    </w:p>
    <w:p w14:paraId="51193DEB" w14:textId="38EAC266" w:rsidR="00254C82" w:rsidRDefault="00B2436D" w:rsidP="00AB7CDD">
      <w:pPr>
        <w:pStyle w:val="NumberedParagraph"/>
      </w:pPr>
      <w:r>
        <w:t>In the absence of any levies or withholding taxe</w:t>
      </w:r>
      <w:r w:rsidR="00D84307">
        <w:t xml:space="preserve">s on </w:t>
      </w:r>
      <w:r w:rsidR="007847CD">
        <w:t xml:space="preserve">interest or on </w:t>
      </w:r>
      <w:r w:rsidR="00D84307">
        <w:t>dividend</w:t>
      </w:r>
      <w:r w:rsidR="00706E7D">
        <w:t xml:space="preserve">s paid abroad, </w:t>
      </w:r>
      <w:r w:rsidR="002C59CD">
        <w:t>the real</w:t>
      </w:r>
      <w:r w:rsidR="00E40E15">
        <w:t xml:space="preserve"> cost of debt to companies operating in New Zealand will be </w:t>
      </w:r>
      <w:r w:rsidR="001638B0" w:rsidRPr="001638B0">
        <w:rPr>
          <w:position w:val="-10"/>
        </w:rPr>
        <w:object w:dxaOrig="840" w:dyaOrig="320" w14:anchorId="33347119">
          <v:shape id="_x0000_i1030" type="#_x0000_t75" style="width:42pt;height:15.75pt" o:ole="">
            <v:imagedata r:id="rId31" o:title=""/>
          </v:shape>
          <o:OLEObject Type="Embed" ProgID="Equation.DSMT4" ShapeID="_x0000_i1030" DrawAspect="Content" ObjectID="_1723472629" r:id="rId32"/>
        </w:object>
      </w:r>
      <w:r w:rsidR="001638B0">
        <w:t xml:space="preserve">, the real cost </w:t>
      </w:r>
      <w:r w:rsidR="00E84A95">
        <w:t>of equity will b</w:t>
      </w:r>
      <w:r w:rsidR="00DB47FB">
        <w:t xml:space="preserve">e </w:t>
      </w:r>
      <w:r w:rsidR="00DB47FB" w:rsidRPr="008737F6">
        <w:rPr>
          <w:position w:val="-10"/>
        </w:rPr>
        <w:object w:dxaOrig="820" w:dyaOrig="320" w14:anchorId="1B652D83">
          <v:shape id="_x0000_i1031" type="#_x0000_t75" style="width:40.5pt;height:15.75pt" o:ole="">
            <v:imagedata r:id="rId33" o:title=""/>
          </v:shape>
          <o:OLEObject Type="Embed" ProgID="Equation.DSMT4" ShapeID="_x0000_i1031" DrawAspect="Content" ObjectID="_1723472630" r:id="rId34"/>
        </w:object>
      </w:r>
      <w:r w:rsidR="00DB47FB">
        <w:t xml:space="preserve"> and the real weighted average cost of funds will be </w:t>
      </w:r>
      <w:r w:rsidR="000B7BA7" w:rsidRPr="008737F6">
        <w:rPr>
          <w:position w:val="-10"/>
        </w:rPr>
        <w:object w:dxaOrig="859" w:dyaOrig="320" w14:anchorId="55278009">
          <v:shape id="_x0000_i1032" type="#_x0000_t75" style="width:42.75pt;height:15.75pt" o:ole="">
            <v:imagedata r:id="rId35" o:title=""/>
          </v:shape>
          <o:OLEObject Type="Embed" ProgID="Equation.DSMT4" ShapeID="_x0000_i1032" DrawAspect="Content" ObjectID="_1723472631" r:id="rId36"/>
        </w:object>
      </w:r>
      <w:r w:rsidR="000B7BA7">
        <w:t>.</w:t>
      </w:r>
    </w:p>
    <w:p w14:paraId="1D7512E2" w14:textId="6E5F1799" w:rsidR="00AB7CDD" w:rsidRPr="007C1EA1" w:rsidRDefault="00AB7CDD" w:rsidP="00AB7CDD">
      <w:pPr>
        <w:pStyle w:val="NumberedParagraph"/>
      </w:pPr>
      <w:r w:rsidRPr="007C1EA1">
        <w:t xml:space="preserve">The real after-tax discount rate will be the weighted average of the real after-tax costs of debt and equity finance. This will be given by </w:t>
      </w:r>
      <w:r w:rsidRPr="007C1EA1">
        <w:rPr>
          <w:position w:val="-10"/>
        </w:rPr>
        <w:object w:dxaOrig="1939" w:dyaOrig="320" w14:anchorId="74246B2C">
          <v:shape id="_x0000_i1033" type="#_x0000_t75" style="width:97.5pt;height:17.25pt" o:ole="">
            <v:imagedata r:id="rId37" o:title=""/>
          </v:shape>
          <o:OLEObject Type="Embed" ProgID="Equation.DSMT4" ShapeID="_x0000_i1033" DrawAspect="Content" ObjectID="_1723472632" r:id="rId38"/>
        </w:object>
      </w:r>
      <w:r w:rsidRPr="007C1EA1">
        <w:t xml:space="preserve"> where </w:t>
      </w:r>
      <w:r w:rsidRPr="007C1EA1">
        <w:rPr>
          <w:position w:val="-10"/>
        </w:rPr>
        <w:object w:dxaOrig="320" w:dyaOrig="320" w14:anchorId="343063B5">
          <v:shape id="_x0000_i1034" type="#_x0000_t75" style="width:17.25pt;height:17.25pt" o:ole="">
            <v:imagedata r:id="rId39" o:title=""/>
          </v:shape>
          <o:OLEObject Type="Embed" ProgID="Equation.DSMT4" ShapeID="_x0000_i1034" DrawAspect="Content" ObjectID="_1723472633" r:id="rId40"/>
        </w:object>
      </w:r>
      <w:r w:rsidRPr="007C1EA1">
        <w:t xml:space="preserve"> is the real after-tax cost of borrowing. As is discussed below, this will mean</w:t>
      </w:r>
    </w:p>
    <w:p w14:paraId="2F6232E2" w14:textId="3DF00ED2" w:rsidR="00AB7CDD" w:rsidRPr="007C1EA1" w:rsidRDefault="00AB7CDD" w:rsidP="002D0FD3">
      <w:pPr>
        <w:spacing w:before="0" w:after="200"/>
        <w:jc w:val="center"/>
        <w:rPr>
          <w:rFonts w:eastAsia="Calibri"/>
          <w:szCs w:val="20"/>
          <w:lang w:eastAsia="en-US"/>
        </w:rPr>
      </w:pPr>
      <w:r w:rsidRPr="007C1EA1">
        <w:rPr>
          <w:rFonts w:eastAsia="Calibri"/>
          <w:position w:val="-26"/>
          <w:szCs w:val="20"/>
          <w:lang w:eastAsia="en-US"/>
        </w:rPr>
        <w:object w:dxaOrig="3379" w:dyaOrig="620" w14:anchorId="3F6DDFCF">
          <v:shape id="_x0000_i1035" type="#_x0000_t75" style="width:168.75pt;height:29.25pt" o:ole="">
            <v:imagedata r:id="rId41" o:title=""/>
          </v:shape>
          <o:OLEObject Type="Embed" ProgID="Equation.DSMT4" ShapeID="_x0000_i1035" DrawAspect="Content" ObjectID="_1723472634" r:id="rId42"/>
        </w:object>
      </w:r>
      <w:r w:rsidRPr="007C1EA1">
        <w:rPr>
          <w:rFonts w:eastAsia="Calibri"/>
          <w:szCs w:val="20"/>
          <w:lang w:eastAsia="en-US"/>
        </w:rPr>
        <w:t xml:space="preserve"> </w:t>
      </w:r>
      <w:r w:rsidRPr="007C1EA1">
        <w:rPr>
          <w:rFonts w:eastAsia="Calibri"/>
          <w:szCs w:val="20"/>
          <w:lang w:eastAsia="en-US"/>
        </w:rPr>
        <w:tab/>
        <w:t>(</w:t>
      </w:r>
      <w:r>
        <w:rPr>
          <w:rFonts w:eastAsia="Calibri"/>
          <w:szCs w:val="20"/>
          <w:lang w:eastAsia="en-US"/>
        </w:rPr>
        <w:t>2</w:t>
      </w:r>
      <w:r w:rsidRPr="007C1EA1">
        <w:rPr>
          <w:rFonts w:eastAsia="Calibri"/>
          <w:szCs w:val="20"/>
          <w:lang w:eastAsia="en-US"/>
        </w:rPr>
        <w:t>)</w:t>
      </w:r>
    </w:p>
    <w:p w14:paraId="26B79A88" w14:textId="677FC566" w:rsidR="00E82C4D" w:rsidRDefault="008450E6" w:rsidP="00184CE1">
      <w:pPr>
        <w:pStyle w:val="NumberedParagraph"/>
        <w:numPr>
          <w:ilvl w:val="0"/>
          <w:numId w:val="0"/>
        </w:numPr>
        <w:ind w:left="851"/>
      </w:pPr>
      <w:r>
        <w:t xml:space="preserve">where </w:t>
      </w:r>
      <w:r w:rsidRPr="00F44130">
        <w:rPr>
          <w:position w:val="-6"/>
        </w:rPr>
        <w:object w:dxaOrig="180" w:dyaOrig="200" w14:anchorId="422FED43">
          <v:shape id="_x0000_i1036" type="#_x0000_t75" style="width:8.25pt;height:10.5pt" o:ole="">
            <v:imagedata r:id="rId43" o:title=""/>
          </v:shape>
          <o:OLEObject Type="Embed" ProgID="Equation.DSMT4" ShapeID="_x0000_i1036" DrawAspect="Content" ObjectID="_1723472635" r:id="rId44"/>
        </w:object>
      </w:r>
      <w:r>
        <w:t xml:space="preserve"> is the company tax rate and</w:t>
      </w:r>
      <w:r w:rsidR="00090930">
        <w:t xml:space="preserve"> </w:t>
      </w:r>
      <w:r w:rsidR="00090930" w:rsidRPr="00F44130">
        <w:rPr>
          <w:position w:val="-6"/>
        </w:rPr>
        <w:object w:dxaOrig="200" w:dyaOrig="200" w14:anchorId="3473E114">
          <v:shape id="_x0000_i1037" type="#_x0000_t75" style="width:10.5pt;height:10.5pt" o:ole="">
            <v:imagedata r:id="rId45" o:title=""/>
          </v:shape>
          <o:OLEObject Type="Embed" ProgID="Equation.DSMT4" ShapeID="_x0000_i1037" DrawAspect="Content" ObjectID="_1723472636" r:id="rId46"/>
        </w:object>
      </w:r>
      <w:r w:rsidR="00090930">
        <w:t xml:space="preserve"> is the inflation </w:t>
      </w:r>
      <w:proofErr w:type="gramStart"/>
      <w:r w:rsidR="00090930">
        <w:t>rate.</w:t>
      </w:r>
      <w:proofErr w:type="gramEnd"/>
    </w:p>
    <w:p w14:paraId="6546C637" w14:textId="29641D71" w:rsidR="00AB7CDD" w:rsidRPr="00854759" w:rsidRDefault="00AB7CDD" w:rsidP="00AB7CDD">
      <w:pPr>
        <w:pStyle w:val="NumberedParagraph"/>
      </w:pPr>
      <w:r w:rsidRPr="007C1EA1">
        <w:t xml:space="preserve">The fraction of each dollar </w:t>
      </w:r>
      <w:r w:rsidR="002B1EE2">
        <w:t xml:space="preserve">of investment </w:t>
      </w:r>
      <w:r w:rsidRPr="007C1EA1">
        <w:t>that is equity</w:t>
      </w:r>
      <w:r w:rsidR="00935A43">
        <w:t>-</w:t>
      </w:r>
      <w:r w:rsidRPr="007C1EA1">
        <w:t xml:space="preserve">financed costs </w:t>
      </w:r>
      <w:r w:rsidRPr="007C1EA1">
        <w:rPr>
          <w:position w:val="-10"/>
        </w:rPr>
        <w:object w:dxaOrig="220" w:dyaOrig="320" w14:anchorId="752FE5DB">
          <v:shape id="_x0000_i1038" type="#_x0000_t75" style="width:15pt;height:15pt" o:ole="">
            <v:imagedata r:id="rId47" o:title=""/>
          </v:shape>
          <o:OLEObject Type="Embed" ProgID="Equation.DSMT4" ShapeID="_x0000_i1038" DrawAspect="Content" ObjectID="_1723472637" r:id="rId48"/>
        </w:object>
      </w:r>
      <w:r w:rsidRPr="007C1EA1">
        <w:t xml:space="preserve">. As much debt finance as demanded can be attracted at the world real interest rate, </w:t>
      </w:r>
      <w:r w:rsidRPr="007C1EA1">
        <w:rPr>
          <w:i/>
          <w:iCs/>
          <w:position w:val="-10"/>
        </w:rPr>
        <w:object w:dxaOrig="220" w:dyaOrig="320" w14:anchorId="499204B5">
          <v:shape id="_x0000_i1039" type="#_x0000_t75" style="width:10.5pt;height:17.25pt" o:ole="">
            <v:imagedata r:id="rId49" o:title=""/>
          </v:shape>
          <o:OLEObject Type="Embed" ProgID="Equation.DSMT4" ShapeID="_x0000_i1039" DrawAspect="Content" ObjectID="_1723472638" r:id="rId50"/>
        </w:object>
      </w:r>
      <w:r w:rsidRPr="007C1EA1">
        <w:rPr>
          <w:i/>
          <w:iCs/>
        </w:rPr>
        <w:t xml:space="preserve">. </w:t>
      </w:r>
      <w:r w:rsidR="00471A58">
        <w:t>D</w:t>
      </w:r>
      <w:r w:rsidRPr="007C1EA1">
        <w:t xml:space="preserve">ebt finance is deductible. It would cost </w:t>
      </w:r>
      <w:r w:rsidRPr="007C1EA1">
        <w:rPr>
          <w:position w:val="-10"/>
        </w:rPr>
        <w:object w:dxaOrig="820" w:dyaOrig="320" w14:anchorId="01CB813A">
          <v:shape id="_x0000_i1040" type="#_x0000_t75" style="width:40.5pt;height:17.25pt" o:ole="">
            <v:imagedata r:id="rId51" o:title=""/>
          </v:shape>
          <o:OLEObject Type="Embed" ProgID="Equation.DSMT4" ShapeID="_x0000_i1040" DrawAspect="Content" ObjectID="_1723472639" r:id="rId52"/>
        </w:object>
      </w:r>
      <w:r w:rsidRPr="007C1EA1">
        <w:t xml:space="preserve"> in the absence of inflation. But deductions are allowed for nominal, rather than real, interest, and the final term </w:t>
      </w:r>
      <w:r w:rsidRPr="007C1EA1">
        <w:rPr>
          <w:position w:val="-10"/>
        </w:rPr>
        <w:object w:dxaOrig="1080" w:dyaOrig="300" w14:anchorId="77295001">
          <v:shape id="_x0000_i1041" type="#_x0000_t75" style="width:57.75pt;height:15pt" o:ole="">
            <v:imagedata r:id="rId53" o:title=""/>
          </v:shape>
          <o:OLEObject Type="Embed" ProgID="Equation.DSMT4" ShapeID="_x0000_i1041" DrawAspect="Content" ObjectID="_1723472640" r:id="rId54"/>
        </w:object>
      </w:r>
      <w:r w:rsidRPr="007C1EA1">
        <w:t xml:space="preserve"> reflects the deduction for the inflationary component of interest.</w:t>
      </w:r>
    </w:p>
    <w:p w14:paraId="672F1C12" w14:textId="77777777" w:rsidR="00AB7CDD" w:rsidRPr="007C1EA1" w:rsidRDefault="00AB7CDD" w:rsidP="00AB7CDD">
      <w:pPr>
        <w:pStyle w:val="NumberedParagraph"/>
      </w:pPr>
      <w:r w:rsidRPr="007C1EA1">
        <w:t>To see this, note that the nominal after-tax interest rate on borrowed funds is</w:t>
      </w:r>
    </w:p>
    <w:p w14:paraId="1554D48E" w14:textId="77777777" w:rsidR="00AB7CDD" w:rsidRPr="007C1EA1" w:rsidRDefault="00AB7CDD" w:rsidP="006D6697">
      <w:pPr>
        <w:spacing w:before="0" w:after="200"/>
        <w:jc w:val="center"/>
        <w:rPr>
          <w:rFonts w:eastAsia="Calibri"/>
          <w:szCs w:val="20"/>
          <w:lang w:eastAsia="en-US"/>
        </w:rPr>
      </w:pPr>
      <w:r w:rsidRPr="007C1EA1">
        <w:rPr>
          <w:rFonts w:eastAsia="Calibri"/>
          <w:position w:val="-12"/>
          <w:szCs w:val="20"/>
          <w:lang w:eastAsia="en-US"/>
        </w:rPr>
        <w:object w:dxaOrig="3420" w:dyaOrig="340" w14:anchorId="06EF3094">
          <v:shape id="_x0000_i1042" type="#_x0000_t75" style="width:169.5pt;height:17.25pt" o:ole="">
            <v:imagedata r:id="rId55" o:title=""/>
          </v:shape>
          <o:OLEObject Type="Embed" ProgID="Equation.DSMT4" ShapeID="_x0000_i1042" DrawAspect="Content" ObjectID="_1723472641" r:id="rId56"/>
        </w:object>
      </w:r>
    </w:p>
    <w:p w14:paraId="4948B820" w14:textId="1DC202FB" w:rsidR="00CD6829" w:rsidRDefault="00CD6829" w:rsidP="006E7FAE">
      <w:pPr>
        <w:pStyle w:val="NumberedParagraph"/>
        <w:numPr>
          <w:ilvl w:val="0"/>
          <w:numId w:val="0"/>
        </w:numPr>
        <w:ind w:left="851"/>
      </w:pPr>
      <w:r>
        <w:t xml:space="preserve">where </w:t>
      </w:r>
      <w:r w:rsidR="00520CDC" w:rsidRPr="00F44130">
        <w:rPr>
          <w:position w:val="-10"/>
        </w:rPr>
        <w:object w:dxaOrig="220" w:dyaOrig="320" w14:anchorId="59FB8B22">
          <v:shape id="_x0000_i1043" type="#_x0000_t75" style="width:10.5pt;height:15.75pt" o:ole="">
            <v:imagedata r:id="rId57" o:title=""/>
          </v:shape>
          <o:OLEObject Type="Embed" ProgID="Equation.DSMT4" ShapeID="_x0000_i1043" DrawAspect="Content" ObjectID="_1723472642" r:id="rId58"/>
        </w:object>
      </w:r>
      <w:r w:rsidR="00520CDC">
        <w:t xml:space="preserve"> is the nominal interest </w:t>
      </w:r>
      <w:proofErr w:type="gramStart"/>
      <w:r w:rsidR="00520CDC">
        <w:t>rate.</w:t>
      </w:r>
      <w:proofErr w:type="gramEnd"/>
    </w:p>
    <w:p w14:paraId="726B0248" w14:textId="3EF1474A" w:rsidR="00AB7CDD" w:rsidRPr="007C1EA1" w:rsidRDefault="00AB7CDD" w:rsidP="00AB7CDD">
      <w:pPr>
        <w:pStyle w:val="NumberedParagraph"/>
      </w:pPr>
      <w:r w:rsidRPr="007C1EA1">
        <w:t>This means that the real after-tax interest rate on borrowed funds is</w:t>
      </w:r>
    </w:p>
    <w:p w14:paraId="0E4374ED" w14:textId="77777777" w:rsidR="00AB7CDD" w:rsidRPr="007C1EA1" w:rsidRDefault="00AB7CDD" w:rsidP="006D6697">
      <w:pPr>
        <w:spacing w:before="0" w:after="200"/>
        <w:jc w:val="center"/>
        <w:rPr>
          <w:rFonts w:eastAsia="Calibri"/>
          <w:szCs w:val="20"/>
          <w:lang w:eastAsia="en-US"/>
        </w:rPr>
      </w:pPr>
      <w:r w:rsidRPr="007C1EA1">
        <w:rPr>
          <w:rFonts w:eastAsia="Calibri"/>
          <w:position w:val="-22"/>
          <w:szCs w:val="20"/>
          <w:lang w:eastAsia="en-US"/>
        </w:rPr>
        <w:object w:dxaOrig="5380" w:dyaOrig="600" w14:anchorId="21274BB3">
          <v:shape id="_x0000_i1044" type="#_x0000_t75" style="width:265.5pt;height:29.25pt" o:ole="">
            <v:imagedata r:id="rId59" o:title=""/>
          </v:shape>
          <o:OLEObject Type="Embed" ProgID="Equation.DSMT4" ShapeID="_x0000_i1044" DrawAspect="Content" ObjectID="_1723472643" r:id="rId60"/>
        </w:object>
      </w:r>
    </w:p>
    <w:p w14:paraId="4CE969CF" w14:textId="77777777" w:rsidR="00AB7CDD" w:rsidRPr="007C1EA1" w:rsidRDefault="00AB7CDD" w:rsidP="00AB7CDD">
      <w:pPr>
        <w:pStyle w:val="NumberedParagraph"/>
      </w:pPr>
      <w:r w:rsidRPr="007C1EA1">
        <w:t>We can write that the nominal after-tax weighted average cost of funds is</w:t>
      </w:r>
    </w:p>
    <w:p w14:paraId="318D0F81" w14:textId="27D4D732" w:rsidR="00AB7CDD" w:rsidRPr="007C1EA1" w:rsidRDefault="00AB7CDD" w:rsidP="006D6697">
      <w:pPr>
        <w:spacing w:before="0" w:after="200"/>
        <w:jc w:val="center"/>
        <w:rPr>
          <w:rFonts w:eastAsia="Calibri"/>
          <w:szCs w:val="20"/>
          <w:lang w:eastAsia="en-US"/>
        </w:rPr>
      </w:pPr>
      <w:r w:rsidRPr="007C1EA1">
        <w:rPr>
          <w:rFonts w:eastAsia="Calibri"/>
          <w:position w:val="-10"/>
          <w:szCs w:val="20"/>
          <w:lang w:eastAsia="en-US"/>
        </w:rPr>
        <w:object w:dxaOrig="2380" w:dyaOrig="320" w14:anchorId="7B8FD2C3">
          <v:shape id="_x0000_i1045" type="#_x0000_t75" style="width:119.25pt;height:15pt" o:ole="">
            <v:imagedata r:id="rId61" o:title=""/>
          </v:shape>
          <o:OLEObject Type="Embed" ProgID="Equation.DSMT4" ShapeID="_x0000_i1045" DrawAspect="Content" ObjectID="_1723472644" r:id="rId62"/>
        </w:object>
      </w:r>
      <w:r w:rsidRPr="007C1EA1">
        <w:rPr>
          <w:rFonts w:eastAsia="Calibri"/>
          <w:szCs w:val="20"/>
          <w:lang w:eastAsia="en-US"/>
        </w:rPr>
        <w:t xml:space="preserve"> </w:t>
      </w:r>
      <w:r w:rsidRPr="007C1EA1">
        <w:rPr>
          <w:rFonts w:eastAsia="Calibri"/>
          <w:szCs w:val="20"/>
          <w:lang w:eastAsia="en-US"/>
        </w:rPr>
        <w:tab/>
        <w:t>(</w:t>
      </w:r>
      <w:r w:rsidR="00A613F0">
        <w:rPr>
          <w:rFonts w:eastAsia="Calibri"/>
          <w:szCs w:val="20"/>
          <w:lang w:eastAsia="en-US"/>
        </w:rPr>
        <w:t>3</w:t>
      </w:r>
      <w:r w:rsidRPr="007C1EA1">
        <w:rPr>
          <w:rFonts w:eastAsia="Calibri"/>
          <w:szCs w:val="20"/>
          <w:lang w:eastAsia="en-US"/>
        </w:rPr>
        <w:t>)</w:t>
      </w:r>
    </w:p>
    <w:p w14:paraId="0B989185" w14:textId="390BC62D" w:rsidR="00AB7CDD" w:rsidRPr="007C1EA1" w:rsidRDefault="00AB7CDD" w:rsidP="006D6697">
      <w:pPr>
        <w:spacing w:before="0" w:after="200"/>
        <w:ind w:left="851"/>
      </w:pPr>
      <w:r w:rsidRPr="007C1EA1">
        <w:t>where</w:t>
      </w:r>
      <w:r w:rsidR="00027D65">
        <w:t xml:space="preserve"> </w:t>
      </w:r>
      <w:r w:rsidR="000876AB" w:rsidRPr="000876AB">
        <w:rPr>
          <w:position w:val="-10"/>
        </w:rPr>
        <w:object w:dxaOrig="1600" w:dyaOrig="320" w14:anchorId="06BB36DC">
          <v:shape id="_x0000_i1046" type="#_x0000_t75" style="width:78.75pt;height:15.75pt" o:ole="">
            <v:imagedata r:id="rId63" o:title=""/>
          </v:shape>
          <o:OLEObject Type="Embed" ProgID="Equation.DSMT4" ShapeID="_x0000_i1046" DrawAspect="Content" ObjectID="_1723472645" r:id="rId64"/>
        </w:object>
      </w:r>
      <w:r w:rsidR="000876AB">
        <w:t>.</w:t>
      </w:r>
    </w:p>
    <w:p w14:paraId="54CEFD2E" w14:textId="77777777" w:rsidR="007C1EA1" w:rsidRPr="007C1EA1" w:rsidRDefault="007C1EA1" w:rsidP="008E5C41">
      <w:pPr>
        <w:pStyle w:val="NumberedParagraph"/>
      </w:pPr>
      <w:r w:rsidRPr="007C1EA1">
        <w:t>For a marginal investment, the present value of the after-tax benefits should be equal to the present value of the costs. The OECD modelling is examining how changes in tax parameters will affect hurdle rates of returns or costs of capital and EMTRs for these marginal investments.</w:t>
      </w:r>
    </w:p>
    <w:p w14:paraId="23D3A5C1" w14:textId="0795F07A" w:rsidR="007C1EA1" w:rsidRPr="007C1EA1" w:rsidRDefault="007C1EA1" w:rsidP="008E5C41">
      <w:pPr>
        <w:pStyle w:val="NumberedParagraph"/>
      </w:pPr>
      <w:r w:rsidRPr="007C1EA1">
        <w:t xml:space="preserve">Assume that a dollar invested in a project at the end of year 0 generates </w:t>
      </w:r>
      <w:r w:rsidRPr="007C1EA1">
        <w:rPr>
          <w:i/>
          <w:iCs/>
        </w:rPr>
        <w:t>c</w:t>
      </w:r>
      <w:r w:rsidRPr="007C1EA1">
        <w:t xml:space="preserve"> in real revenue (net of any non-financing costs) at the end of year 1, </w:t>
      </w:r>
      <w:r w:rsidRPr="007C1EA1">
        <w:rPr>
          <w:position w:val="-10"/>
        </w:rPr>
        <w:object w:dxaOrig="780" w:dyaOrig="300" w14:anchorId="521054DA">
          <v:shape id="_x0000_i1047" type="#_x0000_t75" style="width:39.75pt;height:15.75pt" o:ole="">
            <v:imagedata r:id="rId65" o:title=""/>
          </v:shape>
          <o:OLEObject Type="Embed" ProgID="Equation.DSMT4" ShapeID="_x0000_i1047" DrawAspect="Content" ObjectID="_1723472646" r:id="rId66"/>
        </w:object>
      </w:r>
      <w:r w:rsidR="00C939D5">
        <w:t xml:space="preserve"> </w:t>
      </w:r>
      <w:r w:rsidRPr="007C1EA1">
        <w:t xml:space="preserve">at the end of year 2, </w:t>
      </w:r>
      <w:r w:rsidRPr="007C1EA1">
        <w:rPr>
          <w:position w:val="-10"/>
        </w:rPr>
        <w:object w:dxaOrig="859" w:dyaOrig="340" w14:anchorId="579419BE">
          <v:shape id="_x0000_i1048" type="#_x0000_t75" style="width:44.25pt;height:17.25pt" o:ole="">
            <v:imagedata r:id="rId67" o:title=""/>
          </v:shape>
          <o:OLEObject Type="Embed" ProgID="Equation.DSMT4" ShapeID="_x0000_i1048" DrawAspect="Content" ObjectID="_1723472647" r:id="rId68"/>
        </w:object>
      </w:r>
      <w:r w:rsidRPr="007C1EA1">
        <w:t xml:space="preserve"> at the end of year 3 and so forth. The present value of the future net revenues will be</w:t>
      </w:r>
    </w:p>
    <w:p w14:paraId="098AA101" w14:textId="77777777" w:rsidR="007C1EA1" w:rsidRPr="007C1EA1" w:rsidRDefault="007C1EA1" w:rsidP="00DA5803">
      <w:pPr>
        <w:spacing w:before="0" w:after="200"/>
        <w:jc w:val="center"/>
        <w:rPr>
          <w:rFonts w:eastAsia="Calibri"/>
          <w:szCs w:val="20"/>
          <w:lang w:eastAsia="en-US"/>
        </w:rPr>
      </w:pPr>
      <w:r w:rsidRPr="007C1EA1">
        <w:rPr>
          <w:rFonts w:eastAsia="Calibri"/>
          <w:position w:val="-64"/>
          <w:szCs w:val="20"/>
          <w:lang w:eastAsia="en-US"/>
        </w:rPr>
        <w:object w:dxaOrig="4020" w:dyaOrig="1380" w14:anchorId="67AC7319">
          <v:shape id="_x0000_i1049" type="#_x0000_t75" style="width:201.75pt;height:69pt" o:ole="">
            <v:imagedata r:id="rId69" o:title=""/>
          </v:shape>
          <o:OLEObject Type="Embed" ProgID="Equation.DSMT4" ShapeID="_x0000_i1049" DrawAspect="Content" ObjectID="_1723472648" r:id="rId70"/>
        </w:object>
      </w:r>
    </w:p>
    <w:p w14:paraId="4E19EDBE" w14:textId="305F9E56" w:rsidR="007E3369" w:rsidRDefault="007C1EA1" w:rsidP="0067654C">
      <w:pPr>
        <w:pStyle w:val="NumberedParagraph"/>
      </w:pPr>
      <w:r w:rsidRPr="007C1EA1">
        <w:t xml:space="preserve">Purchasing a dollar of capital goods will lead to a stream of deductions as the cost of the investment is depreciated over time or account is taken of any tax credits or investment allowances for investment. Let </w:t>
      </w:r>
      <w:r w:rsidRPr="007C1EA1">
        <w:rPr>
          <w:i/>
          <w:iCs/>
        </w:rPr>
        <w:t>A</w:t>
      </w:r>
      <w:r w:rsidRPr="007C1EA1">
        <w:t xml:space="preserve"> denote the present value of the stream of tax savings</w:t>
      </w:r>
      <w:r w:rsidR="0067654C" w:rsidRPr="007C1EA1">
        <w:t xml:space="preserve"> from the future stream of depreciation deductions, </w:t>
      </w:r>
      <w:r w:rsidR="00F245AC">
        <w:t>together with any investment allowances</w:t>
      </w:r>
      <w:r w:rsidR="00184F1E">
        <w:t xml:space="preserve"> or</w:t>
      </w:r>
      <w:r w:rsidR="0067654C" w:rsidRPr="007C1EA1">
        <w:t xml:space="preserve"> investment tax credits (such as the current R&amp;D tax credit). Different rates of tax depreciation </w:t>
      </w:r>
      <w:r w:rsidR="00741061">
        <w:t xml:space="preserve">or other capital allowances </w:t>
      </w:r>
      <w:r w:rsidR="0067654C" w:rsidRPr="007C1EA1">
        <w:t xml:space="preserve">will affect the cost of capital by changing the value of </w:t>
      </w:r>
      <w:r w:rsidR="0067654C" w:rsidRPr="007C1EA1">
        <w:rPr>
          <w:i/>
          <w:iCs/>
        </w:rPr>
        <w:t>A</w:t>
      </w:r>
      <w:r w:rsidR="0067654C" w:rsidRPr="007C1EA1">
        <w:t>.</w:t>
      </w:r>
    </w:p>
    <w:p w14:paraId="71C6FFBD" w14:textId="6F35BCE1" w:rsidR="0067654C" w:rsidRPr="007C1EA1" w:rsidRDefault="005B4870" w:rsidP="0067654C">
      <w:pPr>
        <w:pStyle w:val="NumberedParagraph"/>
      </w:pPr>
      <w:r w:rsidRPr="007C1EA1">
        <w:t xml:space="preserve">The present value of tax reductions, </w:t>
      </w:r>
      <w:r w:rsidRPr="007C1EA1">
        <w:rPr>
          <w:i/>
          <w:iCs/>
        </w:rPr>
        <w:t>A</w:t>
      </w:r>
      <w:r w:rsidRPr="007C1EA1">
        <w:t>,</w:t>
      </w:r>
      <w:r w:rsidRPr="007C1EA1">
        <w:rPr>
          <w:i/>
          <w:iCs/>
        </w:rPr>
        <w:t xml:space="preserve"> </w:t>
      </w:r>
      <w:r w:rsidRPr="007C1EA1">
        <w:t xml:space="preserve">will involve discounting any depreciation deductions at a nominal discount rate. This discount rate will be the nominal after-tax weighted average cost of funds, </w:t>
      </w:r>
      <w:r w:rsidRPr="007C1EA1">
        <w:rPr>
          <w:position w:val="-10"/>
        </w:rPr>
        <w:object w:dxaOrig="220" w:dyaOrig="320" w14:anchorId="24925834">
          <v:shape id="_x0000_i1050" type="#_x0000_t75" style="width:15pt;height:15pt" o:ole="">
            <v:imagedata r:id="rId71" o:title=""/>
          </v:shape>
          <o:OLEObject Type="Embed" ProgID="Equation.DSMT4" ShapeID="_x0000_i1050" DrawAspect="Content" ObjectID="_1723472649" r:id="rId72"/>
        </w:object>
      </w:r>
      <w:r w:rsidRPr="007C1EA1">
        <w:t>’.</w:t>
      </w:r>
      <w:r w:rsidRPr="007C1EA1">
        <w:rPr>
          <w:vertAlign w:val="superscript"/>
        </w:rPr>
        <w:footnoteReference w:id="6"/>
      </w:r>
      <w:r w:rsidR="00737538">
        <w:t xml:space="preserve"> </w:t>
      </w:r>
      <w:r w:rsidR="0067654C" w:rsidRPr="007C1EA1">
        <w:t xml:space="preserve">Suppose, for example, that there are no investment tax credits and an asset with an economic rate of depreciation of </w:t>
      </w:r>
      <w:r w:rsidR="0067654C" w:rsidRPr="007C1EA1">
        <w:rPr>
          <w:i/>
          <w:iCs/>
        </w:rPr>
        <w:t>d</w:t>
      </w:r>
      <w:r w:rsidR="0067654C" w:rsidRPr="007C1EA1">
        <w:t xml:space="preserve"> can be depreciated at the diminishing value (</w:t>
      </w:r>
      <w:r w:rsidR="0067654C">
        <w:t>DV</w:t>
      </w:r>
      <w:r w:rsidR="0067654C" w:rsidRPr="007C1EA1">
        <w:t>) rate</w:t>
      </w:r>
      <w:r w:rsidR="0067654C">
        <w:t xml:space="preserve"> </w:t>
      </w:r>
      <w:r w:rsidR="0067654C" w:rsidRPr="007C1EA1">
        <w:rPr>
          <w:i/>
          <w:iCs/>
        </w:rPr>
        <w:t>d*</w:t>
      </w:r>
      <w:r w:rsidR="0067654C" w:rsidRPr="007C1EA1">
        <w:t>. In this case</w:t>
      </w:r>
    </w:p>
    <w:p w14:paraId="7A4DF9E8" w14:textId="33F9B522" w:rsidR="0067654C" w:rsidRPr="007C1EA1" w:rsidRDefault="0067654C" w:rsidP="009B4A13">
      <w:pPr>
        <w:spacing w:before="0" w:after="200"/>
        <w:jc w:val="center"/>
        <w:rPr>
          <w:rFonts w:eastAsia="Calibri"/>
          <w:szCs w:val="20"/>
          <w:lang w:eastAsia="en-US"/>
        </w:rPr>
      </w:pPr>
      <w:r w:rsidRPr="007C1EA1">
        <w:rPr>
          <w:rFonts w:eastAsia="Calibri"/>
          <w:position w:val="-28"/>
          <w:szCs w:val="20"/>
          <w:lang w:eastAsia="en-US"/>
        </w:rPr>
        <w:object w:dxaOrig="4120" w:dyaOrig="660" w14:anchorId="4B9A193C">
          <v:shape id="_x0000_i1051" type="#_x0000_t75" style="width:206.25pt;height:33pt" o:ole="">
            <v:imagedata r:id="rId73" o:title=""/>
          </v:shape>
          <o:OLEObject Type="Embed" ProgID="Equation.DSMT4" ShapeID="_x0000_i1051" DrawAspect="Content" ObjectID="_1723472650" r:id="rId74"/>
        </w:object>
      </w:r>
      <w:r w:rsidRPr="007C1EA1">
        <w:rPr>
          <w:rFonts w:eastAsia="Calibri"/>
          <w:szCs w:val="20"/>
          <w:lang w:eastAsia="en-US"/>
        </w:rPr>
        <w:tab/>
        <w:t>(</w:t>
      </w:r>
      <w:r w:rsidR="007E3369">
        <w:rPr>
          <w:rFonts w:eastAsia="Calibri"/>
          <w:szCs w:val="20"/>
          <w:lang w:eastAsia="en-US"/>
        </w:rPr>
        <w:t>4</w:t>
      </w:r>
      <w:r w:rsidRPr="007C1EA1">
        <w:rPr>
          <w:rFonts w:eastAsia="Calibri"/>
          <w:szCs w:val="20"/>
          <w:lang w:eastAsia="en-US"/>
        </w:rPr>
        <w:t>)</w:t>
      </w:r>
    </w:p>
    <w:p w14:paraId="264F4635" w14:textId="4E706334" w:rsidR="007C1EA1" w:rsidRPr="007C1EA1" w:rsidRDefault="007C1EA1" w:rsidP="008E5C41">
      <w:pPr>
        <w:pStyle w:val="NumberedParagraph"/>
      </w:pPr>
      <w:r w:rsidRPr="007C1EA1">
        <w:t>For a marginal investment</w:t>
      </w:r>
    </w:p>
    <w:p w14:paraId="4A45247D" w14:textId="77777777" w:rsidR="007C1EA1" w:rsidRPr="007C1EA1" w:rsidRDefault="007C1EA1" w:rsidP="007C1EA1">
      <w:pPr>
        <w:jc w:val="center"/>
        <w:rPr>
          <w:rFonts w:eastAsia="Calibri"/>
          <w:szCs w:val="20"/>
          <w:lang w:eastAsia="en-US"/>
        </w:rPr>
      </w:pPr>
      <w:r w:rsidRPr="007C1EA1">
        <w:rPr>
          <w:rFonts w:eastAsia="Calibri"/>
          <w:position w:val="-26"/>
          <w:szCs w:val="20"/>
          <w:lang w:eastAsia="en-US"/>
        </w:rPr>
        <w:object w:dxaOrig="1500" w:dyaOrig="600" w14:anchorId="5DC8878E">
          <v:shape id="_x0000_i1052" type="#_x0000_t75" style="width:78.75pt;height:29.25pt" o:ole="">
            <v:imagedata r:id="rId75" o:title=""/>
          </v:shape>
          <o:OLEObject Type="Embed" ProgID="Equation.DSMT4" ShapeID="_x0000_i1052" DrawAspect="Content" ObjectID="_1723472651" r:id="rId76"/>
        </w:object>
      </w:r>
    </w:p>
    <w:p w14:paraId="5995A2F4" w14:textId="77777777" w:rsidR="007C1EA1" w:rsidRPr="007C1EA1" w:rsidRDefault="007C1EA1" w:rsidP="00E25038">
      <w:pPr>
        <w:ind w:firstLine="851"/>
        <w:rPr>
          <w:rFonts w:eastAsia="Calibri"/>
          <w:szCs w:val="20"/>
          <w:lang w:eastAsia="en-US"/>
        </w:rPr>
      </w:pPr>
      <w:r w:rsidRPr="007C1EA1">
        <w:rPr>
          <w:rFonts w:eastAsia="Calibri"/>
          <w:szCs w:val="20"/>
          <w:lang w:eastAsia="en-US"/>
        </w:rPr>
        <w:t>or</w:t>
      </w:r>
    </w:p>
    <w:p w14:paraId="5C9958C9" w14:textId="77777777" w:rsidR="007C1EA1" w:rsidRPr="007C1EA1" w:rsidRDefault="007C1EA1" w:rsidP="009B4A13">
      <w:pPr>
        <w:spacing w:before="0" w:after="200"/>
        <w:jc w:val="center"/>
        <w:rPr>
          <w:rFonts w:eastAsia="Calibri"/>
          <w:szCs w:val="20"/>
          <w:lang w:eastAsia="en-US"/>
        </w:rPr>
      </w:pPr>
      <w:r w:rsidRPr="007C1EA1">
        <w:rPr>
          <w:rFonts w:eastAsia="Calibri"/>
          <w:position w:val="-22"/>
          <w:szCs w:val="20"/>
          <w:lang w:eastAsia="en-US"/>
        </w:rPr>
        <w:object w:dxaOrig="1840" w:dyaOrig="600" w14:anchorId="71054DFD">
          <v:shape id="_x0000_i1053" type="#_x0000_t75" style="width:92.25pt;height:29.25pt" o:ole="">
            <v:imagedata r:id="rId77" o:title=""/>
          </v:shape>
          <o:OLEObject Type="Embed" ProgID="Equation.DSMT4" ShapeID="_x0000_i1053" DrawAspect="Content" ObjectID="_1723472652" r:id="rId78"/>
        </w:object>
      </w:r>
    </w:p>
    <w:p w14:paraId="01EFF150" w14:textId="4DF72323" w:rsidR="007C1EA1" w:rsidRPr="007C1EA1" w:rsidRDefault="007C1EA1" w:rsidP="008E5C41">
      <w:pPr>
        <w:pStyle w:val="NumberedParagraph"/>
      </w:pPr>
      <w:r w:rsidRPr="007C1EA1">
        <w:lastRenderedPageBreak/>
        <w:t xml:space="preserve">The variable </w:t>
      </w:r>
      <w:r w:rsidRPr="007C1EA1">
        <w:rPr>
          <w:i/>
          <w:iCs/>
        </w:rPr>
        <w:t>c</w:t>
      </w:r>
      <w:r w:rsidRPr="007C1EA1">
        <w:t xml:space="preserve"> is sometimes referred to as the </w:t>
      </w:r>
      <w:r w:rsidR="00877747">
        <w:t>‘</w:t>
      </w:r>
      <w:r w:rsidRPr="007C1EA1">
        <w:t>user-cost</w:t>
      </w:r>
      <w:r w:rsidR="00877747">
        <w:t>’</w:t>
      </w:r>
      <w:r w:rsidRPr="007C1EA1">
        <w:t xml:space="preserve"> or the </w:t>
      </w:r>
      <w:r w:rsidR="00877747">
        <w:t>‘</w:t>
      </w:r>
      <w:r w:rsidRPr="007C1EA1">
        <w:t xml:space="preserve">implicit rental value of capital </w:t>
      </w:r>
      <w:proofErr w:type="gramStart"/>
      <w:r w:rsidRPr="007C1EA1">
        <w:t>services</w:t>
      </w:r>
      <w:r w:rsidR="00877747">
        <w:t>’</w:t>
      </w:r>
      <w:proofErr w:type="gramEnd"/>
      <w:r w:rsidRPr="007C1EA1">
        <w:t>.</w:t>
      </w:r>
      <w:r w:rsidRPr="007C1EA1">
        <w:rPr>
          <w:vertAlign w:val="superscript"/>
        </w:rPr>
        <w:footnoteReference w:id="7"/>
      </w:r>
      <w:r w:rsidRPr="007C1EA1">
        <w:t xml:space="preserve"> It is the equilibrium rental charge that would be needed to compensate a lessor for the costs of making a dollar of capital goods available to a lessee if there were no transaction costs of leasing. It is the return that would be required in equilibrium for a firm to acquire capital goods and then use them itself (which can be thought of as leasing capital goods to itself).</w:t>
      </w:r>
    </w:p>
    <w:p w14:paraId="6D0938D1" w14:textId="57D2C3DF" w:rsidR="007C1EA1" w:rsidRPr="007C1EA1" w:rsidRDefault="007C1EA1" w:rsidP="008E5C41">
      <w:pPr>
        <w:pStyle w:val="NumberedParagraph"/>
      </w:pPr>
      <w:r w:rsidRPr="007C1EA1">
        <w:t>The cost of capital is the pre-tax rate of return on a marginal investment. This will</w:t>
      </w:r>
      <w:r w:rsidR="00372264">
        <w:t xml:space="preserve"> b</w:t>
      </w:r>
      <w:r w:rsidR="00066FF0">
        <w:t xml:space="preserve">e </w:t>
      </w:r>
      <w:r w:rsidR="00D94912" w:rsidRPr="00D94912">
        <w:rPr>
          <w:position w:val="-10"/>
        </w:rPr>
        <w:object w:dxaOrig="920" w:dyaOrig="300" w14:anchorId="1CC1E518">
          <v:shape id="_x0000_i1054" type="#_x0000_t75" style="width:46.5pt;height:15pt" o:ole="">
            <v:imagedata r:id="rId79" o:title=""/>
          </v:shape>
          <o:OLEObject Type="Embed" ProgID="Equation.DSMT4" ShapeID="_x0000_i1054" DrawAspect="Content" ObjectID="_1723472653" r:id="rId80"/>
        </w:object>
      </w:r>
      <w:r w:rsidRPr="007C1EA1">
        <w:t xml:space="preserve">. The asset provides a pre-tax gross return of </w:t>
      </w:r>
      <w:r w:rsidRPr="007C1EA1">
        <w:rPr>
          <w:i/>
          <w:iCs/>
        </w:rPr>
        <w:t>c.</w:t>
      </w:r>
      <w:r w:rsidRPr="007C1EA1">
        <w:t xml:space="preserve"> However, each year the net revenue is falling by </w:t>
      </w:r>
      <w:r w:rsidRPr="007C1EA1">
        <w:rPr>
          <w:i/>
          <w:iCs/>
        </w:rPr>
        <w:t>d</w:t>
      </w:r>
      <w:r w:rsidRPr="007C1EA1">
        <w:t>, which leads to economic depreciation of this amount. The cost of capital (or minimum real pre-tax rate of return at which an investment becomes profitable) is</w:t>
      </w:r>
    </w:p>
    <w:p w14:paraId="15D590F5" w14:textId="62F81CC3" w:rsidR="007C1EA1" w:rsidRPr="007C1EA1" w:rsidRDefault="007C1EA1" w:rsidP="009873A9">
      <w:pPr>
        <w:spacing w:before="0" w:after="200"/>
        <w:jc w:val="center"/>
        <w:rPr>
          <w:rFonts w:eastAsia="Calibri"/>
          <w:szCs w:val="20"/>
          <w:lang w:eastAsia="en-US"/>
        </w:rPr>
      </w:pPr>
      <w:r w:rsidRPr="007C1EA1">
        <w:rPr>
          <w:rFonts w:eastAsia="Calibri"/>
          <w:position w:val="-22"/>
          <w:szCs w:val="20"/>
          <w:lang w:eastAsia="en-US"/>
        </w:rPr>
        <w:object w:dxaOrig="2220" w:dyaOrig="600" w14:anchorId="263D36A0">
          <v:shape id="_x0000_i1055" type="#_x0000_t75" style="width:111.75pt;height:29.25pt" o:ole="">
            <v:imagedata r:id="rId81" o:title=""/>
          </v:shape>
          <o:OLEObject Type="Embed" ProgID="Equation.DSMT4" ShapeID="_x0000_i1055" DrawAspect="Content" ObjectID="_1723472654" r:id="rId82"/>
        </w:object>
      </w:r>
      <w:r w:rsidRPr="007C1EA1">
        <w:rPr>
          <w:rFonts w:eastAsia="Calibri"/>
          <w:szCs w:val="20"/>
          <w:lang w:eastAsia="en-US"/>
        </w:rPr>
        <w:t xml:space="preserve"> </w:t>
      </w:r>
      <w:r w:rsidRPr="007C1EA1">
        <w:rPr>
          <w:rFonts w:eastAsia="Calibri"/>
          <w:szCs w:val="20"/>
          <w:lang w:eastAsia="en-US"/>
        </w:rPr>
        <w:tab/>
        <w:t>(</w:t>
      </w:r>
      <w:r w:rsidR="00737538">
        <w:rPr>
          <w:rFonts w:eastAsia="Calibri"/>
          <w:szCs w:val="20"/>
          <w:lang w:eastAsia="en-US"/>
        </w:rPr>
        <w:t>5</w:t>
      </w:r>
      <w:r w:rsidRPr="007C1EA1">
        <w:rPr>
          <w:rFonts w:eastAsia="Calibri"/>
          <w:szCs w:val="20"/>
          <w:lang w:eastAsia="en-US"/>
        </w:rPr>
        <w:t>)</w:t>
      </w:r>
    </w:p>
    <w:p w14:paraId="1DFA7F46" w14:textId="67F447E2" w:rsidR="007C1EA1" w:rsidRPr="007C1EA1" w:rsidRDefault="007C1EA1" w:rsidP="008E5C41">
      <w:pPr>
        <w:pStyle w:val="NumberedParagraph"/>
      </w:pPr>
      <w:r w:rsidRPr="007C1EA1">
        <w:t xml:space="preserve">The OECD’s cost of capital expressions can be derived by substituting appropriate values of </w:t>
      </w:r>
      <w:r w:rsidRPr="007C1EA1">
        <w:rPr>
          <w:i/>
          <w:iCs/>
        </w:rPr>
        <w:t>A</w:t>
      </w:r>
      <w:r w:rsidRPr="007C1EA1">
        <w:t xml:space="preserve"> into equation (</w:t>
      </w:r>
      <w:r w:rsidR="00187F99">
        <w:t>5</w:t>
      </w:r>
      <w:r w:rsidRPr="007C1EA1">
        <w:t>).</w:t>
      </w:r>
    </w:p>
    <w:p w14:paraId="2DF15555" w14:textId="3069DFB6" w:rsidR="007C1EA1" w:rsidRPr="007C1EA1" w:rsidRDefault="007C1EA1" w:rsidP="008E5C41">
      <w:pPr>
        <w:pStyle w:val="NumberedParagraph"/>
      </w:pPr>
      <w:r w:rsidRPr="007C1EA1">
        <w:t xml:space="preserve">The OECD study examines the EMTR </w:t>
      </w:r>
      <w:r w:rsidR="00CC1018">
        <w:t>which is</w:t>
      </w:r>
      <w:r w:rsidRPr="007C1EA1">
        <w:t xml:space="preserve"> the proportion of the pre-tax rate of return on a marginal investment that goes in tax. When foreign investors are marginal investors into companies, this can be defined as</w:t>
      </w:r>
    </w:p>
    <w:p w14:paraId="1E635A80" w14:textId="37CF2121" w:rsidR="007C1EA1" w:rsidRPr="007C1EA1" w:rsidRDefault="003B5177" w:rsidP="00D7466B">
      <w:pPr>
        <w:spacing w:before="0" w:after="200"/>
        <w:jc w:val="center"/>
        <w:rPr>
          <w:rFonts w:eastAsia="Calibri"/>
          <w:szCs w:val="20"/>
          <w:lang w:eastAsia="en-US"/>
        </w:rPr>
      </w:pPr>
      <w:r w:rsidRPr="007C1EA1">
        <w:rPr>
          <w:rFonts w:eastAsia="Calibri"/>
          <w:position w:val="-24"/>
          <w:szCs w:val="20"/>
          <w:lang w:eastAsia="en-US"/>
        </w:rPr>
        <w:object w:dxaOrig="1620" w:dyaOrig="580" w14:anchorId="734385A6">
          <v:shape id="_x0000_i1056" type="#_x0000_t75" style="width:79.5pt;height:29.25pt" o:ole="">
            <v:imagedata r:id="rId83" o:title=""/>
          </v:shape>
          <o:OLEObject Type="Embed" ProgID="Equation.DSMT4" ShapeID="_x0000_i1056" DrawAspect="Content" ObjectID="_1723472655" r:id="rId84"/>
        </w:object>
      </w:r>
      <w:r w:rsidR="007C1EA1" w:rsidRPr="007C1EA1">
        <w:rPr>
          <w:rFonts w:eastAsia="Calibri"/>
          <w:szCs w:val="20"/>
          <w:lang w:eastAsia="en-US"/>
        </w:rPr>
        <w:tab/>
      </w:r>
      <w:r w:rsidR="007C1EA1" w:rsidRPr="007C1EA1">
        <w:rPr>
          <w:rFonts w:eastAsia="Calibri"/>
          <w:szCs w:val="20"/>
          <w:lang w:eastAsia="en-US"/>
        </w:rPr>
        <w:tab/>
        <w:t>(</w:t>
      </w:r>
      <w:r w:rsidR="00E16A86">
        <w:rPr>
          <w:rFonts w:eastAsia="Calibri"/>
          <w:szCs w:val="20"/>
          <w:lang w:eastAsia="en-US"/>
        </w:rPr>
        <w:t>6</w:t>
      </w:r>
      <w:r w:rsidR="007C1EA1" w:rsidRPr="007C1EA1">
        <w:rPr>
          <w:rFonts w:eastAsia="Calibri"/>
          <w:szCs w:val="20"/>
          <w:lang w:eastAsia="en-US"/>
        </w:rPr>
        <w:t>)</w:t>
      </w:r>
    </w:p>
    <w:p w14:paraId="649391F3" w14:textId="1D0BD7CC" w:rsidR="007C1EA1" w:rsidRPr="007C1EA1" w:rsidRDefault="007C1EA1" w:rsidP="00B5095E">
      <w:pPr>
        <w:pStyle w:val="NumberedParagraph-Appendix"/>
        <w:spacing w:before="0" w:after="200"/>
        <w:ind w:left="851"/>
      </w:pPr>
      <w:r w:rsidRPr="007C1EA1">
        <w:t xml:space="preserve">where </w:t>
      </w:r>
      <w:r w:rsidR="004C4960" w:rsidRPr="007C1EA1">
        <w:rPr>
          <w:position w:val="-10"/>
        </w:rPr>
        <w:object w:dxaOrig="420" w:dyaOrig="320" w14:anchorId="006B3149">
          <v:shape id="_x0000_i1057" type="#_x0000_t75" style="width:20.25pt;height:17.25pt" o:ole="">
            <v:imagedata r:id="rId85" o:title=""/>
          </v:shape>
          <o:OLEObject Type="Embed" ProgID="Equation.DSMT4" ShapeID="_x0000_i1057" DrawAspect="Content" ObjectID="_1723472656" r:id="rId86"/>
        </w:object>
      </w:r>
      <w:r w:rsidRPr="007C1EA1">
        <w:t xml:space="preserve"> is the pre-tax real weighted average costs of funds to a capital</w:t>
      </w:r>
      <w:r w:rsidR="007E0487">
        <w:t>-</w:t>
      </w:r>
      <w:r w:rsidRPr="007C1EA1">
        <w:t>importing economy given by equation (1</w:t>
      </w:r>
      <w:proofErr w:type="gramStart"/>
      <w:r w:rsidRPr="007C1EA1">
        <w:t>).</w:t>
      </w:r>
      <w:proofErr w:type="gramEnd"/>
    </w:p>
    <w:p w14:paraId="0C5312FD" w14:textId="55417CC0" w:rsidR="007C1EA1" w:rsidRPr="007C1EA1" w:rsidRDefault="007C1EA1" w:rsidP="00FC3EE5">
      <w:pPr>
        <w:pStyle w:val="Heading2"/>
        <w:rPr>
          <w:rFonts w:eastAsia="Calibri"/>
          <w:lang w:eastAsia="en-US"/>
        </w:rPr>
      </w:pPr>
      <w:bookmarkStart w:id="11" w:name="_Toc108451949"/>
      <w:r w:rsidRPr="007C1EA1">
        <w:rPr>
          <w:rFonts w:eastAsia="Calibri"/>
          <w:lang w:eastAsia="en-US"/>
        </w:rPr>
        <w:t xml:space="preserve">Domestic SME </w:t>
      </w:r>
      <w:r w:rsidR="00655190">
        <w:rPr>
          <w:rFonts w:eastAsia="Calibri"/>
          <w:lang w:eastAsia="en-US"/>
        </w:rPr>
        <w:t>variant</w:t>
      </w:r>
      <w:bookmarkEnd w:id="11"/>
    </w:p>
    <w:p w14:paraId="6A0C231D" w14:textId="17C15A40" w:rsidR="007C1EA1" w:rsidRPr="007C1EA1" w:rsidRDefault="007C1EA1" w:rsidP="00375E63">
      <w:pPr>
        <w:pStyle w:val="NumberedParagraph"/>
      </w:pPr>
      <w:r w:rsidRPr="007C1EA1">
        <w:t>An open question is how best to analyse investment incentives for domestic SMEs with no foreign shareholders. Incentives will depend on the opportunity cost of the capital invested in domestic SMEs</w:t>
      </w:r>
      <w:r w:rsidR="00965524">
        <w:t>,</w:t>
      </w:r>
      <w:r w:rsidRPr="007C1EA1">
        <w:t xml:space="preserve"> and there are different cases that can be considered.</w:t>
      </w:r>
    </w:p>
    <w:p w14:paraId="6EABFA01" w14:textId="77777777" w:rsidR="007C1EA1" w:rsidRPr="007C1EA1" w:rsidRDefault="007C1EA1" w:rsidP="00375E63">
      <w:pPr>
        <w:pStyle w:val="NumberedParagraph"/>
      </w:pPr>
      <w:r w:rsidRPr="007C1EA1">
        <w:t>One possible case is where the owners of domestic SMEs would otherwise invest in New Zealand listed companies. If these listed companies are ones where non-residents are marginal shareholders, cost of capital expressions from the OECD model above (as, for example, in equation (2) above) might be argued to continue to be relevant.</w:t>
      </w:r>
    </w:p>
    <w:p w14:paraId="56A2FCD6" w14:textId="41D4B42E" w:rsidR="007C1EA1" w:rsidRPr="007C1EA1" w:rsidRDefault="007C1EA1" w:rsidP="00375E63">
      <w:pPr>
        <w:pStyle w:val="NumberedParagraph"/>
      </w:pPr>
      <w:r w:rsidRPr="007C1EA1">
        <w:t>If</w:t>
      </w:r>
      <w:r w:rsidR="00203D2F">
        <w:t>,</w:t>
      </w:r>
      <w:r w:rsidRPr="007C1EA1">
        <w:t xml:space="preserve"> instead</w:t>
      </w:r>
      <w:r w:rsidR="00203D2F">
        <w:t>,</w:t>
      </w:r>
      <w:r w:rsidRPr="007C1EA1">
        <w:t xml:space="preserve"> the owners of domestic entities would invest in other assets</w:t>
      </w:r>
      <w:r w:rsidR="00203D2F">
        <w:t>,</w:t>
      </w:r>
      <w:r w:rsidRPr="007C1EA1">
        <w:t xml:space="preserve"> such as interest-bearing securities or foreign equities, different cost of capital expressions will arise. There is </w:t>
      </w:r>
      <w:r w:rsidR="00655190">
        <w:t>no obvious</w:t>
      </w:r>
      <w:r w:rsidR="00E13D3B">
        <w:t xml:space="preserve"> best way of modelling</w:t>
      </w:r>
      <w:r w:rsidRPr="007C1EA1">
        <w:t xml:space="preserve"> the different possible cases when domestic residents can own a variety of such assets.</w:t>
      </w:r>
    </w:p>
    <w:p w14:paraId="45CA7CFA" w14:textId="4374F758" w:rsidR="007C1EA1" w:rsidRPr="007C1EA1" w:rsidRDefault="001F3A52" w:rsidP="00375E63">
      <w:pPr>
        <w:pStyle w:val="NumberedParagraph"/>
      </w:pPr>
      <w:r>
        <w:t>Below</w:t>
      </w:r>
      <w:r w:rsidR="007C1EA1" w:rsidRPr="007C1EA1">
        <w:t xml:space="preserve"> we explore two possible </w:t>
      </w:r>
      <w:r w:rsidR="00C02A66">
        <w:t>variant</w:t>
      </w:r>
      <w:r w:rsidR="007C1EA1" w:rsidRPr="007C1EA1">
        <w:t xml:space="preserve">s. In both </w:t>
      </w:r>
      <w:r w:rsidR="00655190">
        <w:t>variants</w:t>
      </w:r>
      <w:r w:rsidR="007C1EA1" w:rsidRPr="007C1EA1">
        <w:t>, the alternative asset is interest-bearing securities.</w:t>
      </w:r>
    </w:p>
    <w:p w14:paraId="0429577E" w14:textId="1FC648D1" w:rsidR="007C1EA1" w:rsidRPr="007C1EA1" w:rsidRDefault="00655190" w:rsidP="006E5145">
      <w:pPr>
        <w:pStyle w:val="Heading3"/>
        <w:rPr>
          <w:rFonts w:eastAsia="Calibri"/>
          <w:lang w:eastAsia="en-US"/>
        </w:rPr>
      </w:pPr>
      <w:r>
        <w:rPr>
          <w:rFonts w:eastAsia="Calibri"/>
          <w:lang w:eastAsia="en-US"/>
        </w:rPr>
        <w:t>Sub-v</w:t>
      </w:r>
      <w:r w:rsidR="007C1EA1" w:rsidRPr="007C1EA1">
        <w:rPr>
          <w:rFonts w:eastAsia="Calibri"/>
          <w:lang w:eastAsia="en-US"/>
        </w:rPr>
        <w:t xml:space="preserve">ariant 1: Full distribution </w:t>
      </w:r>
      <w:r>
        <w:rPr>
          <w:rFonts w:eastAsia="Calibri"/>
          <w:lang w:eastAsia="en-US"/>
        </w:rPr>
        <w:t>sub-</w:t>
      </w:r>
      <w:r w:rsidR="007C1EA1" w:rsidRPr="007C1EA1">
        <w:rPr>
          <w:rFonts w:eastAsia="Calibri"/>
          <w:lang w:eastAsia="en-US"/>
        </w:rPr>
        <w:t>variant</w:t>
      </w:r>
    </w:p>
    <w:p w14:paraId="37CC46D4" w14:textId="72A0D393" w:rsidR="00814712" w:rsidRDefault="007C1EA1" w:rsidP="00375E63">
      <w:pPr>
        <w:pStyle w:val="NumberedParagraph"/>
      </w:pPr>
      <w:r w:rsidRPr="007C1EA1">
        <w:t xml:space="preserve">In the first </w:t>
      </w:r>
      <w:r w:rsidR="00655190">
        <w:t>sub-</w:t>
      </w:r>
      <w:r w:rsidRPr="007C1EA1">
        <w:t>variant</w:t>
      </w:r>
      <w:r w:rsidR="007A690A">
        <w:t>,</w:t>
      </w:r>
      <w:r w:rsidRPr="007C1EA1">
        <w:t xml:space="preserve"> we assume that a corporate SME distributes all its taxable profits to shareholders each year so </w:t>
      </w:r>
      <w:r w:rsidR="00AE3E24">
        <w:t xml:space="preserve">that </w:t>
      </w:r>
      <w:r w:rsidRPr="007C1EA1">
        <w:t xml:space="preserve">the profits are fully taxed at the marginal tax rates of shareholders, </w:t>
      </w:r>
      <w:r w:rsidRPr="007C1EA1">
        <w:rPr>
          <w:i/>
          <w:iCs/>
        </w:rPr>
        <w:t>m</w:t>
      </w:r>
      <w:r w:rsidRPr="007C1EA1">
        <w:t xml:space="preserve">. We assume profits that are not taxed </w:t>
      </w:r>
      <w:r w:rsidRPr="007C1EA1">
        <w:lastRenderedPageBreak/>
        <w:t xml:space="preserve">at the company </w:t>
      </w:r>
      <w:r w:rsidR="005A69F4">
        <w:t>leve</w:t>
      </w:r>
      <w:r w:rsidR="00D81333">
        <w:t xml:space="preserve">l </w:t>
      </w:r>
      <w:r w:rsidRPr="007C1EA1">
        <w:t>are not distributed as dividends but are instead retained in the company.</w:t>
      </w:r>
    </w:p>
    <w:p w14:paraId="2D29E81B" w14:textId="42D40111" w:rsidR="00644DF2" w:rsidRDefault="00C522D9" w:rsidP="00375E63">
      <w:pPr>
        <w:pStyle w:val="NumberedParagraph"/>
      </w:pPr>
      <w:r>
        <w:t>As a result of</w:t>
      </w:r>
      <w:r w:rsidR="00F34B4D">
        <w:t xml:space="preserve"> New Zealand’s full imputation system</w:t>
      </w:r>
      <w:r>
        <w:t>,</w:t>
      </w:r>
      <w:r w:rsidR="00F34B4D">
        <w:t xml:space="preserve"> taxable profits end up being taxed at the rate of shareholders. </w:t>
      </w:r>
      <w:r w:rsidR="00A10C73">
        <w:t>I</w:t>
      </w:r>
      <w:r w:rsidR="008468A9">
        <w:t>mputation credits are available for company tax that has been pa</w:t>
      </w:r>
      <w:r w:rsidR="008B4823">
        <w:t>id</w:t>
      </w:r>
      <w:r w:rsidR="003F143C">
        <w:t>,</w:t>
      </w:r>
      <w:r w:rsidR="007579BC">
        <w:t xml:space="preserve"> and company tax operates like a withholding tax</w:t>
      </w:r>
      <w:r w:rsidR="008B4823">
        <w:t xml:space="preserve">. If the company tax rate is 28% and </w:t>
      </w:r>
      <w:r w:rsidR="008B4823">
        <w:rPr>
          <w:i/>
          <w:iCs/>
        </w:rPr>
        <w:t xml:space="preserve">m </w:t>
      </w:r>
      <w:r w:rsidR="00FF71F4">
        <w:t xml:space="preserve">is 33%, a company </w:t>
      </w:r>
      <w:r w:rsidR="008C7521">
        <w:t>that</w:t>
      </w:r>
      <w:r w:rsidR="00FF71F4">
        <w:t xml:space="preserve"> earns $100 in pre-tax profits would pay $28 of company tax. </w:t>
      </w:r>
      <w:r w:rsidR="003D6E33">
        <w:t>W</w:t>
      </w:r>
      <w:r w:rsidR="00FF71F4">
        <w:t>hen th</w:t>
      </w:r>
      <w:r w:rsidR="000D2C63">
        <w:t xml:space="preserve">e $72 is paid as a dividend, the shareholder </w:t>
      </w:r>
      <w:r w:rsidR="00A71AA4">
        <w:t>would be taxed on $100 (the dividend plus the $28 imputation credit)</w:t>
      </w:r>
      <w:r w:rsidR="007F5963">
        <w:t>.</w:t>
      </w:r>
      <w:r w:rsidR="00A574E1">
        <w:t xml:space="preserve"> </w:t>
      </w:r>
      <w:r w:rsidR="007F5963">
        <w:t xml:space="preserve">This </w:t>
      </w:r>
      <w:r w:rsidR="00A574E1">
        <w:t>lead</w:t>
      </w:r>
      <w:r w:rsidR="007F5963">
        <w:t>s</w:t>
      </w:r>
      <w:r w:rsidR="003D0199">
        <w:t xml:space="preserve"> to $33 </w:t>
      </w:r>
      <w:r w:rsidR="00A574E1">
        <w:t>o</w:t>
      </w:r>
      <w:r w:rsidR="003D0199">
        <w:t>f gross income</w:t>
      </w:r>
      <w:r w:rsidR="006C6DA2">
        <w:t xml:space="preserve"> </w:t>
      </w:r>
      <w:r w:rsidR="00AC775D">
        <w:t>tax</w:t>
      </w:r>
      <w:r w:rsidR="007F5963">
        <w:t>,</w:t>
      </w:r>
      <w:r w:rsidR="00AC775D">
        <w:t xml:space="preserve"> </w:t>
      </w:r>
      <w:r w:rsidR="006C6DA2">
        <w:t>but this is offset by $28 of imputation credits</w:t>
      </w:r>
      <w:r w:rsidR="007F2353">
        <w:t>. T</w:t>
      </w:r>
      <w:r w:rsidR="00C8143D">
        <w:t>he</w:t>
      </w:r>
      <w:r w:rsidR="006C6DA2">
        <w:t xml:space="preserve"> shareholder </w:t>
      </w:r>
      <w:r w:rsidR="00C8143D">
        <w:t>is only required to pay</w:t>
      </w:r>
      <w:r w:rsidR="00725FBA">
        <w:t xml:space="preserve"> </w:t>
      </w:r>
      <w:r w:rsidR="00644DF2">
        <w:t xml:space="preserve">$5 in </w:t>
      </w:r>
      <w:r w:rsidR="007F5523">
        <w:t xml:space="preserve">net </w:t>
      </w:r>
      <w:r w:rsidR="00644DF2">
        <w:t xml:space="preserve">additional tax. </w:t>
      </w:r>
      <w:r w:rsidR="00725FBA">
        <w:t xml:space="preserve">This tops up the total tax rate on company profits to the shareholder’s </w:t>
      </w:r>
      <w:r w:rsidR="00661EBD">
        <w:t xml:space="preserve">marginal rate. </w:t>
      </w:r>
      <w:r w:rsidR="00644DF2">
        <w:t>Once profits are distributed, they are taxed at the tax rates of shareholders.</w:t>
      </w:r>
    </w:p>
    <w:p w14:paraId="410E39FD" w14:textId="0F6B9489" w:rsidR="007C1EA1" w:rsidRPr="007C1EA1" w:rsidRDefault="007C1EA1" w:rsidP="00375E63">
      <w:pPr>
        <w:pStyle w:val="NumberedParagraph"/>
      </w:pPr>
      <w:r w:rsidRPr="007C1EA1">
        <w:t>Equ</w:t>
      </w:r>
      <w:r w:rsidR="007231A1">
        <w:t>ally</w:t>
      </w:r>
      <w:r w:rsidRPr="007C1EA1">
        <w:t xml:space="preserve">, we </w:t>
      </w:r>
      <w:r w:rsidR="00A8648D">
        <w:t>might</w:t>
      </w:r>
      <w:r w:rsidRPr="007C1EA1">
        <w:t xml:space="preserve"> assume that income is owned through an unincorporated enterprise and the profits are taxed directly in shareholders’ hands.</w:t>
      </w:r>
      <w:r w:rsidR="00E30F3E">
        <w:t xml:space="preserve"> Whether profits are earned within an unincorporated enterprise</w:t>
      </w:r>
      <w:r w:rsidR="00A63C4A">
        <w:t xml:space="preserve"> or </w:t>
      </w:r>
      <w:r w:rsidR="00780946">
        <w:t>a</w:t>
      </w:r>
      <w:r w:rsidR="00A63C4A">
        <w:t xml:space="preserve"> compan</w:t>
      </w:r>
      <w:r w:rsidR="00780946">
        <w:t>y</w:t>
      </w:r>
      <w:r w:rsidR="00A63C4A">
        <w:t>, the profits end up being taxed at shareholders’ marginal tax rates.</w:t>
      </w:r>
    </w:p>
    <w:p w14:paraId="59D3881C" w14:textId="7711BA90" w:rsidR="007C1EA1" w:rsidRPr="007C1EA1" w:rsidRDefault="007C1EA1" w:rsidP="00375E63">
      <w:pPr>
        <w:pStyle w:val="NumberedParagraph"/>
      </w:pPr>
      <w:r w:rsidRPr="007C1EA1">
        <w:t xml:space="preserve">Taxpayers can borrow or lend at the nominal interest rate, </w:t>
      </w:r>
      <w:r w:rsidRPr="007C1EA1">
        <w:rPr>
          <w:i/>
          <w:iCs/>
        </w:rPr>
        <w:t>i</w:t>
      </w:r>
      <w:r w:rsidRPr="007C1EA1">
        <w:t xml:space="preserve">, or the real interest rate, </w:t>
      </w:r>
      <w:r w:rsidRPr="007C1EA1">
        <w:rPr>
          <w:i/>
          <w:iCs/>
        </w:rPr>
        <w:t>r</w:t>
      </w:r>
      <w:r w:rsidRPr="007C1EA1">
        <w:t xml:space="preserve">. The nominal after-tax interest rate </w:t>
      </w:r>
      <w:r w:rsidR="00605262">
        <w:t xml:space="preserve">is </w:t>
      </w:r>
      <w:r w:rsidR="00605262" w:rsidRPr="00423FE1">
        <w:rPr>
          <w:position w:val="-10"/>
        </w:rPr>
        <w:object w:dxaOrig="1200" w:dyaOrig="300" w14:anchorId="25BCB55E">
          <v:shape id="_x0000_i1058" type="#_x0000_t75" style="width:60pt;height:15pt" o:ole="">
            <v:imagedata r:id="rId87" o:title=""/>
          </v:shape>
          <o:OLEObject Type="Embed" ProgID="Equation.DSMT4" ShapeID="_x0000_i1058" DrawAspect="Content" ObjectID="_1723472657" r:id="rId88"/>
        </w:object>
      </w:r>
      <w:r w:rsidRPr="007C1EA1">
        <w:t>, and the real after-tax interest rate</w:t>
      </w:r>
      <w:r w:rsidR="00832CE7">
        <w:t xml:space="preserve"> is </w:t>
      </w:r>
      <w:r w:rsidR="003802A1" w:rsidRPr="00AC6625">
        <w:rPr>
          <w:position w:val="-10"/>
        </w:rPr>
        <w:object w:dxaOrig="2620" w:dyaOrig="300" w14:anchorId="446FD6F8">
          <v:shape id="_x0000_i1059" type="#_x0000_t75" style="width:129.75pt;height:15pt" o:ole="">
            <v:imagedata r:id="rId89" o:title=""/>
          </v:shape>
          <o:OLEObject Type="Embed" ProgID="Equation.DSMT4" ShapeID="_x0000_i1059" DrawAspect="Content" ObjectID="_1723472658" r:id="rId90"/>
        </w:object>
      </w:r>
      <w:r w:rsidRPr="007C1EA1">
        <w:t>.</w:t>
      </w:r>
    </w:p>
    <w:p w14:paraId="231974EA" w14:textId="77777777" w:rsidR="007C1EA1" w:rsidRPr="007C1EA1" w:rsidRDefault="007C1EA1" w:rsidP="00375E63">
      <w:pPr>
        <w:pStyle w:val="NumberedParagraph"/>
      </w:pPr>
      <w:r w:rsidRPr="007C1EA1">
        <w:t>For a marginal investment by an unincorporated investor, the present value of the after-tax costs must once more equal the present value of the after-tax benefits, so</w:t>
      </w:r>
    </w:p>
    <w:p w14:paraId="22A6E736" w14:textId="598FCA93" w:rsidR="007C1EA1" w:rsidRPr="007C1EA1" w:rsidRDefault="00B721D0" w:rsidP="007C1EA1">
      <w:pPr>
        <w:jc w:val="center"/>
        <w:rPr>
          <w:rFonts w:eastAsia="Calibri"/>
          <w:szCs w:val="20"/>
          <w:lang w:eastAsia="en-US"/>
        </w:rPr>
      </w:pPr>
      <w:r w:rsidRPr="00B721D0">
        <w:rPr>
          <w:rFonts w:eastAsia="Calibri"/>
          <w:position w:val="-32"/>
          <w:szCs w:val="20"/>
          <w:lang w:eastAsia="en-US"/>
        </w:rPr>
        <w:object w:dxaOrig="5160" w:dyaOrig="740" w14:anchorId="40533AA7">
          <v:shape id="_x0000_i1060" type="#_x0000_t75" style="width:258pt;height:37.5pt" o:ole="">
            <v:imagedata r:id="rId91" o:title=""/>
          </v:shape>
          <o:OLEObject Type="Embed" ProgID="Equation.DSMT4" ShapeID="_x0000_i1060" DrawAspect="Content" ObjectID="_1723472659" r:id="rId92"/>
        </w:object>
      </w:r>
    </w:p>
    <w:p w14:paraId="7800D0EA" w14:textId="78C6500B" w:rsidR="007C1EA1" w:rsidRPr="007C1EA1" w:rsidRDefault="007C1EA1" w:rsidP="00F4087E">
      <w:pPr>
        <w:pStyle w:val="NumberedParagraph"/>
        <w:numPr>
          <w:ilvl w:val="0"/>
          <w:numId w:val="0"/>
        </w:numPr>
        <w:spacing w:before="200"/>
        <w:ind w:left="851"/>
      </w:pPr>
      <w:r w:rsidRPr="007C1EA1">
        <w:t xml:space="preserve">where </w:t>
      </w:r>
      <w:r w:rsidRPr="007C1EA1">
        <w:rPr>
          <w:i/>
          <w:iCs/>
        </w:rPr>
        <w:t xml:space="preserve">A </w:t>
      </w:r>
      <w:r w:rsidRPr="007C1EA1">
        <w:t>is found by discounting depreciation deductions at the net-of-personal</w:t>
      </w:r>
      <w:r w:rsidR="00AE3E24">
        <w:t>-</w:t>
      </w:r>
      <w:r w:rsidRPr="007C1EA1">
        <w:t>tax interest rate. The cost of capital is given by</w:t>
      </w:r>
    </w:p>
    <w:p w14:paraId="525B9A17" w14:textId="1E881FD7" w:rsidR="007C1EA1" w:rsidRPr="007C1EA1" w:rsidRDefault="007C1EA1" w:rsidP="007C1EA1">
      <w:pPr>
        <w:jc w:val="center"/>
        <w:rPr>
          <w:rFonts w:eastAsia="Calibri"/>
          <w:szCs w:val="20"/>
          <w:lang w:eastAsia="en-US"/>
        </w:rPr>
      </w:pPr>
      <w:r w:rsidRPr="007C1EA1">
        <w:rPr>
          <w:rFonts w:eastAsia="Calibri"/>
          <w:position w:val="-20"/>
          <w:szCs w:val="20"/>
          <w:lang w:eastAsia="en-US"/>
        </w:rPr>
        <w:object w:dxaOrig="2140" w:dyaOrig="580" w14:anchorId="27D9BDFC">
          <v:shape id="_x0000_i1061" type="#_x0000_t75" style="width:107.25pt;height:29.25pt" o:ole="">
            <v:imagedata r:id="rId93" o:title=""/>
          </v:shape>
          <o:OLEObject Type="Embed" ProgID="Equation.DSMT4" ShapeID="_x0000_i1061" DrawAspect="Content" ObjectID="_1723472660" r:id="rId94"/>
        </w:object>
      </w:r>
      <w:r w:rsidRPr="007C1EA1">
        <w:rPr>
          <w:rFonts w:eastAsia="Calibri"/>
          <w:szCs w:val="20"/>
          <w:lang w:eastAsia="en-US"/>
        </w:rPr>
        <w:tab/>
      </w:r>
      <w:r w:rsidRPr="007C1EA1">
        <w:rPr>
          <w:rFonts w:eastAsia="Calibri"/>
          <w:szCs w:val="20"/>
          <w:lang w:eastAsia="en-US"/>
        </w:rPr>
        <w:tab/>
        <w:t>(</w:t>
      </w:r>
      <w:r w:rsidR="0088777D">
        <w:rPr>
          <w:rFonts w:eastAsia="Calibri"/>
          <w:szCs w:val="20"/>
          <w:lang w:eastAsia="en-US"/>
        </w:rPr>
        <w:t>5</w:t>
      </w:r>
      <w:r w:rsidRPr="007C1EA1">
        <w:rPr>
          <w:rFonts w:eastAsia="Calibri"/>
          <w:szCs w:val="20"/>
          <w:lang w:eastAsia="en-US"/>
        </w:rPr>
        <w:t>’)</w:t>
      </w:r>
    </w:p>
    <w:p w14:paraId="0FE3D032" w14:textId="77777777" w:rsidR="00F4087E" w:rsidRPr="00F4087E" w:rsidRDefault="00F4087E" w:rsidP="00F4087E"/>
    <w:p w14:paraId="1F335294" w14:textId="0D8DB19F" w:rsidR="007C1EA1" w:rsidRPr="007C1EA1" w:rsidRDefault="007C1EA1" w:rsidP="00375E63">
      <w:pPr>
        <w:pStyle w:val="NumberedParagraph"/>
      </w:pPr>
      <w:r w:rsidRPr="007C1EA1">
        <w:t>This replaces equation (</w:t>
      </w:r>
      <w:r w:rsidR="0088777D">
        <w:t>5</w:t>
      </w:r>
      <w:r w:rsidRPr="007C1EA1">
        <w:t>).</w:t>
      </w:r>
    </w:p>
    <w:p w14:paraId="170FB9BB" w14:textId="5E6857A9" w:rsidR="007C1EA1" w:rsidRPr="007C1EA1" w:rsidRDefault="00655190" w:rsidP="006E5145">
      <w:pPr>
        <w:pStyle w:val="Heading3"/>
        <w:rPr>
          <w:rFonts w:eastAsia="Calibri"/>
          <w:lang w:eastAsia="en-US"/>
        </w:rPr>
      </w:pPr>
      <w:r>
        <w:rPr>
          <w:rFonts w:eastAsia="Calibri"/>
          <w:lang w:eastAsia="en-US"/>
        </w:rPr>
        <w:t>Sub-v</w:t>
      </w:r>
      <w:r w:rsidR="007C1EA1" w:rsidRPr="007C1EA1">
        <w:rPr>
          <w:rFonts w:eastAsia="Calibri"/>
          <w:lang w:eastAsia="en-US"/>
        </w:rPr>
        <w:t xml:space="preserve">ariant 2: Full retention </w:t>
      </w:r>
      <w:r>
        <w:rPr>
          <w:rFonts w:eastAsia="Calibri"/>
          <w:lang w:eastAsia="en-US"/>
        </w:rPr>
        <w:t>sub-</w:t>
      </w:r>
      <w:r w:rsidR="007C1EA1" w:rsidRPr="007C1EA1">
        <w:rPr>
          <w:rFonts w:eastAsia="Calibri"/>
          <w:lang w:eastAsia="en-US"/>
        </w:rPr>
        <w:t>variant</w:t>
      </w:r>
    </w:p>
    <w:p w14:paraId="256539AC" w14:textId="77777777" w:rsidR="00C939D5" w:rsidRDefault="007C1EA1" w:rsidP="00EB1689">
      <w:pPr>
        <w:pStyle w:val="NumberedParagraph"/>
      </w:pPr>
      <w:r w:rsidRPr="007C1EA1">
        <w:t xml:space="preserve">In the second </w:t>
      </w:r>
      <w:r w:rsidR="00655190">
        <w:t>sub-</w:t>
      </w:r>
      <w:r w:rsidRPr="007C1EA1">
        <w:t xml:space="preserve">variant, it is assumed that profits are earned by a domestic SME </w:t>
      </w:r>
      <w:r w:rsidR="00E67854">
        <w:t>that r</w:t>
      </w:r>
      <w:r w:rsidRPr="007C1EA1">
        <w:t xml:space="preserve">etains and accumulates all profits. The company itself can borrow or lend at the nominal interest rate, </w:t>
      </w:r>
      <w:r w:rsidRPr="007C1EA1">
        <w:rPr>
          <w:i/>
          <w:iCs/>
        </w:rPr>
        <w:t>i</w:t>
      </w:r>
      <w:r w:rsidRPr="007C1EA1">
        <w:t xml:space="preserve">, or the real interest rate, </w:t>
      </w:r>
      <w:r w:rsidRPr="007C1EA1">
        <w:rPr>
          <w:i/>
          <w:iCs/>
        </w:rPr>
        <w:t>r.</w:t>
      </w:r>
      <w:r w:rsidRPr="007C1EA1">
        <w:t xml:space="preserve"> In this case the cost of capital is given by</w:t>
      </w:r>
    </w:p>
    <w:p w14:paraId="11DA1E79" w14:textId="7B9ADA87" w:rsidR="00856D0F" w:rsidRDefault="00783ED1" w:rsidP="007C1EA1">
      <w:pPr>
        <w:jc w:val="center"/>
        <w:rPr>
          <w:rFonts w:eastAsia="Calibri"/>
          <w:szCs w:val="20"/>
          <w:lang w:eastAsia="en-US"/>
        </w:rPr>
      </w:pPr>
      <w:r w:rsidRPr="00D068E8">
        <w:rPr>
          <w:rFonts w:eastAsia="Calibri"/>
          <w:position w:val="-22"/>
          <w:szCs w:val="20"/>
          <w:lang w:eastAsia="en-US"/>
        </w:rPr>
        <w:object w:dxaOrig="2120" w:dyaOrig="560" w14:anchorId="5362DA98">
          <v:shape id="_x0000_i1062" type="#_x0000_t75" style="width:105pt;height:29.25pt" o:ole="">
            <v:imagedata r:id="rId95" o:title=""/>
          </v:shape>
          <o:OLEObject Type="Embed" ProgID="Equation.DSMT4" ShapeID="_x0000_i1062" DrawAspect="Content" ObjectID="_1723472661" r:id="rId96"/>
        </w:object>
      </w:r>
      <w:r w:rsidR="00D068E8">
        <w:rPr>
          <w:rFonts w:eastAsia="Calibri"/>
          <w:szCs w:val="20"/>
          <w:lang w:eastAsia="en-US"/>
        </w:rPr>
        <w:tab/>
      </w:r>
      <w:r w:rsidR="00D068E8">
        <w:rPr>
          <w:rFonts w:eastAsia="Calibri"/>
          <w:szCs w:val="20"/>
          <w:lang w:eastAsia="en-US"/>
        </w:rPr>
        <w:tab/>
        <w:t>(5”)</w:t>
      </w:r>
    </w:p>
    <w:p w14:paraId="6FD85208" w14:textId="63F4DDCA" w:rsidR="00353059" w:rsidRDefault="007C1EA1" w:rsidP="001758FB">
      <w:pPr>
        <w:pStyle w:val="ListParagraph"/>
      </w:pPr>
      <w:r w:rsidRPr="007C1EA1">
        <w:t xml:space="preserve">where </w:t>
      </w:r>
      <w:r w:rsidRPr="007C1EA1">
        <w:rPr>
          <w:position w:val="-10"/>
        </w:rPr>
        <w:object w:dxaOrig="2400" w:dyaOrig="300" w14:anchorId="557D59A3">
          <v:shape id="_x0000_i1063" type="#_x0000_t75" style="width:119.25pt;height:15.75pt" o:ole="">
            <v:imagedata r:id="rId97" o:title=""/>
          </v:shape>
          <o:OLEObject Type="Embed" ProgID="Equation.DSMT4" ShapeID="_x0000_i1063" DrawAspect="Content" ObjectID="_1723472662" r:id="rId98"/>
        </w:object>
      </w:r>
      <w:r w:rsidRPr="007C1EA1">
        <w:t xml:space="preserve"> and depreciation deductions are discounted at a net-of-company</w:t>
      </w:r>
      <w:r w:rsidR="00586ECE">
        <w:t>-</w:t>
      </w:r>
      <w:r w:rsidRPr="007C1EA1">
        <w:t>tax interest rate.</w:t>
      </w:r>
    </w:p>
    <w:p w14:paraId="13C37920" w14:textId="75015061" w:rsidR="008C3D5E" w:rsidRPr="007C1EA1" w:rsidRDefault="003851C9" w:rsidP="008C3D5E">
      <w:pPr>
        <w:pStyle w:val="Heading2"/>
        <w:rPr>
          <w:rFonts w:eastAsia="Calibri"/>
          <w:lang w:eastAsia="en-US"/>
        </w:rPr>
      </w:pPr>
      <w:bookmarkStart w:id="12" w:name="_Toc108451950"/>
      <w:r>
        <w:rPr>
          <w:rFonts w:eastAsia="Calibri"/>
          <w:lang w:eastAsia="en-US"/>
        </w:rPr>
        <w:lastRenderedPageBreak/>
        <w:t xml:space="preserve">Augmenting the </w:t>
      </w:r>
      <w:r w:rsidR="00ED6D57">
        <w:rPr>
          <w:rFonts w:eastAsia="Calibri"/>
          <w:lang w:eastAsia="en-US"/>
        </w:rPr>
        <w:t xml:space="preserve">OECD </w:t>
      </w:r>
      <w:r>
        <w:rPr>
          <w:rFonts w:eastAsia="Calibri"/>
          <w:lang w:eastAsia="en-US"/>
        </w:rPr>
        <w:t xml:space="preserve">model for </w:t>
      </w:r>
      <w:r w:rsidR="0019018C">
        <w:rPr>
          <w:rFonts w:eastAsia="Calibri"/>
          <w:lang w:eastAsia="en-US"/>
        </w:rPr>
        <w:t>approved issuer levy (AIL) and non-resident withholding tax on interest</w:t>
      </w:r>
      <w:bookmarkEnd w:id="12"/>
    </w:p>
    <w:p w14:paraId="73EBE77D" w14:textId="1B23442E" w:rsidR="00C87A3B" w:rsidRDefault="006D6CC2" w:rsidP="008C3D5E">
      <w:pPr>
        <w:pStyle w:val="NumberedParagraph"/>
      </w:pPr>
      <w:r>
        <w:t>In chapter 4 of the LTIB and in Appendix 2</w:t>
      </w:r>
      <w:r w:rsidR="00DB3D45">
        <w:t xml:space="preserve"> below we augment the basic </w:t>
      </w:r>
      <w:r w:rsidR="00ED6D57">
        <w:t xml:space="preserve">OECD </w:t>
      </w:r>
      <w:r w:rsidR="00DB3D45">
        <w:t>model to take account of</w:t>
      </w:r>
      <w:r w:rsidR="000561DF">
        <w:t xml:space="preserve"> AIL and </w:t>
      </w:r>
      <w:r w:rsidR="00ED6D57">
        <w:t xml:space="preserve">NRWT on interest. </w:t>
      </w:r>
      <w:r w:rsidR="009B6CC9">
        <w:t xml:space="preserve">These levies and taxes may potentially lead to domestic real interest rates being higher than world real interest rates. </w:t>
      </w:r>
      <w:r w:rsidR="00D66934">
        <w:t>We will consider two potential types of company with marginal foreign shareholders.</w:t>
      </w:r>
    </w:p>
    <w:p w14:paraId="67D5922C" w14:textId="77777777" w:rsidR="0049524C" w:rsidRDefault="005A431B" w:rsidP="008C3D5E">
      <w:pPr>
        <w:pStyle w:val="NumberedParagraph"/>
      </w:pPr>
      <w:r>
        <w:t>As is discussed in Appendix 2, f</w:t>
      </w:r>
      <w:r w:rsidR="00C87A3B">
        <w:t>or domestic companie</w:t>
      </w:r>
      <w:r>
        <w:t xml:space="preserve">s with marginal foreign portfolio shareholders, AIL </w:t>
      </w:r>
      <w:r w:rsidR="00A03A29">
        <w:t xml:space="preserve">is </w:t>
      </w:r>
      <w:r>
        <w:t xml:space="preserve">likely to be relevant and be increasing domestic interest </w:t>
      </w:r>
      <w:r w:rsidR="00A03A29">
        <w:t>rates while NRWT on interest is unlikely to be relevant.</w:t>
      </w:r>
      <w:r w:rsidR="00A442DA">
        <w:t xml:space="preserve"> AIL is levied at a rate of </w:t>
      </w:r>
      <w:r w:rsidR="00F13675" w:rsidRPr="00F13675">
        <w:rPr>
          <w:position w:val="-10"/>
        </w:rPr>
        <w:object w:dxaOrig="1020" w:dyaOrig="320" w14:anchorId="06399E55">
          <v:shape id="_x0000_i1064" type="#_x0000_t75" style="width:50.25pt;height:15.75pt" o:ole="">
            <v:imagedata r:id="rId99" o:title=""/>
          </v:shape>
          <o:OLEObject Type="Embed" ProgID="Equation.DSMT4" ShapeID="_x0000_i1064" DrawAspect="Content" ObjectID="_1723472663" r:id="rId100"/>
        </w:object>
      </w:r>
      <w:r w:rsidR="00F13675">
        <w:t xml:space="preserve"> on nominal interest payment paid abroad.</w:t>
      </w:r>
      <w:r w:rsidR="009923D3">
        <w:t xml:space="preserve"> </w:t>
      </w:r>
      <w:r w:rsidR="00D16727">
        <w:t xml:space="preserve">Suppose that </w:t>
      </w:r>
      <w:r w:rsidR="00012085" w:rsidRPr="00491CED">
        <w:rPr>
          <w:position w:val="-10"/>
        </w:rPr>
        <w:object w:dxaOrig="1939" w:dyaOrig="320" w14:anchorId="7AA052FB">
          <v:shape id="_x0000_i1065" type="#_x0000_t75" style="width:97.5pt;height:15.75pt" o:ole="">
            <v:imagedata r:id="rId101" o:title=""/>
          </v:shape>
          <o:OLEObject Type="Embed" ProgID="Equation.DSMT4" ShapeID="_x0000_i1065" DrawAspect="Content" ObjectID="_1723472664" r:id="rId102"/>
        </w:object>
      </w:r>
      <w:r w:rsidR="00012085">
        <w:t xml:space="preserve"> is the nominal interest rate that non-residents rec</w:t>
      </w:r>
      <w:r w:rsidR="004D0770">
        <w:t xml:space="preserve">eive. The nominal interest rate that domestic firms will be paying inclusive of AIL will be </w:t>
      </w:r>
      <w:r w:rsidR="00A569C3" w:rsidRPr="00A41A3B">
        <w:rPr>
          <w:position w:val="-10"/>
        </w:rPr>
        <w:object w:dxaOrig="1500" w:dyaOrig="320" w14:anchorId="56DCCB90">
          <v:shape id="_x0000_i1066" type="#_x0000_t75" style="width:75pt;height:15.75pt" o:ole="">
            <v:imagedata r:id="rId103" o:title=""/>
          </v:shape>
          <o:OLEObject Type="Embed" ProgID="Equation.DSMT4" ShapeID="_x0000_i1066" DrawAspect="Content" ObjectID="_1723472665" r:id="rId104"/>
        </w:object>
      </w:r>
      <w:r w:rsidR="008E19A5">
        <w:t xml:space="preserve"> and the real interest paid will be</w:t>
      </w:r>
    </w:p>
    <w:p w14:paraId="79C90DCA" w14:textId="2F751E81" w:rsidR="0049524C" w:rsidRDefault="007B1D37" w:rsidP="00C92668">
      <w:pPr>
        <w:pStyle w:val="NumberedParagraph"/>
        <w:numPr>
          <w:ilvl w:val="0"/>
          <w:numId w:val="0"/>
        </w:numPr>
        <w:ind w:left="851"/>
        <w:jc w:val="center"/>
      </w:pPr>
      <w:r w:rsidRPr="008737F6">
        <w:rPr>
          <w:position w:val="-22"/>
        </w:rPr>
        <w:object w:dxaOrig="5820" w:dyaOrig="600" w14:anchorId="3C2EA22F">
          <v:shape id="_x0000_i1067" type="#_x0000_t75" style="width:291pt;height:30pt" o:ole="">
            <v:imagedata r:id="rId105" o:title=""/>
          </v:shape>
          <o:OLEObject Type="Embed" ProgID="Equation.DSMT4" ShapeID="_x0000_i1067" DrawAspect="Content" ObjectID="_1723472666" r:id="rId106"/>
        </w:object>
      </w:r>
    </w:p>
    <w:p w14:paraId="342B5BF5" w14:textId="5E9A1A8B" w:rsidR="0057131E" w:rsidRDefault="008437B4" w:rsidP="008C3D5E">
      <w:pPr>
        <w:pStyle w:val="NumberedParagraph"/>
      </w:pPr>
      <w:r>
        <w:t>To derive costs of capital and EMTRs for domestic companies with m</w:t>
      </w:r>
      <w:r w:rsidR="00CE1254">
        <w:t xml:space="preserve">arginal foreign portfolio shareholders in Appendix 2 we use this </w:t>
      </w:r>
      <w:r w:rsidR="00141DB1">
        <w:t xml:space="preserve">value of </w:t>
      </w:r>
      <w:r w:rsidR="005507DF" w:rsidRPr="008737F6">
        <w:rPr>
          <w:position w:val="-10"/>
        </w:rPr>
        <w:object w:dxaOrig="220" w:dyaOrig="320" w14:anchorId="353F3F4D">
          <v:shape id="_x0000_i1068" type="#_x0000_t75" style="width:10.5pt;height:15.75pt" o:ole="">
            <v:imagedata r:id="rId107" o:title=""/>
          </v:shape>
          <o:OLEObject Type="Embed" ProgID="Equation.DSMT4" ShapeID="_x0000_i1068" DrawAspect="Content" ObjectID="_1723472667" r:id="rId108"/>
        </w:object>
      </w:r>
      <w:r w:rsidR="005507DF">
        <w:t xml:space="preserve"> and equations (1) to (6) above</w:t>
      </w:r>
      <w:r w:rsidR="00CE1254">
        <w:t>.</w:t>
      </w:r>
    </w:p>
    <w:p w14:paraId="2B105307" w14:textId="2EED12CF" w:rsidR="00067AB7" w:rsidRDefault="00B20E8C" w:rsidP="008C3D5E">
      <w:pPr>
        <w:pStyle w:val="NumberedParagraph"/>
      </w:pPr>
      <w:r>
        <w:t>For foreign-controlled companies, interest payments to related parties a</w:t>
      </w:r>
      <w:r w:rsidR="008D56EF">
        <w:t xml:space="preserve">broad will be subject to NRWT at a rate </w:t>
      </w:r>
      <w:r w:rsidR="00BA28F5" w:rsidRPr="008737F6">
        <w:rPr>
          <w:position w:val="-10"/>
        </w:rPr>
        <w:object w:dxaOrig="240" w:dyaOrig="320" w14:anchorId="5ED87FB3">
          <v:shape id="_x0000_i1069" type="#_x0000_t75" style="width:12pt;height:15.75pt" o:ole="">
            <v:imagedata r:id="rId109" o:title=""/>
          </v:shape>
          <o:OLEObject Type="Embed" ProgID="Equation.DSMT4" ShapeID="_x0000_i1069" DrawAspect="Content" ObjectID="_1723472668" r:id="rId110"/>
        </w:object>
      </w:r>
      <w:r w:rsidR="00BA28F5">
        <w:t xml:space="preserve"> whereas interest payments to third parties are likely to be subject to AIL</w:t>
      </w:r>
      <w:r w:rsidR="00501867">
        <w:t xml:space="preserve">. Interest payments to related parties abroad are likely to </w:t>
      </w:r>
      <w:r w:rsidR="00D4440A">
        <w:t>need to be grossed up for NRWT on interest if NRWT is not creditable abroad but not if NRWT is fully creditable abroad. We introduce a dumm</w:t>
      </w:r>
      <w:r w:rsidR="007D7170">
        <w:t xml:space="preserve">y variable </w:t>
      </w:r>
      <w:r w:rsidR="00122D3A" w:rsidRPr="00122D3A">
        <w:rPr>
          <w:position w:val="-6"/>
        </w:rPr>
        <w:object w:dxaOrig="220" w:dyaOrig="200" w14:anchorId="64316C14">
          <v:shape id="_x0000_i1070" type="#_x0000_t75" style="width:10.5pt;height:10.5pt" o:ole="">
            <v:imagedata r:id="rId111" o:title=""/>
          </v:shape>
          <o:OLEObject Type="Embed" ProgID="Equation.DSMT4" ShapeID="_x0000_i1070" DrawAspect="Content" ObjectID="_1723472669" r:id="rId112"/>
        </w:object>
      </w:r>
      <w:r w:rsidR="00122D3A">
        <w:t xml:space="preserve"> which takes a value of 1 if NRWT is not creditable and</w:t>
      </w:r>
      <w:r w:rsidR="009411B0">
        <w:t xml:space="preserve"> 0 if NRWT is fully creditable. </w:t>
      </w:r>
      <w:r w:rsidR="005D5E25">
        <w:t>We denote the fraction of</w:t>
      </w:r>
      <w:r w:rsidR="00F374C2">
        <w:t xml:space="preserve"> debt that is related party by </w:t>
      </w:r>
      <w:r w:rsidR="006740C9" w:rsidRPr="008737F6">
        <w:rPr>
          <w:position w:val="-6"/>
        </w:rPr>
        <w:object w:dxaOrig="180" w:dyaOrig="240" w14:anchorId="2D1452B8">
          <v:shape id="_x0000_i1071" type="#_x0000_t75" style="width:8.25pt;height:12pt" o:ole="">
            <v:imagedata r:id="rId113" o:title=""/>
          </v:shape>
          <o:OLEObject Type="Embed" ProgID="Equation.DSMT4" ShapeID="_x0000_i1071" DrawAspect="Content" ObjectID="_1723472670" r:id="rId114"/>
        </w:object>
      </w:r>
      <w:r w:rsidR="006740C9">
        <w:t>.</w:t>
      </w:r>
    </w:p>
    <w:p w14:paraId="29CE6ED7" w14:textId="77777777" w:rsidR="00836502" w:rsidRDefault="00067AB7" w:rsidP="008C3D5E">
      <w:pPr>
        <w:pStyle w:val="NumberedParagraph"/>
      </w:pPr>
      <w:r>
        <w:t>The average nominal interest rate paid by these firms is</w:t>
      </w:r>
      <w:r w:rsidR="00836502">
        <w:t xml:space="preserve"> assumed to rise to</w:t>
      </w:r>
    </w:p>
    <w:p w14:paraId="350FA677" w14:textId="6851FAE6" w:rsidR="004661CC" w:rsidRDefault="006C3CFF" w:rsidP="00C92668">
      <w:pPr>
        <w:pStyle w:val="NumberedParagraph"/>
        <w:numPr>
          <w:ilvl w:val="0"/>
          <w:numId w:val="0"/>
        </w:numPr>
        <w:ind w:left="851"/>
        <w:jc w:val="center"/>
      </w:pPr>
      <w:r w:rsidRPr="008737F6">
        <w:rPr>
          <w:position w:val="-28"/>
        </w:rPr>
        <w:object w:dxaOrig="3200" w:dyaOrig="660" w14:anchorId="67F8EF45">
          <v:shape id="_x0000_i1072" type="#_x0000_t75" style="width:160.5pt;height:33pt" o:ole="">
            <v:imagedata r:id="rId115" o:title=""/>
          </v:shape>
          <o:OLEObject Type="Embed" ProgID="Equation.DSMT4" ShapeID="_x0000_i1072" DrawAspect="Content" ObjectID="_1723472671" r:id="rId116"/>
        </w:object>
      </w:r>
    </w:p>
    <w:p w14:paraId="112DA5C6" w14:textId="77777777" w:rsidR="007B00CE" w:rsidRDefault="00B048D9" w:rsidP="008C3D5E">
      <w:pPr>
        <w:pStyle w:val="NumberedParagraph"/>
      </w:pPr>
      <w:r>
        <w:t>The real domestic interest rate will be</w:t>
      </w:r>
    </w:p>
    <w:p w14:paraId="0E64F5E8" w14:textId="52DC725F" w:rsidR="007B00CE" w:rsidRDefault="00CF3FC2" w:rsidP="00C92668">
      <w:pPr>
        <w:pStyle w:val="NumberedParagraph"/>
        <w:numPr>
          <w:ilvl w:val="0"/>
          <w:numId w:val="0"/>
        </w:numPr>
        <w:ind w:left="851"/>
        <w:jc w:val="center"/>
      </w:pPr>
      <w:r w:rsidRPr="008737F6">
        <w:rPr>
          <w:position w:val="-22"/>
        </w:rPr>
        <w:object w:dxaOrig="1040" w:dyaOrig="580" w14:anchorId="476369F5">
          <v:shape id="_x0000_i1073" type="#_x0000_t75" style="width:52.5pt;height:29.25pt" o:ole="">
            <v:imagedata r:id="rId117" o:title=""/>
          </v:shape>
          <o:OLEObject Type="Embed" ProgID="Equation.DSMT4" ShapeID="_x0000_i1073" DrawAspect="Content" ObjectID="_1723472672" r:id="rId118"/>
        </w:object>
      </w:r>
    </w:p>
    <w:p w14:paraId="4D0A8555" w14:textId="6D254FD2" w:rsidR="008C3D5E" w:rsidRPr="007C1EA1" w:rsidRDefault="004F3862" w:rsidP="008C3D5E">
      <w:pPr>
        <w:pStyle w:val="NumberedParagraph"/>
      </w:pPr>
      <w:r>
        <w:t xml:space="preserve">To derive costs of capital and EMTRs for foreign controlled companies with marginal foreign </w:t>
      </w:r>
      <w:r w:rsidR="003A74E5">
        <w:t>direct</w:t>
      </w:r>
      <w:r>
        <w:t xml:space="preserve"> shareholders in Appendix 2 we use this value of </w:t>
      </w:r>
      <w:r w:rsidRPr="00EA29DA">
        <w:rPr>
          <w:position w:val="-10"/>
        </w:rPr>
        <w:object w:dxaOrig="220" w:dyaOrig="320" w14:anchorId="4C1C9EBC">
          <v:shape id="_x0000_i1074" type="#_x0000_t75" style="width:10.5pt;height:15.75pt" o:ole="">
            <v:imagedata r:id="rId107" o:title=""/>
          </v:shape>
          <o:OLEObject Type="Embed" ProgID="Equation.DSMT4" ShapeID="_x0000_i1074" DrawAspect="Content" ObjectID="_1723472673" r:id="rId119"/>
        </w:object>
      </w:r>
      <w:r>
        <w:t xml:space="preserve"> and equations (1) to (6) above.</w:t>
      </w:r>
    </w:p>
    <w:p w14:paraId="403463D7" w14:textId="77777777" w:rsidR="000706A9" w:rsidRDefault="000706A9" w:rsidP="001758FB">
      <w:pPr>
        <w:pStyle w:val="ListParagraph"/>
      </w:pPr>
    </w:p>
    <w:p w14:paraId="64F760B6" w14:textId="71179873" w:rsidR="00353059" w:rsidRDefault="00353059" w:rsidP="002F04EA">
      <w:pPr>
        <w:pStyle w:val="Heading1-Appendix"/>
        <w:ind w:left="0"/>
      </w:pPr>
      <w:r>
        <w:lastRenderedPageBreak/>
        <w:br/>
      </w:r>
      <w:r>
        <w:br/>
      </w:r>
      <w:bookmarkStart w:id="13" w:name="_Toc108451951"/>
      <w:r w:rsidRPr="00353059">
        <w:t xml:space="preserve">A deeper look at costs of capital and EMTRs </w:t>
      </w:r>
      <w:r w:rsidR="000F1AA9">
        <w:br/>
      </w:r>
      <w:r w:rsidRPr="00353059">
        <w:t>for New Zealand</w:t>
      </w:r>
      <w:bookmarkEnd w:id="13"/>
    </w:p>
    <w:p w14:paraId="039C74AF" w14:textId="77777777" w:rsidR="000C0C83" w:rsidRPr="000C0C83" w:rsidRDefault="000C0C83" w:rsidP="00B17507">
      <w:pPr>
        <w:pStyle w:val="Heading2"/>
        <w:rPr>
          <w:rFonts w:eastAsia="Calibri"/>
          <w:lang w:eastAsia="en-US"/>
        </w:rPr>
      </w:pPr>
      <w:bookmarkStart w:id="14" w:name="_Toc108451952"/>
      <w:r w:rsidRPr="000C0C83">
        <w:rPr>
          <w:rFonts w:eastAsia="Calibri"/>
          <w:lang w:eastAsia="en-US"/>
        </w:rPr>
        <w:t>Introduction</w:t>
      </w:r>
      <w:bookmarkEnd w:id="14"/>
    </w:p>
    <w:p w14:paraId="24350164" w14:textId="6B43BDED" w:rsidR="000C0C83" w:rsidRDefault="000C0C83" w:rsidP="00672A88">
      <w:pPr>
        <w:pStyle w:val="NumberedParagraph"/>
      </w:pPr>
      <w:r w:rsidRPr="000C0C83">
        <w:t xml:space="preserve">The OECD benchmarking exercise discussed in chapter 3 </w:t>
      </w:r>
      <w:r w:rsidR="000F68F9">
        <w:t xml:space="preserve">of the LTIB </w:t>
      </w:r>
      <w:r w:rsidRPr="000C0C83">
        <w:t>rest</w:t>
      </w:r>
      <w:r w:rsidR="000F68F9">
        <w:t>s</w:t>
      </w:r>
      <w:r w:rsidRPr="000C0C83">
        <w:t xml:space="preserve"> on assumptions the OECD has made and applied to all OECD countries. In this </w:t>
      </w:r>
      <w:r w:rsidR="006E2183">
        <w:t>appendix</w:t>
      </w:r>
      <w:r w:rsidRPr="000C0C83">
        <w:t>, we modify and extend the analysis in various ways.</w:t>
      </w:r>
      <w:r w:rsidR="00B8583E">
        <w:t xml:space="preserve"> </w:t>
      </w:r>
      <w:r w:rsidR="00B8583E" w:rsidRPr="00F97365">
        <w:t>Some of the key results from this appendix are discussed in chapter 4 of the LTIB</w:t>
      </w:r>
      <w:r w:rsidR="00B8583E" w:rsidRPr="00E574CD">
        <w:t>.</w:t>
      </w:r>
    </w:p>
    <w:p w14:paraId="634C15EE" w14:textId="2096092A" w:rsidR="000C0C83" w:rsidRPr="000C0C83" w:rsidRDefault="0062391C" w:rsidP="008C3DFF">
      <w:pPr>
        <w:pStyle w:val="NumberedParagraph"/>
      </w:pPr>
      <w:r>
        <w:t xml:space="preserve">The </w:t>
      </w:r>
      <w:r w:rsidR="000C0C83" w:rsidRPr="000C0C83">
        <w:t xml:space="preserve">OECD analysis provides a single estimated cost of capital and a single estimated EMTR for non-building tangible assets. However, there are different types of these assets, with different economic and tax depreciation rates. This will lead to a variety of costs of capital and EMTRs. Focusing on these different values allows potential tax biases between different types of these assets to be examined. The OECD analysis assumes a debt level of 35% and an inflation rate of 1% per annum. </w:t>
      </w:r>
      <w:r w:rsidR="00B91801">
        <w:t>W</w:t>
      </w:r>
      <w:r w:rsidR="000C0C83" w:rsidRPr="000C0C83">
        <w:t xml:space="preserve">e rework this analysis to allow for a slightly higher debt level (which better reflects average debt levels in New Zealand) and a higher inflation rate of 2% (which is in the middle of the Reserve Bank’s target range). </w:t>
      </w:r>
      <w:r w:rsidR="00D2433F">
        <w:t>Currently</w:t>
      </w:r>
      <w:r w:rsidR="00DF50C7">
        <w:t>,</w:t>
      </w:r>
      <w:r w:rsidR="00D2433F">
        <w:t xml:space="preserve"> inflation is running at a significantly higher rate.</w:t>
      </w:r>
      <w:r w:rsidR="00C939D5">
        <w:t xml:space="preserve"> </w:t>
      </w:r>
      <w:r w:rsidR="00FD0179">
        <w:t>CPI i</w:t>
      </w:r>
      <w:r w:rsidR="00D2433F">
        <w:t xml:space="preserve">nflation </w:t>
      </w:r>
      <w:r w:rsidR="00FD0179">
        <w:t xml:space="preserve">over the year ending with the </w:t>
      </w:r>
      <w:r w:rsidR="002F2066">
        <w:t xml:space="preserve">June </w:t>
      </w:r>
      <w:r w:rsidR="00FD0179">
        <w:t xml:space="preserve">quarter 2022 was </w:t>
      </w:r>
      <w:r w:rsidR="002F2066">
        <w:t>7.3</w:t>
      </w:r>
      <w:r w:rsidR="00FD0179">
        <w:t>%</w:t>
      </w:r>
      <w:r w:rsidR="000A7F46">
        <w:t xml:space="preserve">. However, </w:t>
      </w:r>
      <w:r w:rsidR="001F7A35">
        <w:t>over</w:t>
      </w:r>
      <w:r w:rsidR="00CA5245">
        <w:t xml:space="preserve"> time</w:t>
      </w:r>
      <w:r w:rsidR="00336837">
        <w:t>,</w:t>
      </w:r>
      <w:r w:rsidR="00CA5245">
        <w:t xml:space="preserve"> inflation is expected to move back towards the middle of the Reserve Bank target range. In its </w:t>
      </w:r>
      <w:r w:rsidR="00C84ABD">
        <w:t xml:space="preserve">Budget and Economic Fiscal update 2022, the Treasury is </w:t>
      </w:r>
      <w:r w:rsidR="005A19F6">
        <w:t xml:space="preserve">estimating the CPI inflation will have been reduced to 2.2% </w:t>
      </w:r>
      <w:r w:rsidR="00523023">
        <w:t xml:space="preserve">by 2026. </w:t>
      </w:r>
      <w:r w:rsidR="009843D9" w:rsidRPr="000C0C83">
        <w:t xml:space="preserve">The OECD study ignores non-resident withholding tax (NRWT) on interest and the approved issuer levy (AIL). </w:t>
      </w:r>
      <w:r w:rsidR="00BC5FBB">
        <w:t xml:space="preserve">In </w:t>
      </w:r>
      <w:r w:rsidR="00BC5FBB" w:rsidRPr="00E972BF">
        <w:t>2.</w:t>
      </w:r>
      <w:r w:rsidR="00C14497" w:rsidRPr="00E972BF">
        <w:t>6</w:t>
      </w:r>
      <w:r w:rsidR="00BC5FBB" w:rsidRPr="00E972BF">
        <w:t xml:space="preserve"> to 2.</w:t>
      </w:r>
      <w:r w:rsidR="00E1601D" w:rsidRPr="00E972BF">
        <w:t>32</w:t>
      </w:r>
      <w:r w:rsidR="00BC5FBB">
        <w:t xml:space="preserve"> </w:t>
      </w:r>
      <w:r w:rsidR="00D0664D">
        <w:t xml:space="preserve">we rework the OECD analysis in a model </w:t>
      </w:r>
      <w:r w:rsidR="00465867">
        <w:t>that</w:t>
      </w:r>
      <w:r w:rsidR="00D0664D">
        <w:t xml:space="preserve">, like the OECD’s analysis, ignores </w:t>
      </w:r>
      <w:r w:rsidR="002D3A60">
        <w:t xml:space="preserve">both </w:t>
      </w:r>
      <w:r w:rsidR="00D0664D">
        <w:t>NRWT on interest and</w:t>
      </w:r>
      <w:r w:rsidR="002D3A60">
        <w:t xml:space="preserve"> AIL.</w:t>
      </w:r>
    </w:p>
    <w:p w14:paraId="78F23E79" w14:textId="5F9956CD" w:rsidR="000C0C83" w:rsidRPr="00284DAE" w:rsidRDefault="000C0C83" w:rsidP="008C3DFF">
      <w:pPr>
        <w:pStyle w:val="NumberedParagraph"/>
      </w:pPr>
      <w:r w:rsidRPr="000C0C83">
        <w:t xml:space="preserve">In </w:t>
      </w:r>
      <w:r w:rsidR="00F56EDC" w:rsidRPr="00E972BF">
        <w:t>2.33</w:t>
      </w:r>
      <w:r w:rsidR="0018593A" w:rsidRPr="00E972BF">
        <w:t xml:space="preserve"> to </w:t>
      </w:r>
      <w:r w:rsidR="00A05685" w:rsidRPr="00E972BF">
        <w:t>2.6</w:t>
      </w:r>
      <w:r w:rsidR="00F20648" w:rsidRPr="00E972BF">
        <w:t>4</w:t>
      </w:r>
      <w:r w:rsidRPr="00E972BF">
        <w:t>,</w:t>
      </w:r>
      <w:r w:rsidRPr="000C0C83">
        <w:t xml:space="preserve"> we </w:t>
      </w:r>
      <w:r w:rsidR="007F7873">
        <w:t>extend</w:t>
      </w:r>
      <w:r w:rsidRPr="000C0C83">
        <w:t xml:space="preserve"> the analysis to take account of NRWT </w:t>
      </w:r>
      <w:r w:rsidR="00AE4050">
        <w:t xml:space="preserve">on interest </w:t>
      </w:r>
      <w:r w:rsidRPr="000C0C83">
        <w:t xml:space="preserve">and AIL. </w:t>
      </w:r>
      <w:r w:rsidR="00D62065" w:rsidRPr="000C0C83">
        <w:t xml:space="preserve">The OECD does not consider how thin capitalisation rules might affect the analysis. </w:t>
      </w:r>
      <w:r w:rsidRPr="000C0C83">
        <w:t>W</w:t>
      </w:r>
      <w:r w:rsidR="00284DAE">
        <w:t>e also</w:t>
      </w:r>
      <w:r w:rsidR="00D62065">
        <w:t xml:space="preserve"> </w:t>
      </w:r>
      <w:r w:rsidR="00052ABF">
        <w:t>have some discussion of this issue</w:t>
      </w:r>
      <w:r w:rsidR="00284DAE" w:rsidRPr="008C1D58">
        <w:t>. However</w:t>
      </w:r>
      <w:r w:rsidR="00895877">
        <w:t>,</w:t>
      </w:r>
      <w:r w:rsidRPr="008C1D58">
        <w:t xml:space="preserve"> we are unable to provide a satisfactory way of allowing for changes in thin capitalisation provisions on costs of capital.</w:t>
      </w:r>
      <w:r w:rsidR="00E13D3B" w:rsidRPr="008C1D58">
        <w:t xml:space="preserve"> We </w:t>
      </w:r>
      <w:r w:rsidR="00765120" w:rsidRPr="008C1D58">
        <w:t>have</w:t>
      </w:r>
      <w:r w:rsidR="00E13D3B" w:rsidRPr="008C1D58">
        <w:t xml:space="preserve"> also </w:t>
      </w:r>
      <w:r w:rsidR="00EE07DC" w:rsidRPr="008C1D58">
        <w:t xml:space="preserve">been </w:t>
      </w:r>
      <w:r w:rsidR="00E13D3B" w:rsidRPr="008C1D58">
        <w:t xml:space="preserve">unable to estimate how </w:t>
      </w:r>
      <w:r w:rsidR="00284F8C" w:rsidRPr="008C1D58">
        <w:t xml:space="preserve">the </w:t>
      </w:r>
      <w:r w:rsidR="00E13D3B" w:rsidRPr="008C1D58">
        <w:t>restricted transfer pricing rules</w:t>
      </w:r>
      <w:r w:rsidR="00284F8C" w:rsidRPr="008C1D58">
        <w:t>,</w:t>
      </w:r>
      <w:r w:rsidR="00E13D3B" w:rsidRPr="008C1D58">
        <w:t xml:space="preserve"> which limited rates at which interest </w:t>
      </w:r>
      <w:r w:rsidR="00E13D3B" w:rsidRPr="00E92AC3">
        <w:t xml:space="preserve">could be deducted </w:t>
      </w:r>
      <w:r w:rsidR="003D79A1" w:rsidRPr="00E92AC3">
        <w:t>for income years starting on or after 1 July 2018</w:t>
      </w:r>
      <w:r w:rsidR="00284F8C" w:rsidRPr="00E92AC3">
        <w:t>,</w:t>
      </w:r>
      <w:r w:rsidR="003D79A1" w:rsidRPr="00E92AC3">
        <w:t xml:space="preserve"> </w:t>
      </w:r>
      <w:r w:rsidR="0018593A" w:rsidRPr="00E92AC3">
        <w:t xml:space="preserve">will </w:t>
      </w:r>
      <w:r w:rsidR="00E13D3B" w:rsidRPr="00E92AC3">
        <w:t xml:space="preserve">have impacted costs of </w:t>
      </w:r>
      <w:r w:rsidR="00E13D3B" w:rsidRPr="008C1D58">
        <w:t>capital.</w:t>
      </w:r>
    </w:p>
    <w:p w14:paraId="06A29378" w14:textId="26746A8C" w:rsidR="005A1AE5" w:rsidRPr="00B06E27" w:rsidRDefault="0015706C" w:rsidP="008C3DFF">
      <w:pPr>
        <w:pStyle w:val="NumberedParagraph"/>
      </w:pPr>
      <w:r>
        <w:t>In most of the analysis</w:t>
      </w:r>
      <w:r w:rsidR="00B51421">
        <w:t>,</w:t>
      </w:r>
      <w:r>
        <w:t xml:space="preserve"> we use the OECD assumption that</w:t>
      </w:r>
      <w:r w:rsidR="00AA6864">
        <w:t xml:space="preserve"> non-resident </w:t>
      </w:r>
      <w:r w:rsidR="00996397">
        <w:t>marginal providers of debt and equity finance require a 3% real return on their capital</w:t>
      </w:r>
      <w:r w:rsidR="00D043C6">
        <w:t>,</w:t>
      </w:r>
      <w:r w:rsidR="00996397">
        <w:t xml:space="preserve"> net of New Zealand taxes.</w:t>
      </w:r>
      <w:r w:rsidR="00E64783">
        <w:rPr>
          <w:rStyle w:val="FootnoteReference"/>
        </w:rPr>
        <w:footnoteReference w:id="8"/>
      </w:r>
      <w:r w:rsidR="00C939D5">
        <w:t xml:space="preserve"> </w:t>
      </w:r>
      <w:r w:rsidR="005C016E">
        <w:t xml:space="preserve">Some studies have assumed that </w:t>
      </w:r>
      <w:r w:rsidR="006E5DD2">
        <w:t xml:space="preserve">marginal </w:t>
      </w:r>
      <w:r w:rsidR="006E5DD2">
        <w:lastRenderedPageBreak/>
        <w:t>investor</w:t>
      </w:r>
      <w:r w:rsidR="00150700">
        <w:t>s</w:t>
      </w:r>
      <w:r w:rsidR="006E5DD2">
        <w:t xml:space="preserve"> require higher returns than this. Implications </w:t>
      </w:r>
      <w:r w:rsidR="00F86F1E">
        <w:t xml:space="preserve">of higher required returns </w:t>
      </w:r>
      <w:r w:rsidR="006E5DD2">
        <w:t xml:space="preserve">for costs of capital and </w:t>
      </w:r>
      <w:r w:rsidR="001E0CEB">
        <w:t xml:space="preserve">EMTRs are </w:t>
      </w:r>
      <w:r w:rsidR="001E0CEB" w:rsidRPr="00B06E27">
        <w:t xml:space="preserve">explored in </w:t>
      </w:r>
      <w:r w:rsidR="00DD3FC7" w:rsidRPr="00B06E27">
        <w:t>2.6</w:t>
      </w:r>
      <w:r w:rsidR="00F20648" w:rsidRPr="00B06E27">
        <w:t>5</w:t>
      </w:r>
      <w:r w:rsidR="00DD3FC7" w:rsidRPr="00B06E27">
        <w:t xml:space="preserve"> to </w:t>
      </w:r>
      <w:r w:rsidRPr="00B06E27">
        <w:t>2.6</w:t>
      </w:r>
      <w:r w:rsidR="00F20648" w:rsidRPr="00B06E27">
        <w:t>7</w:t>
      </w:r>
      <w:r w:rsidR="001E0CEB" w:rsidRPr="00B06E27">
        <w:t>.</w:t>
      </w:r>
    </w:p>
    <w:p w14:paraId="235BAABF" w14:textId="64583390" w:rsidR="000C0C83" w:rsidRDefault="00331285" w:rsidP="008C3DFF">
      <w:pPr>
        <w:pStyle w:val="NumberedParagraph"/>
      </w:pPr>
      <w:r w:rsidRPr="00B06E27">
        <w:t>T</w:t>
      </w:r>
      <w:r w:rsidR="000C0C83" w:rsidRPr="00B06E27">
        <w:t xml:space="preserve">he analysis </w:t>
      </w:r>
      <w:r w:rsidR="00134331" w:rsidRPr="00B06E27">
        <w:t>discussed so far</w:t>
      </w:r>
      <w:r w:rsidR="000C0C83" w:rsidRPr="00B06E27">
        <w:t xml:space="preserve"> rests on a variant of the OECD’s model of companies where non-residents are marginal shareholders. However, SMEs operating in New Zealand may often have negligible amounts of foreign equity capital. In</w:t>
      </w:r>
      <w:r w:rsidR="001D1922" w:rsidRPr="00B06E27">
        <w:t xml:space="preserve"> </w:t>
      </w:r>
      <w:r w:rsidR="0018593A" w:rsidRPr="00B06E27">
        <w:t>2.6</w:t>
      </w:r>
      <w:r w:rsidR="00A669AD" w:rsidRPr="00B06E27">
        <w:t>8</w:t>
      </w:r>
      <w:r w:rsidR="0018593A" w:rsidRPr="00B06E27">
        <w:t xml:space="preserve"> to 2.7</w:t>
      </w:r>
      <w:r w:rsidR="00A669AD" w:rsidRPr="00B06E27">
        <w:t>4</w:t>
      </w:r>
      <w:r w:rsidR="000C0C83" w:rsidRPr="00B06E27">
        <w:t xml:space="preserve"> we also consider the domestic SME model that was outlined in appendix 1. In that model, domestic</w:t>
      </w:r>
      <w:r w:rsidR="000C0C83" w:rsidRPr="000C0C83">
        <w:t xml:space="preserve"> residents who borrow and lend on world markets are assumed to be the marginal shareholders. In this case</w:t>
      </w:r>
      <w:r w:rsidR="00F7592F">
        <w:t>,</w:t>
      </w:r>
      <w:r w:rsidR="000C0C83" w:rsidRPr="000C0C83">
        <w:t xml:space="preserve"> </w:t>
      </w:r>
      <w:r w:rsidR="00FF629A">
        <w:t xml:space="preserve">EMTRs may often be </w:t>
      </w:r>
      <w:r w:rsidR="002D21BA">
        <w:t>negative</w:t>
      </w:r>
      <w:r w:rsidR="000C0C83" w:rsidRPr="000C0C83">
        <w:t>.</w:t>
      </w:r>
    </w:p>
    <w:p w14:paraId="0EB221FB" w14:textId="25108900" w:rsidR="000C0C83" w:rsidRPr="000C0C83" w:rsidRDefault="00542C4B" w:rsidP="00B17507">
      <w:pPr>
        <w:pStyle w:val="Heading2"/>
        <w:rPr>
          <w:rFonts w:eastAsia="Calibri"/>
          <w:lang w:eastAsia="en-US"/>
        </w:rPr>
      </w:pPr>
      <w:bookmarkStart w:id="15" w:name="_Toc108451953"/>
      <w:r>
        <w:rPr>
          <w:rFonts w:eastAsia="Calibri"/>
          <w:lang w:eastAsia="en-US"/>
        </w:rPr>
        <w:t>Extending the OECD model t</w:t>
      </w:r>
      <w:r w:rsidR="00283BE6">
        <w:rPr>
          <w:rFonts w:eastAsia="Calibri"/>
          <w:lang w:eastAsia="en-US"/>
        </w:rPr>
        <w:t xml:space="preserve">o take account of New Zealand settings – no NRWT on interest </w:t>
      </w:r>
      <w:r w:rsidR="00B35547">
        <w:rPr>
          <w:rFonts w:eastAsia="Calibri"/>
          <w:lang w:eastAsia="en-US"/>
        </w:rPr>
        <w:t>and no</w:t>
      </w:r>
      <w:r w:rsidR="00283BE6">
        <w:rPr>
          <w:rFonts w:eastAsia="Calibri"/>
          <w:lang w:eastAsia="en-US"/>
        </w:rPr>
        <w:t xml:space="preserve"> AIL</w:t>
      </w:r>
      <w:bookmarkEnd w:id="15"/>
    </w:p>
    <w:p w14:paraId="62CE4BB6" w14:textId="76C432CE" w:rsidR="000C0C83" w:rsidRPr="000C0C83" w:rsidRDefault="00276CB9" w:rsidP="008C3DFF">
      <w:pPr>
        <w:pStyle w:val="NumberedParagraph"/>
      </w:pPr>
      <w:r>
        <w:t xml:space="preserve">In this section we </w:t>
      </w:r>
      <w:r w:rsidR="002D1338">
        <w:t xml:space="preserve">make a </w:t>
      </w:r>
      <w:r>
        <w:t xml:space="preserve">start </w:t>
      </w:r>
      <w:r w:rsidR="002D1338">
        <w:t>on</w:t>
      </w:r>
      <w:r>
        <w:t xml:space="preserve"> extend</w:t>
      </w:r>
      <w:r w:rsidR="002D1338">
        <w:t xml:space="preserve">ing </w:t>
      </w:r>
      <w:r>
        <w:t xml:space="preserve">the OECD </w:t>
      </w:r>
      <w:r w:rsidR="002D1338">
        <w:t xml:space="preserve">model to take account of New Zealand settings. </w:t>
      </w:r>
      <w:r w:rsidR="00EB250B">
        <w:t>We consider a broader set of assets and</w:t>
      </w:r>
      <w:r w:rsidR="004E7518">
        <w:t xml:space="preserve"> examine how costs of capital and EMTRs can be affected by inflation.</w:t>
      </w:r>
      <w:r w:rsidR="008C5540">
        <w:t xml:space="preserve"> As in the OECD analysis we ignore </w:t>
      </w:r>
      <w:r w:rsidR="00B85B76">
        <w:t>non-resident withholding tax (</w:t>
      </w:r>
      <w:r w:rsidR="008C5540">
        <w:t>NRWT</w:t>
      </w:r>
      <w:r w:rsidR="00B85B76">
        <w:t>)</w:t>
      </w:r>
      <w:r w:rsidR="008C5540">
        <w:t xml:space="preserve"> on interest</w:t>
      </w:r>
      <w:r w:rsidR="00B85B76">
        <w:t xml:space="preserve"> </w:t>
      </w:r>
      <w:r w:rsidR="00454A4F">
        <w:t>and</w:t>
      </w:r>
      <w:r w:rsidR="00B85B76">
        <w:t xml:space="preserve"> the approved issuer levy (AIL). </w:t>
      </w:r>
      <w:r w:rsidR="008744A3">
        <w:t xml:space="preserve">These taxes and levies will be </w:t>
      </w:r>
      <w:r w:rsidR="00454A4F">
        <w:t>considered</w:t>
      </w:r>
      <w:r w:rsidR="008744A3">
        <w:t xml:space="preserve"> </w:t>
      </w:r>
      <w:r w:rsidR="00EA0161">
        <w:t>later in this appendix.</w:t>
      </w:r>
    </w:p>
    <w:p w14:paraId="1F3B616E" w14:textId="18F4D6A0" w:rsidR="000C0C83" w:rsidRPr="000C0C83" w:rsidRDefault="000C0C83" w:rsidP="008C3DFF">
      <w:pPr>
        <w:pStyle w:val="NumberedParagraph"/>
      </w:pPr>
      <w:r w:rsidRPr="000C0C83">
        <w:t xml:space="preserve">The OECD analysis provides a single point estimate of a cost of capital for </w:t>
      </w:r>
      <w:r w:rsidR="007E17C7">
        <w:t xml:space="preserve">assets they describe as </w:t>
      </w:r>
      <w:r w:rsidR="00DE6576">
        <w:t>‘</w:t>
      </w:r>
      <w:r w:rsidR="007E17C7">
        <w:t>tangible assets</w:t>
      </w:r>
      <w:r w:rsidR="00DE6576">
        <w:t>’,</w:t>
      </w:r>
      <w:r w:rsidR="007E17C7">
        <w:t xml:space="preserve"> whi</w:t>
      </w:r>
      <w:r w:rsidR="00555C5A">
        <w:t>c</w:t>
      </w:r>
      <w:r w:rsidR="007E17C7">
        <w:t>h are</w:t>
      </w:r>
      <w:r w:rsidR="00AB7110">
        <w:t xml:space="preserve"> </w:t>
      </w:r>
      <w:r w:rsidRPr="000C0C83">
        <w:t>tangible assets</w:t>
      </w:r>
      <w:r w:rsidR="00D8198E">
        <w:t xml:space="preserve"> other than buildings</w:t>
      </w:r>
      <w:r w:rsidRPr="000C0C83">
        <w:t>. For example, with a 3% real interest rate</w:t>
      </w:r>
      <w:r w:rsidR="00DE6576">
        <w:t>,</w:t>
      </w:r>
      <w:r w:rsidRPr="000C0C83">
        <w:t xml:space="preserve"> and when debt is 35% of capital, New Zealand is estimated to have a cost of capital of 3.9</w:t>
      </w:r>
      <w:r w:rsidR="00AB7110">
        <w:t>%</w:t>
      </w:r>
      <w:r w:rsidRPr="000C0C83">
        <w:t>.</w:t>
      </w:r>
    </w:p>
    <w:p w14:paraId="44158A68" w14:textId="3B2C46C4" w:rsidR="000C0C83" w:rsidRPr="000C0C83" w:rsidRDefault="000C0C83" w:rsidP="008C3DFF">
      <w:pPr>
        <w:pStyle w:val="NumberedParagraph"/>
      </w:pPr>
      <w:r w:rsidRPr="000C0C83">
        <w:t>This single point estimate approach has some costs and benefits. Presenting a single point estimate can allow a comparison of costs of capital across countries. However, for our purposes, it is more useful to have a range of possible values. If there is a large range of different costs of capital for different tangible assets</w:t>
      </w:r>
      <w:r w:rsidR="00BE1FAE">
        <w:t xml:space="preserve"> other than buildings</w:t>
      </w:r>
      <w:r w:rsidRPr="000C0C83">
        <w:t xml:space="preserve">, biases in the way different </w:t>
      </w:r>
      <w:r w:rsidR="006C7D99">
        <w:t xml:space="preserve">types </w:t>
      </w:r>
      <w:r w:rsidRPr="000C0C83">
        <w:t xml:space="preserve">of these assets are taxed may be as important as any biases between the average for these assets and other classes of asset. </w:t>
      </w:r>
      <w:r w:rsidR="00A37DED">
        <w:t>D</w:t>
      </w:r>
      <w:r w:rsidRPr="000C0C83">
        <w:t xml:space="preserve">ifferent possible tax changes may either increase or </w:t>
      </w:r>
      <w:r w:rsidR="00962F9E">
        <w:t>decreas</w:t>
      </w:r>
      <w:r w:rsidRPr="000C0C83">
        <w:t>e the</w:t>
      </w:r>
      <w:r w:rsidR="00A37DED">
        <w:t>se</w:t>
      </w:r>
      <w:r w:rsidRPr="000C0C83">
        <w:t xml:space="preserve"> biases.</w:t>
      </w:r>
    </w:p>
    <w:p w14:paraId="096BA2A2" w14:textId="0E9A82CC" w:rsidR="000C0C83" w:rsidRPr="000C0C83" w:rsidRDefault="000C0C83" w:rsidP="008C3DFF">
      <w:pPr>
        <w:pStyle w:val="NumberedParagraph"/>
      </w:pPr>
      <w:r w:rsidRPr="000C0C83">
        <w:t xml:space="preserve">In New Zealand, depreciation deductions are set </w:t>
      </w:r>
      <w:r w:rsidR="00280C0A">
        <w:t xml:space="preserve">in an </w:t>
      </w:r>
      <w:r w:rsidRPr="000C0C83">
        <w:t>attempt</w:t>
      </w:r>
      <w:r w:rsidR="00FB0567">
        <w:t xml:space="preserve"> </w:t>
      </w:r>
      <w:r w:rsidRPr="000C0C83">
        <w:t xml:space="preserve">to reflect </w:t>
      </w:r>
      <w:r w:rsidR="00280C0A">
        <w:t>‘</w:t>
      </w:r>
      <w:r w:rsidRPr="000C0C83">
        <w:t>economic depreciation</w:t>
      </w:r>
      <w:r w:rsidR="00280C0A">
        <w:t>’</w:t>
      </w:r>
      <w:r w:rsidRPr="000C0C83">
        <w:t>, namely, how assets will actually decline in value. However, there has been no attempt to take account of inflation in setting these values.</w:t>
      </w:r>
      <w:r w:rsidR="00450648">
        <w:t xml:space="preserve"> </w:t>
      </w:r>
      <w:r w:rsidR="008B46BD">
        <w:t xml:space="preserve">In </w:t>
      </w:r>
      <w:r w:rsidR="00C74B3F">
        <w:t xml:space="preserve">setting depreciation rates, inflation has been </w:t>
      </w:r>
      <w:r w:rsidR="00E94DEF">
        <w:t>ignored</w:t>
      </w:r>
      <w:r w:rsidR="00E635AD">
        <w:t xml:space="preserve"> (or </w:t>
      </w:r>
      <w:r w:rsidR="009607A4">
        <w:t>taken</w:t>
      </w:r>
      <w:r w:rsidR="00C74B3F">
        <w:t xml:space="preserve"> to be zero</w:t>
      </w:r>
      <w:r w:rsidR="00E635AD">
        <w:t>)</w:t>
      </w:r>
      <w:r w:rsidR="00C74B3F">
        <w:t xml:space="preserve">. </w:t>
      </w:r>
      <w:r w:rsidR="00F73CF5">
        <w:t xml:space="preserve">This was discussed in a 2004 </w:t>
      </w:r>
      <w:r w:rsidR="00F63397">
        <w:t xml:space="preserve">New Zealand officials’ </w:t>
      </w:r>
      <w:r w:rsidR="006B18E2">
        <w:t>i</w:t>
      </w:r>
      <w:r w:rsidR="008E3BBB">
        <w:t xml:space="preserve">ssues </w:t>
      </w:r>
      <w:r w:rsidR="006B18E2">
        <w:t>p</w:t>
      </w:r>
      <w:r w:rsidR="008E3BBB">
        <w:t xml:space="preserve">aper on </w:t>
      </w:r>
      <w:r w:rsidR="006B18E2">
        <w:t>d</w:t>
      </w:r>
      <w:r w:rsidR="46AB52D9">
        <w:t>epreciation</w:t>
      </w:r>
      <w:r w:rsidR="008E3BBB">
        <w:t>.</w:t>
      </w:r>
      <w:r w:rsidR="008E3BBB">
        <w:rPr>
          <w:rStyle w:val="FootnoteReference"/>
        </w:rPr>
        <w:footnoteReference w:id="9"/>
      </w:r>
      <w:r w:rsidRPr="000C0C83">
        <w:t xml:space="preserve"> In practice</w:t>
      </w:r>
      <w:r w:rsidR="00F73CF5">
        <w:t>,</w:t>
      </w:r>
      <w:r w:rsidRPr="000C0C83">
        <w:t xml:space="preserve"> New Zealand and most other countries have very poor information on how assets fall in value. The OECD’s estimates of economic depreciation are based on estimates by the Bureau of Economic Analysis (BEA) in the United States.</w:t>
      </w:r>
      <w:r w:rsidR="00A964B5">
        <w:rPr>
          <w:rStyle w:val="FootnoteReference"/>
        </w:rPr>
        <w:footnoteReference w:id="10"/>
      </w:r>
      <w:r w:rsidRPr="000C0C83">
        <w:t xml:space="preserve"> These appear to be the most widely used estimates of economic depreciation and have the benefit of being from an independent agency.</w:t>
      </w:r>
    </w:p>
    <w:p w14:paraId="014AD515" w14:textId="16725C54" w:rsidR="000C0C83" w:rsidRPr="000C0C83" w:rsidRDefault="000C0C83" w:rsidP="008C3DFF">
      <w:pPr>
        <w:pStyle w:val="NumberedParagraph"/>
      </w:pPr>
      <w:r w:rsidRPr="000C0C83">
        <w:t xml:space="preserve">There are several difficulties in attempting to use these BEA estimates of economic depreciation for estimating costs of capital in New Zealand. An obvious concern is that the BEA estimates were derived for a different country </w:t>
      </w:r>
      <w:r w:rsidRPr="000C0C83">
        <w:lastRenderedPageBreak/>
        <w:t>(the United States) and reflect data that has been put together over a long period of time</w:t>
      </w:r>
      <w:r w:rsidR="0023796B">
        <w:t>. The data</w:t>
      </w:r>
      <w:r w:rsidRPr="000C0C83">
        <w:t xml:space="preserve"> can often be quite dated. However, another concern may be </w:t>
      </w:r>
      <w:r w:rsidR="009F273C">
        <w:t xml:space="preserve">even </w:t>
      </w:r>
      <w:r w:rsidRPr="000C0C83">
        <w:t>more important. This is the fact that categories of assets used in the BEA study are often quite different from those New Zealand uses for tax purposes. It therefore becomes very difficult to match tax depreciation rates for tangible assets</w:t>
      </w:r>
      <w:r w:rsidR="004D7104">
        <w:t xml:space="preserve"> other than buildings</w:t>
      </w:r>
      <w:r w:rsidRPr="000C0C83">
        <w:t xml:space="preserve"> in New Zealand against estimates of economic depreciation from the BEA study. This means that OECD estimates of costs of capital and EMTRs will be approximate at best.</w:t>
      </w:r>
    </w:p>
    <w:p w14:paraId="2EDD2AE5" w14:textId="3C4CD04B" w:rsidR="000C0C83" w:rsidRDefault="000C0C83" w:rsidP="008C3DFF">
      <w:pPr>
        <w:pStyle w:val="NumberedParagraph"/>
      </w:pPr>
      <w:r w:rsidRPr="000C0C83">
        <w:t>To sidestep these problems as much as possible, we use an alternative approach. We examine what would happen if tax depreciation rates did successfully reflect how assets would depreciate in the absence of inflation. We see that even if we were perfectly successful in hitting our target, some important distortions w</w:t>
      </w:r>
      <w:r w:rsidR="00F90ABA">
        <w:t>ould</w:t>
      </w:r>
      <w:r w:rsidRPr="000C0C83">
        <w:t xml:space="preserve"> arise with even minor levels of inflation. Because we are likely to be some distance from successfully setting depreciation rates to mirror how assets would depreciate in the absence of inflation, New Zealand’s range of costs of capital is likely to be larger than our estimated range.</w:t>
      </w:r>
    </w:p>
    <w:p w14:paraId="791B99E3" w14:textId="77777777" w:rsidR="0029729D" w:rsidRPr="0029729D" w:rsidRDefault="0029729D" w:rsidP="008C3DFF">
      <w:pPr>
        <w:pStyle w:val="NumberedParagraph"/>
      </w:pPr>
      <w:r w:rsidRPr="0029729D">
        <w:t>We also report results for a somewhat broader set of assets than the OECD considers, namely:</w:t>
      </w:r>
    </w:p>
    <w:p w14:paraId="1203176D" w14:textId="77777777" w:rsidR="0029729D" w:rsidRPr="0029729D" w:rsidRDefault="0029729D" w:rsidP="008C3DFF">
      <w:pPr>
        <w:pStyle w:val="NumberedParagraph-BulletL1"/>
      </w:pPr>
      <w:r w:rsidRPr="0029729D">
        <w:t>commercial and industrial buildings</w:t>
      </w:r>
    </w:p>
    <w:p w14:paraId="1BA66101" w14:textId="42A8F841" w:rsidR="0029729D" w:rsidRPr="0029729D" w:rsidRDefault="0029729D" w:rsidP="008C3DFF">
      <w:pPr>
        <w:pStyle w:val="NumberedParagraph-BulletL1"/>
      </w:pPr>
      <w:r w:rsidRPr="0029729D">
        <w:t xml:space="preserve">plant, </w:t>
      </w:r>
      <w:proofErr w:type="gramStart"/>
      <w:r w:rsidRPr="0029729D">
        <w:t>machinery</w:t>
      </w:r>
      <w:proofErr w:type="gramEnd"/>
      <w:r w:rsidRPr="0029729D">
        <w:t xml:space="preserve"> and equipment that is assumed to have a variety of economic and tax depreciation rates</w:t>
      </w:r>
    </w:p>
    <w:p w14:paraId="58E423E0" w14:textId="77777777" w:rsidR="0029729D" w:rsidRPr="0029729D" w:rsidRDefault="0029729D" w:rsidP="008C3DFF">
      <w:pPr>
        <w:pStyle w:val="NumberedParagraph-BulletL1"/>
      </w:pPr>
      <w:r w:rsidRPr="0029729D">
        <w:t>a zero-depreciation asset that is assumed to neither appreciate nor depreciate in real terms</w:t>
      </w:r>
    </w:p>
    <w:p w14:paraId="43413146" w14:textId="77777777" w:rsidR="0029729D" w:rsidRPr="0029729D" w:rsidRDefault="0029729D" w:rsidP="008C3DFF">
      <w:pPr>
        <w:pStyle w:val="NumberedParagraph-BulletL1"/>
      </w:pPr>
      <w:r w:rsidRPr="0029729D">
        <w:t>inventories</w:t>
      </w:r>
    </w:p>
    <w:p w14:paraId="370C2FA9" w14:textId="77777777" w:rsidR="0029729D" w:rsidRPr="0029729D" w:rsidRDefault="0029729D" w:rsidP="008C3DFF">
      <w:pPr>
        <w:pStyle w:val="NumberedParagraph-BulletL1"/>
      </w:pPr>
      <w:r w:rsidRPr="0029729D">
        <w:t>appreciating assets, and</w:t>
      </w:r>
    </w:p>
    <w:p w14:paraId="698D2914" w14:textId="77777777" w:rsidR="0029729D" w:rsidRPr="0029729D" w:rsidRDefault="0029729D" w:rsidP="008C3DFF">
      <w:pPr>
        <w:pStyle w:val="NumberedParagraph-BulletL1"/>
      </w:pPr>
      <w:r w:rsidRPr="0029729D">
        <w:t>assets for which capital expenditure can be deducted immediately (or expensed).</w:t>
      </w:r>
    </w:p>
    <w:p w14:paraId="676DD76E" w14:textId="7972E7F7" w:rsidR="0029729D" w:rsidRPr="0029729D" w:rsidRDefault="005247E1" w:rsidP="008C3DFF">
      <w:pPr>
        <w:pStyle w:val="NumberedParagraph"/>
      </w:pPr>
      <w:r>
        <w:t>C</w:t>
      </w:r>
      <w:r w:rsidR="0029729D" w:rsidRPr="0029729D">
        <w:t>ommercial and industrial buildings are assumed to have an economic depreciation rate of 2.69%, which is an OECD estimate of a weighted average of economic depreciation rates across these two types of buildings. The OECD assumes that commercial buildings depreciate at 2.47% per annum and industrial buildings depreciate at 3.14% per annum. This is in line with BEA estimates.</w:t>
      </w:r>
      <w:r w:rsidR="0029729D" w:rsidRPr="0029729D">
        <w:rPr>
          <w:vertAlign w:val="superscript"/>
        </w:rPr>
        <w:footnoteReference w:id="11"/>
      </w:r>
    </w:p>
    <w:p w14:paraId="7BEE77C4" w14:textId="4B74171C" w:rsidR="0029729D" w:rsidRPr="0029729D" w:rsidRDefault="0029729D" w:rsidP="008C3DFF">
      <w:pPr>
        <w:pStyle w:val="NumberedParagraph"/>
      </w:pPr>
      <w:r w:rsidRPr="0029729D">
        <w:t xml:space="preserve">We also consider a broad class of depreciable assets other than commercial and industrial buildings. We refer to these assets as plant, </w:t>
      </w:r>
      <w:proofErr w:type="gramStart"/>
      <w:r w:rsidRPr="0029729D">
        <w:t>machinery</w:t>
      </w:r>
      <w:proofErr w:type="gramEnd"/>
      <w:r w:rsidRPr="0029729D">
        <w:t xml:space="preserve"> and equipment (PME) for want of a better term. While they are likely to be mainly plant, machinery and equipment, this class includes other depreciating assets as well, such as software and structures other than buildings, including dams, </w:t>
      </w:r>
      <w:proofErr w:type="gramStart"/>
      <w:r w:rsidRPr="0029729D">
        <w:t>bridges</w:t>
      </w:r>
      <w:proofErr w:type="gramEnd"/>
      <w:r w:rsidRPr="0029729D">
        <w:t xml:space="preserve"> and roadways. These assets can all be depreciated for tax purposes and are included in the PME category.</w:t>
      </w:r>
    </w:p>
    <w:p w14:paraId="06758E1F" w14:textId="0275275F" w:rsidR="0029729D" w:rsidRPr="0029729D" w:rsidRDefault="0029729D" w:rsidP="008C3DFF">
      <w:pPr>
        <w:pStyle w:val="NumberedParagraph"/>
      </w:pPr>
      <w:r w:rsidRPr="0029729D">
        <w:t xml:space="preserve">We also allow for a class of asset, zero-depreciation assets, that are assumed to neither appreciate nor depreciate in real terms. Land is an important asset in New Zealand and this zero-depreciation </w:t>
      </w:r>
      <w:r w:rsidR="00604285">
        <w:t xml:space="preserve">asset class </w:t>
      </w:r>
      <w:r w:rsidRPr="0029729D">
        <w:t xml:space="preserve">might be thought of as </w:t>
      </w:r>
      <w:r w:rsidRPr="0029729D">
        <w:lastRenderedPageBreak/>
        <w:t xml:space="preserve">including certain types of land. Other types of land might better be thought of as </w:t>
      </w:r>
      <w:r w:rsidR="00604285">
        <w:t xml:space="preserve">included in </w:t>
      </w:r>
      <w:r w:rsidRPr="0029729D">
        <w:t>appreciating assets</w:t>
      </w:r>
      <w:r w:rsidR="00E10513">
        <w:t>,</w:t>
      </w:r>
      <w:r w:rsidRPr="0029729D">
        <w:t xml:space="preserve"> which are also considered.</w:t>
      </w:r>
      <w:r w:rsidRPr="0029729D">
        <w:rPr>
          <w:vertAlign w:val="superscript"/>
        </w:rPr>
        <w:footnoteReference w:id="12"/>
      </w:r>
    </w:p>
    <w:p w14:paraId="66D9EEBC" w14:textId="29159BAD" w:rsidR="0029729D" w:rsidRPr="00F77E27" w:rsidRDefault="0029729D" w:rsidP="008C3DFF">
      <w:pPr>
        <w:pStyle w:val="NumberedParagraph"/>
      </w:pPr>
      <w:r w:rsidRPr="0029729D">
        <w:t xml:space="preserve">As in the OECD study, we allow for trading stock or inventories. Inventories </w:t>
      </w:r>
      <w:r w:rsidR="00573455">
        <w:t xml:space="preserve">are taxed on a first-in, first-out (FIFO) basis in New Zealand. They </w:t>
      </w:r>
      <w:r w:rsidRPr="0029729D">
        <w:t>are assumed to be turned over at least once a year, which results in their full nominal economic income being taxed. This means the cost of capital and EMTR for inventories ends up equal to that of a very small group of PME assets that fully depreciate over their first year of life.</w:t>
      </w:r>
    </w:p>
    <w:p w14:paraId="51A89A55" w14:textId="3BD2511C" w:rsidR="0029729D" w:rsidRPr="0029729D" w:rsidRDefault="0029729D" w:rsidP="008C3DFF">
      <w:pPr>
        <w:pStyle w:val="NumberedParagraph"/>
      </w:pPr>
      <w:r w:rsidRPr="0029729D">
        <w:t>Some assets may appreciate in real value. We allow for appreciating asset</w:t>
      </w:r>
      <w:r w:rsidR="006612B2">
        <w:t>s</w:t>
      </w:r>
      <w:r w:rsidRPr="0029729D">
        <w:t xml:space="preserve"> that </w:t>
      </w:r>
      <w:r w:rsidR="006612B2">
        <w:t>are</w:t>
      </w:r>
      <w:r w:rsidRPr="0029729D">
        <w:t xml:space="preserve"> expected to appreciate by 1% per annum in real terms. We assume that this gain is untaxed.</w:t>
      </w:r>
    </w:p>
    <w:p w14:paraId="4C358845" w14:textId="3D67FB96" w:rsidR="0029729D" w:rsidRDefault="0029729D" w:rsidP="008C3DFF">
      <w:pPr>
        <w:pStyle w:val="NumberedParagraph"/>
      </w:pPr>
      <w:r w:rsidRPr="0029729D">
        <w:t xml:space="preserve">Finally, we consider investments in capital assets that can be immediately written off (or </w:t>
      </w:r>
      <w:r w:rsidR="006D7647">
        <w:t>‘</w:t>
      </w:r>
      <w:r w:rsidRPr="0029729D">
        <w:t>expensed</w:t>
      </w:r>
      <w:r w:rsidR="006D7647">
        <w:t>’</w:t>
      </w:r>
      <w:r w:rsidRPr="0029729D">
        <w:t>). This includes investment in planting and growing a forest, mining exploration expenditure, and repairs and maintenance expenditure where this provides ongoing benefits for many years. It also includes investment by a firm in building up intangible assets if the costs of the investment can be deducted immediately, for example, as salaries and wages. Capital expenditure on many intangible assets that are created by a firm itself can be expensed</w:t>
      </w:r>
      <w:r w:rsidR="006D7647">
        <w:t>,</w:t>
      </w:r>
      <w:r w:rsidRPr="0029729D">
        <w:t xml:space="preserve"> including building up good information and data, </w:t>
      </w:r>
      <w:r w:rsidR="00A964B5">
        <w:t xml:space="preserve">and </w:t>
      </w:r>
      <w:r w:rsidRPr="0029729D">
        <w:t>establishing reputation and customer goodwill.</w:t>
      </w:r>
      <w:r w:rsidR="00C978E8">
        <w:rPr>
          <w:rStyle w:val="FootnoteReference"/>
        </w:rPr>
        <w:footnoteReference w:id="13"/>
      </w:r>
    </w:p>
    <w:p w14:paraId="6F26E819" w14:textId="3FA775B2" w:rsidR="003F375C" w:rsidRDefault="00B26E5E" w:rsidP="008C3DFF">
      <w:pPr>
        <w:pStyle w:val="NumberedParagraph"/>
      </w:pPr>
      <w:r>
        <w:t xml:space="preserve">It should be noted that there is an important difference between the EMTRs we are </w:t>
      </w:r>
      <w:proofErr w:type="gramStart"/>
      <w:r>
        <w:t>calculating</w:t>
      </w:r>
      <w:proofErr w:type="gramEnd"/>
      <w:r>
        <w:t xml:space="preserve"> and th</w:t>
      </w:r>
      <w:r w:rsidR="005667C7">
        <w:t>e effective tax rates (ETRs)</w:t>
      </w:r>
      <w:r>
        <w:t xml:space="preserve"> calculated in the McLeod Review.</w:t>
      </w:r>
      <w:r w:rsidR="00C81F98">
        <w:rPr>
          <w:rStyle w:val="FootnoteReference"/>
        </w:rPr>
        <w:footnoteReference w:id="14"/>
      </w:r>
      <w:r>
        <w:t xml:space="preserve"> </w:t>
      </w:r>
      <w:r w:rsidR="00E62A78">
        <w:t>T</w:t>
      </w:r>
      <w:r w:rsidR="003F375C">
        <w:t>he McLeod Review assumed</w:t>
      </w:r>
      <w:r w:rsidR="00AE1955">
        <w:t xml:space="preserve"> an underlying effective statutory tax rate equal to the company tax rate for all equity-financed corporate investments</w:t>
      </w:r>
      <w:r w:rsidR="00896095">
        <w:t xml:space="preserve"> (see footnote</w:t>
      </w:r>
      <w:r w:rsidR="005E367F">
        <w:t xml:space="preserve"> 1 of page 139 of the Final Report)</w:t>
      </w:r>
      <w:r w:rsidR="00E62A78">
        <w:t>. The implicit assumption</w:t>
      </w:r>
      <w:r w:rsidR="002A5569">
        <w:t>s in the McLeod Review analysis are</w:t>
      </w:r>
      <w:r w:rsidR="00E62A78">
        <w:t xml:space="preserve"> that tax depreciation for all assets reflects economic depreciation</w:t>
      </w:r>
      <w:r w:rsidR="00AD2C63">
        <w:t>,</w:t>
      </w:r>
      <w:r w:rsidR="00E62A78">
        <w:t xml:space="preserve"> </w:t>
      </w:r>
      <w:r w:rsidR="00F2391B">
        <w:t>and that either there is no inflation</w:t>
      </w:r>
      <w:r w:rsidR="00976718">
        <w:t xml:space="preserve"> </w:t>
      </w:r>
      <w:r w:rsidR="00F2391B">
        <w:t>or tax rules are comprehensively indexed to take account</w:t>
      </w:r>
      <w:r w:rsidR="00976718">
        <w:t xml:space="preserve"> of inflation</w:t>
      </w:r>
      <w:r w:rsidR="00E05494">
        <w:t>. Th</w:t>
      </w:r>
      <w:r w:rsidR="006839DE">
        <w:t>is means that</w:t>
      </w:r>
      <w:r w:rsidR="00E05494">
        <w:t xml:space="preserve"> some of the biases we are identifying</w:t>
      </w:r>
      <w:r w:rsidR="00F6262B">
        <w:t>,</w:t>
      </w:r>
      <w:r w:rsidR="00E05494">
        <w:t xml:space="preserve"> such as those produced when depreciation is accelerated or capital expenditure can be expensed</w:t>
      </w:r>
      <w:r w:rsidR="00CC0566">
        <w:t>,</w:t>
      </w:r>
      <w:r w:rsidR="00E05494">
        <w:t xml:space="preserve"> or those that can result from inflation</w:t>
      </w:r>
      <w:r w:rsidR="00CC0566">
        <w:t>,</w:t>
      </w:r>
      <w:r w:rsidR="00F37EC0">
        <w:t xml:space="preserve"> are ones that were not examined in the McLeod Review’s analysis</w:t>
      </w:r>
      <w:r w:rsidR="006839DE">
        <w:t xml:space="preserve"> of ETRs</w:t>
      </w:r>
      <w:r w:rsidR="00136A20">
        <w:t>.</w:t>
      </w:r>
      <w:r w:rsidR="003A5145">
        <w:t xml:space="preserve"> Appendix 3 provides some cash</w:t>
      </w:r>
      <w:r w:rsidR="006A01DE">
        <w:t xml:space="preserve"> </w:t>
      </w:r>
      <w:r w:rsidR="003A5145">
        <w:t xml:space="preserve">flow examples which </w:t>
      </w:r>
      <w:r w:rsidR="0075662B">
        <w:t>illustrate these issues.</w:t>
      </w:r>
    </w:p>
    <w:p w14:paraId="6A2571B0" w14:textId="427D4F56" w:rsidR="00257946" w:rsidRPr="0029729D" w:rsidRDefault="00C63973" w:rsidP="008C3DFF">
      <w:pPr>
        <w:pStyle w:val="NumberedParagraph"/>
      </w:pPr>
      <w:r>
        <w:t>As was noted earlier, t</w:t>
      </w:r>
      <w:r w:rsidR="00257946" w:rsidRPr="0029729D">
        <w:t>he OECD analysis assumes that firms are financed with 35% debt and 65% equity (that is, the ratio of debt/(debt+equity) is 35%) and that the inflation rate is 1% across all the countries in their analysis.</w:t>
      </w:r>
      <w:r w:rsidR="00777C12">
        <w:t xml:space="preserve"> </w:t>
      </w:r>
      <w:r w:rsidR="00257946" w:rsidRPr="0029729D">
        <w:t xml:space="preserve">Inland Revenue data from its International Questionnaire suggests a higher </w:t>
      </w:r>
      <w:r w:rsidR="000A262A">
        <w:t>bo</w:t>
      </w:r>
      <w:r w:rsidR="00E42192">
        <w:t xml:space="preserve">ok level of </w:t>
      </w:r>
      <w:r w:rsidR="00257946" w:rsidRPr="0029729D">
        <w:t>debt of 43.1% for foreign-controlled companies in 2020 (the most recent year for which data is available). This data excludes the banks. It also excludes a small number of firms that have negative levels of equity.</w:t>
      </w:r>
      <w:r w:rsidR="00777C12">
        <w:t xml:space="preserve"> </w:t>
      </w:r>
      <w:r w:rsidR="00257946" w:rsidRPr="0029729D">
        <w:t xml:space="preserve">Accounting information for NZX 50 firms in 2020 (excluding the two large banks included </w:t>
      </w:r>
      <w:r w:rsidR="00257946" w:rsidRPr="0029729D">
        <w:lastRenderedPageBreak/>
        <w:t>in the NZX</w:t>
      </w:r>
      <w:r w:rsidR="008D5560">
        <w:t xml:space="preserve"> </w:t>
      </w:r>
      <w:r w:rsidR="00257946" w:rsidRPr="0029729D">
        <w:t>50, namely, ANZ and Westpac) results in a very similar estimate of 43.7%.</w:t>
      </w:r>
    </w:p>
    <w:p w14:paraId="39875D7B" w14:textId="62EC3CB0" w:rsidR="00257946" w:rsidRPr="0029729D" w:rsidRDefault="00257946" w:rsidP="008C3DFF">
      <w:pPr>
        <w:pStyle w:val="NumberedParagraph"/>
      </w:pPr>
      <w:r w:rsidRPr="0029729D">
        <w:t xml:space="preserve">In examining costs of capital in New Zealand, we will </w:t>
      </w:r>
      <w:r w:rsidR="00DA5CDE">
        <w:t xml:space="preserve">often </w:t>
      </w:r>
      <w:r w:rsidRPr="0029729D">
        <w:t xml:space="preserve">assume a debt ratio </w:t>
      </w:r>
      <w:r w:rsidR="00FB2ACA">
        <w:t>(</w:t>
      </w:r>
      <w:r>
        <w:t xml:space="preserve">which we denote by the symbol </w:t>
      </w:r>
      <w:r>
        <w:rPr>
          <w:i/>
          <w:iCs/>
        </w:rPr>
        <w:t>b</w:t>
      </w:r>
      <w:r w:rsidR="00FB2ACA">
        <w:t>)</w:t>
      </w:r>
      <w:r>
        <w:t xml:space="preserve"> </w:t>
      </w:r>
      <w:r w:rsidRPr="0029729D">
        <w:t>of 43%. This higher ratio will tend to reduce costs of capital and EMTRs somewhat, relative to the OECD estimates.</w:t>
      </w:r>
    </w:p>
    <w:p w14:paraId="191A0AC8" w14:textId="47B3CEFC" w:rsidR="00257946" w:rsidRPr="0029729D" w:rsidRDefault="00257946" w:rsidP="008C3DFF">
      <w:pPr>
        <w:pStyle w:val="NumberedParagraph"/>
      </w:pPr>
      <w:r w:rsidRPr="0029729D">
        <w:t xml:space="preserve">The OECD’s assumption of 1% per annum inflation also seems low for New Zealand, given that 2% per annum is in the middle of the Reserve Bank’s </w:t>
      </w:r>
      <w:r>
        <w:br/>
      </w:r>
      <w:r w:rsidRPr="00EB1855">
        <w:t>1–3%</w:t>
      </w:r>
      <w:r w:rsidRPr="0029729D">
        <w:t xml:space="preserve"> target range. </w:t>
      </w:r>
      <w:r w:rsidR="00601132">
        <w:t xml:space="preserve">In </w:t>
      </w:r>
      <w:r w:rsidR="008A3C58">
        <w:t>t</w:t>
      </w:r>
      <w:r w:rsidR="00601132">
        <w:t>able A2.1 below</w:t>
      </w:r>
      <w:r w:rsidR="005B718D">
        <w:t>,</w:t>
      </w:r>
      <w:r w:rsidR="00BF30DE">
        <w:t xml:space="preserve"> we consider two possible inflation rates</w:t>
      </w:r>
      <w:r w:rsidR="001C5484">
        <w:t xml:space="preserve">, namely, 0% and 2%. </w:t>
      </w:r>
      <w:r w:rsidR="00981270">
        <w:t xml:space="preserve">An inflation rate of 0% is helpful in showing what would happen if economic depreciation </w:t>
      </w:r>
      <w:r w:rsidR="00254950">
        <w:t xml:space="preserve">were deductible for many assets. An inflation rate of 2% is likely to be a more realistic average </w:t>
      </w:r>
      <w:r w:rsidR="00861061">
        <w:t>inflation</w:t>
      </w:r>
      <w:r w:rsidR="00254950">
        <w:t xml:space="preserve"> rate</w:t>
      </w:r>
      <w:r w:rsidR="003D40D0">
        <w:t xml:space="preserve"> in the longer run</w:t>
      </w:r>
      <w:r w:rsidR="00254950">
        <w:t>.</w:t>
      </w:r>
    </w:p>
    <w:p w14:paraId="755FED5F" w14:textId="04ED533D" w:rsidR="00224322" w:rsidRPr="00094BD1" w:rsidRDefault="0029729D" w:rsidP="00447F49">
      <w:pPr>
        <w:pStyle w:val="NumberedParagraph"/>
      </w:pPr>
      <w:r w:rsidRPr="0029729D">
        <w:t xml:space="preserve">Table </w:t>
      </w:r>
      <w:r w:rsidR="006D722D" w:rsidRPr="005E3B36">
        <w:t>A2.</w:t>
      </w:r>
      <w:r w:rsidR="001C5484">
        <w:t>1</w:t>
      </w:r>
      <w:r w:rsidRPr="0029729D">
        <w:t xml:space="preserve"> shows costs of capital</w:t>
      </w:r>
      <w:r w:rsidR="0039525A">
        <w:t>,</w:t>
      </w:r>
      <w:r w:rsidRPr="0029729D">
        <w:t xml:space="preserve"> assuming</w:t>
      </w:r>
      <w:r w:rsidR="00E34AFF">
        <w:t>, as in the OECD study,</w:t>
      </w:r>
      <w:r w:rsidR="00415B5C">
        <w:t xml:space="preserve"> </w:t>
      </w:r>
      <w:r w:rsidR="009F3356">
        <w:t xml:space="preserve">that non-residents require </w:t>
      </w:r>
      <w:r w:rsidRPr="0029729D">
        <w:t xml:space="preserve">a real </w:t>
      </w:r>
      <w:r w:rsidR="009F3356">
        <w:t xml:space="preserve">return </w:t>
      </w:r>
      <w:r w:rsidRPr="0029729D">
        <w:t xml:space="preserve">of 3.0% </w:t>
      </w:r>
      <w:r w:rsidR="003F5F43">
        <w:t>net of New Zealand taxes on both debt and equity finance</w:t>
      </w:r>
      <w:r w:rsidRPr="0029729D">
        <w:t xml:space="preserve">. </w:t>
      </w:r>
      <w:r w:rsidR="00AC6562">
        <w:t xml:space="preserve">We denote the common assumed real cost of debt and equity finance by </w:t>
      </w:r>
      <w:r w:rsidR="004C170B">
        <w:rPr>
          <w:i/>
          <w:iCs/>
        </w:rPr>
        <w:t>r*</w:t>
      </w:r>
      <w:r w:rsidR="004C170B">
        <w:t xml:space="preserve"> = 3%.</w:t>
      </w:r>
      <w:r w:rsidR="00AC6562">
        <w:t xml:space="preserve"> </w:t>
      </w:r>
      <w:r w:rsidRPr="0029729D">
        <w:t xml:space="preserve">The row labelled </w:t>
      </w:r>
      <w:r w:rsidRPr="00DE1F69">
        <w:rPr>
          <w:i/>
          <w:iCs/>
        </w:rPr>
        <w:t>d</w:t>
      </w:r>
      <w:r w:rsidRPr="0029729D">
        <w:t xml:space="preserve"> denotes the economic rate of depreciation used and the row </w:t>
      </w:r>
      <w:r w:rsidRPr="00DE1F69">
        <w:rPr>
          <w:i/>
          <w:iCs/>
        </w:rPr>
        <w:t>d*</w:t>
      </w:r>
      <w:r w:rsidRPr="0029729D">
        <w:t xml:space="preserve"> denotes the tax depreciation rate allowed.</w:t>
      </w:r>
      <w:r w:rsidR="003D1724">
        <w:t xml:space="preserve"> </w:t>
      </w:r>
      <w:r w:rsidR="00CA71DE">
        <w:t xml:space="preserve">We assume that </w:t>
      </w:r>
      <w:r w:rsidR="007D5DCE">
        <w:t xml:space="preserve">tax </w:t>
      </w:r>
      <w:r w:rsidR="00CA71DE">
        <w:t xml:space="preserve">depreciation is allowed on </w:t>
      </w:r>
      <w:r w:rsidR="007D5DCE">
        <w:t>a diminishing value (DV) basis.</w:t>
      </w:r>
      <w:r w:rsidR="004E55C5">
        <w:t xml:space="preserve"> In New Zealand</w:t>
      </w:r>
      <w:r w:rsidR="00547CB8">
        <w:t>,</w:t>
      </w:r>
      <w:r w:rsidR="004E55C5">
        <w:t xml:space="preserve"> taxpayers are normally given an option of </w:t>
      </w:r>
      <w:r w:rsidR="00B6055C">
        <w:t>claiming tax depreciation on a straight-line or DV basis</w:t>
      </w:r>
      <w:r w:rsidR="00547CB8">
        <w:t>,</w:t>
      </w:r>
      <w:r w:rsidR="00B6055C">
        <w:t xml:space="preserve"> with a higher rate of depreciation being allowed for those using DV. </w:t>
      </w:r>
      <w:r w:rsidR="003D1724">
        <w:t>We consider PME with five different possible rates of economic and tax depreciation</w:t>
      </w:r>
      <w:r w:rsidR="00E90AC2">
        <w:t>.</w:t>
      </w:r>
    </w:p>
    <w:p w14:paraId="22DAD0DE" w14:textId="51CA5048" w:rsidR="00AE0023" w:rsidRDefault="00331CF0" w:rsidP="00331CF0">
      <w:pPr>
        <w:pStyle w:val="Caption"/>
      </w:pPr>
      <w:r w:rsidRPr="00331CF0">
        <w:t>Table A2.1: Costs of capital and EMTRs for companies with marginal foreign shareholders, r* = 3%, no AIL or NRWT</w:t>
      </w:r>
    </w:p>
    <w:tbl>
      <w:tblPr>
        <w:tblStyle w:val="TableGrid"/>
        <w:tblW w:w="9781" w:type="dxa"/>
        <w:tblInd w:w="-50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28" w:type="dxa"/>
          <w:right w:w="28" w:type="dxa"/>
        </w:tblCellMar>
        <w:tblLook w:val="04A0" w:firstRow="1" w:lastRow="0" w:firstColumn="1" w:lastColumn="0" w:noHBand="0" w:noVBand="1"/>
      </w:tblPr>
      <w:tblGrid>
        <w:gridCol w:w="1347"/>
        <w:gridCol w:w="992"/>
        <w:gridCol w:w="737"/>
        <w:gridCol w:w="681"/>
        <w:gridCol w:w="651"/>
        <w:gridCol w:w="666"/>
        <w:gridCol w:w="667"/>
        <w:gridCol w:w="1134"/>
        <w:gridCol w:w="851"/>
        <w:gridCol w:w="1134"/>
        <w:gridCol w:w="921"/>
      </w:tblGrid>
      <w:tr w:rsidR="008E699C" w:rsidRPr="008F735E" w14:paraId="42783753" w14:textId="77777777" w:rsidTr="008E7335">
        <w:trPr>
          <w:tblHeader/>
        </w:trPr>
        <w:tc>
          <w:tcPr>
            <w:tcW w:w="1347" w:type="dxa"/>
            <w:shd w:val="clear" w:color="auto" w:fill="232E36"/>
          </w:tcPr>
          <w:p w14:paraId="746D18C3" w14:textId="77777777" w:rsidR="008E699C" w:rsidRPr="008F735E" w:rsidRDefault="008E699C" w:rsidP="00447F49">
            <w:pPr>
              <w:keepNext/>
              <w:keepLines/>
              <w:spacing w:before="120" w:after="120"/>
              <w:rPr>
                <w:color w:val="FFFFFF" w:themeColor="background1"/>
                <w:sz w:val="14"/>
                <w:szCs w:val="14"/>
              </w:rPr>
            </w:pPr>
          </w:p>
        </w:tc>
        <w:tc>
          <w:tcPr>
            <w:tcW w:w="992" w:type="dxa"/>
            <w:shd w:val="clear" w:color="auto" w:fill="232E36"/>
          </w:tcPr>
          <w:p w14:paraId="185BEA4D" w14:textId="77777777" w:rsidR="008E699C" w:rsidRPr="008F735E" w:rsidRDefault="008E699C" w:rsidP="00447F49">
            <w:pPr>
              <w:keepNext/>
              <w:keepLines/>
              <w:spacing w:before="120" w:after="120"/>
              <w:jc w:val="center"/>
              <w:rPr>
                <w:b/>
                <w:bCs/>
                <w:color w:val="FFFFFF" w:themeColor="background1"/>
                <w:sz w:val="14"/>
                <w:szCs w:val="14"/>
              </w:rPr>
            </w:pPr>
            <w:r w:rsidRPr="008F735E">
              <w:rPr>
                <w:b/>
                <w:bCs/>
                <w:color w:val="FFFFFF" w:themeColor="background1"/>
                <w:sz w:val="14"/>
                <w:szCs w:val="14"/>
              </w:rPr>
              <w:t>Commercial and industrial buildings</w:t>
            </w:r>
          </w:p>
        </w:tc>
        <w:tc>
          <w:tcPr>
            <w:tcW w:w="3402" w:type="dxa"/>
            <w:gridSpan w:val="5"/>
            <w:shd w:val="clear" w:color="auto" w:fill="232E36"/>
          </w:tcPr>
          <w:p w14:paraId="19385063" w14:textId="77777777" w:rsidR="008E699C" w:rsidRPr="008F735E" w:rsidRDefault="008E699C" w:rsidP="00447F49">
            <w:pPr>
              <w:keepNext/>
              <w:keepLines/>
              <w:spacing w:before="120" w:after="120"/>
              <w:jc w:val="center"/>
              <w:rPr>
                <w:b/>
                <w:bCs/>
                <w:color w:val="FFFFFF" w:themeColor="background1"/>
                <w:sz w:val="14"/>
                <w:szCs w:val="14"/>
              </w:rPr>
            </w:pPr>
            <w:r w:rsidRPr="008F735E">
              <w:rPr>
                <w:b/>
                <w:bCs/>
                <w:color w:val="FFFFFF" w:themeColor="background1"/>
                <w:sz w:val="14"/>
                <w:szCs w:val="14"/>
              </w:rPr>
              <w:t xml:space="preserve">Plant, </w:t>
            </w:r>
            <w:proofErr w:type="gramStart"/>
            <w:r w:rsidRPr="008F735E">
              <w:rPr>
                <w:b/>
                <w:bCs/>
                <w:color w:val="FFFFFF" w:themeColor="background1"/>
                <w:sz w:val="14"/>
                <w:szCs w:val="14"/>
              </w:rPr>
              <w:t>machinery</w:t>
            </w:r>
            <w:proofErr w:type="gramEnd"/>
            <w:r w:rsidRPr="008F735E">
              <w:rPr>
                <w:b/>
                <w:bCs/>
                <w:color w:val="FFFFFF" w:themeColor="background1"/>
                <w:sz w:val="14"/>
                <w:szCs w:val="14"/>
              </w:rPr>
              <w:t xml:space="preserve"> and equipment</w:t>
            </w:r>
          </w:p>
        </w:tc>
        <w:tc>
          <w:tcPr>
            <w:tcW w:w="1134" w:type="dxa"/>
            <w:shd w:val="clear" w:color="auto" w:fill="232E36"/>
          </w:tcPr>
          <w:p w14:paraId="20709339" w14:textId="77777777" w:rsidR="008E699C" w:rsidRPr="008F735E" w:rsidRDefault="008E699C" w:rsidP="00447F49">
            <w:pPr>
              <w:keepNext/>
              <w:keepLines/>
              <w:spacing w:before="120" w:after="120"/>
              <w:jc w:val="center"/>
              <w:rPr>
                <w:b/>
                <w:bCs/>
                <w:color w:val="FFFFFF" w:themeColor="background1"/>
                <w:sz w:val="14"/>
                <w:szCs w:val="14"/>
              </w:rPr>
            </w:pPr>
            <w:r w:rsidRPr="008F735E">
              <w:rPr>
                <w:b/>
                <w:bCs/>
                <w:color w:val="FFFFFF" w:themeColor="background1"/>
                <w:sz w:val="14"/>
                <w:szCs w:val="14"/>
              </w:rPr>
              <w:t>Zero</w:t>
            </w:r>
            <w:r>
              <w:rPr>
                <w:b/>
                <w:bCs/>
                <w:color w:val="FFFFFF" w:themeColor="background1"/>
                <w:sz w:val="14"/>
                <w:szCs w:val="14"/>
              </w:rPr>
              <w:t>-</w:t>
            </w:r>
            <w:r w:rsidRPr="008F735E">
              <w:rPr>
                <w:b/>
                <w:bCs/>
                <w:color w:val="FFFFFF" w:themeColor="background1"/>
                <w:sz w:val="14"/>
                <w:szCs w:val="14"/>
              </w:rPr>
              <w:t>depreciating assets</w:t>
            </w:r>
          </w:p>
        </w:tc>
        <w:tc>
          <w:tcPr>
            <w:tcW w:w="851" w:type="dxa"/>
            <w:shd w:val="clear" w:color="auto" w:fill="232E36"/>
          </w:tcPr>
          <w:p w14:paraId="19CCC076" w14:textId="77777777" w:rsidR="008E699C" w:rsidRPr="008F735E" w:rsidRDefault="008E699C" w:rsidP="00447F49">
            <w:pPr>
              <w:keepNext/>
              <w:keepLines/>
              <w:spacing w:before="120" w:after="120"/>
              <w:jc w:val="center"/>
              <w:rPr>
                <w:b/>
                <w:bCs/>
                <w:color w:val="FFFFFF" w:themeColor="background1"/>
                <w:sz w:val="14"/>
                <w:szCs w:val="14"/>
              </w:rPr>
            </w:pPr>
            <w:r w:rsidRPr="008F735E">
              <w:rPr>
                <w:b/>
                <w:bCs/>
                <w:color w:val="FFFFFF" w:themeColor="background1"/>
                <w:sz w:val="14"/>
                <w:szCs w:val="14"/>
              </w:rPr>
              <w:t>Inventory</w:t>
            </w:r>
          </w:p>
        </w:tc>
        <w:tc>
          <w:tcPr>
            <w:tcW w:w="1134" w:type="dxa"/>
            <w:shd w:val="clear" w:color="auto" w:fill="232E36"/>
          </w:tcPr>
          <w:p w14:paraId="5F001EAB" w14:textId="77777777" w:rsidR="008E699C" w:rsidRPr="008F735E" w:rsidRDefault="008E699C" w:rsidP="00447F49">
            <w:pPr>
              <w:keepNext/>
              <w:keepLines/>
              <w:spacing w:before="120" w:after="120"/>
              <w:jc w:val="center"/>
              <w:rPr>
                <w:b/>
                <w:bCs/>
                <w:color w:val="FFFFFF" w:themeColor="background1"/>
                <w:sz w:val="14"/>
                <w:szCs w:val="14"/>
              </w:rPr>
            </w:pPr>
            <w:r w:rsidRPr="008F735E">
              <w:rPr>
                <w:b/>
                <w:bCs/>
                <w:color w:val="FFFFFF" w:themeColor="background1"/>
                <w:sz w:val="14"/>
                <w:szCs w:val="14"/>
              </w:rPr>
              <w:t>Appreciating assets</w:t>
            </w:r>
          </w:p>
        </w:tc>
        <w:tc>
          <w:tcPr>
            <w:tcW w:w="921" w:type="dxa"/>
            <w:shd w:val="clear" w:color="auto" w:fill="232E36"/>
          </w:tcPr>
          <w:p w14:paraId="22A581FB" w14:textId="77777777" w:rsidR="008E699C" w:rsidRPr="008F735E" w:rsidRDefault="008E699C" w:rsidP="00447F49">
            <w:pPr>
              <w:keepNext/>
              <w:keepLines/>
              <w:spacing w:before="120" w:after="120"/>
              <w:jc w:val="center"/>
              <w:rPr>
                <w:b/>
                <w:bCs/>
                <w:color w:val="FFFFFF" w:themeColor="background1"/>
                <w:sz w:val="14"/>
                <w:szCs w:val="14"/>
              </w:rPr>
            </w:pPr>
            <w:r w:rsidRPr="008F735E">
              <w:rPr>
                <w:b/>
                <w:bCs/>
                <w:color w:val="FFFFFF" w:themeColor="background1"/>
                <w:sz w:val="14"/>
                <w:szCs w:val="14"/>
              </w:rPr>
              <w:t>Expensing</w:t>
            </w:r>
          </w:p>
        </w:tc>
      </w:tr>
      <w:tr w:rsidR="008E699C" w:rsidRPr="008F735E" w14:paraId="307F19C0" w14:textId="77777777" w:rsidTr="008E7335">
        <w:tc>
          <w:tcPr>
            <w:tcW w:w="1347" w:type="dxa"/>
            <w:shd w:val="clear" w:color="auto" w:fill="auto"/>
            <w:vAlign w:val="bottom"/>
          </w:tcPr>
          <w:p w14:paraId="18EF4D63" w14:textId="77777777" w:rsidR="008E699C" w:rsidRPr="00CF778C" w:rsidRDefault="008E699C" w:rsidP="00447F49">
            <w:pPr>
              <w:keepNext/>
              <w:keepLines/>
              <w:tabs>
                <w:tab w:val="left" w:pos="106"/>
              </w:tabs>
              <w:spacing w:before="60" w:after="60"/>
              <w:rPr>
                <w:rStyle w:val="Strong"/>
                <w:b w:val="0"/>
                <w:bCs w:val="0"/>
                <w:sz w:val="14"/>
                <w:szCs w:val="14"/>
              </w:rPr>
            </w:pPr>
            <w:r>
              <w:rPr>
                <w:rStyle w:val="Strong"/>
                <w:sz w:val="14"/>
                <w:szCs w:val="14"/>
              </w:rPr>
              <w:t>d</w:t>
            </w:r>
          </w:p>
        </w:tc>
        <w:tc>
          <w:tcPr>
            <w:tcW w:w="992" w:type="dxa"/>
            <w:vAlign w:val="center"/>
          </w:tcPr>
          <w:p w14:paraId="2F788776" w14:textId="77777777" w:rsidR="008E699C" w:rsidRPr="008F735E" w:rsidRDefault="008E699C" w:rsidP="00447F49">
            <w:pPr>
              <w:keepNext/>
              <w:keepLines/>
              <w:tabs>
                <w:tab w:val="decimal" w:pos="256"/>
              </w:tabs>
              <w:spacing w:before="60" w:after="60"/>
              <w:jc w:val="center"/>
              <w:rPr>
                <w:sz w:val="14"/>
                <w:szCs w:val="14"/>
              </w:rPr>
            </w:pPr>
            <w:r w:rsidRPr="008F735E">
              <w:rPr>
                <w:sz w:val="14"/>
                <w:szCs w:val="14"/>
              </w:rPr>
              <w:t>2.69%</w:t>
            </w:r>
          </w:p>
        </w:tc>
        <w:tc>
          <w:tcPr>
            <w:tcW w:w="737" w:type="dxa"/>
            <w:vAlign w:val="center"/>
          </w:tcPr>
          <w:p w14:paraId="3DF1920F" w14:textId="77777777" w:rsidR="008E699C" w:rsidRPr="008F735E" w:rsidRDefault="008E699C" w:rsidP="00447F49">
            <w:pPr>
              <w:keepNext/>
              <w:keepLines/>
              <w:tabs>
                <w:tab w:val="decimal" w:pos="256"/>
              </w:tabs>
              <w:spacing w:before="60" w:after="60"/>
              <w:jc w:val="center"/>
              <w:rPr>
                <w:sz w:val="14"/>
                <w:szCs w:val="14"/>
              </w:rPr>
            </w:pPr>
            <w:r w:rsidRPr="008F735E">
              <w:rPr>
                <w:sz w:val="14"/>
                <w:szCs w:val="14"/>
              </w:rPr>
              <w:t>100.00%</w:t>
            </w:r>
          </w:p>
        </w:tc>
        <w:tc>
          <w:tcPr>
            <w:tcW w:w="681" w:type="dxa"/>
            <w:vAlign w:val="center"/>
          </w:tcPr>
          <w:p w14:paraId="777D1B45" w14:textId="77777777" w:rsidR="008E699C" w:rsidRPr="008F735E" w:rsidRDefault="008E699C" w:rsidP="00447F49">
            <w:pPr>
              <w:keepNext/>
              <w:keepLines/>
              <w:tabs>
                <w:tab w:val="decimal" w:pos="256"/>
              </w:tabs>
              <w:spacing w:before="60" w:after="60"/>
              <w:jc w:val="center"/>
              <w:rPr>
                <w:sz w:val="14"/>
                <w:szCs w:val="14"/>
              </w:rPr>
            </w:pPr>
            <w:r w:rsidRPr="008F735E">
              <w:rPr>
                <w:sz w:val="14"/>
                <w:szCs w:val="14"/>
              </w:rPr>
              <w:t>50.00%</w:t>
            </w:r>
          </w:p>
        </w:tc>
        <w:tc>
          <w:tcPr>
            <w:tcW w:w="651" w:type="dxa"/>
            <w:vAlign w:val="center"/>
          </w:tcPr>
          <w:p w14:paraId="158C0D65" w14:textId="77777777" w:rsidR="008E699C" w:rsidRPr="008F735E" w:rsidRDefault="008E699C" w:rsidP="00447F49">
            <w:pPr>
              <w:keepNext/>
              <w:keepLines/>
              <w:tabs>
                <w:tab w:val="decimal" w:pos="256"/>
              </w:tabs>
              <w:spacing w:before="60" w:after="60"/>
              <w:jc w:val="center"/>
              <w:rPr>
                <w:sz w:val="14"/>
                <w:szCs w:val="14"/>
              </w:rPr>
            </w:pPr>
            <w:r w:rsidRPr="008F735E">
              <w:rPr>
                <w:sz w:val="14"/>
                <w:szCs w:val="14"/>
              </w:rPr>
              <w:t>10.00%</w:t>
            </w:r>
          </w:p>
        </w:tc>
        <w:tc>
          <w:tcPr>
            <w:tcW w:w="666" w:type="dxa"/>
            <w:vAlign w:val="center"/>
          </w:tcPr>
          <w:p w14:paraId="38EAA1C0" w14:textId="77777777" w:rsidR="008E699C" w:rsidRPr="008F735E" w:rsidRDefault="008E699C" w:rsidP="00447F49">
            <w:pPr>
              <w:keepNext/>
              <w:keepLines/>
              <w:tabs>
                <w:tab w:val="decimal" w:pos="256"/>
              </w:tabs>
              <w:spacing w:before="60" w:after="60"/>
              <w:jc w:val="center"/>
              <w:rPr>
                <w:sz w:val="14"/>
                <w:szCs w:val="14"/>
              </w:rPr>
            </w:pPr>
            <w:r w:rsidRPr="008F735E">
              <w:rPr>
                <w:sz w:val="14"/>
                <w:szCs w:val="14"/>
              </w:rPr>
              <w:t>4.00%</w:t>
            </w:r>
          </w:p>
        </w:tc>
        <w:tc>
          <w:tcPr>
            <w:tcW w:w="667" w:type="dxa"/>
            <w:vAlign w:val="center"/>
          </w:tcPr>
          <w:p w14:paraId="1C4C1639" w14:textId="77777777" w:rsidR="008E699C" w:rsidRPr="008F735E" w:rsidRDefault="008E699C" w:rsidP="00447F49">
            <w:pPr>
              <w:keepNext/>
              <w:keepLines/>
              <w:tabs>
                <w:tab w:val="decimal" w:pos="256"/>
              </w:tabs>
              <w:spacing w:before="60" w:after="60"/>
              <w:jc w:val="center"/>
              <w:rPr>
                <w:sz w:val="14"/>
                <w:szCs w:val="14"/>
              </w:rPr>
            </w:pPr>
            <w:r w:rsidRPr="008F735E">
              <w:rPr>
                <w:sz w:val="14"/>
                <w:szCs w:val="14"/>
              </w:rPr>
              <w:t>2.00%</w:t>
            </w:r>
          </w:p>
        </w:tc>
        <w:tc>
          <w:tcPr>
            <w:tcW w:w="1134" w:type="dxa"/>
            <w:vAlign w:val="center"/>
          </w:tcPr>
          <w:p w14:paraId="2DFD4985" w14:textId="77777777" w:rsidR="008E699C" w:rsidRPr="008F735E" w:rsidRDefault="008E699C" w:rsidP="00447F49">
            <w:pPr>
              <w:keepNext/>
              <w:keepLines/>
              <w:tabs>
                <w:tab w:val="decimal" w:pos="256"/>
              </w:tabs>
              <w:spacing w:before="60" w:after="60"/>
              <w:jc w:val="center"/>
              <w:rPr>
                <w:sz w:val="14"/>
                <w:szCs w:val="14"/>
              </w:rPr>
            </w:pPr>
            <w:r w:rsidRPr="008F735E">
              <w:rPr>
                <w:sz w:val="14"/>
                <w:szCs w:val="14"/>
              </w:rPr>
              <w:t>0.00%</w:t>
            </w:r>
          </w:p>
        </w:tc>
        <w:tc>
          <w:tcPr>
            <w:tcW w:w="851" w:type="dxa"/>
            <w:vAlign w:val="center"/>
          </w:tcPr>
          <w:p w14:paraId="68FA51B9" w14:textId="77777777" w:rsidR="008E699C" w:rsidRPr="008F735E" w:rsidRDefault="008E699C" w:rsidP="00447F49">
            <w:pPr>
              <w:keepNext/>
              <w:keepLines/>
              <w:tabs>
                <w:tab w:val="decimal" w:pos="256"/>
              </w:tabs>
              <w:spacing w:before="60" w:after="60"/>
              <w:jc w:val="center"/>
              <w:rPr>
                <w:sz w:val="14"/>
                <w:szCs w:val="14"/>
              </w:rPr>
            </w:pPr>
          </w:p>
        </w:tc>
        <w:tc>
          <w:tcPr>
            <w:tcW w:w="1134" w:type="dxa"/>
            <w:vAlign w:val="center"/>
          </w:tcPr>
          <w:p w14:paraId="661E2150" w14:textId="77777777" w:rsidR="008E699C" w:rsidRPr="008F735E" w:rsidRDefault="008E699C" w:rsidP="00447F49">
            <w:pPr>
              <w:keepNext/>
              <w:keepLines/>
              <w:tabs>
                <w:tab w:val="decimal" w:pos="256"/>
              </w:tabs>
              <w:spacing w:before="60" w:after="60"/>
              <w:jc w:val="center"/>
              <w:rPr>
                <w:sz w:val="14"/>
                <w:szCs w:val="14"/>
              </w:rPr>
            </w:pPr>
            <w:r w:rsidRPr="008F735E">
              <w:rPr>
                <w:sz w:val="14"/>
                <w:szCs w:val="14"/>
              </w:rPr>
              <w:t>-1.00%</w:t>
            </w:r>
          </w:p>
        </w:tc>
        <w:tc>
          <w:tcPr>
            <w:tcW w:w="921" w:type="dxa"/>
            <w:vAlign w:val="center"/>
          </w:tcPr>
          <w:p w14:paraId="2CF0E49D" w14:textId="77777777" w:rsidR="008E699C" w:rsidRPr="008F735E" w:rsidRDefault="008E699C" w:rsidP="00447F49">
            <w:pPr>
              <w:keepNext/>
              <w:keepLines/>
              <w:tabs>
                <w:tab w:val="decimal" w:pos="256"/>
              </w:tabs>
              <w:spacing w:before="60" w:after="60"/>
              <w:jc w:val="center"/>
              <w:rPr>
                <w:sz w:val="14"/>
                <w:szCs w:val="14"/>
              </w:rPr>
            </w:pPr>
          </w:p>
        </w:tc>
      </w:tr>
      <w:tr w:rsidR="008E699C" w:rsidRPr="008F735E" w14:paraId="5D013870" w14:textId="77777777" w:rsidTr="008E7335">
        <w:tc>
          <w:tcPr>
            <w:tcW w:w="1347" w:type="dxa"/>
            <w:shd w:val="clear" w:color="auto" w:fill="auto"/>
            <w:vAlign w:val="bottom"/>
          </w:tcPr>
          <w:p w14:paraId="170BB5DE" w14:textId="77777777" w:rsidR="008E699C" w:rsidRPr="00CF778C" w:rsidRDefault="008E699C" w:rsidP="00447F49">
            <w:pPr>
              <w:keepNext/>
              <w:keepLines/>
              <w:tabs>
                <w:tab w:val="left" w:pos="106"/>
              </w:tabs>
              <w:spacing w:before="60" w:after="60"/>
              <w:rPr>
                <w:rStyle w:val="Strong"/>
                <w:b w:val="0"/>
                <w:bCs w:val="0"/>
                <w:sz w:val="14"/>
                <w:szCs w:val="14"/>
              </w:rPr>
            </w:pPr>
            <w:r>
              <w:rPr>
                <w:rStyle w:val="Strong"/>
                <w:sz w:val="14"/>
                <w:szCs w:val="14"/>
              </w:rPr>
              <w:t>d*</w:t>
            </w:r>
          </w:p>
        </w:tc>
        <w:tc>
          <w:tcPr>
            <w:tcW w:w="992" w:type="dxa"/>
            <w:vAlign w:val="center"/>
          </w:tcPr>
          <w:p w14:paraId="374CB454" w14:textId="77777777" w:rsidR="008E699C" w:rsidRPr="008F735E" w:rsidRDefault="008E699C" w:rsidP="00447F49">
            <w:pPr>
              <w:keepNext/>
              <w:keepLines/>
              <w:tabs>
                <w:tab w:val="decimal" w:pos="256"/>
              </w:tabs>
              <w:spacing w:before="60" w:after="60"/>
              <w:jc w:val="center"/>
              <w:rPr>
                <w:sz w:val="14"/>
                <w:szCs w:val="14"/>
              </w:rPr>
            </w:pPr>
            <w:r w:rsidRPr="008F735E">
              <w:rPr>
                <w:sz w:val="14"/>
                <w:szCs w:val="14"/>
              </w:rPr>
              <w:t>2.00%</w:t>
            </w:r>
          </w:p>
        </w:tc>
        <w:tc>
          <w:tcPr>
            <w:tcW w:w="737" w:type="dxa"/>
            <w:vAlign w:val="center"/>
          </w:tcPr>
          <w:p w14:paraId="14AEDA94" w14:textId="77777777" w:rsidR="008E699C" w:rsidRPr="008F735E" w:rsidRDefault="008E699C" w:rsidP="00447F49">
            <w:pPr>
              <w:keepNext/>
              <w:keepLines/>
              <w:tabs>
                <w:tab w:val="decimal" w:pos="256"/>
              </w:tabs>
              <w:spacing w:before="60" w:after="60"/>
              <w:jc w:val="center"/>
              <w:rPr>
                <w:sz w:val="14"/>
                <w:szCs w:val="14"/>
              </w:rPr>
            </w:pPr>
            <w:r w:rsidRPr="008F735E">
              <w:rPr>
                <w:sz w:val="14"/>
                <w:szCs w:val="14"/>
              </w:rPr>
              <w:t>100.00%</w:t>
            </w:r>
          </w:p>
        </w:tc>
        <w:tc>
          <w:tcPr>
            <w:tcW w:w="681" w:type="dxa"/>
            <w:vAlign w:val="center"/>
          </w:tcPr>
          <w:p w14:paraId="13040E00" w14:textId="77777777" w:rsidR="008E699C" w:rsidRPr="008F735E" w:rsidRDefault="008E699C" w:rsidP="00447F49">
            <w:pPr>
              <w:keepNext/>
              <w:keepLines/>
              <w:tabs>
                <w:tab w:val="decimal" w:pos="256"/>
              </w:tabs>
              <w:spacing w:before="60" w:after="60"/>
              <w:jc w:val="center"/>
              <w:rPr>
                <w:sz w:val="14"/>
                <w:szCs w:val="14"/>
              </w:rPr>
            </w:pPr>
            <w:r w:rsidRPr="008F735E">
              <w:rPr>
                <w:sz w:val="14"/>
                <w:szCs w:val="14"/>
              </w:rPr>
              <w:t>50.00%</w:t>
            </w:r>
          </w:p>
        </w:tc>
        <w:tc>
          <w:tcPr>
            <w:tcW w:w="651" w:type="dxa"/>
            <w:vAlign w:val="center"/>
          </w:tcPr>
          <w:p w14:paraId="1D99CC40" w14:textId="77777777" w:rsidR="008E699C" w:rsidRPr="008F735E" w:rsidRDefault="008E699C" w:rsidP="00447F49">
            <w:pPr>
              <w:keepNext/>
              <w:keepLines/>
              <w:tabs>
                <w:tab w:val="decimal" w:pos="256"/>
              </w:tabs>
              <w:spacing w:before="60" w:after="60"/>
              <w:jc w:val="center"/>
              <w:rPr>
                <w:sz w:val="14"/>
                <w:szCs w:val="14"/>
              </w:rPr>
            </w:pPr>
            <w:r w:rsidRPr="008F735E">
              <w:rPr>
                <w:sz w:val="14"/>
                <w:szCs w:val="14"/>
              </w:rPr>
              <w:t>10.00%</w:t>
            </w:r>
          </w:p>
        </w:tc>
        <w:tc>
          <w:tcPr>
            <w:tcW w:w="666" w:type="dxa"/>
            <w:vAlign w:val="center"/>
          </w:tcPr>
          <w:p w14:paraId="303D7A35" w14:textId="77777777" w:rsidR="008E699C" w:rsidRPr="008F735E" w:rsidRDefault="008E699C" w:rsidP="00447F49">
            <w:pPr>
              <w:keepNext/>
              <w:keepLines/>
              <w:tabs>
                <w:tab w:val="decimal" w:pos="256"/>
              </w:tabs>
              <w:spacing w:before="60" w:after="60"/>
              <w:jc w:val="center"/>
              <w:rPr>
                <w:sz w:val="14"/>
                <w:szCs w:val="14"/>
              </w:rPr>
            </w:pPr>
            <w:r w:rsidRPr="008F735E">
              <w:rPr>
                <w:sz w:val="14"/>
                <w:szCs w:val="14"/>
              </w:rPr>
              <w:t>4.00%</w:t>
            </w:r>
          </w:p>
        </w:tc>
        <w:tc>
          <w:tcPr>
            <w:tcW w:w="667" w:type="dxa"/>
            <w:vAlign w:val="center"/>
          </w:tcPr>
          <w:p w14:paraId="41861D9E" w14:textId="77777777" w:rsidR="008E699C" w:rsidRPr="008F735E" w:rsidRDefault="008E699C" w:rsidP="00447F49">
            <w:pPr>
              <w:keepNext/>
              <w:keepLines/>
              <w:tabs>
                <w:tab w:val="decimal" w:pos="256"/>
              </w:tabs>
              <w:spacing w:before="60" w:after="60"/>
              <w:jc w:val="center"/>
              <w:rPr>
                <w:sz w:val="14"/>
                <w:szCs w:val="14"/>
              </w:rPr>
            </w:pPr>
            <w:r w:rsidRPr="008F735E">
              <w:rPr>
                <w:sz w:val="14"/>
                <w:szCs w:val="14"/>
              </w:rPr>
              <w:t>2.00%</w:t>
            </w:r>
          </w:p>
        </w:tc>
        <w:tc>
          <w:tcPr>
            <w:tcW w:w="1134" w:type="dxa"/>
            <w:vAlign w:val="center"/>
          </w:tcPr>
          <w:p w14:paraId="512B127C" w14:textId="77777777" w:rsidR="008E699C" w:rsidRPr="008F735E" w:rsidRDefault="008E699C" w:rsidP="00447F49">
            <w:pPr>
              <w:keepNext/>
              <w:keepLines/>
              <w:tabs>
                <w:tab w:val="decimal" w:pos="256"/>
              </w:tabs>
              <w:spacing w:before="60" w:after="60"/>
              <w:jc w:val="center"/>
              <w:rPr>
                <w:sz w:val="14"/>
                <w:szCs w:val="14"/>
              </w:rPr>
            </w:pPr>
            <w:r w:rsidRPr="008F735E">
              <w:rPr>
                <w:sz w:val="14"/>
                <w:szCs w:val="14"/>
              </w:rPr>
              <w:t>0.00%</w:t>
            </w:r>
          </w:p>
        </w:tc>
        <w:tc>
          <w:tcPr>
            <w:tcW w:w="851" w:type="dxa"/>
            <w:vAlign w:val="center"/>
          </w:tcPr>
          <w:p w14:paraId="7C7101F3" w14:textId="77777777" w:rsidR="008E699C" w:rsidRPr="008F735E" w:rsidRDefault="008E699C" w:rsidP="00447F49">
            <w:pPr>
              <w:keepNext/>
              <w:keepLines/>
              <w:tabs>
                <w:tab w:val="decimal" w:pos="256"/>
              </w:tabs>
              <w:spacing w:before="60" w:after="60"/>
              <w:jc w:val="center"/>
              <w:rPr>
                <w:sz w:val="14"/>
                <w:szCs w:val="14"/>
              </w:rPr>
            </w:pPr>
          </w:p>
        </w:tc>
        <w:tc>
          <w:tcPr>
            <w:tcW w:w="1134" w:type="dxa"/>
            <w:vAlign w:val="center"/>
          </w:tcPr>
          <w:p w14:paraId="1664BE7E" w14:textId="77777777" w:rsidR="008E699C" w:rsidRPr="008F735E" w:rsidRDefault="008E699C" w:rsidP="00447F49">
            <w:pPr>
              <w:keepNext/>
              <w:keepLines/>
              <w:tabs>
                <w:tab w:val="decimal" w:pos="256"/>
              </w:tabs>
              <w:spacing w:before="60" w:after="60"/>
              <w:jc w:val="center"/>
              <w:rPr>
                <w:sz w:val="14"/>
                <w:szCs w:val="14"/>
              </w:rPr>
            </w:pPr>
            <w:r w:rsidRPr="008F735E">
              <w:rPr>
                <w:sz w:val="14"/>
                <w:szCs w:val="14"/>
              </w:rPr>
              <w:t>0.00%</w:t>
            </w:r>
          </w:p>
        </w:tc>
        <w:tc>
          <w:tcPr>
            <w:tcW w:w="921" w:type="dxa"/>
            <w:vAlign w:val="center"/>
          </w:tcPr>
          <w:p w14:paraId="31EC9AF3" w14:textId="77777777" w:rsidR="008E699C" w:rsidRPr="008F735E" w:rsidRDefault="008E699C" w:rsidP="00447F49">
            <w:pPr>
              <w:keepNext/>
              <w:keepLines/>
              <w:tabs>
                <w:tab w:val="decimal" w:pos="256"/>
              </w:tabs>
              <w:spacing w:before="60" w:after="60"/>
              <w:jc w:val="center"/>
              <w:rPr>
                <w:sz w:val="14"/>
                <w:szCs w:val="14"/>
              </w:rPr>
            </w:pPr>
          </w:p>
        </w:tc>
      </w:tr>
      <w:tr w:rsidR="008E699C" w:rsidRPr="008F735E" w14:paraId="0D9C8754" w14:textId="77777777" w:rsidTr="008E7335">
        <w:tc>
          <w:tcPr>
            <w:tcW w:w="1347" w:type="dxa"/>
            <w:shd w:val="clear" w:color="auto" w:fill="auto"/>
            <w:vAlign w:val="bottom"/>
          </w:tcPr>
          <w:p w14:paraId="12DF0A90" w14:textId="77777777" w:rsidR="008E699C" w:rsidRPr="008F735E" w:rsidRDefault="008E699C" w:rsidP="00447F49">
            <w:pPr>
              <w:keepNext/>
              <w:keepLines/>
              <w:tabs>
                <w:tab w:val="left" w:pos="106"/>
              </w:tabs>
              <w:spacing w:before="60" w:after="60"/>
              <w:rPr>
                <w:b/>
                <w:bCs/>
                <w:sz w:val="14"/>
                <w:szCs w:val="14"/>
              </w:rPr>
            </w:pPr>
            <w:r w:rsidRPr="008F735E">
              <w:rPr>
                <w:b/>
                <w:bCs/>
                <w:sz w:val="14"/>
                <w:szCs w:val="14"/>
              </w:rPr>
              <w:t>Costs of capital</w:t>
            </w:r>
          </w:p>
        </w:tc>
        <w:tc>
          <w:tcPr>
            <w:tcW w:w="992" w:type="dxa"/>
            <w:vAlign w:val="center"/>
          </w:tcPr>
          <w:p w14:paraId="11A5030B" w14:textId="77777777" w:rsidR="008E699C" w:rsidRPr="008F735E" w:rsidRDefault="008E699C" w:rsidP="00447F49">
            <w:pPr>
              <w:keepNext/>
              <w:keepLines/>
              <w:tabs>
                <w:tab w:val="decimal" w:pos="256"/>
              </w:tabs>
              <w:spacing w:before="60" w:after="60"/>
              <w:jc w:val="center"/>
              <w:rPr>
                <w:sz w:val="14"/>
                <w:szCs w:val="14"/>
              </w:rPr>
            </w:pPr>
          </w:p>
        </w:tc>
        <w:tc>
          <w:tcPr>
            <w:tcW w:w="737" w:type="dxa"/>
            <w:vAlign w:val="center"/>
          </w:tcPr>
          <w:p w14:paraId="0272707A" w14:textId="77777777" w:rsidR="008E699C" w:rsidRPr="008F735E" w:rsidRDefault="008E699C" w:rsidP="00447F49">
            <w:pPr>
              <w:keepNext/>
              <w:keepLines/>
              <w:tabs>
                <w:tab w:val="decimal" w:pos="256"/>
              </w:tabs>
              <w:spacing w:before="60" w:after="60"/>
              <w:jc w:val="center"/>
              <w:rPr>
                <w:sz w:val="14"/>
                <w:szCs w:val="14"/>
              </w:rPr>
            </w:pPr>
          </w:p>
        </w:tc>
        <w:tc>
          <w:tcPr>
            <w:tcW w:w="681" w:type="dxa"/>
            <w:vAlign w:val="center"/>
          </w:tcPr>
          <w:p w14:paraId="7B51A3A0" w14:textId="77777777" w:rsidR="008E699C" w:rsidRPr="008F735E" w:rsidRDefault="008E699C" w:rsidP="00447F49">
            <w:pPr>
              <w:keepNext/>
              <w:keepLines/>
              <w:tabs>
                <w:tab w:val="decimal" w:pos="256"/>
              </w:tabs>
              <w:spacing w:before="60" w:after="60"/>
              <w:jc w:val="center"/>
              <w:rPr>
                <w:sz w:val="14"/>
                <w:szCs w:val="14"/>
              </w:rPr>
            </w:pPr>
          </w:p>
        </w:tc>
        <w:tc>
          <w:tcPr>
            <w:tcW w:w="651" w:type="dxa"/>
            <w:vAlign w:val="center"/>
          </w:tcPr>
          <w:p w14:paraId="05FF30E2" w14:textId="77777777" w:rsidR="008E699C" w:rsidRPr="008F735E" w:rsidRDefault="008E699C" w:rsidP="00447F49">
            <w:pPr>
              <w:keepNext/>
              <w:keepLines/>
              <w:tabs>
                <w:tab w:val="decimal" w:pos="256"/>
              </w:tabs>
              <w:spacing w:before="60" w:after="60"/>
              <w:jc w:val="center"/>
              <w:rPr>
                <w:sz w:val="14"/>
                <w:szCs w:val="14"/>
              </w:rPr>
            </w:pPr>
          </w:p>
        </w:tc>
        <w:tc>
          <w:tcPr>
            <w:tcW w:w="666" w:type="dxa"/>
            <w:vAlign w:val="center"/>
          </w:tcPr>
          <w:p w14:paraId="2A030CF8" w14:textId="77777777" w:rsidR="008E699C" w:rsidRPr="008F735E" w:rsidRDefault="008E699C" w:rsidP="00447F49">
            <w:pPr>
              <w:keepNext/>
              <w:keepLines/>
              <w:tabs>
                <w:tab w:val="decimal" w:pos="256"/>
              </w:tabs>
              <w:spacing w:before="60" w:after="60"/>
              <w:jc w:val="center"/>
              <w:rPr>
                <w:sz w:val="14"/>
                <w:szCs w:val="14"/>
              </w:rPr>
            </w:pPr>
          </w:p>
        </w:tc>
        <w:tc>
          <w:tcPr>
            <w:tcW w:w="667" w:type="dxa"/>
            <w:vAlign w:val="center"/>
          </w:tcPr>
          <w:p w14:paraId="521548C7" w14:textId="77777777" w:rsidR="008E699C" w:rsidRPr="008F735E" w:rsidRDefault="008E699C" w:rsidP="00447F49">
            <w:pPr>
              <w:keepNext/>
              <w:keepLines/>
              <w:tabs>
                <w:tab w:val="decimal" w:pos="256"/>
              </w:tabs>
              <w:spacing w:before="60" w:after="60"/>
              <w:jc w:val="center"/>
              <w:rPr>
                <w:sz w:val="14"/>
                <w:szCs w:val="14"/>
              </w:rPr>
            </w:pPr>
          </w:p>
        </w:tc>
        <w:tc>
          <w:tcPr>
            <w:tcW w:w="1134" w:type="dxa"/>
            <w:vAlign w:val="center"/>
          </w:tcPr>
          <w:p w14:paraId="1595ED76" w14:textId="77777777" w:rsidR="008E699C" w:rsidRPr="008F735E" w:rsidRDefault="008E699C" w:rsidP="00447F49">
            <w:pPr>
              <w:keepNext/>
              <w:keepLines/>
              <w:tabs>
                <w:tab w:val="decimal" w:pos="256"/>
              </w:tabs>
              <w:spacing w:before="60" w:after="60"/>
              <w:jc w:val="center"/>
              <w:rPr>
                <w:sz w:val="14"/>
                <w:szCs w:val="14"/>
              </w:rPr>
            </w:pPr>
          </w:p>
        </w:tc>
        <w:tc>
          <w:tcPr>
            <w:tcW w:w="851" w:type="dxa"/>
            <w:vAlign w:val="center"/>
          </w:tcPr>
          <w:p w14:paraId="33C38250" w14:textId="77777777" w:rsidR="008E699C" w:rsidRPr="008F735E" w:rsidRDefault="008E699C" w:rsidP="00447F49">
            <w:pPr>
              <w:keepNext/>
              <w:keepLines/>
              <w:tabs>
                <w:tab w:val="decimal" w:pos="256"/>
              </w:tabs>
              <w:spacing w:before="60" w:after="60"/>
              <w:jc w:val="center"/>
              <w:rPr>
                <w:sz w:val="14"/>
                <w:szCs w:val="14"/>
              </w:rPr>
            </w:pPr>
          </w:p>
        </w:tc>
        <w:tc>
          <w:tcPr>
            <w:tcW w:w="1134" w:type="dxa"/>
            <w:vAlign w:val="center"/>
          </w:tcPr>
          <w:p w14:paraId="6E6B049C" w14:textId="77777777" w:rsidR="008E699C" w:rsidRPr="008F735E" w:rsidRDefault="008E699C" w:rsidP="00447F49">
            <w:pPr>
              <w:keepNext/>
              <w:keepLines/>
              <w:tabs>
                <w:tab w:val="decimal" w:pos="256"/>
              </w:tabs>
              <w:spacing w:before="60" w:after="60"/>
              <w:jc w:val="center"/>
              <w:rPr>
                <w:sz w:val="14"/>
                <w:szCs w:val="14"/>
              </w:rPr>
            </w:pPr>
          </w:p>
        </w:tc>
        <w:tc>
          <w:tcPr>
            <w:tcW w:w="921" w:type="dxa"/>
            <w:vAlign w:val="center"/>
          </w:tcPr>
          <w:p w14:paraId="1A9CD4CD" w14:textId="77777777" w:rsidR="008E699C" w:rsidRPr="008F735E" w:rsidRDefault="008E699C" w:rsidP="00447F49">
            <w:pPr>
              <w:keepNext/>
              <w:keepLines/>
              <w:tabs>
                <w:tab w:val="decimal" w:pos="256"/>
              </w:tabs>
              <w:spacing w:before="60" w:after="60"/>
              <w:jc w:val="center"/>
              <w:rPr>
                <w:sz w:val="14"/>
                <w:szCs w:val="14"/>
              </w:rPr>
            </w:pPr>
          </w:p>
        </w:tc>
      </w:tr>
      <w:tr w:rsidR="008E699C" w:rsidRPr="008F735E" w14:paraId="373864D2" w14:textId="77777777" w:rsidTr="008E7335">
        <w:tc>
          <w:tcPr>
            <w:tcW w:w="1347" w:type="dxa"/>
            <w:shd w:val="clear" w:color="auto" w:fill="auto"/>
            <w:vAlign w:val="bottom"/>
          </w:tcPr>
          <w:p w14:paraId="49006699" w14:textId="77777777" w:rsidR="008E699C" w:rsidRPr="006B6DF2" w:rsidRDefault="008E699C" w:rsidP="00447F49">
            <w:pPr>
              <w:keepNext/>
              <w:keepLines/>
              <w:tabs>
                <w:tab w:val="left" w:pos="106"/>
              </w:tabs>
              <w:spacing w:before="60" w:after="60"/>
              <w:rPr>
                <w:b/>
                <w:bCs/>
                <w:sz w:val="14"/>
                <w:szCs w:val="14"/>
              </w:rPr>
            </w:pPr>
            <w:r>
              <w:rPr>
                <w:sz w:val="14"/>
                <w:szCs w:val="14"/>
              </w:rPr>
              <w:t xml:space="preserve">  </w:t>
            </w:r>
            <w:r>
              <w:rPr>
                <w:b/>
                <w:bCs/>
                <w:sz w:val="14"/>
                <w:szCs w:val="14"/>
              </w:rPr>
              <w:t>Inflation = 0%</w:t>
            </w:r>
          </w:p>
        </w:tc>
        <w:tc>
          <w:tcPr>
            <w:tcW w:w="992" w:type="dxa"/>
          </w:tcPr>
          <w:p w14:paraId="2F6CE78E" w14:textId="77777777" w:rsidR="008E699C" w:rsidRDefault="008E699C" w:rsidP="00447F49">
            <w:pPr>
              <w:keepNext/>
              <w:keepLines/>
              <w:tabs>
                <w:tab w:val="decimal" w:pos="256"/>
              </w:tabs>
              <w:spacing w:before="60" w:after="60"/>
              <w:jc w:val="center"/>
              <w:rPr>
                <w:sz w:val="14"/>
                <w:szCs w:val="14"/>
              </w:rPr>
            </w:pPr>
          </w:p>
        </w:tc>
        <w:tc>
          <w:tcPr>
            <w:tcW w:w="737" w:type="dxa"/>
          </w:tcPr>
          <w:p w14:paraId="7FFC029B" w14:textId="77777777" w:rsidR="008E699C" w:rsidRDefault="008E699C" w:rsidP="00447F49">
            <w:pPr>
              <w:keepNext/>
              <w:keepLines/>
              <w:tabs>
                <w:tab w:val="decimal" w:pos="256"/>
              </w:tabs>
              <w:spacing w:before="60" w:after="60"/>
              <w:jc w:val="center"/>
              <w:rPr>
                <w:sz w:val="14"/>
                <w:szCs w:val="14"/>
              </w:rPr>
            </w:pPr>
          </w:p>
        </w:tc>
        <w:tc>
          <w:tcPr>
            <w:tcW w:w="681" w:type="dxa"/>
          </w:tcPr>
          <w:p w14:paraId="01FCF437" w14:textId="77777777" w:rsidR="008E699C" w:rsidRDefault="008E699C" w:rsidP="00447F49">
            <w:pPr>
              <w:keepNext/>
              <w:keepLines/>
              <w:tabs>
                <w:tab w:val="decimal" w:pos="256"/>
              </w:tabs>
              <w:spacing w:before="60" w:after="60"/>
              <w:jc w:val="center"/>
              <w:rPr>
                <w:sz w:val="14"/>
                <w:szCs w:val="14"/>
              </w:rPr>
            </w:pPr>
          </w:p>
        </w:tc>
        <w:tc>
          <w:tcPr>
            <w:tcW w:w="651" w:type="dxa"/>
          </w:tcPr>
          <w:p w14:paraId="603197DA" w14:textId="77777777" w:rsidR="008E699C" w:rsidRDefault="008E699C" w:rsidP="00447F49">
            <w:pPr>
              <w:keepNext/>
              <w:keepLines/>
              <w:tabs>
                <w:tab w:val="decimal" w:pos="256"/>
              </w:tabs>
              <w:spacing w:before="60" w:after="60"/>
              <w:jc w:val="center"/>
              <w:rPr>
                <w:sz w:val="14"/>
                <w:szCs w:val="14"/>
              </w:rPr>
            </w:pPr>
          </w:p>
        </w:tc>
        <w:tc>
          <w:tcPr>
            <w:tcW w:w="666" w:type="dxa"/>
          </w:tcPr>
          <w:p w14:paraId="699B770A" w14:textId="77777777" w:rsidR="008E699C" w:rsidRDefault="008E699C" w:rsidP="00447F49">
            <w:pPr>
              <w:keepNext/>
              <w:keepLines/>
              <w:tabs>
                <w:tab w:val="decimal" w:pos="256"/>
              </w:tabs>
              <w:spacing w:before="60" w:after="60"/>
              <w:jc w:val="center"/>
              <w:rPr>
                <w:sz w:val="14"/>
                <w:szCs w:val="14"/>
              </w:rPr>
            </w:pPr>
          </w:p>
        </w:tc>
        <w:tc>
          <w:tcPr>
            <w:tcW w:w="667" w:type="dxa"/>
          </w:tcPr>
          <w:p w14:paraId="0C329A3F" w14:textId="77777777" w:rsidR="008E699C" w:rsidRDefault="008E699C" w:rsidP="00447F49">
            <w:pPr>
              <w:keepNext/>
              <w:keepLines/>
              <w:tabs>
                <w:tab w:val="decimal" w:pos="256"/>
              </w:tabs>
              <w:spacing w:before="60" w:after="60"/>
              <w:jc w:val="center"/>
              <w:rPr>
                <w:sz w:val="14"/>
                <w:szCs w:val="14"/>
              </w:rPr>
            </w:pPr>
          </w:p>
        </w:tc>
        <w:tc>
          <w:tcPr>
            <w:tcW w:w="1134" w:type="dxa"/>
          </w:tcPr>
          <w:p w14:paraId="0C540DAD" w14:textId="77777777" w:rsidR="008E699C" w:rsidRDefault="008E699C" w:rsidP="00447F49">
            <w:pPr>
              <w:keepNext/>
              <w:keepLines/>
              <w:tabs>
                <w:tab w:val="decimal" w:pos="256"/>
              </w:tabs>
              <w:spacing w:before="60" w:after="60"/>
              <w:jc w:val="center"/>
              <w:rPr>
                <w:sz w:val="14"/>
                <w:szCs w:val="14"/>
              </w:rPr>
            </w:pPr>
          </w:p>
        </w:tc>
        <w:tc>
          <w:tcPr>
            <w:tcW w:w="851" w:type="dxa"/>
          </w:tcPr>
          <w:p w14:paraId="0F9D4E76" w14:textId="77777777" w:rsidR="008E699C" w:rsidRDefault="008E699C" w:rsidP="00447F49">
            <w:pPr>
              <w:keepNext/>
              <w:keepLines/>
              <w:tabs>
                <w:tab w:val="decimal" w:pos="256"/>
              </w:tabs>
              <w:spacing w:before="60" w:after="60"/>
              <w:jc w:val="center"/>
              <w:rPr>
                <w:sz w:val="14"/>
                <w:szCs w:val="14"/>
              </w:rPr>
            </w:pPr>
          </w:p>
        </w:tc>
        <w:tc>
          <w:tcPr>
            <w:tcW w:w="1134" w:type="dxa"/>
          </w:tcPr>
          <w:p w14:paraId="20D7C994" w14:textId="77777777" w:rsidR="008E699C" w:rsidRDefault="008E699C" w:rsidP="00447F49">
            <w:pPr>
              <w:keepNext/>
              <w:keepLines/>
              <w:tabs>
                <w:tab w:val="decimal" w:pos="256"/>
              </w:tabs>
              <w:spacing w:before="60" w:after="60"/>
              <w:jc w:val="center"/>
              <w:rPr>
                <w:sz w:val="14"/>
                <w:szCs w:val="14"/>
              </w:rPr>
            </w:pPr>
          </w:p>
        </w:tc>
        <w:tc>
          <w:tcPr>
            <w:tcW w:w="921" w:type="dxa"/>
          </w:tcPr>
          <w:p w14:paraId="115CFBE6" w14:textId="77777777" w:rsidR="008E699C" w:rsidRDefault="008E699C" w:rsidP="00447F49">
            <w:pPr>
              <w:keepNext/>
              <w:keepLines/>
              <w:tabs>
                <w:tab w:val="decimal" w:pos="256"/>
              </w:tabs>
              <w:spacing w:before="60" w:after="60"/>
              <w:jc w:val="center"/>
              <w:rPr>
                <w:sz w:val="14"/>
                <w:szCs w:val="14"/>
              </w:rPr>
            </w:pPr>
          </w:p>
        </w:tc>
      </w:tr>
      <w:tr w:rsidR="008E699C" w:rsidRPr="008F735E" w14:paraId="04E0A2CB" w14:textId="77777777" w:rsidTr="008E7335">
        <w:tc>
          <w:tcPr>
            <w:tcW w:w="1347" w:type="dxa"/>
            <w:shd w:val="clear" w:color="auto" w:fill="auto"/>
            <w:vAlign w:val="bottom"/>
          </w:tcPr>
          <w:p w14:paraId="0980A3F5" w14:textId="77777777" w:rsidR="008E699C" w:rsidRPr="008F735E" w:rsidRDefault="008E699C" w:rsidP="00447F49">
            <w:pPr>
              <w:keepNext/>
              <w:keepLines/>
              <w:tabs>
                <w:tab w:val="left" w:pos="106"/>
              </w:tabs>
              <w:spacing w:before="60" w:after="60"/>
              <w:rPr>
                <w:sz w:val="14"/>
                <w:szCs w:val="14"/>
              </w:rPr>
            </w:pPr>
            <w:r>
              <w:rPr>
                <w:sz w:val="14"/>
                <w:szCs w:val="14"/>
              </w:rPr>
              <w:t xml:space="preserve">  b = 0%</w:t>
            </w:r>
          </w:p>
        </w:tc>
        <w:tc>
          <w:tcPr>
            <w:tcW w:w="992" w:type="dxa"/>
            <w:shd w:val="clear" w:color="auto" w:fill="auto"/>
            <w:vAlign w:val="bottom"/>
          </w:tcPr>
          <w:p w14:paraId="271EB56A"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4.33%</w:t>
            </w:r>
          </w:p>
        </w:tc>
        <w:tc>
          <w:tcPr>
            <w:tcW w:w="737" w:type="dxa"/>
            <w:shd w:val="clear" w:color="auto" w:fill="auto"/>
            <w:vAlign w:val="bottom"/>
          </w:tcPr>
          <w:p w14:paraId="60225AF4"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4.17%</w:t>
            </w:r>
          </w:p>
        </w:tc>
        <w:tc>
          <w:tcPr>
            <w:tcW w:w="681" w:type="dxa"/>
            <w:shd w:val="clear" w:color="auto" w:fill="auto"/>
            <w:vAlign w:val="bottom"/>
          </w:tcPr>
          <w:p w14:paraId="21082C5E"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4.17%</w:t>
            </w:r>
          </w:p>
        </w:tc>
        <w:tc>
          <w:tcPr>
            <w:tcW w:w="651" w:type="dxa"/>
            <w:shd w:val="clear" w:color="auto" w:fill="auto"/>
            <w:vAlign w:val="bottom"/>
          </w:tcPr>
          <w:p w14:paraId="519AD0F0"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4.17%</w:t>
            </w:r>
          </w:p>
        </w:tc>
        <w:tc>
          <w:tcPr>
            <w:tcW w:w="666" w:type="dxa"/>
            <w:shd w:val="clear" w:color="auto" w:fill="auto"/>
            <w:vAlign w:val="bottom"/>
          </w:tcPr>
          <w:p w14:paraId="3B4E6945"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4.17%</w:t>
            </w:r>
          </w:p>
        </w:tc>
        <w:tc>
          <w:tcPr>
            <w:tcW w:w="667" w:type="dxa"/>
            <w:shd w:val="clear" w:color="auto" w:fill="auto"/>
            <w:vAlign w:val="bottom"/>
          </w:tcPr>
          <w:p w14:paraId="4A294CFD"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4.17%</w:t>
            </w:r>
          </w:p>
        </w:tc>
        <w:tc>
          <w:tcPr>
            <w:tcW w:w="1134" w:type="dxa"/>
            <w:shd w:val="clear" w:color="auto" w:fill="auto"/>
            <w:vAlign w:val="bottom"/>
          </w:tcPr>
          <w:p w14:paraId="2D7B6658"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4.17%</w:t>
            </w:r>
          </w:p>
        </w:tc>
        <w:tc>
          <w:tcPr>
            <w:tcW w:w="851" w:type="dxa"/>
            <w:shd w:val="clear" w:color="auto" w:fill="auto"/>
            <w:vAlign w:val="bottom"/>
          </w:tcPr>
          <w:p w14:paraId="72120F0A"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4.17%</w:t>
            </w:r>
          </w:p>
        </w:tc>
        <w:tc>
          <w:tcPr>
            <w:tcW w:w="1134" w:type="dxa"/>
            <w:shd w:val="clear" w:color="auto" w:fill="auto"/>
            <w:vAlign w:val="bottom"/>
          </w:tcPr>
          <w:p w14:paraId="39D7E101"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3.78%</w:t>
            </w:r>
          </w:p>
        </w:tc>
        <w:tc>
          <w:tcPr>
            <w:tcW w:w="921" w:type="dxa"/>
            <w:shd w:val="clear" w:color="auto" w:fill="auto"/>
            <w:vAlign w:val="bottom"/>
          </w:tcPr>
          <w:p w14:paraId="29DFAC45"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3.00%</w:t>
            </w:r>
          </w:p>
        </w:tc>
      </w:tr>
      <w:tr w:rsidR="008E699C" w:rsidRPr="008F735E" w14:paraId="03421F0F" w14:textId="77777777" w:rsidTr="008E7335">
        <w:tc>
          <w:tcPr>
            <w:tcW w:w="1347" w:type="dxa"/>
            <w:shd w:val="clear" w:color="auto" w:fill="auto"/>
            <w:vAlign w:val="bottom"/>
          </w:tcPr>
          <w:p w14:paraId="38D2036A" w14:textId="77777777" w:rsidR="008E699C" w:rsidRPr="008F735E" w:rsidRDefault="008E699C" w:rsidP="00447F49">
            <w:pPr>
              <w:keepNext/>
              <w:keepLines/>
              <w:tabs>
                <w:tab w:val="left" w:pos="106"/>
              </w:tabs>
              <w:spacing w:before="60" w:after="60"/>
              <w:rPr>
                <w:sz w:val="14"/>
                <w:szCs w:val="14"/>
              </w:rPr>
            </w:pPr>
            <w:r>
              <w:rPr>
                <w:sz w:val="14"/>
                <w:szCs w:val="14"/>
              </w:rPr>
              <w:t xml:space="preserve">  b = 100%</w:t>
            </w:r>
          </w:p>
        </w:tc>
        <w:tc>
          <w:tcPr>
            <w:tcW w:w="992" w:type="dxa"/>
            <w:shd w:val="clear" w:color="auto" w:fill="auto"/>
            <w:vAlign w:val="bottom"/>
          </w:tcPr>
          <w:p w14:paraId="6BD9BFCA"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3.14%</w:t>
            </w:r>
          </w:p>
        </w:tc>
        <w:tc>
          <w:tcPr>
            <w:tcW w:w="737" w:type="dxa"/>
            <w:shd w:val="clear" w:color="auto" w:fill="auto"/>
            <w:vAlign w:val="bottom"/>
          </w:tcPr>
          <w:p w14:paraId="1B9F90C3"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3.00%</w:t>
            </w:r>
          </w:p>
        </w:tc>
        <w:tc>
          <w:tcPr>
            <w:tcW w:w="681" w:type="dxa"/>
            <w:shd w:val="clear" w:color="auto" w:fill="auto"/>
            <w:vAlign w:val="bottom"/>
          </w:tcPr>
          <w:p w14:paraId="53813D5D"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3.00%</w:t>
            </w:r>
          </w:p>
        </w:tc>
        <w:tc>
          <w:tcPr>
            <w:tcW w:w="651" w:type="dxa"/>
            <w:shd w:val="clear" w:color="auto" w:fill="auto"/>
            <w:vAlign w:val="bottom"/>
          </w:tcPr>
          <w:p w14:paraId="201BFF4A"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3.00%</w:t>
            </w:r>
          </w:p>
        </w:tc>
        <w:tc>
          <w:tcPr>
            <w:tcW w:w="666" w:type="dxa"/>
            <w:shd w:val="clear" w:color="auto" w:fill="auto"/>
            <w:vAlign w:val="bottom"/>
          </w:tcPr>
          <w:p w14:paraId="6D1D7FF0"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3.00%</w:t>
            </w:r>
          </w:p>
        </w:tc>
        <w:tc>
          <w:tcPr>
            <w:tcW w:w="667" w:type="dxa"/>
            <w:shd w:val="clear" w:color="auto" w:fill="auto"/>
            <w:vAlign w:val="bottom"/>
          </w:tcPr>
          <w:p w14:paraId="1FC21406"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3.00%</w:t>
            </w:r>
          </w:p>
        </w:tc>
        <w:tc>
          <w:tcPr>
            <w:tcW w:w="1134" w:type="dxa"/>
            <w:shd w:val="clear" w:color="auto" w:fill="auto"/>
            <w:vAlign w:val="bottom"/>
          </w:tcPr>
          <w:p w14:paraId="7386EB24"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3.00%</w:t>
            </w:r>
          </w:p>
        </w:tc>
        <w:tc>
          <w:tcPr>
            <w:tcW w:w="851" w:type="dxa"/>
            <w:shd w:val="clear" w:color="auto" w:fill="auto"/>
            <w:vAlign w:val="bottom"/>
          </w:tcPr>
          <w:p w14:paraId="19F7B06D"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3.00%</w:t>
            </w:r>
          </w:p>
        </w:tc>
        <w:tc>
          <w:tcPr>
            <w:tcW w:w="1134" w:type="dxa"/>
            <w:shd w:val="clear" w:color="auto" w:fill="auto"/>
            <w:vAlign w:val="bottom"/>
          </w:tcPr>
          <w:p w14:paraId="4E381240"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2.61%</w:t>
            </w:r>
          </w:p>
        </w:tc>
        <w:tc>
          <w:tcPr>
            <w:tcW w:w="921" w:type="dxa"/>
            <w:shd w:val="clear" w:color="auto" w:fill="auto"/>
            <w:vAlign w:val="bottom"/>
          </w:tcPr>
          <w:p w14:paraId="5820F41F"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2.16%</w:t>
            </w:r>
          </w:p>
        </w:tc>
      </w:tr>
      <w:tr w:rsidR="008E699C" w:rsidRPr="008F735E" w14:paraId="55255D11" w14:textId="77777777" w:rsidTr="008E7335">
        <w:tc>
          <w:tcPr>
            <w:tcW w:w="1347" w:type="dxa"/>
            <w:shd w:val="clear" w:color="auto" w:fill="auto"/>
            <w:vAlign w:val="bottom"/>
          </w:tcPr>
          <w:p w14:paraId="1AAE351A" w14:textId="77777777" w:rsidR="008E699C" w:rsidRPr="008F735E" w:rsidRDefault="008E699C" w:rsidP="00447F49">
            <w:pPr>
              <w:keepNext/>
              <w:keepLines/>
              <w:tabs>
                <w:tab w:val="left" w:pos="106"/>
              </w:tabs>
              <w:spacing w:before="60" w:after="60"/>
              <w:rPr>
                <w:sz w:val="14"/>
                <w:szCs w:val="14"/>
              </w:rPr>
            </w:pPr>
            <w:r>
              <w:rPr>
                <w:sz w:val="14"/>
                <w:szCs w:val="14"/>
              </w:rPr>
              <w:t xml:space="preserve">  b = 43%</w:t>
            </w:r>
          </w:p>
        </w:tc>
        <w:tc>
          <w:tcPr>
            <w:tcW w:w="992" w:type="dxa"/>
            <w:shd w:val="clear" w:color="auto" w:fill="auto"/>
            <w:vAlign w:val="bottom"/>
          </w:tcPr>
          <w:p w14:paraId="2837F832"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3.82%</w:t>
            </w:r>
          </w:p>
        </w:tc>
        <w:tc>
          <w:tcPr>
            <w:tcW w:w="737" w:type="dxa"/>
            <w:shd w:val="clear" w:color="auto" w:fill="auto"/>
            <w:vAlign w:val="bottom"/>
          </w:tcPr>
          <w:p w14:paraId="0639672A"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3.67%</w:t>
            </w:r>
          </w:p>
        </w:tc>
        <w:tc>
          <w:tcPr>
            <w:tcW w:w="681" w:type="dxa"/>
            <w:shd w:val="clear" w:color="auto" w:fill="auto"/>
            <w:vAlign w:val="bottom"/>
          </w:tcPr>
          <w:p w14:paraId="6337774B"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3.67%</w:t>
            </w:r>
          </w:p>
        </w:tc>
        <w:tc>
          <w:tcPr>
            <w:tcW w:w="651" w:type="dxa"/>
            <w:shd w:val="clear" w:color="auto" w:fill="auto"/>
            <w:vAlign w:val="bottom"/>
          </w:tcPr>
          <w:p w14:paraId="61E86B8F"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3.67%</w:t>
            </w:r>
          </w:p>
        </w:tc>
        <w:tc>
          <w:tcPr>
            <w:tcW w:w="666" w:type="dxa"/>
            <w:shd w:val="clear" w:color="auto" w:fill="auto"/>
            <w:vAlign w:val="bottom"/>
          </w:tcPr>
          <w:p w14:paraId="2C733BB2"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3.67%</w:t>
            </w:r>
          </w:p>
        </w:tc>
        <w:tc>
          <w:tcPr>
            <w:tcW w:w="667" w:type="dxa"/>
            <w:shd w:val="clear" w:color="auto" w:fill="auto"/>
            <w:vAlign w:val="bottom"/>
          </w:tcPr>
          <w:p w14:paraId="5BC5E0F9"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3.67%</w:t>
            </w:r>
          </w:p>
        </w:tc>
        <w:tc>
          <w:tcPr>
            <w:tcW w:w="1134" w:type="dxa"/>
            <w:shd w:val="clear" w:color="auto" w:fill="auto"/>
            <w:vAlign w:val="bottom"/>
          </w:tcPr>
          <w:p w14:paraId="51548AF8"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3.67%</w:t>
            </w:r>
          </w:p>
        </w:tc>
        <w:tc>
          <w:tcPr>
            <w:tcW w:w="851" w:type="dxa"/>
            <w:shd w:val="clear" w:color="auto" w:fill="auto"/>
            <w:vAlign w:val="bottom"/>
          </w:tcPr>
          <w:p w14:paraId="3364361E"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3.67%</w:t>
            </w:r>
          </w:p>
        </w:tc>
        <w:tc>
          <w:tcPr>
            <w:tcW w:w="1134" w:type="dxa"/>
            <w:shd w:val="clear" w:color="auto" w:fill="auto"/>
            <w:vAlign w:val="bottom"/>
          </w:tcPr>
          <w:p w14:paraId="267CF790"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3.28%</w:t>
            </w:r>
          </w:p>
        </w:tc>
        <w:tc>
          <w:tcPr>
            <w:tcW w:w="921" w:type="dxa"/>
            <w:shd w:val="clear" w:color="auto" w:fill="auto"/>
            <w:vAlign w:val="bottom"/>
          </w:tcPr>
          <w:p w14:paraId="233220E9"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2.64%</w:t>
            </w:r>
          </w:p>
        </w:tc>
      </w:tr>
      <w:tr w:rsidR="008E699C" w:rsidRPr="008F735E" w14:paraId="02DF0D80" w14:textId="77777777" w:rsidTr="008E7335">
        <w:tc>
          <w:tcPr>
            <w:tcW w:w="1347" w:type="dxa"/>
            <w:shd w:val="clear" w:color="auto" w:fill="auto"/>
            <w:vAlign w:val="bottom"/>
          </w:tcPr>
          <w:p w14:paraId="15702786" w14:textId="77777777" w:rsidR="008E699C" w:rsidRPr="008F735E" w:rsidRDefault="008E699C" w:rsidP="00447F49">
            <w:pPr>
              <w:keepNext/>
              <w:keepLines/>
              <w:tabs>
                <w:tab w:val="left" w:pos="106"/>
              </w:tabs>
              <w:spacing w:before="60" w:after="60"/>
              <w:rPr>
                <w:sz w:val="14"/>
                <w:szCs w:val="14"/>
              </w:rPr>
            </w:pPr>
            <w:r>
              <w:rPr>
                <w:sz w:val="14"/>
                <w:szCs w:val="14"/>
              </w:rPr>
              <w:t xml:space="preserve">  </w:t>
            </w:r>
            <w:r>
              <w:rPr>
                <w:b/>
                <w:bCs/>
                <w:sz w:val="14"/>
                <w:szCs w:val="14"/>
              </w:rPr>
              <w:t>Inflation = 2%</w:t>
            </w:r>
          </w:p>
        </w:tc>
        <w:tc>
          <w:tcPr>
            <w:tcW w:w="992" w:type="dxa"/>
            <w:shd w:val="clear" w:color="auto" w:fill="auto"/>
            <w:vAlign w:val="bottom"/>
          </w:tcPr>
          <w:p w14:paraId="0AA90B10"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 </w:t>
            </w:r>
          </w:p>
        </w:tc>
        <w:tc>
          <w:tcPr>
            <w:tcW w:w="737" w:type="dxa"/>
            <w:shd w:val="clear" w:color="auto" w:fill="auto"/>
            <w:vAlign w:val="bottom"/>
          </w:tcPr>
          <w:p w14:paraId="121A0DF4"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 </w:t>
            </w:r>
          </w:p>
        </w:tc>
        <w:tc>
          <w:tcPr>
            <w:tcW w:w="681" w:type="dxa"/>
            <w:shd w:val="clear" w:color="auto" w:fill="auto"/>
            <w:vAlign w:val="bottom"/>
          </w:tcPr>
          <w:p w14:paraId="0C95F268"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 </w:t>
            </w:r>
          </w:p>
        </w:tc>
        <w:tc>
          <w:tcPr>
            <w:tcW w:w="651" w:type="dxa"/>
            <w:shd w:val="clear" w:color="auto" w:fill="auto"/>
            <w:vAlign w:val="bottom"/>
          </w:tcPr>
          <w:p w14:paraId="6F812C10"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 </w:t>
            </w:r>
          </w:p>
        </w:tc>
        <w:tc>
          <w:tcPr>
            <w:tcW w:w="666" w:type="dxa"/>
            <w:shd w:val="clear" w:color="auto" w:fill="auto"/>
            <w:vAlign w:val="bottom"/>
          </w:tcPr>
          <w:p w14:paraId="49844910"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 </w:t>
            </w:r>
          </w:p>
        </w:tc>
        <w:tc>
          <w:tcPr>
            <w:tcW w:w="667" w:type="dxa"/>
            <w:shd w:val="clear" w:color="auto" w:fill="auto"/>
            <w:vAlign w:val="bottom"/>
          </w:tcPr>
          <w:p w14:paraId="72F3D056"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 </w:t>
            </w:r>
          </w:p>
        </w:tc>
        <w:tc>
          <w:tcPr>
            <w:tcW w:w="1134" w:type="dxa"/>
            <w:shd w:val="clear" w:color="auto" w:fill="auto"/>
            <w:vAlign w:val="bottom"/>
          </w:tcPr>
          <w:p w14:paraId="0E8C782B"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 </w:t>
            </w:r>
          </w:p>
        </w:tc>
        <w:tc>
          <w:tcPr>
            <w:tcW w:w="851" w:type="dxa"/>
            <w:shd w:val="clear" w:color="auto" w:fill="auto"/>
            <w:vAlign w:val="bottom"/>
          </w:tcPr>
          <w:p w14:paraId="3DEAC617"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 </w:t>
            </w:r>
          </w:p>
        </w:tc>
        <w:tc>
          <w:tcPr>
            <w:tcW w:w="1134" w:type="dxa"/>
            <w:shd w:val="clear" w:color="auto" w:fill="auto"/>
            <w:vAlign w:val="bottom"/>
          </w:tcPr>
          <w:p w14:paraId="72BE2A3B"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 </w:t>
            </w:r>
          </w:p>
        </w:tc>
        <w:tc>
          <w:tcPr>
            <w:tcW w:w="921" w:type="dxa"/>
            <w:shd w:val="clear" w:color="auto" w:fill="auto"/>
            <w:vAlign w:val="bottom"/>
          </w:tcPr>
          <w:p w14:paraId="04671D63"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 </w:t>
            </w:r>
          </w:p>
        </w:tc>
      </w:tr>
      <w:tr w:rsidR="008E699C" w:rsidRPr="008F735E" w14:paraId="4EAFE5D5" w14:textId="77777777" w:rsidTr="008E7335">
        <w:tc>
          <w:tcPr>
            <w:tcW w:w="1347" w:type="dxa"/>
            <w:shd w:val="clear" w:color="auto" w:fill="auto"/>
            <w:vAlign w:val="bottom"/>
          </w:tcPr>
          <w:p w14:paraId="42159342" w14:textId="77777777" w:rsidR="008E699C" w:rsidRPr="008F735E" w:rsidRDefault="008E699C" w:rsidP="00447F49">
            <w:pPr>
              <w:keepNext/>
              <w:keepLines/>
              <w:tabs>
                <w:tab w:val="left" w:pos="106"/>
              </w:tabs>
              <w:spacing w:before="60" w:after="60"/>
              <w:rPr>
                <w:sz w:val="14"/>
                <w:szCs w:val="14"/>
              </w:rPr>
            </w:pPr>
            <w:r>
              <w:rPr>
                <w:sz w:val="14"/>
                <w:szCs w:val="14"/>
              </w:rPr>
              <w:t xml:space="preserve">  b = 0%</w:t>
            </w:r>
          </w:p>
        </w:tc>
        <w:tc>
          <w:tcPr>
            <w:tcW w:w="992" w:type="dxa"/>
            <w:shd w:val="clear" w:color="auto" w:fill="auto"/>
            <w:vAlign w:val="bottom"/>
          </w:tcPr>
          <w:p w14:paraId="50BF27D0"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4.59%</w:t>
            </w:r>
          </w:p>
        </w:tc>
        <w:tc>
          <w:tcPr>
            <w:tcW w:w="737" w:type="dxa"/>
            <w:shd w:val="clear" w:color="auto" w:fill="auto"/>
            <w:vAlign w:val="bottom"/>
          </w:tcPr>
          <w:p w14:paraId="5067496D"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4.93%</w:t>
            </w:r>
          </w:p>
        </w:tc>
        <w:tc>
          <w:tcPr>
            <w:tcW w:w="681" w:type="dxa"/>
            <w:shd w:val="clear" w:color="auto" w:fill="auto"/>
            <w:vAlign w:val="bottom"/>
          </w:tcPr>
          <w:p w14:paraId="2578C5E6"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4.89%</w:t>
            </w:r>
          </w:p>
        </w:tc>
        <w:tc>
          <w:tcPr>
            <w:tcW w:w="651" w:type="dxa"/>
            <w:shd w:val="clear" w:color="auto" w:fill="auto"/>
            <w:vAlign w:val="bottom"/>
          </w:tcPr>
          <w:p w14:paraId="254CC03A"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4.70%</w:t>
            </w:r>
          </w:p>
        </w:tc>
        <w:tc>
          <w:tcPr>
            <w:tcW w:w="666" w:type="dxa"/>
            <w:shd w:val="clear" w:color="auto" w:fill="auto"/>
            <w:vAlign w:val="bottom"/>
          </w:tcPr>
          <w:p w14:paraId="0C774957"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4.52%</w:t>
            </w:r>
          </w:p>
        </w:tc>
        <w:tc>
          <w:tcPr>
            <w:tcW w:w="667" w:type="dxa"/>
            <w:shd w:val="clear" w:color="auto" w:fill="auto"/>
            <w:vAlign w:val="bottom"/>
          </w:tcPr>
          <w:p w14:paraId="57454108"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4.39%</w:t>
            </w:r>
          </w:p>
        </w:tc>
        <w:tc>
          <w:tcPr>
            <w:tcW w:w="1134" w:type="dxa"/>
            <w:shd w:val="clear" w:color="auto" w:fill="auto"/>
            <w:vAlign w:val="bottom"/>
          </w:tcPr>
          <w:p w14:paraId="16DCB31D"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4.17%</w:t>
            </w:r>
          </w:p>
        </w:tc>
        <w:tc>
          <w:tcPr>
            <w:tcW w:w="851" w:type="dxa"/>
            <w:shd w:val="clear" w:color="auto" w:fill="auto"/>
            <w:vAlign w:val="bottom"/>
          </w:tcPr>
          <w:p w14:paraId="2BD025E5"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4.93%</w:t>
            </w:r>
          </w:p>
        </w:tc>
        <w:tc>
          <w:tcPr>
            <w:tcW w:w="1134" w:type="dxa"/>
            <w:shd w:val="clear" w:color="auto" w:fill="auto"/>
            <w:vAlign w:val="bottom"/>
          </w:tcPr>
          <w:p w14:paraId="6B4A8B2B"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3.78%</w:t>
            </w:r>
          </w:p>
        </w:tc>
        <w:tc>
          <w:tcPr>
            <w:tcW w:w="921" w:type="dxa"/>
            <w:shd w:val="clear" w:color="auto" w:fill="auto"/>
            <w:vAlign w:val="bottom"/>
          </w:tcPr>
          <w:p w14:paraId="25C9EDAE"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3.00%</w:t>
            </w:r>
          </w:p>
        </w:tc>
      </w:tr>
      <w:tr w:rsidR="008E699C" w:rsidRPr="008F735E" w14:paraId="02BD37A8" w14:textId="77777777" w:rsidTr="008E7335">
        <w:tc>
          <w:tcPr>
            <w:tcW w:w="1347" w:type="dxa"/>
            <w:shd w:val="clear" w:color="auto" w:fill="auto"/>
            <w:vAlign w:val="bottom"/>
          </w:tcPr>
          <w:p w14:paraId="4D10EA01" w14:textId="77777777" w:rsidR="008E699C" w:rsidRPr="008F735E" w:rsidRDefault="008E699C" w:rsidP="00447F49">
            <w:pPr>
              <w:keepNext/>
              <w:keepLines/>
              <w:tabs>
                <w:tab w:val="left" w:pos="106"/>
              </w:tabs>
              <w:spacing w:before="60" w:after="60"/>
              <w:rPr>
                <w:sz w:val="14"/>
                <w:szCs w:val="14"/>
              </w:rPr>
            </w:pPr>
            <w:r>
              <w:rPr>
                <w:sz w:val="14"/>
                <w:szCs w:val="14"/>
              </w:rPr>
              <w:t xml:space="preserve">  b = 100%</w:t>
            </w:r>
          </w:p>
        </w:tc>
        <w:tc>
          <w:tcPr>
            <w:tcW w:w="992" w:type="dxa"/>
            <w:shd w:val="clear" w:color="auto" w:fill="auto"/>
            <w:vAlign w:val="bottom"/>
          </w:tcPr>
          <w:p w14:paraId="1CEE0919"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2.69%</w:t>
            </w:r>
          </w:p>
        </w:tc>
        <w:tc>
          <w:tcPr>
            <w:tcW w:w="737" w:type="dxa"/>
            <w:shd w:val="clear" w:color="auto" w:fill="auto"/>
            <w:vAlign w:val="bottom"/>
          </w:tcPr>
          <w:p w14:paraId="72DFCAA9"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3.00%</w:t>
            </w:r>
          </w:p>
        </w:tc>
        <w:tc>
          <w:tcPr>
            <w:tcW w:w="681" w:type="dxa"/>
            <w:shd w:val="clear" w:color="auto" w:fill="auto"/>
            <w:vAlign w:val="bottom"/>
          </w:tcPr>
          <w:p w14:paraId="0E6EB9A5"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2.97%</w:t>
            </w:r>
          </w:p>
        </w:tc>
        <w:tc>
          <w:tcPr>
            <w:tcW w:w="651" w:type="dxa"/>
            <w:shd w:val="clear" w:color="auto" w:fill="auto"/>
            <w:vAlign w:val="bottom"/>
          </w:tcPr>
          <w:p w14:paraId="48D4B958"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2.82%</w:t>
            </w:r>
          </w:p>
        </w:tc>
        <w:tc>
          <w:tcPr>
            <w:tcW w:w="666" w:type="dxa"/>
            <w:shd w:val="clear" w:color="auto" w:fill="auto"/>
            <w:vAlign w:val="bottom"/>
          </w:tcPr>
          <w:p w14:paraId="23D74CF9"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2.65%</w:t>
            </w:r>
          </w:p>
        </w:tc>
        <w:tc>
          <w:tcPr>
            <w:tcW w:w="667" w:type="dxa"/>
            <w:shd w:val="clear" w:color="auto" w:fill="auto"/>
            <w:vAlign w:val="bottom"/>
          </w:tcPr>
          <w:p w14:paraId="15B0A46E"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2.52%</w:t>
            </w:r>
          </w:p>
        </w:tc>
        <w:tc>
          <w:tcPr>
            <w:tcW w:w="1134" w:type="dxa"/>
            <w:shd w:val="clear" w:color="auto" w:fill="auto"/>
            <w:vAlign w:val="bottom"/>
          </w:tcPr>
          <w:p w14:paraId="34A0DDBD"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2.24%</w:t>
            </w:r>
          </w:p>
        </w:tc>
        <w:tc>
          <w:tcPr>
            <w:tcW w:w="851" w:type="dxa"/>
            <w:shd w:val="clear" w:color="auto" w:fill="auto"/>
            <w:vAlign w:val="bottom"/>
          </w:tcPr>
          <w:p w14:paraId="1A6763F8"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3.00%</w:t>
            </w:r>
          </w:p>
        </w:tc>
        <w:tc>
          <w:tcPr>
            <w:tcW w:w="1134" w:type="dxa"/>
            <w:shd w:val="clear" w:color="auto" w:fill="auto"/>
            <w:vAlign w:val="bottom"/>
          </w:tcPr>
          <w:p w14:paraId="0B72DF70"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1.85%</w:t>
            </w:r>
          </w:p>
        </w:tc>
        <w:tc>
          <w:tcPr>
            <w:tcW w:w="921" w:type="dxa"/>
            <w:shd w:val="clear" w:color="auto" w:fill="auto"/>
            <w:vAlign w:val="bottom"/>
          </w:tcPr>
          <w:p w14:paraId="50F283F5"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1.61%</w:t>
            </w:r>
          </w:p>
        </w:tc>
      </w:tr>
      <w:tr w:rsidR="008E699C" w:rsidRPr="008F735E" w14:paraId="3FD00117" w14:textId="77777777" w:rsidTr="008E7335">
        <w:tc>
          <w:tcPr>
            <w:tcW w:w="1347" w:type="dxa"/>
            <w:shd w:val="clear" w:color="auto" w:fill="auto"/>
            <w:vAlign w:val="bottom"/>
          </w:tcPr>
          <w:p w14:paraId="300CDFDB" w14:textId="77777777" w:rsidR="008E699C" w:rsidRPr="008F735E" w:rsidRDefault="008E699C" w:rsidP="00447F49">
            <w:pPr>
              <w:keepNext/>
              <w:keepLines/>
              <w:tabs>
                <w:tab w:val="left" w:pos="106"/>
              </w:tabs>
              <w:spacing w:before="60" w:after="60"/>
              <w:rPr>
                <w:sz w:val="14"/>
                <w:szCs w:val="14"/>
              </w:rPr>
            </w:pPr>
            <w:r>
              <w:rPr>
                <w:sz w:val="14"/>
                <w:szCs w:val="14"/>
              </w:rPr>
              <w:t xml:space="preserve">  b = 43%</w:t>
            </w:r>
          </w:p>
        </w:tc>
        <w:tc>
          <w:tcPr>
            <w:tcW w:w="992" w:type="dxa"/>
            <w:shd w:val="clear" w:color="auto" w:fill="auto"/>
            <w:vAlign w:val="bottom"/>
          </w:tcPr>
          <w:p w14:paraId="78F49466"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3.77%</w:t>
            </w:r>
          </w:p>
        </w:tc>
        <w:tc>
          <w:tcPr>
            <w:tcW w:w="737" w:type="dxa"/>
            <w:shd w:val="clear" w:color="auto" w:fill="auto"/>
            <w:vAlign w:val="bottom"/>
          </w:tcPr>
          <w:p w14:paraId="59EDF49B"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4.10%</w:t>
            </w:r>
          </w:p>
        </w:tc>
        <w:tc>
          <w:tcPr>
            <w:tcW w:w="681" w:type="dxa"/>
            <w:shd w:val="clear" w:color="auto" w:fill="auto"/>
            <w:vAlign w:val="bottom"/>
          </w:tcPr>
          <w:p w14:paraId="18CDB959"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4.07%</w:t>
            </w:r>
          </w:p>
        </w:tc>
        <w:tc>
          <w:tcPr>
            <w:tcW w:w="651" w:type="dxa"/>
            <w:shd w:val="clear" w:color="auto" w:fill="auto"/>
            <w:vAlign w:val="bottom"/>
          </w:tcPr>
          <w:p w14:paraId="274C5969"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3.89%</w:t>
            </w:r>
          </w:p>
        </w:tc>
        <w:tc>
          <w:tcPr>
            <w:tcW w:w="666" w:type="dxa"/>
            <w:shd w:val="clear" w:color="auto" w:fill="auto"/>
            <w:vAlign w:val="bottom"/>
          </w:tcPr>
          <w:p w14:paraId="370ECEF6"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3.71%</w:t>
            </w:r>
          </w:p>
        </w:tc>
        <w:tc>
          <w:tcPr>
            <w:tcW w:w="667" w:type="dxa"/>
            <w:shd w:val="clear" w:color="auto" w:fill="auto"/>
            <w:vAlign w:val="bottom"/>
          </w:tcPr>
          <w:p w14:paraId="4E268796"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3.58%</w:t>
            </w:r>
          </w:p>
        </w:tc>
        <w:tc>
          <w:tcPr>
            <w:tcW w:w="1134" w:type="dxa"/>
            <w:shd w:val="clear" w:color="auto" w:fill="auto"/>
            <w:vAlign w:val="bottom"/>
          </w:tcPr>
          <w:p w14:paraId="372C65A0"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3.34%</w:t>
            </w:r>
          </w:p>
        </w:tc>
        <w:tc>
          <w:tcPr>
            <w:tcW w:w="851" w:type="dxa"/>
            <w:shd w:val="clear" w:color="auto" w:fill="auto"/>
            <w:vAlign w:val="bottom"/>
          </w:tcPr>
          <w:p w14:paraId="3D4386B0"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4.10%</w:t>
            </w:r>
          </w:p>
        </w:tc>
        <w:tc>
          <w:tcPr>
            <w:tcW w:w="1134" w:type="dxa"/>
            <w:shd w:val="clear" w:color="auto" w:fill="auto"/>
            <w:vAlign w:val="bottom"/>
          </w:tcPr>
          <w:p w14:paraId="6292E66D"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2.95%</w:t>
            </w:r>
          </w:p>
        </w:tc>
        <w:tc>
          <w:tcPr>
            <w:tcW w:w="921" w:type="dxa"/>
            <w:shd w:val="clear" w:color="auto" w:fill="auto"/>
            <w:vAlign w:val="bottom"/>
          </w:tcPr>
          <w:p w14:paraId="389ED14B"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2.40%</w:t>
            </w:r>
          </w:p>
        </w:tc>
      </w:tr>
      <w:tr w:rsidR="008E699C" w:rsidRPr="008F735E" w14:paraId="540C17CB" w14:textId="77777777" w:rsidTr="008E7335">
        <w:tc>
          <w:tcPr>
            <w:tcW w:w="1347" w:type="dxa"/>
            <w:shd w:val="clear" w:color="auto" w:fill="auto"/>
            <w:vAlign w:val="bottom"/>
          </w:tcPr>
          <w:p w14:paraId="29C696D7" w14:textId="77777777" w:rsidR="008E699C" w:rsidRPr="008F735E" w:rsidRDefault="008E699C" w:rsidP="00447F49">
            <w:pPr>
              <w:keepNext/>
              <w:keepLines/>
              <w:tabs>
                <w:tab w:val="left" w:pos="106"/>
              </w:tabs>
              <w:spacing w:before="60" w:after="60"/>
              <w:rPr>
                <w:sz w:val="14"/>
                <w:szCs w:val="14"/>
              </w:rPr>
            </w:pPr>
            <w:r w:rsidRPr="008F735E">
              <w:rPr>
                <w:b/>
                <w:bCs/>
                <w:sz w:val="14"/>
                <w:szCs w:val="14"/>
              </w:rPr>
              <w:t>EMTR</w:t>
            </w:r>
            <w:r>
              <w:rPr>
                <w:b/>
                <w:bCs/>
                <w:sz w:val="14"/>
                <w:szCs w:val="14"/>
              </w:rPr>
              <w:t>s</w:t>
            </w:r>
          </w:p>
        </w:tc>
        <w:tc>
          <w:tcPr>
            <w:tcW w:w="992" w:type="dxa"/>
            <w:shd w:val="clear" w:color="auto" w:fill="auto"/>
            <w:vAlign w:val="bottom"/>
          </w:tcPr>
          <w:p w14:paraId="42957485"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 </w:t>
            </w:r>
          </w:p>
        </w:tc>
        <w:tc>
          <w:tcPr>
            <w:tcW w:w="737" w:type="dxa"/>
            <w:shd w:val="clear" w:color="auto" w:fill="auto"/>
            <w:vAlign w:val="bottom"/>
          </w:tcPr>
          <w:p w14:paraId="7AA3F7EA"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 </w:t>
            </w:r>
          </w:p>
        </w:tc>
        <w:tc>
          <w:tcPr>
            <w:tcW w:w="681" w:type="dxa"/>
            <w:shd w:val="clear" w:color="auto" w:fill="auto"/>
            <w:vAlign w:val="bottom"/>
          </w:tcPr>
          <w:p w14:paraId="7F6AD7E5"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 </w:t>
            </w:r>
          </w:p>
        </w:tc>
        <w:tc>
          <w:tcPr>
            <w:tcW w:w="651" w:type="dxa"/>
            <w:shd w:val="clear" w:color="auto" w:fill="auto"/>
            <w:vAlign w:val="bottom"/>
          </w:tcPr>
          <w:p w14:paraId="40E97130"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 </w:t>
            </w:r>
          </w:p>
        </w:tc>
        <w:tc>
          <w:tcPr>
            <w:tcW w:w="666" w:type="dxa"/>
            <w:shd w:val="clear" w:color="auto" w:fill="auto"/>
            <w:vAlign w:val="bottom"/>
          </w:tcPr>
          <w:p w14:paraId="56A82829"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 </w:t>
            </w:r>
          </w:p>
        </w:tc>
        <w:tc>
          <w:tcPr>
            <w:tcW w:w="667" w:type="dxa"/>
            <w:shd w:val="clear" w:color="auto" w:fill="auto"/>
            <w:vAlign w:val="bottom"/>
          </w:tcPr>
          <w:p w14:paraId="0C19920D"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 </w:t>
            </w:r>
          </w:p>
        </w:tc>
        <w:tc>
          <w:tcPr>
            <w:tcW w:w="1134" w:type="dxa"/>
            <w:shd w:val="clear" w:color="auto" w:fill="auto"/>
            <w:vAlign w:val="bottom"/>
          </w:tcPr>
          <w:p w14:paraId="4C04B871"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 </w:t>
            </w:r>
          </w:p>
        </w:tc>
        <w:tc>
          <w:tcPr>
            <w:tcW w:w="851" w:type="dxa"/>
            <w:shd w:val="clear" w:color="auto" w:fill="auto"/>
            <w:vAlign w:val="bottom"/>
          </w:tcPr>
          <w:p w14:paraId="6C2497F9"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 </w:t>
            </w:r>
          </w:p>
        </w:tc>
        <w:tc>
          <w:tcPr>
            <w:tcW w:w="1134" w:type="dxa"/>
            <w:shd w:val="clear" w:color="auto" w:fill="auto"/>
            <w:vAlign w:val="bottom"/>
          </w:tcPr>
          <w:p w14:paraId="52E70BE4"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 </w:t>
            </w:r>
          </w:p>
        </w:tc>
        <w:tc>
          <w:tcPr>
            <w:tcW w:w="921" w:type="dxa"/>
            <w:shd w:val="clear" w:color="auto" w:fill="auto"/>
            <w:vAlign w:val="bottom"/>
          </w:tcPr>
          <w:p w14:paraId="04BFFAFB"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 </w:t>
            </w:r>
          </w:p>
        </w:tc>
      </w:tr>
      <w:tr w:rsidR="008E699C" w:rsidRPr="008F735E" w14:paraId="6A2A56CB" w14:textId="77777777" w:rsidTr="008E7335">
        <w:tc>
          <w:tcPr>
            <w:tcW w:w="1347" w:type="dxa"/>
            <w:shd w:val="clear" w:color="auto" w:fill="auto"/>
            <w:vAlign w:val="bottom"/>
          </w:tcPr>
          <w:p w14:paraId="6EF9B1D1" w14:textId="77777777" w:rsidR="008E699C" w:rsidRPr="008F735E" w:rsidRDefault="008E699C" w:rsidP="00447F49">
            <w:pPr>
              <w:keepNext/>
              <w:keepLines/>
              <w:tabs>
                <w:tab w:val="left" w:pos="106"/>
              </w:tabs>
              <w:spacing w:before="60" w:after="60"/>
              <w:rPr>
                <w:sz w:val="14"/>
                <w:szCs w:val="14"/>
              </w:rPr>
            </w:pPr>
            <w:r>
              <w:rPr>
                <w:sz w:val="14"/>
                <w:szCs w:val="14"/>
              </w:rPr>
              <w:t xml:space="preserve">  </w:t>
            </w:r>
            <w:r>
              <w:rPr>
                <w:b/>
                <w:bCs/>
                <w:sz w:val="14"/>
                <w:szCs w:val="14"/>
              </w:rPr>
              <w:t>Inflation = 0%</w:t>
            </w:r>
          </w:p>
        </w:tc>
        <w:tc>
          <w:tcPr>
            <w:tcW w:w="992" w:type="dxa"/>
            <w:shd w:val="clear" w:color="auto" w:fill="auto"/>
            <w:vAlign w:val="bottom"/>
          </w:tcPr>
          <w:p w14:paraId="7C278E6A"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 </w:t>
            </w:r>
          </w:p>
        </w:tc>
        <w:tc>
          <w:tcPr>
            <w:tcW w:w="737" w:type="dxa"/>
            <w:shd w:val="clear" w:color="auto" w:fill="auto"/>
            <w:vAlign w:val="bottom"/>
          </w:tcPr>
          <w:p w14:paraId="148F8381"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 </w:t>
            </w:r>
          </w:p>
        </w:tc>
        <w:tc>
          <w:tcPr>
            <w:tcW w:w="681" w:type="dxa"/>
            <w:shd w:val="clear" w:color="auto" w:fill="auto"/>
            <w:vAlign w:val="bottom"/>
          </w:tcPr>
          <w:p w14:paraId="60B49D3D"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 </w:t>
            </w:r>
          </w:p>
        </w:tc>
        <w:tc>
          <w:tcPr>
            <w:tcW w:w="651" w:type="dxa"/>
            <w:shd w:val="clear" w:color="auto" w:fill="auto"/>
            <w:vAlign w:val="bottom"/>
          </w:tcPr>
          <w:p w14:paraId="0C0121E7"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 </w:t>
            </w:r>
          </w:p>
        </w:tc>
        <w:tc>
          <w:tcPr>
            <w:tcW w:w="666" w:type="dxa"/>
            <w:shd w:val="clear" w:color="auto" w:fill="auto"/>
            <w:vAlign w:val="bottom"/>
          </w:tcPr>
          <w:p w14:paraId="227E4E3F"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 </w:t>
            </w:r>
          </w:p>
        </w:tc>
        <w:tc>
          <w:tcPr>
            <w:tcW w:w="667" w:type="dxa"/>
            <w:shd w:val="clear" w:color="auto" w:fill="auto"/>
            <w:vAlign w:val="bottom"/>
          </w:tcPr>
          <w:p w14:paraId="628C8A9F"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 </w:t>
            </w:r>
          </w:p>
        </w:tc>
        <w:tc>
          <w:tcPr>
            <w:tcW w:w="1134" w:type="dxa"/>
            <w:shd w:val="clear" w:color="auto" w:fill="auto"/>
            <w:vAlign w:val="bottom"/>
          </w:tcPr>
          <w:p w14:paraId="44AED765"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 </w:t>
            </w:r>
          </w:p>
        </w:tc>
        <w:tc>
          <w:tcPr>
            <w:tcW w:w="851" w:type="dxa"/>
            <w:shd w:val="clear" w:color="auto" w:fill="auto"/>
            <w:vAlign w:val="bottom"/>
          </w:tcPr>
          <w:p w14:paraId="028A0B2C"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 </w:t>
            </w:r>
          </w:p>
        </w:tc>
        <w:tc>
          <w:tcPr>
            <w:tcW w:w="1134" w:type="dxa"/>
            <w:shd w:val="clear" w:color="auto" w:fill="auto"/>
            <w:vAlign w:val="bottom"/>
          </w:tcPr>
          <w:p w14:paraId="04DB436C"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 </w:t>
            </w:r>
          </w:p>
        </w:tc>
        <w:tc>
          <w:tcPr>
            <w:tcW w:w="921" w:type="dxa"/>
            <w:shd w:val="clear" w:color="auto" w:fill="auto"/>
            <w:vAlign w:val="bottom"/>
          </w:tcPr>
          <w:p w14:paraId="6AB62EB2"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 </w:t>
            </w:r>
          </w:p>
        </w:tc>
      </w:tr>
      <w:tr w:rsidR="008E699C" w:rsidRPr="008F735E" w14:paraId="7B155BA9" w14:textId="77777777" w:rsidTr="008E7335">
        <w:tc>
          <w:tcPr>
            <w:tcW w:w="1347" w:type="dxa"/>
            <w:shd w:val="clear" w:color="auto" w:fill="auto"/>
            <w:vAlign w:val="bottom"/>
          </w:tcPr>
          <w:p w14:paraId="75508920" w14:textId="77777777" w:rsidR="008E699C" w:rsidRPr="008F735E" w:rsidRDefault="008E699C" w:rsidP="00447F49">
            <w:pPr>
              <w:keepNext/>
              <w:keepLines/>
              <w:tabs>
                <w:tab w:val="left" w:pos="106"/>
              </w:tabs>
              <w:spacing w:before="60" w:after="60"/>
              <w:rPr>
                <w:b/>
                <w:bCs/>
                <w:sz w:val="14"/>
                <w:szCs w:val="14"/>
              </w:rPr>
            </w:pPr>
            <w:r>
              <w:rPr>
                <w:sz w:val="14"/>
                <w:szCs w:val="14"/>
              </w:rPr>
              <w:t xml:space="preserve">  b = 0%</w:t>
            </w:r>
          </w:p>
        </w:tc>
        <w:tc>
          <w:tcPr>
            <w:tcW w:w="992" w:type="dxa"/>
            <w:shd w:val="clear" w:color="auto" w:fill="auto"/>
            <w:vAlign w:val="bottom"/>
          </w:tcPr>
          <w:p w14:paraId="2DA99998"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30.7%</w:t>
            </w:r>
          </w:p>
        </w:tc>
        <w:tc>
          <w:tcPr>
            <w:tcW w:w="737" w:type="dxa"/>
            <w:shd w:val="clear" w:color="auto" w:fill="auto"/>
            <w:vAlign w:val="bottom"/>
          </w:tcPr>
          <w:p w14:paraId="5E76378E"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28.0%</w:t>
            </w:r>
          </w:p>
        </w:tc>
        <w:tc>
          <w:tcPr>
            <w:tcW w:w="681" w:type="dxa"/>
            <w:shd w:val="clear" w:color="auto" w:fill="auto"/>
            <w:vAlign w:val="bottom"/>
          </w:tcPr>
          <w:p w14:paraId="783E2C88"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28.0%</w:t>
            </w:r>
          </w:p>
        </w:tc>
        <w:tc>
          <w:tcPr>
            <w:tcW w:w="651" w:type="dxa"/>
            <w:shd w:val="clear" w:color="auto" w:fill="auto"/>
            <w:vAlign w:val="bottom"/>
          </w:tcPr>
          <w:p w14:paraId="043F5778"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28.0%</w:t>
            </w:r>
          </w:p>
        </w:tc>
        <w:tc>
          <w:tcPr>
            <w:tcW w:w="666" w:type="dxa"/>
            <w:shd w:val="clear" w:color="auto" w:fill="auto"/>
            <w:vAlign w:val="bottom"/>
          </w:tcPr>
          <w:p w14:paraId="0D0B4607"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28.0%</w:t>
            </w:r>
          </w:p>
        </w:tc>
        <w:tc>
          <w:tcPr>
            <w:tcW w:w="667" w:type="dxa"/>
            <w:shd w:val="clear" w:color="auto" w:fill="auto"/>
            <w:vAlign w:val="bottom"/>
          </w:tcPr>
          <w:p w14:paraId="048A2D33"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28.0%</w:t>
            </w:r>
          </w:p>
        </w:tc>
        <w:tc>
          <w:tcPr>
            <w:tcW w:w="1134" w:type="dxa"/>
            <w:shd w:val="clear" w:color="auto" w:fill="auto"/>
            <w:vAlign w:val="bottom"/>
          </w:tcPr>
          <w:p w14:paraId="43F4A8E9"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28.0%</w:t>
            </w:r>
          </w:p>
        </w:tc>
        <w:tc>
          <w:tcPr>
            <w:tcW w:w="851" w:type="dxa"/>
            <w:shd w:val="clear" w:color="auto" w:fill="auto"/>
            <w:vAlign w:val="bottom"/>
          </w:tcPr>
          <w:p w14:paraId="1C00D301"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28.0%</w:t>
            </w:r>
          </w:p>
        </w:tc>
        <w:tc>
          <w:tcPr>
            <w:tcW w:w="1134" w:type="dxa"/>
            <w:shd w:val="clear" w:color="auto" w:fill="auto"/>
            <w:vAlign w:val="bottom"/>
          </w:tcPr>
          <w:p w14:paraId="66AB9777"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20.6%</w:t>
            </w:r>
          </w:p>
        </w:tc>
        <w:tc>
          <w:tcPr>
            <w:tcW w:w="921" w:type="dxa"/>
            <w:shd w:val="clear" w:color="auto" w:fill="auto"/>
            <w:vAlign w:val="bottom"/>
          </w:tcPr>
          <w:p w14:paraId="5FDEA2B8"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0.0%</w:t>
            </w:r>
          </w:p>
        </w:tc>
      </w:tr>
      <w:tr w:rsidR="008E699C" w:rsidRPr="008F735E" w14:paraId="7EB29B22" w14:textId="77777777" w:rsidTr="008E7335">
        <w:tc>
          <w:tcPr>
            <w:tcW w:w="1347" w:type="dxa"/>
            <w:shd w:val="clear" w:color="auto" w:fill="auto"/>
            <w:vAlign w:val="bottom"/>
          </w:tcPr>
          <w:p w14:paraId="7D6A5508" w14:textId="77777777" w:rsidR="008E699C" w:rsidRPr="008F735E" w:rsidRDefault="008E699C" w:rsidP="00447F49">
            <w:pPr>
              <w:keepNext/>
              <w:keepLines/>
              <w:tabs>
                <w:tab w:val="left" w:pos="106"/>
              </w:tabs>
              <w:spacing w:before="60" w:after="60"/>
              <w:rPr>
                <w:sz w:val="14"/>
                <w:szCs w:val="14"/>
              </w:rPr>
            </w:pPr>
            <w:r>
              <w:rPr>
                <w:sz w:val="14"/>
                <w:szCs w:val="14"/>
              </w:rPr>
              <w:t xml:space="preserve">  b = 100%</w:t>
            </w:r>
          </w:p>
        </w:tc>
        <w:tc>
          <w:tcPr>
            <w:tcW w:w="992" w:type="dxa"/>
            <w:shd w:val="clear" w:color="auto" w:fill="auto"/>
            <w:vAlign w:val="bottom"/>
          </w:tcPr>
          <w:p w14:paraId="734D10CF"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4.4%</w:t>
            </w:r>
          </w:p>
        </w:tc>
        <w:tc>
          <w:tcPr>
            <w:tcW w:w="737" w:type="dxa"/>
            <w:shd w:val="clear" w:color="auto" w:fill="auto"/>
            <w:vAlign w:val="bottom"/>
          </w:tcPr>
          <w:p w14:paraId="6E8ACD9B"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0.0%</w:t>
            </w:r>
          </w:p>
        </w:tc>
        <w:tc>
          <w:tcPr>
            <w:tcW w:w="681" w:type="dxa"/>
            <w:shd w:val="clear" w:color="auto" w:fill="auto"/>
            <w:vAlign w:val="bottom"/>
          </w:tcPr>
          <w:p w14:paraId="5DFEAF9D"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0.0%</w:t>
            </w:r>
          </w:p>
        </w:tc>
        <w:tc>
          <w:tcPr>
            <w:tcW w:w="651" w:type="dxa"/>
            <w:shd w:val="clear" w:color="auto" w:fill="auto"/>
            <w:vAlign w:val="bottom"/>
          </w:tcPr>
          <w:p w14:paraId="0EA40111"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0.0%</w:t>
            </w:r>
          </w:p>
        </w:tc>
        <w:tc>
          <w:tcPr>
            <w:tcW w:w="666" w:type="dxa"/>
            <w:shd w:val="clear" w:color="auto" w:fill="auto"/>
            <w:vAlign w:val="bottom"/>
          </w:tcPr>
          <w:p w14:paraId="44C99349"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0.0%</w:t>
            </w:r>
          </w:p>
        </w:tc>
        <w:tc>
          <w:tcPr>
            <w:tcW w:w="667" w:type="dxa"/>
            <w:shd w:val="clear" w:color="auto" w:fill="auto"/>
            <w:vAlign w:val="bottom"/>
          </w:tcPr>
          <w:p w14:paraId="04243482"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0.0%</w:t>
            </w:r>
          </w:p>
        </w:tc>
        <w:tc>
          <w:tcPr>
            <w:tcW w:w="1134" w:type="dxa"/>
            <w:shd w:val="clear" w:color="auto" w:fill="auto"/>
            <w:vAlign w:val="bottom"/>
          </w:tcPr>
          <w:p w14:paraId="7BFF22A9"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0.0%</w:t>
            </w:r>
          </w:p>
        </w:tc>
        <w:tc>
          <w:tcPr>
            <w:tcW w:w="851" w:type="dxa"/>
            <w:shd w:val="clear" w:color="auto" w:fill="auto"/>
            <w:vAlign w:val="bottom"/>
          </w:tcPr>
          <w:p w14:paraId="05E19985"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0.0%</w:t>
            </w:r>
          </w:p>
        </w:tc>
        <w:tc>
          <w:tcPr>
            <w:tcW w:w="1134" w:type="dxa"/>
            <w:shd w:val="clear" w:color="auto" w:fill="auto"/>
            <w:vAlign w:val="bottom"/>
          </w:tcPr>
          <w:p w14:paraId="3ACB3AFD"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-14.9%</w:t>
            </w:r>
          </w:p>
        </w:tc>
        <w:tc>
          <w:tcPr>
            <w:tcW w:w="921" w:type="dxa"/>
            <w:shd w:val="clear" w:color="auto" w:fill="auto"/>
            <w:vAlign w:val="bottom"/>
          </w:tcPr>
          <w:p w14:paraId="21A2D42E"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-38.9%</w:t>
            </w:r>
          </w:p>
        </w:tc>
      </w:tr>
      <w:tr w:rsidR="008E699C" w:rsidRPr="008F735E" w14:paraId="273A6989" w14:textId="77777777" w:rsidTr="008E7335">
        <w:tc>
          <w:tcPr>
            <w:tcW w:w="1347" w:type="dxa"/>
            <w:shd w:val="clear" w:color="auto" w:fill="auto"/>
            <w:vAlign w:val="bottom"/>
          </w:tcPr>
          <w:p w14:paraId="24F670EC" w14:textId="77777777" w:rsidR="008E699C" w:rsidRPr="008F735E" w:rsidRDefault="008E699C" w:rsidP="00447F49">
            <w:pPr>
              <w:keepNext/>
              <w:keepLines/>
              <w:tabs>
                <w:tab w:val="left" w:pos="106"/>
              </w:tabs>
              <w:spacing w:before="60" w:after="60"/>
              <w:rPr>
                <w:sz w:val="14"/>
                <w:szCs w:val="14"/>
              </w:rPr>
            </w:pPr>
            <w:r>
              <w:rPr>
                <w:sz w:val="14"/>
                <w:szCs w:val="14"/>
              </w:rPr>
              <w:t xml:space="preserve">  b = 43%</w:t>
            </w:r>
          </w:p>
        </w:tc>
        <w:tc>
          <w:tcPr>
            <w:tcW w:w="992" w:type="dxa"/>
            <w:shd w:val="clear" w:color="auto" w:fill="auto"/>
            <w:vAlign w:val="bottom"/>
          </w:tcPr>
          <w:p w14:paraId="1D56D418"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21.4%</w:t>
            </w:r>
          </w:p>
        </w:tc>
        <w:tc>
          <w:tcPr>
            <w:tcW w:w="737" w:type="dxa"/>
            <w:shd w:val="clear" w:color="auto" w:fill="auto"/>
            <w:vAlign w:val="bottom"/>
          </w:tcPr>
          <w:p w14:paraId="271365B3"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18.1%</w:t>
            </w:r>
          </w:p>
        </w:tc>
        <w:tc>
          <w:tcPr>
            <w:tcW w:w="681" w:type="dxa"/>
            <w:shd w:val="clear" w:color="auto" w:fill="auto"/>
            <w:vAlign w:val="bottom"/>
          </w:tcPr>
          <w:p w14:paraId="2E315AB9"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18.1%</w:t>
            </w:r>
          </w:p>
        </w:tc>
        <w:tc>
          <w:tcPr>
            <w:tcW w:w="651" w:type="dxa"/>
            <w:shd w:val="clear" w:color="auto" w:fill="auto"/>
            <w:vAlign w:val="bottom"/>
          </w:tcPr>
          <w:p w14:paraId="367224C1"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18.1%</w:t>
            </w:r>
          </w:p>
        </w:tc>
        <w:tc>
          <w:tcPr>
            <w:tcW w:w="666" w:type="dxa"/>
            <w:shd w:val="clear" w:color="auto" w:fill="auto"/>
            <w:vAlign w:val="bottom"/>
          </w:tcPr>
          <w:p w14:paraId="53F8C6C5"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18.1%</w:t>
            </w:r>
          </w:p>
        </w:tc>
        <w:tc>
          <w:tcPr>
            <w:tcW w:w="667" w:type="dxa"/>
            <w:shd w:val="clear" w:color="auto" w:fill="auto"/>
            <w:vAlign w:val="bottom"/>
          </w:tcPr>
          <w:p w14:paraId="09EE586C"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18.1%</w:t>
            </w:r>
          </w:p>
        </w:tc>
        <w:tc>
          <w:tcPr>
            <w:tcW w:w="1134" w:type="dxa"/>
            <w:shd w:val="clear" w:color="auto" w:fill="auto"/>
            <w:vAlign w:val="bottom"/>
          </w:tcPr>
          <w:p w14:paraId="17C2ED72"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18.1%</w:t>
            </w:r>
          </w:p>
        </w:tc>
        <w:tc>
          <w:tcPr>
            <w:tcW w:w="851" w:type="dxa"/>
            <w:shd w:val="clear" w:color="auto" w:fill="auto"/>
            <w:vAlign w:val="bottom"/>
          </w:tcPr>
          <w:p w14:paraId="2C1BE976"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18.1%</w:t>
            </w:r>
          </w:p>
        </w:tc>
        <w:tc>
          <w:tcPr>
            <w:tcW w:w="1134" w:type="dxa"/>
            <w:shd w:val="clear" w:color="auto" w:fill="auto"/>
            <w:vAlign w:val="bottom"/>
          </w:tcPr>
          <w:p w14:paraId="45D80C70"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8.4%</w:t>
            </w:r>
          </w:p>
        </w:tc>
        <w:tc>
          <w:tcPr>
            <w:tcW w:w="921" w:type="dxa"/>
            <w:shd w:val="clear" w:color="auto" w:fill="auto"/>
            <w:vAlign w:val="bottom"/>
          </w:tcPr>
          <w:p w14:paraId="0C6203DA"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-13.7%</w:t>
            </w:r>
          </w:p>
        </w:tc>
      </w:tr>
      <w:tr w:rsidR="008E699C" w:rsidRPr="008F735E" w14:paraId="3F1F608A" w14:textId="77777777" w:rsidTr="008E7335">
        <w:tc>
          <w:tcPr>
            <w:tcW w:w="1347" w:type="dxa"/>
            <w:shd w:val="clear" w:color="auto" w:fill="auto"/>
            <w:vAlign w:val="bottom"/>
          </w:tcPr>
          <w:p w14:paraId="06EF6E1C" w14:textId="77777777" w:rsidR="008E699C" w:rsidRPr="008F735E" w:rsidRDefault="008E699C" w:rsidP="00447F49">
            <w:pPr>
              <w:keepNext/>
              <w:keepLines/>
              <w:tabs>
                <w:tab w:val="left" w:pos="106"/>
              </w:tabs>
              <w:spacing w:before="60" w:after="60"/>
              <w:rPr>
                <w:sz w:val="14"/>
                <w:szCs w:val="14"/>
              </w:rPr>
            </w:pPr>
            <w:r>
              <w:rPr>
                <w:sz w:val="14"/>
                <w:szCs w:val="14"/>
              </w:rPr>
              <w:t xml:space="preserve">  </w:t>
            </w:r>
            <w:r>
              <w:rPr>
                <w:b/>
                <w:bCs/>
                <w:sz w:val="14"/>
                <w:szCs w:val="14"/>
              </w:rPr>
              <w:t>Inflation = 2%</w:t>
            </w:r>
          </w:p>
        </w:tc>
        <w:tc>
          <w:tcPr>
            <w:tcW w:w="992" w:type="dxa"/>
            <w:shd w:val="clear" w:color="auto" w:fill="auto"/>
            <w:vAlign w:val="bottom"/>
          </w:tcPr>
          <w:p w14:paraId="2A5FEAA3"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 </w:t>
            </w:r>
          </w:p>
        </w:tc>
        <w:tc>
          <w:tcPr>
            <w:tcW w:w="737" w:type="dxa"/>
            <w:shd w:val="clear" w:color="auto" w:fill="auto"/>
            <w:vAlign w:val="bottom"/>
          </w:tcPr>
          <w:p w14:paraId="3CB9271D"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 </w:t>
            </w:r>
          </w:p>
        </w:tc>
        <w:tc>
          <w:tcPr>
            <w:tcW w:w="681" w:type="dxa"/>
            <w:shd w:val="clear" w:color="auto" w:fill="auto"/>
            <w:vAlign w:val="bottom"/>
          </w:tcPr>
          <w:p w14:paraId="261E4A58"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 </w:t>
            </w:r>
          </w:p>
        </w:tc>
        <w:tc>
          <w:tcPr>
            <w:tcW w:w="651" w:type="dxa"/>
            <w:shd w:val="clear" w:color="auto" w:fill="auto"/>
            <w:vAlign w:val="bottom"/>
          </w:tcPr>
          <w:p w14:paraId="7316DE65"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 </w:t>
            </w:r>
          </w:p>
        </w:tc>
        <w:tc>
          <w:tcPr>
            <w:tcW w:w="666" w:type="dxa"/>
            <w:shd w:val="clear" w:color="auto" w:fill="auto"/>
            <w:vAlign w:val="bottom"/>
          </w:tcPr>
          <w:p w14:paraId="4F5EAD05"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 </w:t>
            </w:r>
          </w:p>
        </w:tc>
        <w:tc>
          <w:tcPr>
            <w:tcW w:w="667" w:type="dxa"/>
            <w:shd w:val="clear" w:color="auto" w:fill="auto"/>
            <w:vAlign w:val="bottom"/>
          </w:tcPr>
          <w:p w14:paraId="7E207B0B"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 </w:t>
            </w:r>
          </w:p>
        </w:tc>
        <w:tc>
          <w:tcPr>
            <w:tcW w:w="1134" w:type="dxa"/>
            <w:shd w:val="clear" w:color="auto" w:fill="auto"/>
            <w:vAlign w:val="bottom"/>
          </w:tcPr>
          <w:p w14:paraId="3F1D5A38"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 </w:t>
            </w:r>
          </w:p>
        </w:tc>
        <w:tc>
          <w:tcPr>
            <w:tcW w:w="851" w:type="dxa"/>
            <w:shd w:val="clear" w:color="auto" w:fill="auto"/>
            <w:vAlign w:val="bottom"/>
          </w:tcPr>
          <w:p w14:paraId="641AEEAF"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 </w:t>
            </w:r>
          </w:p>
        </w:tc>
        <w:tc>
          <w:tcPr>
            <w:tcW w:w="1134" w:type="dxa"/>
            <w:shd w:val="clear" w:color="auto" w:fill="auto"/>
            <w:vAlign w:val="bottom"/>
          </w:tcPr>
          <w:p w14:paraId="78438F54"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 </w:t>
            </w:r>
          </w:p>
        </w:tc>
        <w:tc>
          <w:tcPr>
            <w:tcW w:w="921" w:type="dxa"/>
            <w:shd w:val="clear" w:color="auto" w:fill="auto"/>
            <w:vAlign w:val="bottom"/>
          </w:tcPr>
          <w:p w14:paraId="52DE8EF6"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 </w:t>
            </w:r>
          </w:p>
        </w:tc>
      </w:tr>
      <w:tr w:rsidR="008E699C" w:rsidRPr="008F735E" w14:paraId="64C9D68B" w14:textId="77777777" w:rsidTr="008E7335">
        <w:tc>
          <w:tcPr>
            <w:tcW w:w="1347" w:type="dxa"/>
            <w:shd w:val="clear" w:color="auto" w:fill="auto"/>
            <w:vAlign w:val="bottom"/>
          </w:tcPr>
          <w:p w14:paraId="31C75A90" w14:textId="77777777" w:rsidR="008E699C" w:rsidRPr="008F735E" w:rsidRDefault="008E699C" w:rsidP="00447F49">
            <w:pPr>
              <w:keepNext/>
              <w:keepLines/>
              <w:tabs>
                <w:tab w:val="left" w:pos="106"/>
              </w:tabs>
              <w:spacing w:before="60" w:after="60"/>
              <w:rPr>
                <w:sz w:val="14"/>
                <w:szCs w:val="14"/>
              </w:rPr>
            </w:pPr>
            <w:r>
              <w:rPr>
                <w:sz w:val="14"/>
                <w:szCs w:val="14"/>
              </w:rPr>
              <w:t xml:space="preserve">  b = 0%</w:t>
            </w:r>
          </w:p>
        </w:tc>
        <w:tc>
          <w:tcPr>
            <w:tcW w:w="992" w:type="dxa"/>
            <w:shd w:val="clear" w:color="auto" w:fill="auto"/>
            <w:vAlign w:val="bottom"/>
          </w:tcPr>
          <w:p w14:paraId="47EA0447"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34.6%</w:t>
            </w:r>
          </w:p>
        </w:tc>
        <w:tc>
          <w:tcPr>
            <w:tcW w:w="737" w:type="dxa"/>
            <w:shd w:val="clear" w:color="auto" w:fill="auto"/>
            <w:vAlign w:val="bottom"/>
          </w:tcPr>
          <w:p w14:paraId="77B2F9F2"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39.1%</w:t>
            </w:r>
          </w:p>
        </w:tc>
        <w:tc>
          <w:tcPr>
            <w:tcW w:w="681" w:type="dxa"/>
            <w:shd w:val="clear" w:color="auto" w:fill="auto"/>
            <w:vAlign w:val="bottom"/>
          </w:tcPr>
          <w:p w14:paraId="282BB72C"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38.7%</w:t>
            </w:r>
          </w:p>
        </w:tc>
        <w:tc>
          <w:tcPr>
            <w:tcW w:w="651" w:type="dxa"/>
            <w:shd w:val="clear" w:color="auto" w:fill="auto"/>
            <w:vAlign w:val="bottom"/>
          </w:tcPr>
          <w:p w14:paraId="301EC902"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36.2%</w:t>
            </w:r>
          </w:p>
        </w:tc>
        <w:tc>
          <w:tcPr>
            <w:tcW w:w="666" w:type="dxa"/>
            <w:shd w:val="clear" w:color="auto" w:fill="auto"/>
            <w:vAlign w:val="bottom"/>
          </w:tcPr>
          <w:p w14:paraId="28122A25"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33.6%</w:t>
            </w:r>
          </w:p>
        </w:tc>
        <w:tc>
          <w:tcPr>
            <w:tcW w:w="667" w:type="dxa"/>
            <w:shd w:val="clear" w:color="auto" w:fill="auto"/>
            <w:vAlign w:val="bottom"/>
          </w:tcPr>
          <w:p w14:paraId="5BE78DCE"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31.7%</w:t>
            </w:r>
          </w:p>
        </w:tc>
        <w:tc>
          <w:tcPr>
            <w:tcW w:w="1134" w:type="dxa"/>
            <w:shd w:val="clear" w:color="auto" w:fill="auto"/>
            <w:vAlign w:val="bottom"/>
          </w:tcPr>
          <w:p w14:paraId="5D37F2CC"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28.0%</w:t>
            </w:r>
          </w:p>
        </w:tc>
        <w:tc>
          <w:tcPr>
            <w:tcW w:w="851" w:type="dxa"/>
            <w:shd w:val="clear" w:color="auto" w:fill="auto"/>
            <w:vAlign w:val="bottom"/>
          </w:tcPr>
          <w:p w14:paraId="466A6994"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39.1%</w:t>
            </w:r>
          </w:p>
        </w:tc>
        <w:tc>
          <w:tcPr>
            <w:tcW w:w="1134" w:type="dxa"/>
            <w:shd w:val="clear" w:color="auto" w:fill="auto"/>
            <w:vAlign w:val="bottom"/>
          </w:tcPr>
          <w:p w14:paraId="7B613B10"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20.6%</w:t>
            </w:r>
          </w:p>
        </w:tc>
        <w:tc>
          <w:tcPr>
            <w:tcW w:w="921" w:type="dxa"/>
            <w:shd w:val="clear" w:color="auto" w:fill="auto"/>
            <w:vAlign w:val="bottom"/>
          </w:tcPr>
          <w:p w14:paraId="5C23CF05"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0.0%</w:t>
            </w:r>
          </w:p>
        </w:tc>
      </w:tr>
      <w:tr w:rsidR="008E699C" w:rsidRPr="008F735E" w14:paraId="0D82B3BE" w14:textId="77777777" w:rsidTr="008E7335">
        <w:tc>
          <w:tcPr>
            <w:tcW w:w="1347" w:type="dxa"/>
            <w:shd w:val="clear" w:color="auto" w:fill="auto"/>
            <w:vAlign w:val="bottom"/>
          </w:tcPr>
          <w:p w14:paraId="2E3889A2" w14:textId="77777777" w:rsidR="008E699C" w:rsidRPr="008F735E" w:rsidRDefault="008E699C" w:rsidP="00447F49">
            <w:pPr>
              <w:keepNext/>
              <w:keepLines/>
              <w:tabs>
                <w:tab w:val="left" w:pos="106"/>
              </w:tabs>
              <w:spacing w:before="60" w:after="60"/>
              <w:rPr>
                <w:sz w:val="14"/>
                <w:szCs w:val="14"/>
              </w:rPr>
            </w:pPr>
            <w:r>
              <w:rPr>
                <w:sz w:val="14"/>
                <w:szCs w:val="14"/>
              </w:rPr>
              <w:t xml:space="preserve">  b = 100%</w:t>
            </w:r>
          </w:p>
        </w:tc>
        <w:tc>
          <w:tcPr>
            <w:tcW w:w="992" w:type="dxa"/>
            <w:shd w:val="clear" w:color="auto" w:fill="auto"/>
            <w:vAlign w:val="bottom"/>
          </w:tcPr>
          <w:p w14:paraId="4A04DE59"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-11.5%</w:t>
            </w:r>
          </w:p>
        </w:tc>
        <w:tc>
          <w:tcPr>
            <w:tcW w:w="737" w:type="dxa"/>
            <w:shd w:val="clear" w:color="auto" w:fill="auto"/>
            <w:vAlign w:val="bottom"/>
          </w:tcPr>
          <w:p w14:paraId="37D2D5A6"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0.0%</w:t>
            </w:r>
          </w:p>
        </w:tc>
        <w:tc>
          <w:tcPr>
            <w:tcW w:w="681" w:type="dxa"/>
            <w:shd w:val="clear" w:color="auto" w:fill="auto"/>
            <w:vAlign w:val="bottom"/>
          </w:tcPr>
          <w:p w14:paraId="2E5B0890"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-0.9%</w:t>
            </w:r>
          </w:p>
        </w:tc>
        <w:tc>
          <w:tcPr>
            <w:tcW w:w="651" w:type="dxa"/>
            <w:shd w:val="clear" w:color="auto" w:fill="auto"/>
            <w:vAlign w:val="bottom"/>
          </w:tcPr>
          <w:p w14:paraId="75644C2F"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-6.5%</w:t>
            </w:r>
          </w:p>
        </w:tc>
        <w:tc>
          <w:tcPr>
            <w:tcW w:w="666" w:type="dxa"/>
            <w:shd w:val="clear" w:color="auto" w:fill="auto"/>
            <w:vAlign w:val="bottom"/>
          </w:tcPr>
          <w:p w14:paraId="23CB990B"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-13.2%</w:t>
            </w:r>
          </w:p>
        </w:tc>
        <w:tc>
          <w:tcPr>
            <w:tcW w:w="667" w:type="dxa"/>
            <w:shd w:val="clear" w:color="auto" w:fill="auto"/>
            <w:vAlign w:val="bottom"/>
          </w:tcPr>
          <w:p w14:paraId="54BAF91C"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-19.2%</w:t>
            </w:r>
          </w:p>
        </w:tc>
        <w:tc>
          <w:tcPr>
            <w:tcW w:w="1134" w:type="dxa"/>
            <w:shd w:val="clear" w:color="auto" w:fill="auto"/>
            <w:vAlign w:val="bottom"/>
          </w:tcPr>
          <w:p w14:paraId="23F39744"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-34.1%</w:t>
            </w:r>
          </w:p>
        </w:tc>
        <w:tc>
          <w:tcPr>
            <w:tcW w:w="851" w:type="dxa"/>
            <w:shd w:val="clear" w:color="auto" w:fill="auto"/>
            <w:vAlign w:val="bottom"/>
          </w:tcPr>
          <w:p w14:paraId="52FEDB5A"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0.0%</w:t>
            </w:r>
          </w:p>
        </w:tc>
        <w:tc>
          <w:tcPr>
            <w:tcW w:w="1134" w:type="dxa"/>
            <w:shd w:val="clear" w:color="auto" w:fill="auto"/>
            <w:vAlign w:val="bottom"/>
          </w:tcPr>
          <w:p w14:paraId="1631E8C2"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-62.3%</w:t>
            </w:r>
          </w:p>
        </w:tc>
        <w:tc>
          <w:tcPr>
            <w:tcW w:w="921" w:type="dxa"/>
            <w:shd w:val="clear" w:color="auto" w:fill="auto"/>
            <w:vAlign w:val="bottom"/>
          </w:tcPr>
          <w:p w14:paraId="13BB24E2"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-86.2%</w:t>
            </w:r>
          </w:p>
        </w:tc>
      </w:tr>
      <w:tr w:rsidR="008E699C" w:rsidRPr="008F735E" w14:paraId="172F42C8" w14:textId="77777777" w:rsidTr="008E7335">
        <w:tc>
          <w:tcPr>
            <w:tcW w:w="1347" w:type="dxa"/>
            <w:shd w:val="clear" w:color="auto" w:fill="auto"/>
            <w:vAlign w:val="bottom"/>
          </w:tcPr>
          <w:p w14:paraId="6A3637FE" w14:textId="77777777" w:rsidR="008E699C" w:rsidRPr="008F735E" w:rsidRDefault="008E699C" w:rsidP="00447F49">
            <w:pPr>
              <w:keepNext/>
              <w:keepLines/>
              <w:tabs>
                <w:tab w:val="left" w:pos="106"/>
              </w:tabs>
              <w:spacing w:before="60" w:after="60"/>
              <w:rPr>
                <w:sz w:val="14"/>
                <w:szCs w:val="14"/>
              </w:rPr>
            </w:pPr>
            <w:r>
              <w:rPr>
                <w:sz w:val="14"/>
                <w:szCs w:val="14"/>
              </w:rPr>
              <w:t xml:space="preserve">  b = 43%</w:t>
            </w:r>
          </w:p>
        </w:tc>
        <w:tc>
          <w:tcPr>
            <w:tcW w:w="992" w:type="dxa"/>
            <w:shd w:val="clear" w:color="auto" w:fill="auto"/>
            <w:vAlign w:val="bottom"/>
          </w:tcPr>
          <w:p w14:paraId="3D0EFF6A"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20.4%</w:t>
            </w:r>
          </w:p>
        </w:tc>
        <w:tc>
          <w:tcPr>
            <w:tcW w:w="737" w:type="dxa"/>
            <w:shd w:val="clear" w:color="auto" w:fill="auto"/>
            <w:vAlign w:val="bottom"/>
          </w:tcPr>
          <w:p w14:paraId="03694DD1"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26.8%</w:t>
            </w:r>
          </w:p>
        </w:tc>
        <w:tc>
          <w:tcPr>
            <w:tcW w:w="681" w:type="dxa"/>
            <w:shd w:val="clear" w:color="auto" w:fill="auto"/>
            <w:vAlign w:val="bottom"/>
          </w:tcPr>
          <w:p w14:paraId="79DB0943"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26.3%</w:t>
            </w:r>
          </w:p>
        </w:tc>
        <w:tc>
          <w:tcPr>
            <w:tcW w:w="651" w:type="dxa"/>
            <w:shd w:val="clear" w:color="auto" w:fill="auto"/>
            <w:vAlign w:val="bottom"/>
          </w:tcPr>
          <w:p w14:paraId="62FF5456"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22.8%</w:t>
            </w:r>
          </w:p>
        </w:tc>
        <w:tc>
          <w:tcPr>
            <w:tcW w:w="666" w:type="dxa"/>
            <w:shd w:val="clear" w:color="auto" w:fill="auto"/>
            <w:vAlign w:val="bottom"/>
          </w:tcPr>
          <w:p w14:paraId="785350F7"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19.2%</w:t>
            </w:r>
          </w:p>
        </w:tc>
        <w:tc>
          <w:tcPr>
            <w:tcW w:w="667" w:type="dxa"/>
            <w:shd w:val="clear" w:color="auto" w:fill="auto"/>
            <w:vAlign w:val="bottom"/>
          </w:tcPr>
          <w:p w14:paraId="2F55F8E3"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16.3%</w:t>
            </w:r>
          </w:p>
        </w:tc>
        <w:tc>
          <w:tcPr>
            <w:tcW w:w="1134" w:type="dxa"/>
            <w:shd w:val="clear" w:color="auto" w:fill="auto"/>
            <w:vAlign w:val="bottom"/>
          </w:tcPr>
          <w:p w14:paraId="1039D856"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10.1%</w:t>
            </w:r>
          </w:p>
        </w:tc>
        <w:tc>
          <w:tcPr>
            <w:tcW w:w="851" w:type="dxa"/>
            <w:shd w:val="clear" w:color="auto" w:fill="auto"/>
            <w:vAlign w:val="bottom"/>
          </w:tcPr>
          <w:p w14:paraId="162D13BE"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26.8%</w:t>
            </w:r>
          </w:p>
        </w:tc>
        <w:tc>
          <w:tcPr>
            <w:tcW w:w="1134" w:type="dxa"/>
            <w:shd w:val="clear" w:color="auto" w:fill="auto"/>
            <w:vAlign w:val="bottom"/>
          </w:tcPr>
          <w:p w14:paraId="5A5B11D9"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-1.8%</w:t>
            </w:r>
          </w:p>
        </w:tc>
        <w:tc>
          <w:tcPr>
            <w:tcW w:w="921" w:type="dxa"/>
            <w:shd w:val="clear" w:color="auto" w:fill="auto"/>
            <w:vAlign w:val="bottom"/>
          </w:tcPr>
          <w:p w14:paraId="72C8AA04" w14:textId="77777777" w:rsidR="008E699C" w:rsidRPr="00135F62" w:rsidRDefault="008E699C" w:rsidP="00447F49">
            <w:pPr>
              <w:keepNext/>
              <w:keepLines/>
              <w:tabs>
                <w:tab w:val="decimal" w:pos="256"/>
              </w:tabs>
              <w:spacing w:before="60" w:after="60"/>
              <w:jc w:val="center"/>
              <w:rPr>
                <w:sz w:val="14"/>
                <w:szCs w:val="14"/>
              </w:rPr>
            </w:pPr>
            <w:r w:rsidRPr="00135F62">
              <w:rPr>
                <w:rFonts w:cs="Calibri"/>
                <w:color w:val="000000"/>
                <w:sz w:val="14"/>
                <w:szCs w:val="14"/>
              </w:rPr>
              <w:t>-24.9%</w:t>
            </w:r>
          </w:p>
        </w:tc>
      </w:tr>
    </w:tbl>
    <w:p w14:paraId="4D69A491" w14:textId="77777777" w:rsidR="0036280F" w:rsidRDefault="0036280F" w:rsidP="005F6402">
      <w:pPr>
        <w:pStyle w:val="NumberedParagraph"/>
        <w:numPr>
          <w:ilvl w:val="0"/>
          <w:numId w:val="0"/>
        </w:numPr>
        <w:spacing w:after="0"/>
        <w:ind w:left="851" w:hanging="851"/>
      </w:pPr>
    </w:p>
    <w:p w14:paraId="7232FF9B" w14:textId="77777777" w:rsidR="00230C05" w:rsidRDefault="00230C05">
      <w:pPr>
        <w:spacing w:before="0"/>
        <w:jc w:val="left"/>
        <w:rPr>
          <w:rFonts w:eastAsia="Calibri"/>
          <w:lang w:eastAsia="en-US"/>
        </w:rPr>
      </w:pPr>
      <w:r>
        <w:br w:type="page"/>
      </w:r>
    </w:p>
    <w:p w14:paraId="3909FCDC" w14:textId="07877227" w:rsidR="007D6D24" w:rsidRPr="00FB5A82" w:rsidRDefault="007D6D24" w:rsidP="008C3DFF">
      <w:pPr>
        <w:pStyle w:val="NumberedParagraph"/>
      </w:pPr>
      <w:r>
        <w:lastRenderedPageBreak/>
        <w:t>We draw attention to the following points</w:t>
      </w:r>
      <w:r w:rsidR="00EA39F5">
        <w:t>:</w:t>
      </w:r>
    </w:p>
    <w:p w14:paraId="79214986" w14:textId="4936B533" w:rsidR="00B1563A" w:rsidRDefault="00EA39F5" w:rsidP="008C3DFF">
      <w:pPr>
        <w:pStyle w:val="NumberedParagraph-BulletL1"/>
      </w:pPr>
      <w:r>
        <w:t>First</w:t>
      </w:r>
      <w:r w:rsidR="006510E9">
        <w:t>,</w:t>
      </w:r>
      <w:r>
        <w:t xml:space="preserve"> consider the case wh</w:t>
      </w:r>
      <w:r w:rsidR="00F62097">
        <w:t>en there is no inflation and investment is fully equity</w:t>
      </w:r>
      <w:r w:rsidR="00E76949">
        <w:t>-</w:t>
      </w:r>
      <w:r w:rsidR="00F62097">
        <w:t xml:space="preserve">financed (so </w:t>
      </w:r>
      <w:r w:rsidR="00F62097" w:rsidRPr="002D702C">
        <w:rPr>
          <w:i/>
          <w:iCs/>
        </w:rPr>
        <w:t xml:space="preserve">b </w:t>
      </w:r>
      <w:r w:rsidR="00F62097">
        <w:t>= 0%)</w:t>
      </w:r>
      <w:r w:rsidR="00244A26">
        <w:t>. In this case</w:t>
      </w:r>
      <w:r w:rsidR="008875DF">
        <w:t>,</w:t>
      </w:r>
      <w:r w:rsidR="00244A26">
        <w:t xml:space="preserve"> </w:t>
      </w:r>
      <w:r w:rsidR="00E64A88">
        <w:t>costs of capital for PME where economic depreciation is deductible, zero</w:t>
      </w:r>
      <w:r w:rsidR="00CC280D">
        <w:t>-</w:t>
      </w:r>
      <w:r w:rsidR="00E64A88">
        <w:t xml:space="preserve">depreciation assets and </w:t>
      </w:r>
      <w:r w:rsidR="00873A0B">
        <w:t xml:space="preserve">inventory would all be 4.17%. </w:t>
      </w:r>
      <w:r w:rsidR="005F36A9">
        <w:t>The fact that hurdle rates of return are the same for many assets suggest</w:t>
      </w:r>
      <w:r w:rsidR="003A5C9E">
        <w:t>s</w:t>
      </w:r>
      <w:r w:rsidR="005F36A9">
        <w:t xml:space="preserve"> that tax settings</w:t>
      </w:r>
      <w:r w:rsidR="002A2A99">
        <w:t xml:space="preserve"> would be treating many different forms of investment neutrally</w:t>
      </w:r>
      <w:r w:rsidR="00B1563A">
        <w:t>. EMTRs for all these assets would be equal to 28.0%, the statutory company tax rate.</w:t>
      </w:r>
    </w:p>
    <w:p w14:paraId="1A0FC2A0" w14:textId="52D24CA1" w:rsidR="000B3A50" w:rsidRDefault="005509D6" w:rsidP="008C3DFF">
      <w:pPr>
        <w:pStyle w:val="NumberedParagraph-BulletL1"/>
      </w:pPr>
      <w:r>
        <w:t>Suppose</w:t>
      </w:r>
      <w:r w:rsidR="00287674">
        <w:t>,</w:t>
      </w:r>
      <w:r w:rsidR="00815016">
        <w:t xml:space="preserve"> instead, these investments were 100%</w:t>
      </w:r>
      <w:r w:rsidR="006E5C98">
        <w:t xml:space="preserve"> debt</w:t>
      </w:r>
      <w:r w:rsidR="00D4391A">
        <w:t>-</w:t>
      </w:r>
      <w:r w:rsidR="006E5C98">
        <w:t>financed</w:t>
      </w:r>
      <w:r w:rsidR="00FE045C">
        <w:t xml:space="preserve"> and inflation w</w:t>
      </w:r>
      <w:r w:rsidR="00283C3B">
        <w:t>as</w:t>
      </w:r>
      <w:r w:rsidR="00FE045C">
        <w:t xml:space="preserve"> still zero</w:t>
      </w:r>
      <w:r>
        <w:t>. W</w:t>
      </w:r>
      <w:r w:rsidR="001F794C">
        <w:t>hile economic income is being fully taxed, interest expense is deductible</w:t>
      </w:r>
      <w:r w:rsidR="00044E66">
        <w:t>,</w:t>
      </w:r>
      <w:r w:rsidR="001F794C">
        <w:t xml:space="preserve"> so </w:t>
      </w:r>
      <w:r w:rsidR="00FE3FB2">
        <w:t>costs of capital would all be equal to the real interest rate of 3.0%. EMTRs for these assets would all be zero.</w:t>
      </w:r>
    </w:p>
    <w:p w14:paraId="09369D84" w14:textId="68D293ED" w:rsidR="00C02F53" w:rsidRDefault="00F00F99" w:rsidP="0042661E">
      <w:pPr>
        <w:pStyle w:val="NumberedParagraph-BulletL1"/>
        <w:spacing w:after="200"/>
      </w:pPr>
      <w:r>
        <w:t xml:space="preserve">If these investments were </w:t>
      </w:r>
      <w:r w:rsidR="00FE045C">
        <w:t>43% debt</w:t>
      </w:r>
      <w:r w:rsidR="00D4391A">
        <w:t>-</w:t>
      </w:r>
      <w:r w:rsidR="00FE045C">
        <w:t>financed and inflation w</w:t>
      </w:r>
      <w:r w:rsidR="00283C3B">
        <w:t>as</w:t>
      </w:r>
      <w:r w:rsidR="00FE045C">
        <w:t xml:space="preserve"> still zero, the EMTRs for all these assets would be 18.1%</w:t>
      </w:r>
      <w:r w:rsidR="00C02F53">
        <w:t xml:space="preserve">. </w:t>
      </w:r>
      <w:r w:rsidR="00EB1D12">
        <w:t>By</w:t>
      </w:r>
      <w:r w:rsidR="00FF7DFD">
        <w:t xml:space="preserve"> contrast, consider </w:t>
      </w:r>
      <w:r w:rsidR="008246B5">
        <w:t xml:space="preserve">commercial and industrial buildings. These would have a slightly higher EMTR of </w:t>
      </w:r>
      <w:r w:rsidR="000C2BD8">
        <w:t>21.4% because tax depreciation is assumed to be slightly less than economic depreciation</w:t>
      </w:r>
      <w:r w:rsidR="002254C0">
        <w:t xml:space="preserve"> (tax depreciation is 2% DV</w:t>
      </w:r>
      <w:r w:rsidR="00AD544A">
        <w:t>,</w:t>
      </w:r>
      <w:r w:rsidR="002254C0">
        <w:t xml:space="preserve"> whereas economic depreciation is assumed to be 2.69% DV in line with BEA estimates)</w:t>
      </w:r>
      <w:r w:rsidR="000C2BD8">
        <w:t xml:space="preserve">. By contrast, </w:t>
      </w:r>
      <w:r w:rsidR="00A33D07">
        <w:t>appreciating asset</w:t>
      </w:r>
      <w:r w:rsidR="00E53C25">
        <w:t>s</w:t>
      </w:r>
      <w:r w:rsidR="00A33D07">
        <w:t xml:space="preserve"> are tax preferred because capital gains are not being taxed. They would have an EMTR of 8.4%. Assets that can be expensed</w:t>
      </w:r>
      <w:r w:rsidR="00E775A0">
        <w:t xml:space="preserve"> </w:t>
      </w:r>
      <w:r w:rsidR="00A54102">
        <w:t>(</w:t>
      </w:r>
      <w:r w:rsidR="00E775A0">
        <w:t>where capital expenditure is immediately deductible rather than only being allowed as assets depreciate</w:t>
      </w:r>
      <w:r w:rsidR="00A54102">
        <w:t>)</w:t>
      </w:r>
      <w:r w:rsidR="00E775A0">
        <w:t xml:space="preserve"> would also be tax preferred.</w:t>
      </w:r>
      <w:r w:rsidR="00AB2518">
        <w:t xml:space="preserve"> They would have a cost of capital of only 2.64% and an EMTR of </w:t>
      </w:r>
      <w:r w:rsidR="00135430">
        <w:t>-13.7%. These assets would be subsidised by the tax system.</w:t>
      </w:r>
    </w:p>
    <w:p w14:paraId="4340D57B" w14:textId="165B166B" w:rsidR="001A165B" w:rsidRDefault="00BD6E11" w:rsidP="008C3DFF">
      <w:pPr>
        <w:pStyle w:val="NumberedParagraph"/>
      </w:pPr>
      <w:r>
        <w:t>To understand how investments</w:t>
      </w:r>
      <w:r w:rsidR="000C42B2">
        <w:t xml:space="preserve"> that can be expensed end up with negative EMTRs, it is helpful to </w:t>
      </w:r>
      <w:r w:rsidR="001030A5">
        <w:t>consider first the case of a fully equity</w:t>
      </w:r>
      <w:r w:rsidR="00F00CD9">
        <w:t>-</w:t>
      </w:r>
      <w:r w:rsidR="001030A5">
        <w:t>financed investment. If there were no</w:t>
      </w:r>
      <w:r w:rsidR="00E23417">
        <w:t xml:space="preserve"> company tax, the hurdle rate of return would be 3%. An investment </w:t>
      </w:r>
      <w:r w:rsidR="00F00CD9">
        <w:t>that</w:t>
      </w:r>
      <w:r w:rsidR="00E23417">
        <w:t xml:space="preserve"> cost $1</w:t>
      </w:r>
      <w:r w:rsidR="00AD37BB">
        <w:t>0</w:t>
      </w:r>
      <w:r w:rsidR="00E23417">
        <w:t>,000 and generated revenue of $30</w:t>
      </w:r>
      <w:r w:rsidR="00AD37BB">
        <w:t>0</w:t>
      </w:r>
      <w:r w:rsidR="00E23417">
        <w:t xml:space="preserve"> per annum would be a break</w:t>
      </w:r>
      <w:r w:rsidR="003E7710">
        <w:t>-</w:t>
      </w:r>
      <w:r w:rsidR="00E23417">
        <w:t xml:space="preserve">even investment because this would provide </w:t>
      </w:r>
      <w:r w:rsidR="001E011C">
        <w:t xml:space="preserve">the marginal foreign shareholders with the </w:t>
      </w:r>
      <w:r w:rsidR="004F23B9">
        <w:t xml:space="preserve">demanded </w:t>
      </w:r>
      <w:r w:rsidR="001E011C">
        <w:t>3% return on their funds.</w:t>
      </w:r>
    </w:p>
    <w:p w14:paraId="35C540D2" w14:textId="600B4294" w:rsidR="00BD6E11" w:rsidRDefault="001E011C" w:rsidP="008C3DFF">
      <w:pPr>
        <w:pStyle w:val="NumberedParagraph"/>
      </w:pPr>
      <w:r>
        <w:t xml:space="preserve">Now consider what happens if there is a company tax rate of 28% and </w:t>
      </w:r>
      <w:r w:rsidR="006D1806">
        <w:t xml:space="preserve">investments can be expensed. The same investment would now cost the company </w:t>
      </w:r>
      <w:r w:rsidR="00922CD3">
        <w:t>72% of $1</w:t>
      </w:r>
      <w:r w:rsidR="00B7676E">
        <w:t>0</w:t>
      </w:r>
      <w:r w:rsidR="00922CD3">
        <w:t>,000</w:t>
      </w:r>
      <w:r w:rsidR="006D1806">
        <w:t xml:space="preserve"> (</w:t>
      </w:r>
      <w:r w:rsidR="00AF774C">
        <w:t>or $7</w:t>
      </w:r>
      <w:r w:rsidR="00B7676E">
        <w:t>,</w:t>
      </w:r>
      <w:r w:rsidR="00AF774C">
        <w:t>20</w:t>
      </w:r>
      <w:r w:rsidR="00B7676E">
        <w:t>0</w:t>
      </w:r>
      <w:r w:rsidR="004F23B9">
        <w:t>)</w:t>
      </w:r>
      <w:r w:rsidR="00AF774C">
        <w:t xml:space="preserve"> </w:t>
      </w:r>
      <w:r w:rsidR="006D1806">
        <w:t>after taking account of the immediate deduction for the capital cost</w:t>
      </w:r>
      <w:r w:rsidR="002B0526">
        <w:t>. The after-tax revenues would be 72% of $30</w:t>
      </w:r>
      <w:r w:rsidR="00B7676E">
        <w:t>0</w:t>
      </w:r>
      <w:r w:rsidR="002B0526">
        <w:t xml:space="preserve"> in each future year</w:t>
      </w:r>
      <w:r w:rsidR="00A7241E">
        <w:t xml:space="preserve"> </w:t>
      </w:r>
      <w:r w:rsidR="00A65465">
        <w:t>(or $21</w:t>
      </w:r>
      <w:r w:rsidR="008A1811">
        <w:t>6)</w:t>
      </w:r>
      <w:r w:rsidR="002B0526">
        <w:t xml:space="preserve">. As costs and benefits are </w:t>
      </w:r>
      <w:r w:rsidR="00AB5327">
        <w:t xml:space="preserve">all </w:t>
      </w:r>
      <w:r w:rsidR="002B0526">
        <w:t>reduced by 28%</w:t>
      </w:r>
      <w:r w:rsidR="007F0192">
        <w:t>, this provides an after-tax return of 3% and so is still marginal on an after-tax basis.</w:t>
      </w:r>
      <w:r w:rsidR="00ED68D4">
        <w:t xml:space="preserve"> Thus, with expensing,</w:t>
      </w:r>
      <w:r w:rsidR="00BA48B5">
        <w:t xml:space="preserve"> company tax should not affect the cost of capital and the EMTR remain</w:t>
      </w:r>
      <w:r w:rsidR="009F1331">
        <w:t>s</w:t>
      </w:r>
      <w:r w:rsidR="00BA48B5">
        <w:t xml:space="preserve"> zero for equity-financed investment. </w:t>
      </w:r>
      <w:r w:rsidR="005E6DFB">
        <w:t xml:space="preserve">For </w:t>
      </w:r>
      <w:r w:rsidR="00DB1A32">
        <w:t xml:space="preserve">a fully </w:t>
      </w:r>
      <w:r w:rsidR="005E6DFB">
        <w:t>debt</w:t>
      </w:r>
      <w:r w:rsidR="00FF69B0">
        <w:t>-</w:t>
      </w:r>
      <w:r w:rsidR="005E6DFB">
        <w:t xml:space="preserve">financed investment, not only does the cost of the investment and future revenues fall by 28%, </w:t>
      </w:r>
      <w:r w:rsidR="00D9623C">
        <w:t xml:space="preserve">but </w:t>
      </w:r>
      <w:r w:rsidR="005E6DFB">
        <w:t xml:space="preserve">there is also </w:t>
      </w:r>
      <w:r w:rsidR="00B92F2D">
        <w:t>a deductible interest stream. This reduces th</w:t>
      </w:r>
      <w:r w:rsidR="00DB1A32">
        <w:t>e cost of capital to 2.16% and the EMTR</w:t>
      </w:r>
      <w:r w:rsidR="003C553F">
        <w:t xml:space="preserve"> to -38.9%. With debt of 43%</w:t>
      </w:r>
      <w:r w:rsidR="00D9623C">
        <w:t>,</w:t>
      </w:r>
      <w:r w:rsidR="003C553F">
        <w:t xml:space="preserve"> the EMTR ends up being </w:t>
      </w:r>
      <w:r w:rsidR="00865B77">
        <w:t>-13.7%.</w:t>
      </w:r>
      <w:r w:rsidR="004F64F0">
        <w:t xml:space="preserve"> </w:t>
      </w:r>
      <w:r w:rsidR="00191524">
        <w:t xml:space="preserve">Appendix 5 provides additional cash-flow examples </w:t>
      </w:r>
      <w:r w:rsidR="00B16415">
        <w:t>showing that these costs of capital and EMTRs apply to depreciating assets as well.</w:t>
      </w:r>
    </w:p>
    <w:p w14:paraId="67E22B8D" w14:textId="21118FFF" w:rsidR="006B382B" w:rsidRDefault="001206DD" w:rsidP="008C3DFF">
      <w:pPr>
        <w:pStyle w:val="NumberedParagraph"/>
      </w:pPr>
      <w:r>
        <w:t xml:space="preserve">Now consider the impact of inflation. </w:t>
      </w:r>
      <w:r w:rsidR="005A57DD">
        <w:t>This will have two separate effects.</w:t>
      </w:r>
    </w:p>
    <w:p w14:paraId="34E463C4" w14:textId="79CB36BF" w:rsidR="001A165B" w:rsidRDefault="005A57DD" w:rsidP="008C3DFF">
      <w:pPr>
        <w:pStyle w:val="NumberedParagraph"/>
      </w:pPr>
      <w:r>
        <w:t>First consider a fully equity</w:t>
      </w:r>
      <w:r w:rsidR="00B912CE">
        <w:t>-</w:t>
      </w:r>
      <w:r>
        <w:t>financed investment</w:t>
      </w:r>
      <w:r w:rsidR="000669B7">
        <w:t xml:space="preserve"> that has a DV economic depreciation rate of 10% per annum. If the investment cost $1</w:t>
      </w:r>
      <w:r w:rsidR="00D53386">
        <w:t>0</w:t>
      </w:r>
      <w:r w:rsidR="000669B7">
        <w:t>,000 at the end of ye</w:t>
      </w:r>
      <w:r w:rsidR="00B35A4A">
        <w:t>ar 0</w:t>
      </w:r>
      <w:r w:rsidR="00A64067">
        <w:t xml:space="preserve"> and there w</w:t>
      </w:r>
      <w:r w:rsidR="004971AD">
        <w:t>as</w:t>
      </w:r>
      <w:r w:rsidR="00A64067">
        <w:t xml:space="preserve"> no inflation</w:t>
      </w:r>
      <w:r w:rsidR="00B35A4A">
        <w:t xml:space="preserve">, it would be worth </w:t>
      </w:r>
      <w:r w:rsidR="00A64067">
        <w:t>$9</w:t>
      </w:r>
      <w:r w:rsidR="00D17F0A">
        <w:t>,</w:t>
      </w:r>
      <w:r w:rsidR="00A64067">
        <w:t>00</w:t>
      </w:r>
      <w:r w:rsidR="00D17F0A">
        <w:t>0</w:t>
      </w:r>
      <w:r w:rsidR="00A64067">
        <w:t xml:space="preserve"> (90% of </w:t>
      </w:r>
      <w:r w:rsidR="00D46F96">
        <w:t>$1</w:t>
      </w:r>
      <w:r w:rsidR="00D17F0A">
        <w:t>0</w:t>
      </w:r>
      <w:r w:rsidR="00D46F96">
        <w:t>,000) a</w:t>
      </w:r>
      <w:r w:rsidR="00C9558D">
        <w:t>t</w:t>
      </w:r>
      <w:r w:rsidR="00D46F96">
        <w:t xml:space="preserve"> the end of year 1, $8</w:t>
      </w:r>
      <w:r w:rsidR="00D17F0A">
        <w:t>,</w:t>
      </w:r>
      <w:r w:rsidR="00D46F96">
        <w:t>10</w:t>
      </w:r>
      <w:r w:rsidR="00D17F0A">
        <w:t>0</w:t>
      </w:r>
      <w:r w:rsidR="00D46F96">
        <w:t xml:space="preserve"> (90% of $9</w:t>
      </w:r>
      <w:r w:rsidR="00D17F0A">
        <w:t>,0</w:t>
      </w:r>
      <w:r w:rsidR="00D46F96">
        <w:t>00) at the end of year 2 and so forth.</w:t>
      </w:r>
      <w:r w:rsidR="00336ED3">
        <w:t xml:space="preserve"> Over the first year</w:t>
      </w:r>
      <w:r w:rsidR="00C9558D">
        <w:t>,</w:t>
      </w:r>
      <w:r w:rsidR="00336ED3">
        <w:t xml:space="preserve"> economic depreciation of $1</w:t>
      </w:r>
      <w:r w:rsidR="00D17F0A">
        <w:t>,0</w:t>
      </w:r>
      <w:r w:rsidR="00336ED3">
        <w:t>00 is a true business cost and ne</w:t>
      </w:r>
      <w:r w:rsidR="00891664">
        <w:t xml:space="preserve">eds to be deductible for the company to be taxed on its economic income. </w:t>
      </w:r>
      <w:r w:rsidR="00B056D1">
        <w:t>Likewise</w:t>
      </w:r>
      <w:r w:rsidR="00E0733A">
        <w:t>,</w:t>
      </w:r>
      <w:r w:rsidR="00B056D1">
        <w:t xml:space="preserve"> over the second year</w:t>
      </w:r>
      <w:r w:rsidR="00E0733A">
        <w:t>,</w:t>
      </w:r>
      <w:r w:rsidR="00B056D1">
        <w:t xml:space="preserve"> $90</w:t>
      </w:r>
      <w:r w:rsidR="00D32105">
        <w:t>0</w:t>
      </w:r>
      <w:r w:rsidR="00B056D1">
        <w:t xml:space="preserve"> needs to be deductible</w:t>
      </w:r>
      <w:r w:rsidR="006E7B3B">
        <w:t>,</w:t>
      </w:r>
      <w:r w:rsidR="00B056D1">
        <w:t xml:space="preserve"> and so forth.</w:t>
      </w:r>
    </w:p>
    <w:p w14:paraId="23327002" w14:textId="7181EA53" w:rsidR="006B382B" w:rsidRDefault="00FE6DEF" w:rsidP="008C3DFF">
      <w:pPr>
        <w:pStyle w:val="NumberedParagraph"/>
      </w:pPr>
      <w:r>
        <w:lastRenderedPageBreak/>
        <w:t>Now suppose, however, that there is 2% per annum inflation</w:t>
      </w:r>
      <w:r w:rsidR="00F11CA1">
        <w:t xml:space="preserve"> but</w:t>
      </w:r>
      <w:r w:rsidR="00562A21">
        <w:t>,</w:t>
      </w:r>
      <w:r w:rsidR="00F11CA1">
        <w:t xml:space="preserve"> </w:t>
      </w:r>
      <w:r w:rsidR="001B3B5A">
        <w:t>under New Zealand’s historical cost depreciation</w:t>
      </w:r>
      <w:r w:rsidR="009C76AA">
        <w:t xml:space="preserve"> system, depreciation deductions are not adjusted to take account of inflation. T</w:t>
      </w:r>
      <w:r w:rsidR="00F11CA1">
        <w:t xml:space="preserve">ax depreciation </w:t>
      </w:r>
      <w:r w:rsidR="00E26E01">
        <w:t>remain</w:t>
      </w:r>
      <w:r w:rsidR="00E17259">
        <w:t>s</w:t>
      </w:r>
      <w:r w:rsidR="00F11CA1">
        <w:t xml:space="preserve"> only $1</w:t>
      </w:r>
      <w:r w:rsidR="00D32105">
        <w:t>,0</w:t>
      </w:r>
      <w:r w:rsidR="00F11CA1">
        <w:t>00 over the first year, $90</w:t>
      </w:r>
      <w:r w:rsidR="00D32105">
        <w:t>0</w:t>
      </w:r>
      <w:r w:rsidR="00F11CA1">
        <w:t xml:space="preserve"> over the second year</w:t>
      </w:r>
      <w:r w:rsidR="00D77D92">
        <w:t>,</w:t>
      </w:r>
      <w:r w:rsidR="00F11CA1">
        <w:t xml:space="preserve"> and so forth</w:t>
      </w:r>
      <w:r w:rsidR="001051B3">
        <w:t>,</w:t>
      </w:r>
      <w:r w:rsidR="00E26E01">
        <w:t xml:space="preserve"> despite there being inflation</w:t>
      </w:r>
      <w:r w:rsidR="00F11CA1">
        <w:t xml:space="preserve">. </w:t>
      </w:r>
      <w:r w:rsidR="00DD79F8">
        <w:t xml:space="preserve">Inflation </w:t>
      </w:r>
      <w:r w:rsidR="00B44340">
        <w:t>will be eroding</w:t>
      </w:r>
      <w:r w:rsidR="00DD79F8">
        <w:t xml:space="preserve"> the real value of depreciation deductions</w:t>
      </w:r>
      <w:r w:rsidR="00273B8C">
        <w:t>,</w:t>
      </w:r>
      <w:r w:rsidR="00DD79F8">
        <w:t xml:space="preserve"> which will tend to increase costs of capital and EMTRs. </w:t>
      </w:r>
      <w:r w:rsidR="005E0EC1">
        <w:t xml:space="preserve">The value of money is falling by 2% per annum. </w:t>
      </w:r>
      <w:r w:rsidR="001C593E">
        <w:t>T</w:t>
      </w:r>
      <w:r w:rsidR="00356036">
        <w:t>o</w:t>
      </w:r>
      <w:r w:rsidR="003A2589">
        <w:t xml:space="preserve"> maintain the real value of depreciation deductions, the firm would need to be able to deduct</w:t>
      </w:r>
      <w:r w:rsidR="00A2151C">
        <w:t xml:space="preserve"> </w:t>
      </w:r>
      <w:r w:rsidR="00E01E9C">
        <w:t>$1</w:t>
      </w:r>
      <w:r w:rsidR="00D32105">
        <w:t>,</w:t>
      </w:r>
      <w:r w:rsidR="00E01E9C">
        <w:t>02</w:t>
      </w:r>
      <w:r w:rsidR="00D32105">
        <w:t>0</w:t>
      </w:r>
      <w:r w:rsidR="00E01E9C">
        <w:t xml:space="preserve"> in the first year, </w:t>
      </w:r>
      <w:r w:rsidR="00BA34F9">
        <w:t>$936</w:t>
      </w:r>
      <w:r w:rsidR="0088035B">
        <w:t>.36</w:t>
      </w:r>
      <w:r w:rsidR="00BA34F9">
        <w:t xml:space="preserve"> in the second year</w:t>
      </w:r>
      <w:r w:rsidR="00D77D92">
        <w:t>,</w:t>
      </w:r>
      <w:r w:rsidR="00BA34F9">
        <w:t xml:space="preserve"> and so forth.</w:t>
      </w:r>
      <w:r w:rsidR="00293189">
        <w:t xml:space="preserve"> </w:t>
      </w:r>
      <w:r w:rsidR="00221B12">
        <w:t>It is important to note</w:t>
      </w:r>
      <w:r w:rsidR="00293189">
        <w:t xml:space="preserve"> that this is a problem only for depreciating assets. A zero</w:t>
      </w:r>
      <w:r w:rsidR="00CC280D">
        <w:t>-</w:t>
      </w:r>
      <w:r w:rsidR="00293189">
        <w:t xml:space="preserve">depreciation asset </w:t>
      </w:r>
      <w:r w:rsidR="006960F3">
        <w:t>is</w:t>
      </w:r>
      <w:r w:rsidR="00293189">
        <w:t xml:space="preserve"> not receiving any depreciation deduction</w:t>
      </w:r>
      <w:r w:rsidR="005D4A58">
        <w:t>s</w:t>
      </w:r>
      <w:r w:rsidR="004E2FC8">
        <w:t>,</w:t>
      </w:r>
      <w:r w:rsidR="005D4A58">
        <w:t xml:space="preserve"> so the firm is missing out on nothing by not having these inflation</w:t>
      </w:r>
      <w:r w:rsidR="006049D4">
        <w:t>-</w:t>
      </w:r>
      <w:r w:rsidR="005D4A58">
        <w:t>indexed. T</w:t>
      </w:r>
      <w:r w:rsidR="004D1B75">
        <w:t>hus, if in</w:t>
      </w:r>
      <w:r w:rsidR="00481FAA">
        <w:t>vestment is fully equity</w:t>
      </w:r>
      <w:r w:rsidR="00E76949">
        <w:t>-</w:t>
      </w:r>
      <w:r w:rsidR="00481FAA">
        <w:t>financed,</w:t>
      </w:r>
      <w:r w:rsidR="000B7886">
        <w:t xml:space="preserve"> inflation will tend to push up costs of capital and EMTRs for investment in </w:t>
      </w:r>
      <w:r w:rsidR="006379C7">
        <w:t>depreciable assets but not in zero-depreciation assets</w:t>
      </w:r>
      <w:r w:rsidR="00B93C95">
        <w:t xml:space="preserve">. </w:t>
      </w:r>
      <w:r w:rsidR="00F41347">
        <w:t>This create</w:t>
      </w:r>
      <w:r w:rsidR="005A4A9D">
        <w:t>s</w:t>
      </w:r>
      <w:r w:rsidR="00F41347">
        <w:t xml:space="preserve"> a tax bias. </w:t>
      </w:r>
      <w:r w:rsidR="00CB4901">
        <w:t xml:space="preserve">For assets with very </w:t>
      </w:r>
      <w:r w:rsidR="00B708FD">
        <w:t xml:space="preserve">low </w:t>
      </w:r>
      <w:r w:rsidR="002B1472">
        <w:t>rates</w:t>
      </w:r>
      <w:r w:rsidR="00B708FD">
        <w:t xml:space="preserve"> of economic and tax depreciation</w:t>
      </w:r>
      <w:r w:rsidR="00D311F8">
        <w:t xml:space="preserve"> (</w:t>
      </w:r>
      <w:r w:rsidR="00D311F8" w:rsidRPr="00B57921">
        <w:rPr>
          <w:position w:val="-6"/>
        </w:rPr>
        <w:object w:dxaOrig="760" w:dyaOrig="260" w14:anchorId="57B32B04">
          <v:shape id="_x0000_i1075" type="#_x0000_t75" style="width:39pt;height:14.25pt" o:ole="">
            <v:imagedata r:id="rId120" o:title=""/>
          </v:shape>
          <o:OLEObject Type="Embed" ProgID="Equation.DSMT4" ShapeID="_x0000_i1075" DrawAspect="Content" ObjectID="_1723472674" r:id="rId121"/>
        </w:object>
      </w:r>
      <w:r w:rsidR="00D311F8">
        <w:t>)</w:t>
      </w:r>
      <w:r w:rsidR="002B1472">
        <w:t xml:space="preserve">, the </w:t>
      </w:r>
      <w:r w:rsidR="00714B70">
        <w:t xml:space="preserve">penalty from </w:t>
      </w:r>
      <w:r w:rsidR="00DE0FA4">
        <w:t>depreciation deductions being eroded by inflation has a much smaller effect on costs of capital tha</w:t>
      </w:r>
      <w:r w:rsidR="00AC7C8F">
        <w:t>n for assets with higher economic and tax depreciation rates.</w:t>
      </w:r>
    </w:p>
    <w:p w14:paraId="1AADC911" w14:textId="556DC4D4" w:rsidR="001206DD" w:rsidRDefault="002D0D04" w:rsidP="008C3DFF">
      <w:pPr>
        <w:pStyle w:val="NumberedParagraph"/>
      </w:pPr>
      <w:r>
        <w:t xml:space="preserve">For </w:t>
      </w:r>
      <w:r w:rsidR="007576C3">
        <w:t xml:space="preserve">investments </w:t>
      </w:r>
      <w:r>
        <w:t xml:space="preserve">that are </w:t>
      </w:r>
      <w:r w:rsidR="000627D0">
        <w:t>ful</w:t>
      </w:r>
      <w:r w:rsidR="007576C3">
        <w:t xml:space="preserve">ly or </w:t>
      </w:r>
      <w:r>
        <w:t>partially debt</w:t>
      </w:r>
      <w:r w:rsidR="00D4391A">
        <w:t>-</w:t>
      </w:r>
      <w:r>
        <w:t xml:space="preserve">financed, inflation has a second effect. </w:t>
      </w:r>
      <w:r w:rsidR="00763AA3">
        <w:t>F</w:t>
      </w:r>
      <w:r w:rsidR="00A61CAA">
        <w:t xml:space="preserve">irms are allowed to deduct nominal interest expense. </w:t>
      </w:r>
      <w:r w:rsidR="00227F30">
        <w:t>With inflation, firms will be deducting more than their real interest expense</w:t>
      </w:r>
      <w:r w:rsidR="00391B0E">
        <w:t>,</w:t>
      </w:r>
      <w:r w:rsidR="00227F30">
        <w:t xml:space="preserve"> and this can subsidise debt-financed investment.</w:t>
      </w:r>
      <w:r w:rsidR="00D569B5">
        <w:t xml:space="preserve"> </w:t>
      </w:r>
      <w:r w:rsidR="00A61CAA">
        <w:t xml:space="preserve">If the real interest rate is </w:t>
      </w:r>
      <w:r w:rsidR="00F1330E">
        <w:t>3% and inflation is 2%</w:t>
      </w:r>
      <w:r w:rsidR="0036152F">
        <w:t>,</w:t>
      </w:r>
      <w:r w:rsidR="00BE4ACF">
        <w:t xml:space="preserve"> so the nominal interest rate is approximately 5%</w:t>
      </w:r>
      <w:r w:rsidR="00F1330E">
        <w:t xml:space="preserve">, firms will be </w:t>
      </w:r>
      <w:r w:rsidR="00BD215F">
        <w:t xml:space="preserve">deducting 5% when only 3% is a true business </w:t>
      </w:r>
      <w:r w:rsidR="005F16A0">
        <w:t>exp</w:t>
      </w:r>
      <w:r w:rsidR="004F6337">
        <w:t xml:space="preserve">ense. This is a balancing factor </w:t>
      </w:r>
      <w:r w:rsidR="0036152F">
        <w:t>that</w:t>
      </w:r>
      <w:r w:rsidR="004F6337">
        <w:t xml:space="preserve"> will tend to lower costs of capital and EMTRs</w:t>
      </w:r>
      <w:r w:rsidR="00555CAA">
        <w:t xml:space="preserve"> for partially debt-financed investments</w:t>
      </w:r>
      <w:r w:rsidR="004F6337">
        <w:t>.</w:t>
      </w:r>
      <w:r w:rsidR="001368B9">
        <w:t xml:space="preserve"> </w:t>
      </w:r>
      <w:r w:rsidR="003A5ACD">
        <w:t xml:space="preserve">From </w:t>
      </w:r>
      <w:r w:rsidR="00894034">
        <w:t>t</w:t>
      </w:r>
      <w:r w:rsidR="005B4F8C">
        <w:t xml:space="preserve">able A2.1 we see that if investment </w:t>
      </w:r>
      <w:r w:rsidR="000C4B05">
        <w:t>is</w:t>
      </w:r>
      <w:r w:rsidR="005B4F8C">
        <w:t xml:space="preserve"> fully debt</w:t>
      </w:r>
      <w:r w:rsidR="00453D09">
        <w:t>-</w:t>
      </w:r>
      <w:r w:rsidR="005B4F8C">
        <w:t>financed, costs</w:t>
      </w:r>
      <w:r w:rsidR="0074569D">
        <w:t xml:space="preserve"> of capital fall and EMTRs become negative for not only non-depreciating assets</w:t>
      </w:r>
      <w:r w:rsidR="0032614C">
        <w:t xml:space="preserve"> but also for depreciating PME with depreciation rates</w:t>
      </w:r>
      <w:r w:rsidR="005936BD">
        <w:t xml:space="preserve"> below 100%</w:t>
      </w:r>
      <w:r w:rsidR="0032614C">
        <w:t>.</w:t>
      </w:r>
    </w:p>
    <w:p w14:paraId="7D12C94E" w14:textId="1CF858A4" w:rsidR="00454C49" w:rsidRDefault="005B15A6" w:rsidP="008C3DFF">
      <w:pPr>
        <w:pStyle w:val="NumberedParagraph"/>
      </w:pPr>
      <w:r>
        <w:t>Finally,</w:t>
      </w:r>
      <w:r w:rsidR="002968BA">
        <w:t xml:space="preserve"> consider the impact of 2% inflation on EMTRs</w:t>
      </w:r>
      <w:r w:rsidR="004652A4">
        <w:t>,</w:t>
      </w:r>
      <w:r w:rsidR="002968BA">
        <w:t xml:space="preserve"> assuming investment is 43% debt</w:t>
      </w:r>
      <w:r w:rsidR="00453D09">
        <w:t>-</w:t>
      </w:r>
      <w:r w:rsidR="002968BA">
        <w:t>financed. First</w:t>
      </w:r>
      <w:r w:rsidR="004652A4">
        <w:t>,</w:t>
      </w:r>
      <w:r w:rsidR="002968BA">
        <w:t xml:space="preserve"> consider</w:t>
      </w:r>
      <w:r w:rsidR="000D34F8">
        <w:t xml:space="preserve"> zero</w:t>
      </w:r>
      <w:r w:rsidR="00CC280D">
        <w:t>-</w:t>
      </w:r>
      <w:r w:rsidR="000D34F8">
        <w:t>depreciation assets. Firms with these assets are not facing any penalty from</w:t>
      </w:r>
      <w:r w:rsidR="00885080">
        <w:t xml:space="preserve"> histor</w:t>
      </w:r>
      <w:r w:rsidR="00E14CF5">
        <w:t>ical cost depreciation and</w:t>
      </w:r>
      <w:r w:rsidR="000D34F8">
        <w:t xml:space="preserve"> </w:t>
      </w:r>
      <w:r w:rsidR="00885080">
        <w:t>inflation eroding depreciation deductions</w:t>
      </w:r>
      <w:r w:rsidR="00A0639C">
        <w:t>. In this case,</w:t>
      </w:r>
      <w:r w:rsidR="000902E1">
        <w:t xml:space="preserve"> the EMTR falls from</w:t>
      </w:r>
      <w:r w:rsidR="00E9500E">
        <w:t xml:space="preserve"> 18.1% to 10.1% because of the over-deduction of interest. </w:t>
      </w:r>
      <w:r w:rsidR="00A6592A">
        <w:t>Similarly for appreciating assets</w:t>
      </w:r>
      <w:r w:rsidR="009C629E">
        <w:t>,</w:t>
      </w:r>
      <w:r w:rsidR="00A6592A">
        <w:t xml:space="preserve"> the EMTR falls from </w:t>
      </w:r>
      <w:r w:rsidR="00CF06AF">
        <w:t>8.4% to -1.8%. For assets that can be expensed, the EMTR falls from</w:t>
      </w:r>
      <w:r w:rsidR="00CF340D">
        <w:t xml:space="preserve"> -13.7%</w:t>
      </w:r>
      <w:r w:rsidR="0007267E">
        <w:t xml:space="preserve"> </w:t>
      </w:r>
      <w:r w:rsidR="00CF340D">
        <w:t>to -</w:t>
      </w:r>
      <w:r w:rsidR="00BE46D8">
        <w:t xml:space="preserve">24.9%. Costs of capital and EMTRs fall for </w:t>
      </w:r>
      <w:r w:rsidR="00537304">
        <w:t xml:space="preserve">all </w:t>
      </w:r>
      <w:r w:rsidR="00BE46D8">
        <w:t>these assets</w:t>
      </w:r>
      <w:r w:rsidR="008171B1">
        <w:t xml:space="preserve"> because more than the real interest cost is being deducted without any offsetting tax penalty</w:t>
      </w:r>
      <w:r w:rsidR="00BE46D8">
        <w:t xml:space="preserve">. </w:t>
      </w:r>
      <w:r w:rsidR="00737E95">
        <w:t xml:space="preserve">Inflation is not eroding the real value of depreciation deductions for these assets. </w:t>
      </w:r>
      <w:r w:rsidR="00165226">
        <w:t>By contrast, consider a</w:t>
      </w:r>
      <w:r w:rsidR="00CF1DB5">
        <w:t xml:space="preserve"> depreciating asset with an economic and tax depreciation rate of 50%</w:t>
      </w:r>
      <w:r w:rsidR="00817DC9">
        <w:t xml:space="preserve">. The EMTR for this asset </w:t>
      </w:r>
      <w:r w:rsidR="000A6C41">
        <w:t>increases from 18.1% to 26.</w:t>
      </w:r>
      <w:r w:rsidR="00531D33">
        <w:t>3</w:t>
      </w:r>
      <w:r w:rsidR="000A6C41">
        <w:t xml:space="preserve">% because the </w:t>
      </w:r>
      <w:r w:rsidR="00BC2D6C">
        <w:t>erosion of the real value of depreciation deductions</w:t>
      </w:r>
      <w:r w:rsidR="000A6C41">
        <w:t xml:space="preserve"> has a bigger effect on the EMTR than the over</w:t>
      </w:r>
      <w:r w:rsidR="00CB62D1">
        <w:t>-</w:t>
      </w:r>
      <w:r w:rsidR="000A6C41">
        <w:t>deduction of interest.</w:t>
      </w:r>
      <w:r w:rsidR="00954C8A">
        <w:t xml:space="preserve"> Inflation tends to push up costs of capital and EMTRs for shorter-lived PME and for inventories</w:t>
      </w:r>
      <w:r w:rsidR="007F5428">
        <w:t>.</w:t>
      </w:r>
    </w:p>
    <w:p w14:paraId="4F364C01" w14:textId="4D021452" w:rsidR="007D6D24" w:rsidRPr="00FB5A82" w:rsidRDefault="00B824D2" w:rsidP="008C3DFF">
      <w:pPr>
        <w:pStyle w:val="NumberedParagraph"/>
      </w:pPr>
      <w:r>
        <w:t xml:space="preserve">Making tax depreciation rates as </w:t>
      </w:r>
      <w:r w:rsidR="00F41710">
        <w:t xml:space="preserve">close as </w:t>
      </w:r>
      <w:r w:rsidR="00E97BFD">
        <w:t xml:space="preserve">possible to economic depreciation rates </w:t>
      </w:r>
      <w:r w:rsidR="004C77F8">
        <w:t>would</w:t>
      </w:r>
      <w:r w:rsidR="00E97BFD">
        <w:t xml:space="preserve"> be attractive as a way of promoting neutrality in the absence of inflation. However, if the tax system is not adjusted to take account of inflation, significant biases may be introduced by relatively small levels of inflation.</w:t>
      </w:r>
      <w:r w:rsidR="00AC5615">
        <w:t xml:space="preserve"> </w:t>
      </w:r>
      <w:r w:rsidR="00AC5615" w:rsidRPr="00C251BA">
        <w:t xml:space="preserve">This is the </w:t>
      </w:r>
      <w:r w:rsidR="00F4159B">
        <w:t>‘</w:t>
      </w:r>
      <w:r w:rsidR="00AC5615" w:rsidRPr="00C251BA">
        <w:t xml:space="preserve">inflation </w:t>
      </w:r>
      <w:proofErr w:type="spellStart"/>
      <w:r w:rsidR="00AC5615" w:rsidRPr="00C251BA">
        <w:t>bias</w:t>
      </w:r>
      <w:r w:rsidR="00F4159B">
        <w:t>’</w:t>
      </w:r>
      <w:proofErr w:type="spellEnd"/>
      <w:r w:rsidR="00AC5615" w:rsidRPr="00C251BA">
        <w:t xml:space="preserve"> issue discussed in several studies </w:t>
      </w:r>
      <w:r w:rsidR="00A27C5B">
        <w:t>(s</w:t>
      </w:r>
      <w:r w:rsidR="00AC5615" w:rsidRPr="00C251BA">
        <w:t>ee, for example, Auerbach (1979) or</w:t>
      </w:r>
      <w:r w:rsidR="00AC5615">
        <w:t xml:space="preserve"> chapter</w:t>
      </w:r>
      <w:r w:rsidR="000C0AF6">
        <w:t xml:space="preserve"> </w:t>
      </w:r>
      <w:r w:rsidR="00AC5615">
        <w:t xml:space="preserve">3 of </w:t>
      </w:r>
      <w:r w:rsidR="00AC5615" w:rsidRPr="00C251BA">
        <w:t>the officials’ issues paper on depreciation</w:t>
      </w:r>
      <w:r w:rsidR="000D0474">
        <w:t xml:space="preserve">, Inland Revenue and Treasury, </w:t>
      </w:r>
      <w:r w:rsidR="00931380">
        <w:t>(</w:t>
      </w:r>
      <w:r w:rsidR="000D0474">
        <w:t>2004</w:t>
      </w:r>
      <w:r w:rsidR="00AC5615" w:rsidRPr="00C251BA">
        <w:t>)</w:t>
      </w:r>
      <w:r w:rsidR="00931380">
        <w:t>)</w:t>
      </w:r>
      <w:r w:rsidR="00AC5615" w:rsidRPr="00C251BA">
        <w:t>.</w:t>
      </w:r>
    </w:p>
    <w:p w14:paraId="6B6ADF00" w14:textId="2CB2CDC4" w:rsidR="009C1F81" w:rsidRPr="009C1F81" w:rsidRDefault="009C1F81" w:rsidP="00CA72CD">
      <w:pPr>
        <w:pStyle w:val="Heading2"/>
        <w:rPr>
          <w:rFonts w:eastAsia="Calibri"/>
          <w:lang w:eastAsia="en-US"/>
        </w:rPr>
      </w:pPr>
      <w:bookmarkStart w:id="16" w:name="_Toc108451954"/>
      <w:r w:rsidRPr="009C1F81">
        <w:rPr>
          <w:rFonts w:eastAsia="Calibri"/>
          <w:lang w:eastAsia="en-US"/>
        </w:rPr>
        <w:t>Non-resident withholding tax (NRWT), approved issuer levy (AIL), interest rates and thin capitalisation provisions</w:t>
      </w:r>
      <w:bookmarkEnd w:id="16"/>
    </w:p>
    <w:p w14:paraId="1D6B180F" w14:textId="65981FC6" w:rsidR="00764D2A" w:rsidRDefault="009C1F81" w:rsidP="008C3DFF">
      <w:pPr>
        <w:pStyle w:val="NumberedParagraph"/>
      </w:pPr>
      <w:r w:rsidRPr="009C1F81">
        <w:t xml:space="preserve">The OECD analysis does not take account of </w:t>
      </w:r>
      <w:r w:rsidR="00AD34E2">
        <w:t>NRWT</w:t>
      </w:r>
      <w:r w:rsidRPr="009C1F81">
        <w:t xml:space="preserve"> on interest</w:t>
      </w:r>
      <w:r w:rsidR="000D15B2">
        <w:t xml:space="preserve"> or AIL</w:t>
      </w:r>
      <w:r w:rsidRPr="009C1F81">
        <w:t xml:space="preserve">. </w:t>
      </w:r>
      <w:r w:rsidR="006C697F">
        <w:t>By contrast</w:t>
      </w:r>
      <w:r w:rsidR="00281885">
        <w:t>,</w:t>
      </w:r>
      <w:r w:rsidR="006C697F">
        <w:t xml:space="preserve"> these taxes and levies were included in the </w:t>
      </w:r>
      <w:r w:rsidR="000C4CB2">
        <w:t xml:space="preserve">effective tax rates </w:t>
      </w:r>
      <w:r w:rsidR="000C4CB2">
        <w:lastRenderedPageBreak/>
        <w:t>calculated in the McLeod Review (2000)</w:t>
      </w:r>
      <w:r w:rsidR="002C41E5">
        <w:t xml:space="preserve">. The OECD analysis also does not </w:t>
      </w:r>
      <w:r w:rsidRPr="009C1F81">
        <w:t>consider how thin capitalisation rules may modify the analysis. We begin by discussing NRWT on interest and the AIL and how these taxes/levies can affect the real interest rates that firms will need to pay. We then discuss how thin capitalisation rules may affect the analysis.</w:t>
      </w:r>
    </w:p>
    <w:p w14:paraId="7DFA0632" w14:textId="14C67B0B" w:rsidR="009C1F81" w:rsidRDefault="009C1F81" w:rsidP="008C3DFF">
      <w:pPr>
        <w:pStyle w:val="NumberedParagraph"/>
      </w:pPr>
      <w:r w:rsidRPr="009C1F81">
        <w:t>To keep the extent of the discussion manageable, we do not consider NRWT on dividends or New Zealand’s foreign investor tax credit</w:t>
      </w:r>
      <w:r w:rsidR="00250DC6">
        <w:t xml:space="preserve"> system</w:t>
      </w:r>
      <w:r w:rsidRPr="009C1F81">
        <w:t>. Including these could sometimes lead to lower costs of capital than we analyse, but this is left for further work.</w:t>
      </w:r>
    </w:p>
    <w:p w14:paraId="730D7EA1" w14:textId="466A4589" w:rsidR="00B56E6E" w:rsidRPr="009C1F81" w:rsidRDefault="008935C9" w:rsidP="008C3DFF">
      <w:pPr>
        <w:pStyle w:val="NumberedParagraph"/>
      </w:pPr>
      <w:r>
        <w:t>We also do not consider local authority rates</w:t>
      </w:r>
      <w:r w:rsidR="00103589">
        <w:t xml:space="preserve"> in our analysis</w:t>
      </w:r>
      <w:r>
        <w:t xml:space="preserve">. It might be argued that </w:t>
      </w:r>
      <w:r w:rsidR="00F2708D">
        <w:t xml:space="preserve">these </w:t>
      </w:r>
      <w:r w:rsidR="00671441">
        <w:t>rat</w:t>
      </w:r>
      <w:r w:rsidR="00F2708D">
        <w:t xml:space="preserve">es </w:t>
      </w:r>
      <w:r w:rsidR="009D1951">
        <w:t>will</w:t>
      </w:r>
      <w:r w:rsidR="00F2708D">
        <w:t xml:space="preserve"> also be adding to costs of capital and EMTRs and discouraging investment in real property. </w:t>
      </w:r>
      <w:r w:rsidR="00CC23B5">
        <w:t>Ho</w:t>
      </w:r>
      <w:r w:rsidR="00774CD6">
        <w:t xml:space="preserve">wever, </w:t>
      </w:r>
      <w:r w:rsidR="00671441">
        <w:t xml:space="preserve">recurrent taxes on real property such as local authority rates </w:t>
      </w:r>
      <w:r w:rsidR="00774CD6">
        <w:t>are not normally included in international studies of costs of capital and EMTRs</w:t>
      </w:r>
      <w:r w:rsidR="00027648">
        <w:t xml:space="preserve"> such as the OECD study or the work by </w:t>
      </w:r>
      <w:proofErr w:type="spellStart"/>
      <w:r w:rsidR="00027648">
        <w:t>Bazel</w:t>
      </w:r>
      <w:proofErr w:type="spellEnd"/>
      <w:r w:rsidR="00027648">
        <w:t xml:space="preserve"> and Mintz (2021)</w:t>
      </w:r>
      <w:r w:rsidR="00774CD6">
        <w:t xml:space="preserve">. </w:t>
      </w:r>
      <w:r w:rsidR="00B55608">
        <w:t>Some would argue that they are, at least in part, a charge</w:t>
      </w:r>
      <w:r w:rsidR="00AC610C">
        <w:t xml:space="preserve"> levied by local authorities for the provision of public services</w:t>
      </w:r>
      <w:r w:rsidR="0071230A">
        <w:t xml:space="preserve"> including the provision of infrastructure as well as services such as water, sewerage and so forth.</w:t>
      </w:r>
      <w:r w:rsidR="00F756C8">
        <w:t xml:space="preserve"> This is another issue which merits further consideration in the future.</w:t>
      </w:r>
    </w:p>
    <w:p w14:paraId="7BCCAE76" w14:textId="30CBE82F" w:rsidR="009C1F81" w:rsidRPr="009C1F81" w:rsidRDefault="009C1F81" w:rsidP="00CA72CD">
      <w:pPr>
        <w:pStyle w:val="Heading3"/>
        <w:rPr>
          <w:rFonts w:eastAsia="Calibri"/>
          <w:lang w:eastAsia="en-US"/>
        </w:rPr>
      </w:pPr>
      <w:r w:rsidRPr="009C1F81">
        <w:rPr>
          <w:rFonts w:eastAsia="Calibri"/>
          <w:lang w:eastAsia="en-US"/>
        </w:rPr>
        <w:t>NRWT, AIL and real interest rates</w:t>
      </w:r>
    </w:p>
    <w:p w14:paraId="764DE045" w14:textId="0700D318" w:rsidR="009C1F81" w:rsidRPr="009C1F81" w:rsidRDefault="009C1F81" w:rsidP="008C3DFF">
      <w:pPr>
        <w:pStyle w:val="NumberedParagraph"/>
      </w:pPr>
      <w:r w:rsidRPr="009C1F81">
        <w:t>In New Zealand, there are two different types of taxes</w:t>
      </w:r>
      <w:r w:rsidR="00E61BB5">
        <w:t>/levies</w:t>
      </w:r>
      <w:r w:rsidRPr="009C1F81">
        <w:t xml:space="preserve"> on interest paid to non-residents. N</w:t>
      </w:r>
      <w:r w:rsidR="00670F23">
        <w:t>RWT</w:t>
      </w:r>
      <w:r w:rsidRPr="009C1F81">
        <w:t xml:space="preserve"> is withheld at a rate of 10% for countries with which New Zealand has a double tax agreement or 15% for other countries. Most often it will be withheld at a rate of 10%, and we use this rate in our analysis. Where debt is from a related party (for example, a foreign parent company), NRWT must be withheld. However, an alternative exists when debt is from third parties. This</w:t>
      </w:r>
      <w:r w:rsidR="00AC3E54">
        <w:t xml:space="preserve"> alternative</w:t>
      </w:r>
      <w:r w:rsidRPr="009C1F81">
        <w:t xml:space="preserve"> </w:t>
      </w:r>
      <w:r w:rsidR="00F31739">
        <w:t>allows</w:t>
      </w:r>
      <w:r w:rsidRPr="009C1F81">
        <w:t xml:space="preserve"> the borrowing firm to pay AIL at a rate of 2% in lieu of NRWT.</w:t>
      </w:r>
    </w:p>
    <w:p w14:paraId="24A1BD91" w14:textId="1CF170DD" w:rsidR="009C1F81" w:rsidRPr="009C1F81" w:rsidRDefault="009C1F81" w:rsidP="008C3DFF">
      <w:pPr>
        <w:pStyle w:val="NumberedParagraph"/>
      </w:pPr>
      <w:r w:rsidRPr="009C1F81">
        <w:t xml:space="preserve">A difference between </w:t>
      </w:r>
      <w:r w:rsidR="005354D4">
        <w:t>NRWT and AIL</w:t>
      </w:r>
      <w:r w:rsidRPr="009C1F81">
        <w:t xml:space="preserve"> is that NRWT may give rise to tax credits overseas that reduce the amount of tax overseas lenders must pay on their interest income from New Zealand.</w:t>
      </w:r>
      <w:r w:rsidR="009F628E">
        <w:t xml:space="preserve"> By contrast, </w:t>
      </w:r>
      <w:r w:rsidR="002767F5">
        <w:t>other c</w:t>
      </w:r>
      <w:r w:rsidR="006E1655">
        <w:t>ountries</w:t>
      </w:r>
      <w:r w:rsidR="002767F5">
        <w:t xml:space="preserve"> do not provide </w:t>
      </w:r>
      <w:r w:rsidR="006E6AE6">
        <w:t xml:space="preserve">their residents with </w:t>
      </w:r>
      <w:r w:rsidR="002767F5">
        <w:t>tax credit</w:t>
      </w:r>
      <w:r w:rsidR="006E1655">
        <w:t>s</w:t>
      </w:r>
      <w:r w:rsidR="002767F5">
        <w:t xml:space="preserve"> for AIL.</w:t>
      </w:r>
    </w:p>
    <w:p w14:paraId="6BF218F3" w14:textId="45D45CA0" w:rsidR="009C1F81" w:rsidRPr="009C1F81" w:rsidRDefault="009C1F81" w:rsidP="008C3DFF">
      <w:pPr>
        <w:pStyle w:val="NumberedParagraph"/>
      </w:pPr>
      <w:r w:rsidRPr="009C1F81">
        <w:t>Despite the rate of NRWT being higher than the 2% rate of AIL, it will generally be preferable for loans to be subject to NRWT if the foreign lender is able to make full use of tax credits</w:t>
      </w:r>
      <w:r w:rsidR="006C31E1">
        <w:t xml:space="preserve"> for NRWT</w:t>
      </w:r>
      <w:r w:rsidRPr="009C1F81">
        <w:t>. However, very often foreign lenders may be non-taxpayers, in a tax loss position or unable to make full use of tax credits for other reasons.</w:t>
      </w:r>
    </w:p>
    <w:p w14:paraId="41B401BC" w14:textId="77E96969" w:rsidR="009C1F81" w:rsidRPr="009C1F81" w:rsidRDefault="009C1F81" w:rsidP="008C3DFF">
      <w:pPr>
        <w:pStyle w:val="NumberedParagraph"/>
      </w:pPr>
      <w:r w:rsidRPr="009C1F81">
        <w:t>Interest paid to third parties is most often subject to AIL</w:t>
      </w:r>
      <w:r w:rsidR="009A2E0F">
        <w:t>,</w:t>
      </w:r>
      <w:r w:rsidRPr="009C1F81">
        <w:t xml:space="preserve"> rather than NRWT, and we assume this is the case in our analysis. </w:t>
      </w:r>
      <w:r w:rsidR="00E91658">
        <w:t>However,</w:t>
      </w:r>
      <w:r w:rsidRPr="009C1F81">
        <w:t xml:space="preserve"> AIL could, on occasion, be waived if a New Zealand borrower th</w:t>
      </w:r>
      <w:r w:rsidR="00E91658">
        <w:t>ought</w:t>
      </w:r>
      <w:r w:rsidRPr="009C1F81">
        <w:t xml:space="preserve"> the foreign lender would prefer NRWT to be withheld. This would lead to slightly lower costs of capital than we estimate. We assume that all related-party loans from abroad are subject to NRWT at a rate of 10% and all third-party loans from abroad are subject to AIL.</w:t>
      </w:r>
    </w:p>
    <w:p w14:paraId="31B37306" w14:textId="02A84E31" w:rsidR="009C1F81" w:rsidRPr="009C1F81" w:rsidRDefault="009C1F81" w:rsidP="008C3DFF">
      <w:pPr>
        <w:pStyle w:val="NumberedParagraph"/>
      </w:pPr>
      <w:r w:rsidRPr="009C1F81">
        <w:t>Third-party lenders are expected to require an after-tax return that provides them with the real return they could obtain from investing their money elsewhere. If there were no inflation, it would be expected that this would increase the real (and nominal) interest rate from (say) 3% to 3.06% so that, after AIL is levied, foreign lenders end up with the real return they require (3.06% = 3.00%</w:t>
      </w:r>
      <w:r w:rsidR="00DC1B79">
        <w:t>x</w:t>
      </w:r>
      <w:r w:rsidRPr="009C1F81">
        <w:t>(1</w:t>
      </w:r>
      <w:r w:rsidR="002A5A84">
        <w:t>+</w:t>
      </w:r>
      <w:r w:rsidRPr="009C1F81">
        <w:t>0.02)).</w:t>
      </w:r>
    </w:p>
    <w:p w14:paraId="4C506BF8" w14:textId="61ED9FE4" w:rsidR="009C1F81" w:rsidRDefault="009C1F81" w:rsidP="00447F49">
      <w:pPr>
        <w:pStyle w:val="NumberedParagraph"/>
      </w:pPr>
      <w:r w:rsidRPr="009C1F81">
        <w:t>With 2% inflation</w:t>
      </w:r>
      <w:r w:rsidR="007E0E5D">
        <w:t>,</w:t>
      </w:r>
      <w:r w:rsidRPr="009C1F81">
        <w:t xml:space="preserve"> AIL is levied on the full nominal interest rate</w:t>
      </w:r>
      <w:r w:rsidR="00C1679F">
        <w:t>. With 2% inflation and a 3% real interest rate (and no AIL)</w:t>
      </w:r>
      <w:r w:rsidR="00E17FB1">
        <w:t>,</w:t>
      </w:r>
      <w:r w:rsidR="00C1679F">
        <w:t xml:space="preserve"> the nominal interest rate will be 5.06%. Levying AIL </w:t>
      </w:r>
      <w:r w:rsidR="0048097C">
        <w:t xml:space="preserve">at a rate of </w:t>
      </w:r>
      <w:r w:rsidR="000D1DD3" w:rsidRPr="00B57921">
        <w:rPr>
          <w:position w:val="-10"/>
        </w:rPr>
        <w:object w:dxaOrig="820" w:dyaOrig="320" w14:anchorId="6DD15DD7">
          <v:shape id="_x0000_i1076" type="#_x0000_t75" style="width:40.5pt;height:15.75pt" o:ole="">
            <v:imagedata r:id="rId122" o:title=""/>
          </v:shape>
          <o:OLEObject Type="Embed" ProgID="Equation.DSMT4" ShapeID="_x0000_i1076" DrawAspect="Content" ObjectID="_1723472675" r:id="rId123"/>
        </w:object>
      </w:r>
      <w:r w:rsidR="000D1DD3">
        <w:t xml:space="preserve"> </w:t>
      </w:r>
      <w:r w:rsidR="00C1679F">
        <w:t xml:space="preserve">will raise the nominal interest rate </w:t>
      </w:r>
      <w:r w:rsidR="00C1679F">
        <w:lastRenderedPageBreak/>
        <w:t>to 5.16% and</w:t>
      </w:r>
      <w:r w:rsidRPr="009C1F81">
        <w:t xml:space="preserve"> the real interest rate to approximately 3.10%.</w:t>
      </w:r>
      <w:r w:rsidRPr="009C1F81">
        <w:rPr>
          <w:vertAlign w:val="superscript"/>
        </w:rPr>
        <w:footnoteReference w:id="15"/>
      </w:r>
      <w:r w:rsidRPr="000D1DD3">
        <w:rPr>
          <w:vertAlign w:val="superscript"/>
        </w:rPr>
        <w:t>,</w:t>
      </w:r>
      <w:r w:rsidRPr="009C1F81">
        <w:rPr>
          <w:vertAlign w:val="superscript"/>
        </w:rPr>
        <w:footnoteReference w:id="16"/>
      </w:r>
      <w:r w:rsidRPr="009C1F81">
        <w:t xml:space="preserve"> This will tend to raise costs of capital and EMTRs slightly for all firms that are partly debt</w:t>
      </w:r>
      <w:r w:rsidR="00716AF4">
        <w:t>-</w:t>
      </w:r>
      <w:r w:rsidRPr="009C1F81">
        <w:t>financed.</w:t>
      </w:r>
    </w:p>
    <w:p w14:paraId="10B804F3" w14:textId="2168DE34" w:rsidR="00BA1CEA" w:rsidRDefault="0022146B" w:rsidP="008C3DFF">
      <w:pPr>
        <w:pStyle w:val="NumberedParagraph"/>
      </w:pPr>
      <w:r>
        <w:t>In table A</w:t>
      </w:r>
      <w:r w:rsidR="00D63ED4">
        <w:t>2.2 below</w:t>
      </w:r>
      <w:r w:rsidR="002C6AE7">
        <w:t>,</w:t>
      </w:r>
      <w:r w:rsidR="00D63ED4">
        <w:t xml:space="preserve"> we </w:t>
      </w:r>
      <w:r w:rsidR="00654444">
        <w:t>update the data presented in table A2.1</w:t>
      </w:r>
      <w:r w:rsidR="00265B95">
        <w:t xml:space="preserve"> to </w:t>
      </w:r>
      <w:r w:rsidR="00D63ED4">
        <w:t xml:space="preserve">consider the effects of AIL on costs of capital and EMTRs for </w:t>
      </w:r>
      <w:r w:rsidR="00A866E4">
        <w:t xml:space="preserve">domestic companies </w:t>
      </w:r>
      <w:r w:rsidR="006A0070">
        <w:t xml:space="preserve">with marginal foreign </w:t>
      </w:r>
      <w:r w:rsidR="00FE4F1F">
        <w:t xml:space="preserve">portfolio </w:t>
      </w:r>
      <w:r w:rsidR="006A0070">
        <w:t>shareholders</w:t>
      </w:r>
      <w:r w:rsidR="005A1ACD">
        <w:t xml:space="preserve">. </w:t>
      </w:r>
      <w:r w:rsidR="00F05D26">
        <w:t>By ‘domestic companies’ we are referring to companies</w:t>
      </w:r>
      <w:r w:rsidR="006A0070">
        <w:t xml:space="preserve"> </w:t>
      </w:r>
      <w:r w:rsidR="00701C90">
        <w:t>that</w:t>
      </w:r>
      <w:r w:rsidR="00A866E4">
        <w:t xml:space="preserve"> are not foreign controlled</w:t>
      </w:r>
      <w:r w:rsidR="00265B95">
        <w:t xml:space="preserve">. </w:t>
      </w:r>
      <w:r w:rsidR="00DE2F4C">
        <w:t>A</w:t>
      </w:r>
      <w:r w:rsidR="00F05D26">
        <w:t>ccordingly,</w:t>
      </w:r>
      <w:r w:rsidR="00DE2F4C">
        <w:t xml:space="preserve"> NRWT on interest is not </w:t>
      </w:r>
      <w:r w:rsidR="00F54BB1">
        <w:t xml:space="preserve">normally </w:t>
      </w:r>
      <w:r w:rsidR="00DE2F4C">
        <w:t>an issue</w:t>
      </w:r>
      <w:r w:rsidR="00F54BB1">
        <w:t xml:space="preserve"> because these firms </w:t>
      </w:r>
      <w:r w:rsidR="00FB2BE6">
        <w:t xml:space="preserve">prefer </w:t>
      </w:r>
      <w:r w:rsidR="00F54BB1">
        <w:t xml:space="preserve">to pay AIL </w:t>
      </w:r>
      <w:r w:rsidR="00CA4EC2">
        <w:t xml:space="preserve">rather </w:t>
      </w:r>
      <w:r w:rsidR="00F54BB1">
        <w:t>than NRWT</w:t>
      </w:r>
      <w:r w:rsidR="00DE2F4C">
        <w:t>.</w:t>
      </w:r>
      <w:r w:rsidR="00C939D5">
        <w:t xml:space="preserve"> </w:t>
      </w:r>
      <w:r w:rsidR="00265B95">
        <w:t xml:space="preserve">As in the earlier table, we assume there is a world real interest rate </w:t>
      </w:r>
      <w:r w:rsidR="00837BA9">
        <w:t xml:space="preserve">and a required real return on equity </w:t>
      </w:r>
      <w:r w:rsidR="00265B95">
        <w:t xml:space="preserve">of </w:t>
      </w:r>
      <w:r w:rsidR="00837BA9">
        <w:t>3.0% net of New Zealand taxes.</w:t>
      </w:r>
      <w:r w:rsidR="00047D7C">
        <w:t xml:space="preserve"> We consider debt levels of 0%, 100% and 43%</w:t>
      </w:r>
      <w:r w:rsidR="002006CA">
        <w:t xml:space="preserve"> once more</w:t>
      </w:r>
      <w:r w:rsidR="00047D7C">
        <w:t>.</w:t>
      </w:r>
    </w:p>
    <w:p w14:paraId="1F927651" w14:textId="40E71718" w:rsidR="002D54F1" w:rsidRPr="00D70FDD" w:rsidRDefault="0008309A" w:rsidP="0008309A">
      <w:pPr>
        <w:pStyle w:val="Caption"/>
      </w:pPr>
      <w:r w:rsidRPr="00A46F65">
        <w:t xml:space="preserve">Table </w:t>
      </w:r>
      <w:r>
        <w:t>A2.2</w:t>
      </w:r>
      <w:r w:rsidRPr="00A46F65">
        <w:t>: Costs of capital and EMTRs for domestic companies with marginal foreign portfolio shareholders, r</w:t>
      </w:r>
      <w:r>
        <w:t>*</w:t>
      </w:r>
      <w:r w:rsidRPr="00A46F65">
        <w:t xml:space="preserve"> = 3%, AIL = 2%</w:t>
      </w:r>
    </w:p>
    <w:tbl>
      <w:tblPr>
        <w:tblStyle w:val="TableGrid"/>
        <w:tblW w:w="9781" w:type="dxa"/>
        <w:tblInd w:w="-50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28" w:type="dxa"/>
          <w:right w:w="28" w:type="dxa"/>
        </w:tblCellMar>
        <w:tblLook w:val="04A0" w:firstRow="1" w:lastRow="0" w:firstColumn="1" w:lastColumn="0" w:noHBand="0" w:noVBand="1"/>
      </w:tblPr>
      <w:tblGrid>
        <w:gridCol w:w="1347"/>
        <w:gridCol w:w="992"/>
        <w:gridCol w:w="737"/>
        <w:gridCol w:w="681"/>
        <w:gridCol w:w="651"/>
        <w:gridCol w:w="666"/>
        <w:gridCol w:w="667"/>
        <w:gridCol w:w="1134"/>
        <w:gridCol w:w="851"/>
        <w:gridCol w:w="1134"/>
        <w:gridCol w:w="921"/>
      </w:tblGrid>
      <w:tr w:rsidR="00B25614" w:rsidRPr="008F735E" w14:paraId="5074C544" w14:textId="77777777" w:rsidTr="001E378B">
        <w:trPr>
          <w:tblHeader/>
        </w:trPr>
        <w:tc>
          <w:tcPr>
            <w:tcW w:w="1347" w:type="dxa"/>
            <w:shd w:val="clear" w:color="auto" w:fill="232E36"/>
          </w:tcPr>
          <w:p w14:paraId="4ED4E157" w14:textId="77777777" w:rsidR="00B25614" w:rsidRPr="008F735E" w:rsidRDefault="00B25614" w:rsidP="00447F49">
            <w:pPr>
              <w:keepNext/>
              <w:keepLines/>
              <w:spacing w:before="120" w:after="120"/>
              <w:rPr>
                <w:color w:val="FFFFFF" w:themeColor="background1"/>
                <w:sz w:val="14"/>
                <w:szCs w:val="14"/>
              </w:rPr>
            </w:pPr>
          </w:p>
        </w:tc>
        <w:tc>
          <w:tcPr>
            <w:tcW w:w="992" w:type="dxa"/>
            <w:shd w:val="clear" w:color="auto" w:fill="232E36"/>
          </w:tcPr>
          <w:p w14:paraId="57D5B8A5" w14:textId="77777777" w:rsidR="00B25614" w:rsidRPr="008F735E" w:rsidRDefault="00B25614" w:rsidP="00447F49">
            <w:pPr>
              <w:keepNext/>
              <w:keepLines/>
              <w:spacing w:before="120" w:after="120"/>
              <w:jc w:val="center"/>
              <w:rPr>
                <w:b/>
                <w:bCs/>
                <w:color w:val="FFFFFF" w:themeColor="background1"/>
                <w:sz w:val="14"/>
                <w:szCs w:val="14"/>
              </w:rPr>
            </w:pPr>
            <w:r w:rsidRPr="008F735E">
              <w:rPr>
                <w:b/>
                <w:bCs/>
                <w:color w:val="FFFFFF" w:themeColor="background1"/>
                <w:sz w:val="14"/>
                <w:szCs w:val="14"/>
              </w:rPr>
              <w:t>Commercial and industrial buildings</w:t>
            </w:r>
          </w:p>
        </w:tc>
        <w:tc>
          <w:tcPr>
            <w:tcW w:w="3402" w:type="dxa"/>
            <w:gridSpan w:val="5"/>
            <w:shd w:val="clear" w:color="auto" w:fill="232E36"/>
          </w:tcPr>
          <w:p w14:paraId="3D197D50" w14:textId="77777777" w:rsidR="00B25614" w:rsidRPr="008F735E" w:rsidRDefault="00B25614" w:rsidP="00447F49">
            <w:pPr>
              <w:keepNext/>
              <w:keepLines/>
              <w:spacing w:before="120" w:after="120"/>
              <w:jc w:val="center"/>
              <w:rPr>
                <w:b/>
                <w:bCs/>
                <w:color w:val="FFFFFF" w:themeColor="background1"/>
                <w:sz w:val="14"/>
                <w:szCs w:val="14"/>
              </w:rPr>
            </w:pPr>
            <w:r w:rsidRPr="008F735E">
              <w:rPr>
                <w:b/>
                <w:bCs/>
                <w:color w:val="FFFFFF" w:themeColor="background1"/>
                <w:sz w:val="14"/>
                <w:szCs w:val="14"/>
              </w:rPr>
              <w:t xml:space="preserve">Plant, </w:t>
            </w:r>
            <w:proofErr w:type="gramStart"/>
            <w:r w:rsidRPr="008F735E">
              <w:rPr>
                <w:b/>
                <w:bCs/>
                <w:color w:val="FFFFFF" w:themeColor="background1"/>
                <w:sz w:val="14"/>
                <w:szCs w:val="14"/>
              </w:rPr>
              <w:t>machinery</w:t>
            </w:r>
            <w:proofErr w:type="gramEnd"/>
            <w:r w:rsidRPr="008F735E">
              <w:rPr>
                <w:b/>
                <w:bCs/>
                <w:color w:val="FFFFFF" w:themeColor="background1"/>
                <w:sz w:val="14"/>
                <w:szCs w:val="14"/>
              </w:rPr>
              <w:t xml:space="preserve"> and equipment</w:t>
            </w:r>
          </w:p>
        </w:tc>
        <w:tc>
          <w:tcPr>
            <w:tcW w:w="1134" w:type="dxa"/>
            <w:shd w:val="clear" w:color="auto" w:fill="232E36"/>
          </w:tcPr>
          <w:p w14:paraId="15E94B12" w14:textId="77777777" w:rsidR="00B25614" w:rsidRPr="008F735E" w:rsidRDefault="00B25614" w:rsidP="00447F49">
            <w:pPr>
              <w:keepNext/>
              <w:keepLines/>
              <w:spacing w:before="120" w:after="120"/>
              <w:jc w:val="center"/>
              <w:rPr>
                <w:b/>
                <w:bCs/>
                <w:color w:val="FFFFFF" w:themeColor="background1"/>
                <w:sz w:val="14"/>
                <w:szCs w:val="14"/>
              </w:rPr>
            </w:pPr>
            <w:r w:rsidRPr="008F735E">
              <w:rPr>
                <w:b/>
                <w:bCs/>
                <w:color w:val="FFFFFF" w:themeColor="background1"/>
                <w:sz w:val="14"/>
                <w:szCs w:val="14"/>
              </w:rPr>
              <w:t>Zero</w:t>
            </w:r>
            <w:r>
              <w:rPr>
                <w:b/>
                <w:bCs/>
                <w:color w:val="FFFFFF" w:themeColor="background1"/>
                <w:sz w:val="14"/>
                <w:szCs w:val="14"/>
              </w:rPr>
              <w:t>-</w:t>
            </w:r>
            <w:r w:rsidRPr="008F735E">
              <w:rPr>
                <w:b/>
                <w:bCs/>
                <w:color w:val="FFFFFF" w:themeColor="background1"/>
                <w:sz w:val="14"/>
                <w:szCs w:val="14"/>
              </w:rPr>
              <w:t>depreciating assets</w:t>
            </w:r>
          </w:p>
        </w:tc>
        <w:tc>
          <w:tcPr>
            <w:tcW w:w="851" w:type="dxa"/>
            <w:shd w:val="clear" w:color="auto" w:fill="232E36"/>
          </w:tcPr>
          <w:p w14:paraId="31F19F52" w14:textId="77777777" w:rsidR="00B25614" w:rsidRPr="008F735E" w:rsidRDefault="00B25614" w:rsidP="00447F49">
            <w:pPr>
              <w:keepNext/>
              <w:keepLines/>
              <w:spacing w:before="120" w:after="120"/>
              <w:jc w:val="center"/>
              <w:rPr>
                <w:b/>
                <w:bCs/>
                <w:color w:val="FFFFFF" w:themeColor="background1"/>
                <w:sz w:val="14"/>
                <w:szCs w:val="14"/>
              </w:rPr>
            </w:pPr>
            <w:r w:rsidRPr="008F735E">
              <w:rPr>
                <w:b/>
                <w:bCs/>
                <w:color w:val="FFFFFF" w:themeColor="background1"/>
                <w:sz w:val="14"/>
                <w:szCs w:val="14"/>
              </w:rPr>
              <w:t>Inventory</w:t>
            </w:r>
          </w:p>
        </w:tc>
        <w:tc>
          <w:tcPr>
            <w:tcW w:w="1134" w:type="dxa"/>
            <w:shd w:val="clear" w:color="auto" w:fill="232E36"/>
          </w:tcPr>
          <w:p w14:paraId="1D79E5F5" w14:textId="77777777" w:rsidR="00B25614" w:rsidRPr="008F735E" w:rsidRDefault="00B25614" w:rsidP="00447F49">
            <w:pPr>
              <w:keepNext/>
              <w:keepLines/>
              <w:spacing w:before="120" w:after="120"/>
              <w:jc w:val="center"/>
              <w:rPr>
                <w:b/>
                <w:bCs/>
                <w:color w:val="FFFFFF" w:themeColor="background1"/>
                <w:sz w:val="14"/>
                <w:szCs w:val="14"/>
              </w:rPr>
            </w:pPr>
            <w:r w:rsidRPr="008F735E">
              <w:rPr>
                <w:b/>
                <w:bCs/>
                <w:color w:val="FFFFFF" w:themeColor="background1"/>
                <w:sz w:val="14"/>
                <w:szCs w:val="14"/>
              </w:rPr>
              <w:t>Appreciating assets</w:t>
            </w:r>
          </w:p>
        </w:tc>
        <w:tc>
          <w:tcPr>
            <w:tcW w:w="921" w:type="dxa"/>
            <w:shd w:val="clear" w:color="auto" w:fill="232E36"/>
          </w:tcPr>
          <w:p w14:paraId="6877A152" w14:textId="77777777" w:rsidR="00B25614" w:rsidRPr="008F735E" w:rsidRDefault="00B25614" w:rsidP="00447F49">
            <w:pPr>
              <w:keepNext/>
              <w:keepLines/>
              <w:spacing w:before="120" w:after="120"/>
              <w:jc w:val="center"/>
              <w:rPr>
                <w:b/>
                <w:bCs/>
                <w:color w:val="FFFFFF" w:themeColor="background1"/>
                <w:sz w:val="14"/>
                <w:szCs w:val="14"/>
              </w:rPr>
            </w:pPr>
            <w:r w:rsidRPr="008F735E">
              <w:rPr>
                <w:b/>
                <w:bCs/>
                <w:color w:val="FFFFFF" w:themeColor="background1"/>
                <w:sz w:val="14"/>
                <w:szCs w:val="14"/>
              </w:rPr>
              <w:t>Expensing</w:t>
            </w:r>
          </w:p>
        </w:tc>
      </w:tr>
      <w:tr w:rsidR="00B25614" w:rsidRPr="008F735E" w14:paraId="25D8CA2C" w14:textId="77777777" w:rsidTr="001E378B">
        <w:tc>
          <w:tcPr>
            <w:tcW w:w="1347" w:type="dxa"/>
            <w:shd w:val="clear" w:color="auto" w:fill="auto"/>
            <w:vAlign w:val="bottom"/>
          </w:tcPr>
          <w:p w14:paraId="2AC0B2EC" w14:textId="77777777" w:rsidR="00B25614" w:rsidRPr="00CF778C" w:rsidRDefault="00B25614" w:rsidP="00447F49">
            <w:pPr>
              <w:keepNext/>
              <w:keepLines/>
              <w:tabs>
                <w:tab w:val="left" w:pos="106"/>
              </w:tabs>
              <w:spacing w:before="60" w:after="60"/>
              <w:rPr>
                <w:rStyle w:val="Strong"/>
                <w:b w:val="0"/>
                <w:bCs w:val="0"/>
                <w:sz w:val="14"/>
                <w:szCs w:val="14"/>
              </w:rPr>
            </w:pPr>
            <w:r>
              <w:rPr>
                <w:rStyle w:val="Strong"/>
                <w:sz w:val="14"/>
                <w:szCs w:val="14"/>
              </w:rPr>
              <w:t>d</w:t>
            </w:r>
          </w:p>
        </w:tc>
        <w:tc>
          <w:tcPr>
            <w:tcW w:w="992" w:type="dxa"/>
            <w:vAlign w:val="center"/>
          </w:tcPr>
          <w:p w14:paraId="3D9CCCD2" w14:textId="77777777" w:rsidR="00B25614" w:rsidRPr="008F735E" w:rsidRDefault="00B25614" w:rsidP="00447F49">
            <w:pPr>
              <w:keepNext/>
              <w:keepLines/>
              <w:tabs>
                <w:tab w:val="decimal" w:pos="256"/>
              </w:tabs>
              <w:spacing w:before="60" w:after="60"/>
              <w:jc w:val="center"/>
              <w:rPr>
                <w:sz w:val="14"/>
                <w:szCs w:val="14"/>
              </w:rPr>
            </w:pPr>
            <w:r w:rsidRPr="008F735E">
              <w:rPr>
                <w:sz w:val="14"/>
                <w:szCs w:val="14"/>
              </w:rPr>
              <w:t>2.69%</w:t>
            </w:r>
          </w:p>
        </w:tc>
        <w:tc>
          <w:tcPr>
            <w:tcW w:w="737" w:type="dxa"/>
            <w:vAlign w:val="center"/>
          </w:tcPr>
          <w:p w14:paraId="436A59E6" w14:textId="77777777" w:rsidR="00B25614" w:rsidRPr="008F735E" w:rsidRDefault="00B25614" w:rsidP="00447F49">
            <w:pPr>
              <w:keepNext/>
              <w:keepLines/>
              <w:tabs>
                <w:tab w:val="decimal" w:pos="256"/>
              </w:tabs>
              <w:spacing w:before="60" w:after="60"/>
              <w:jc w:val="center"/>
              <w:rPr>
                <w:sz w:val="14"/>
                <w:szCs w:val="14"/>
              </w:rPr>
            </w:pPr>
            <w:r w:rsidRPr="008F735E">
              <w:rPr>
                <w:sz w:val="14"/>
                <w:szCs w:val="14"/>
              </w:rPr>
              <w:t>100.00%</w:t>
            </w:r>
          </w:p>
        </w:tc>
        <w:tc>
          <w:tcPr>
            <w:tcW w:w="681" w:type="dxa"/>
            <w:vAlign w:val="center"/>
          </w:tcPr>
          <w:p w14:paraId="62079C94" w14:textId="77777777" w:rsidR="00B25614" w:rsidRPr="008F735E" w:rsidRDefault="00B25614" w:rsidP="00447F49">
            <w:pPr>
              <w:keepNext/>
              <w:keepLines/>
              <w:tabs>
                <w:tab w:val="decimal" w:pos="256"/>
              </w:tabs>
              <w:spacing w:before="60" w:after="60"/>
              <w:jc w:val="center"/>
              <w:rPr>
                <w:sz w:val="14"/>
                <w:szCs w:val="14"/>
              </w:rPr>
            </w:pPr>
            <w:r w:rsidRPr="008F735E">
              <w:rPr>
                <w:sz w:val="14"/>
                <w:szCs w:val="14"/>
              </w:rPr>
              <w:t>50.00%</w:t>
            </w:r>
          </w:p>
        </w:tc>
        <w:tc>
          <w:tcPr>
            <w:tcW w:w="651" w:type="dxa"/>
            <w:vAlign w:val="center"/>
          </w:tcPr>
          <w:p w14:paraId="590EB34E" w14:textId="77777777" w:rsidR="00B25614" w:rsidRPr="008F735E" w:rsidRDefault="00B25614" w:rsidP="00447F49">
            <w:pPr>
              <w:keepNext/>
              <w:keepLines/>
              <w:tabs>
                <w:tab w:val="decimal" w:pos="256"/>
              </w:tabs>
              <w:spacing w:before="60" w:after="60"/>
              <w:jc w:val="center"/>
              <w:rPr>
                <w:sz w:val="14"/>
                <w:szCs w:val="14"/>
              </w:rPr>
            </w:pPr>
            <w:r w:rsidRPr="008F735E">
              <w:rPr>
                <w:sz w:val="14"/>
                <w:szCs w:val="14"/>
              </w:rPr>
              <w:t>10.00%</w:t>
            </w:r>
          </w:p>
        </w:tc>
        <w:tc>
          <w:tcPr>
            <w:tcW w:w="666" w:type="dxa"/>
            <w:vAlign w:val="center"/>
          </w:tcPr>
          <w:p w14:paraId="24019380" w14:textId="77777777" w:rsidR="00B25614" w:rsidRPr="008F735E" w:rsidRDefault="00B25614" w:rsidP="00447F49">
            <w:pPr>
              <w:keepNext/>
              <w:keepLines/>
              <w:tabs>
                <w:tab w:val="decimal" w:pos="256"/>
              </w:tabs>
              <w:spacing w:before="60" w:after="60"/>
              <w:jc w:val="center"/>
              <w:rPr>
                <w:sz w:val="14"/>
                <w:szCs w:val="14"/>
              </w:rPr>
            </w:pPr>
            <w:r w:rsidRPr="008F735E">
              <w:rPr>
                <w:sz w:val="14"/>
                <w:szCs w:val="14"/>
              </w:rPr>
              <w:t>4.00%</w:t>
            </w:r>
          </w:p>
        </w:tc>
        <w:tc>
          <w:tcPr>
            <w:tcW w:w="667" w:type="dxa"/>
            <w:vAlign w:val="center"/>
          </w:tcPr>
          <w:p w14:paraId="6B845902" w14:textId="77777777" w:rsidR="00B25614" w:rsidRPr="008F735E" w:rsidRDefault="00B25614" w:rsidP="00447F49">
            <w:pPr>
              <w:keepNext/>
              <w:keepLines/>
              <w:tabs>
                <w:tab w:val="decimal" w:pos="256"/>
              </w:tabs>
              <w:spacing w:before="60" w:after="60"/>
              <w:jc w:val="center"/>
              <w:rPr>
                <w:sz w:val="14"/>
                <w:szCs w:val="14"/>
              </w:rPr>
            </w:pPr>
            <w:r w:rsidRPr="008F735E">
              <w:rPr>
                <w:sz w:val="14"/>
                <w:szCs w:val="14"/>
              </w:rPr>
              <w:t>2.00%</w:t>
            </w:r>
          </w:p>
        </w:tc>
        <w:tc>
          <w:tcPr>
            <w:tcW w:w="1134" w:type="dxa"/>
            <w:vAlign w:val="center"/>
          </w:tcPr>
          <w:p w14:paraId="4F5794D1" w14:textId="77777777" w:rsidR="00B25614" w:rsidRPr="008F735E" w:rsidRDefault="00B25614" w:rsidP="00447F49">
            <w:pPr>
              <w:keepNext/>
              <w:keepLines/>
              <w:tabs>
                <w:tab w:val="decimal" w:pos="256"/>
              </w:tabs>
              <w:spacing w:before="60" w:after="60"/>
              <w:jc w:val="center"/>
              <w:rPr>
                <w:sz w:val="14"/>
                <w:szCs w:val="14"/>
              </w:rPr>
            </w:pPr>
            <w:r w:rsidRPr="008F735E">
              <w:rPr>
                <w:sz w:val="14"/>
                <w:szCs w:val="14"/>
              </w:rPr>
              <w:t>0.00%</w:t>
            </w:r>
          </w:p>
        </w:tc>
        <w:tc>
          <w:tcPr>
            <w:tcW w:w="851" w:type="dxa"/>
            <w:vAlign w:val="center"/>
          </w:tcPr>
          <w:p w14:paraId="6DF4EFC3" w14:textId="77777777" w:rsidR="00B25614" w:rsidRPr="008F735E" w:rsidRDefault="00B25614" w:rsidP="00447F49">
            <w:pPr>
              <w:keepNext/>
              <w:keepLines/>
              <w:tabs>
                <w:tab w:val="decimal" w:pos="256"/>
              </w:tabs>
              <w:spacing w:before="60" w:after="60"/>
              <w:jc w:val="center"/>
              <w:rPr>
                <w:sz w:val="14"/>
                <w:szCs w:val="14"/>
              </w:rPr>
            </w:pPr>
          </w:p>
        </w:tc>
        <w:tc>
          <w:tcPr>
            <w:tcW w:w="1134" w:type="dxa"/>
            <w:vAlign w:val="center"/>
          </w:tcPr>
          <w:p w14:paraId="689F03DF" w14:textId="77777777" w:rsidR="00B25614" w:rsidRPr="008F735E" w:rsidRDefault="00B25614" w:rsidP="00447F49">
            <w:pPr>
              <w:keepNext/>
              <w:keepLines/>
              <w:tabs>
                <w:tab w:val="decimal" w:pos="256"/>
              </w:tabs>
              <w:spacing w:before="60" w:after="60"/>
              <w:jc w:val="center"/>
              <w:rPr>
                <w:sz w:val="14"/>
                <w:szCs w:val="14"/>
              </w:rPr>
            </w:pPr>
            <w:r w:rsidRPr="008F735E">
              <w:rPr>
                <w:sz w:val="14"/>
                <w:szCs w:val="14"/>
              </w:rPr>
              <w:t>-1.00%</w:t>
            </w:r>
          </w:p>
        </w:tc>
        <w:tc>
          <w:tcPr>
            <w:tcW w:w="921" w:type="dxa"/>
            <w:vAlign w:val="center"/>
          </w:tcPr>
          <w:p w14:paraId="376481EA" w14:textId="77777777" w:rsidR="00B25614" w:rsidRPr="008F735E" w:rsidRDefault="00B25614" w:rsidP="00447F49">
            <w:pPr>
              <w:keepNext/>
              <w:keepLines/>
              <w:tabs>
                <w:tab w:val="decimal" w:pos="256"/>
              </w:tabs>
              <w:spacing w:before="60" w:after="60"/>
              <w:jc w:val="center"/>
              <w:rPr>
                <w:sz w:val="14"/>
                <w:szCs w:val="14"/>
              </w:rPr>
            </w:pPr>
          </w:p>
        </w:tc>
      </w:tr>
      <w:tr w:rsidR="00B25614" w:rsidRPr="008F735E" w14:paraId="78EFCCCD" w14:textId="77777777" w:rsidTr="001E378B">
        <w:tc>
          <w:tcPr>
            <w:tcW w:w="1347" w:type="dxa"/>
            <w:shd w:val="clear" w:color="auto" w:fill="auto"/>
            <w:vAlign w:val="bottom"/>
          </w:tcPr>
          <w:p w14:paraId="08D0BD80" w14:textId="77777777" w:rsidR="00B25614" w:rsidRPr="00CF778C" w:rsidRDefault="00B25614" w:rsidP="00447F49">
            <w:pPr>
              <w:keepNext/>
              <w:keepLines/>
              <w:tabs>
                <w:tab w:val="left" w:pos="106"/>
              </w:tabs>
              <w:spacing w:before="60" w:after="60"/>
              <w:rPr>
                <w:rStyle w:val="Strong"/>
                <w:b w:val="0"/>
                <w:bCs w:val="0"/>
                <w:sz w:val="14"/>
                <w:szCs w:val="14"/>
              </w:rPr>
            </w:pPr>
            <w:r>
              <w:rPr>
                <w:rStyle w:val="Strong"/>
                <w:sz w:val="14"/>
                <w:szCs w:val="14"/>
              </w:rPr>
              <w:t>d*</w:t>
            </w:r>
          </w:p>
        </w:tc>
        <w:tc>
          <w:tcPr>
            <w:tcW w:w="992" w:type="dxa"/>
            <w:vAlign w:val="center"/>
          </w:tcPr>
          <w:p w14:paraId="4B027DDD" w14:textId="77777777" w:rsidR="00B25614" w:rsidRPr="008F735E" w:rsidRDefault="00B25614" w:rsidP="00447F49">
            <w:pPr>
              <w:keepNext/>
              <w:keepLines/>
              <w:tabs>
                <w:tab w:val="decimal" w:pos="256"/>
              </w:tabs>
              <w:spacing w:before="60" w:after="60"/>
              <w:jc w:val="center"/>
              <w:rPr>
                <w:sz w:val="14"/>
                <w:szCs w:val="14"/>
              </w:rPr>
            </w:pPr>
            <w:r w:rsidRPr="008F735E">
              <w:rPr>
                <w:sz w:val="14"/>
                <w:szCs w:val="14"/>
              </w:rPr>
              <w:t>2.00%</w:t>
            </w:r>
          </w:p>
        </w:tc>
        <w:tc>
          <w:tcPr>
            <w:tcW w:w="737" w:type="dxa"/>
            <w:vAlign w:val="center"/>
          </w:tcPr>
          <w:p w14:paraId="39A36120" w14:textId="77777777" w:rsidR="00B25614" w:rsidRPr="008F735E" w:rsidRDefault="00B25614" w:rsidP="00447F49">
            <w:pPr>
              <w:keepNext/>
              <w:keepLines/>
              <w:tabs>
                <w:tab w:val="decimal" w:pos="256"/>
              </w:tabs>
              <w:spacing w:before="60" w:after="60"/>
              <w:jc w:val="center"/>
              <w:rPr>
                <w:sz w:val="14"/>
                <w:szCs w:val="14"/>
              </w:rPr>
            </w:pPr>
            <w:r w:rsidRPr="008F735E">
              <w:rPr>
                <w:sz w:val="14"/>
                <w:szCs w:val="14"/>
              </w:rPr>
              <w:t>100.00%</w:t>
            </w:r>
          </w:p>
        </w:tc>
        <w:tc>
          <w:tcPr>
            <w:tcW w:w="681" w:type="dxa"/>
            <w:vAlign w:val="center"/>
          </w:tcPr>
          <w:p w14:paraId="4BD1DA4C" w14:textId="77777777" w:rsidR="00B25614" w:rsidRPr="008F735E" w:rsidRDefault="00B25614" w:rsidP="00447F49">
            <w:pPr>
              <w:keepNext/>
              <w:keepLines/>
              <w:tabs>
                <w:tab w:val="decimal" w:pos="256"/>
              </w:tabs>
              <w:spacing w:before="60" w:after="60"/>
              <w:jc w:val="center"/>
              <w:rPr>
                <w:sz w:val="14"/>
                <w:szCs w:val="14"/>
              </w:rPr>
            </w:pPr>
            <w:r w:rsidRPr="008F735E">
              <w:rPr>
                <w:sz w:val="14"/>
                <w:szCs w:val="14"/>
              </w:rPr>
              <w:t>50.00%</w:t>
            </w:r>
          </w:p>
        </w:tc>
        <w:tc>
          <w:tcPr>
            <w:tcW w:w="651" w:type="dxa"/>
            <w:vAlign w:val="center"/>
          </w:tcPr>
          <w:p w14:paraId="4CB06F00" w14:textId="77777777" w:rsidR="00B25614" w:rsidRPr="008F735E" w:rsidRDefault="00B25614" w:rsidP="00447F49">
            <w:pPr>
              <w:keepNext/>
              <w:keepLines/>
              <w:tabs>
                <w:tab w:val="decimal" w:pos="256"/>
              </w:tabs>
              <w:spacing w:before="60" w:after="60"/>
              <w:jc w:val="center"/>
              <w:rPr>
                <w:sz w:val="14"/>
                <w:szCs w:val="14"/>
              </w:rPr>
            </w:pPr>
            <w:r w:rsidRPr="008F735E">
              <w:rPr>
                <w:sz w:val="14"/>
                <w:szCs w:val="14"/>
              </w:rPr>
              <w:t>10.00%</w:t>
            </w:r>
          </w:p>
        </w:tc>
        <w:tc>
          <w:tcPr>
            <w:tcW w:w="666" w:type="dxa"/>
            <w:vAlign w:val="center"/>
          </w:tcPr>
          <w:p w14:paraId="279F213A" w14:textId="77777777" w:rsidR="00B25614" w:rsidRPr="008F735E" w:rsidRDefault="00B25614" w:rsidP="00447F49">
            <w:pPr>
              <w:keepNext/>
              <w:keepLines/>
              <w:tabs>
                <w:tab w:val="decimal" w:pos="256"/>
              </w:tabs>
              <w:spacing w:before="60" w:after="60"/>
              <w:jc w:val="center"/>
              <w:rPr>
                <w:sz w:val="14"/>
                <w:szCs w:val="14"/>
              </w:rPr>
            </w:pPr>
            <w:r w:rsidRPr="008F735E">
              <w:rPr>
                <w:sz w:val="14"/>
                <w:szCs w:val="14"/>
              </w:rPr>
              <w:t>4.00%</w:t>
            </w:r>
          </w:p>
        </w:tc>
        <w:tc>
          <w:tcPr>
            <w:tcW w:w="667" w:type="dxa"/>
            <w:vAlign w:val="center"/>
          </w:tcPr>
          <w:p w14:paraId="1ECA79D3" w14:textId="77777777" w:rsidR="00B25614" w:rsidRPr="008F735E" w:rsidRDefault="00B25614" w:rsidP="00447F49">
            <w:pPr>
              <w:keepNext/>
              <w:keepLines/>
              <w:tabs>
                <w:tab w:val="decimal" w:pos="256"/>
              </w:tabs>
              <w:spacing w:before="60" w:after="60"/>
              <w:jc w:val="center"/>
              <w:rPr>
                <w:sz w:val="14"/>
                <w:szCs w:val="14"/>
              </w:rPr>
            </w:pPr>
            <w:r w:rsidRPr="008F735E">
              <w:rPr>
                <w:sz w:val="14"/>
                <w:szCs w:val="14"/>
              </w:rPr>
              <w:t>2.00%</w:t>
            </w:r>
          </w:p>
        </w:tc>
        <w:tc>
          <w:tcPr>
            <w:tcW w:w="1134" w:type="dxa"/>
            <w:vAlign w:val="center"/>
          </w:tcPr>
          <w:p w14:paraId="58B05FA1" w14:textId="77777777" w:rsidR="00B25614" w:rsidRPr="008F735E" w:rsidRDefault="00B25614" w:rsidP="00447F49">
            <w:pPr>
              <w:keepNext/>
              <w:keepLines/>
              <w:tabs>
                <w:tab w:val="decimal" w:pos="256"/>
              </w:tabs>
              <w:spacing w:before="60" w:after="60"/>
              <w:jc w:val="center"/>
              <w:rPr>
                <w:sz w:val="14"/>
                <w:szCs w:val="14"/>
              </w:rPr>
            </w:pPr>
            <w:r w:rsidRPr="008F735E">
              <w:rPr>
                <w:sz w:val="14"/>
                <w:szCs w:val="14"/>
              </w:rPr>
              <w:t>0.00%</w:t>
            </w:r>
          </w:p>
        </w:tc>
        <w:tc>
          <w:tcPr>
            <w:tcW w:w="851" w:type="dxa"/>
            <w:vAlign w:val="center"/>
          </w:tcPr>
          <w:p w14:paraId="01518460" w14:textId="77777777" w:rsidR="00B25614" w:rsidRPr="008F735E" w:rsidRDefault="00B25614" w:rsidP="00447F49">
            <w:pPr>
              <w:keepNext/>
              <w:keepLines/>
              <w:tabs>
                <w:tab w:val="decimal" w:pos="256"/>
              </w:tabs>
              <w:spacing w:before="60" w:after="60"/>
              <w:jc w:val="center"/>
              <w:rPr>
                <w:sz w:val="14"/>
                <w:szCs w:val="14"/>
              </w:rPr>
            </w:pPr>
          </w:p>
        </w:tc>
        <w:tc>
          <w:tcPr>
            <w:tcW w:w="1134" w:type="dxa"/>
            <w:vAlign w:val="center"/>
          </w:tcPr>
          <w:p w14:paraId="2F500508" w14:textId="77777777" w:rsidR="00B25614" w:rsidRPr="008F735E" w:rsidRDefault="00B25614" w:rsidP="00447F49">
            <w:pPr>
              <w:keepNext/>
              <w:keepLines/>
              <w:tabs>
                <w:tab w:val="decimal" w:pos="256"/>
              </w:tabs>
              <w:spacing w:before="60" w:after="60"/>
              <w:jc w:val="center"/>
              <w:rPr>
                <w:sz w:val="14"/>
                <w:szCs w:val="14"/>
              </w:rPr>
            </w:pPr>
            <w:r w:rsidRPr="008F735E">
              <w:rPr>
                <w:sz w:val="14"/>
                <w:szCs w:val="14"/>
              </w:rPr>
              <w:t>0.00%</w:t>
            </w:r>
          </w:p>
        </w:tc>
        <w:tc>
          <w:tcPr>
            <w:tcW w:w="921" w:type="dxa"/>
            <w:vAlign w:val="center"/>
          </w:tcPr>
          <w:p w14:paraId="2BDDD98D" w14:textId="77777777" w:rsidR="00B25614" w:rsidRPr="008F735E" w:rsidRDefault="00B25614" w:rsidP="00447F49">
            <w:pPr>
              <w:keepNext/>
              <w:keepLines/>
              <w:tabs>
                <w:tab w:val="decimal" w:pos="256"/>
              </w:tabs>
              <w:spacing w:before="60" w:after="60"/>
              <w:jc w:val="center"/>
              <w:rPr>
                <w:sz w:val="14"/>
                <w:szCs w:val="14"/>
              </w:rPr>
            </w:pPr>
          </w:p>
        </w:tc>
      </w:tr>
      <w:tr w:rsidR="00B25614" w:rsidRPr="008F735E" w14:paraId="2EDB4382" w14:textId="77777777" w:rsidTr="001E378B">
        <w:tc>
          <w:tcPr>
            <w:tcW w:w="1347" w:type="dxa"/>
            <w:shd w:val="clear" w:color="auto" w:fill="auto"/>
            <w:vAlign w:val="bottom"/>
          </w:tcPr>
          <w:p w14:paraId="2290BD1D" w14:textId="77777777" w:rsidR="00B25614" w:rsidRPr="008F735E" w:rsidRDefault="00B25614" w:rsidP="00447F49">
            <w:pPr>
              <w:keepNext/>
              <w:keepLines/>
              <w:tabs>
                <w:tab w:val="left" w:pos="106"/>
              </w:tabs>
              <w:spacing w:before="60" w:after="60"/>
              <w:rPr>
                <w:b/>
                <w:bCs/>
                <w:sz w:val="14"/>
                <w:szCs w:val="14"/>
              </w:rPr>
            </w:pPr>
            <w:r w:rsidRPr="008F735E">
              <w:rPr>
                <w:b/>
                <w:bCs/>
                <w:sz w:val="14"/>
                <w:szCs w:val="14"/>
              </w:rPr>
              <w:t>Costs of capital</w:t>
            </w:r>
          </w:p>
        </w:tc>
        <w:tc>
          <w:tcPr>
            <w:tcW w:w="992" w:type="dxa"/>
            <w:vAlign w:val="center"/>
          </w:tcPr>
          <w:p w14:paraId="25B3BB4F" w14:textId="77777777" w:rsidR="00B25614" w:rsidRPr="008F735E" w:rsidRDefault="00B25614" w:rsidP="00447F49">
            <w:pPr>
              <w:keepNext/>
              <w:keepLines/>
              <w:tabs>
                <w:tab w:val="decimal" w:pos="256"/>
              </w:tabs>
              <w:spacing w:before="60" w:after="60"/>
              <w:jc w:val="center"/>
              <w:rPr>
                <w:sz w:val="14"/>
                <w:szCs w:val="14"/>
              </w:rPr>
            </w:pPr>
          </w:p>
        </w:tc>
        <w:tc>
          <w:tcPr>
            <w:tcW w:w="737" w:type="dxa"/>
            <w:vAlign w:val="center"/>
          </w:tcPr>
          <w:p w14:paraId="7B257AE5" w14:textId="77777777" w:rsidR="00B25614" w:rsidRPr="008F735E" w:rsidRDefault="00B25614" w:rsidP="00447F49">
            <w:pPr>
              <w:keepNext/>
              <w:keepLines/>
              <w:tabs>
                <w:tab w:val="decimal" w:pos="256"/>
              </w:tabs>
              <w:spacing w:before="60" w:after="60"/>
              <w:jc w:val="center"/>
              <w:rPr>
                <w:sz w:val="14"/>
                <w:szCs w:val="14"/>
              </w:rPr>
            </w:pPr>
          </w:p>
        </w:tc>
        <w:tc>
          <w:tcPr>
            <w:tcW w:w="681" w:type="dxa"/>
            <w:vAlign w:val="center"/>
          </w:tcPr>
          <w:p w14:paraId="67E8A20B" w14:textId="77777777" w:rsidR="00B25614" w:rsidRPr="008F735E" w:rsidRDefault="00B25614" w:rsidP="00447F49">
            <w:pPr>
              <w:keepNext/>
              <w:keepLines/>
              <w:tabs>
                <w:tab w:val="decimal" w:pos="256"/>
              </w:tabs>
              <w:spacing w:before="60" w:after="60"/>
              <w:jc w:val="center"/>
              <w:rPr>
                <w:sz w:val="14"/>
                <w:szCs w:val="14"/>
              </w:rPr>
            </w:pPr>
          </w:p>
        </w:tc>
        <w:tc>
          <w:tcPr>
            <w:tcW w:w="651" w:type="dxa"/>
            <w:vAlign w:val="center"/>
          </w:tcPr>
          <w:p w14:paraId="629D6DC4" w14:textId="77777777" w:rsidR="00B25614" w:rsidRPr="008F735E" w:rsidRDefault="00B25614" w:rsidP="00447F49">
            <w:pPr>
              <w:keepNext/>
              <w:keepLines/>
              <w:tabs>
                <w:tab w:val="decimal" w:pos="256"/>
              </w:tabs>
              <w:spacing w:before="60" w:after="60"/>
              <w:jc w:val="center"/>
              <w:rPr>
                <w:sz w:val="14"/>
                <w:szCs w:val="14"/>
              </w:rPr>
            </w:pPr>
          </w:p>
        </w:tc>
        <w:tc>
          <w:tcPr>
            <w:tcW w:w="666" w:type="dxa"/>
            <w:vAlign w:val="center"/>
          </w:tcPr>
          <w:p w14:paraId="4C88D603" w14:textId="77777777" w:rsidR="00B25614" w:rsidRPr="008F735E" w:rsidRDefault="00B25614" w:rsidP="00447F49">
            <w:pPr>
              <w:keepNext/>
              <w:keepLines/>
              <w:tabs>
                <w:tab w:val="decimal" w:pos="256"/>
              </w:tabs>
              <w:spacing w:before="60" w:after="60"/>
              <w:jc w:val="center"/>
              <w:rPr>
                <w:sz w:val="14"/>
                <w:szCs w:val="14"/>
              </w:rPr>
            </w:pPr>
          </w:p>
        </w:tc>
        <w:tc>
          <w:tcPr>
            <w:tcW w:w="667" w:type="dxa"/>
            <w:vAlign w:val="center"/>
          </w:tcPr>
          <w:p w14:paraId="38871AD0" w14:textId="77777777" w:rsidR="00B25614" w:rsidRPr="008F735E" w:rsidRDefault="00B25614" w:rsidP="00447F49">
            <w:pPr>
              <w:keepNext/>
              <w:keepLines/>
              <w:tabs>
                <w:tab w:val="decimal" w:pos="256"/>
              </w:tabs>
              <w:spacing w:before="60" w:after="60"/>
              <w:jc w:val="center"/>
              <w:rPr>
                <w:sz w:val="14"/>
                <w:szCs w:val="14"/>
              </w:rPr>
            </w:pPr>
          </w:p>
        </w:tc>
        <w:tc>
          <w:tcPr>
            <w:tcW w:w="1134" w:type="dxa"/>
            <w:vAlign w:val="center"/>
          </w:tcPr>
          <w:p w14:paraId="321C82B8" w14:textId="77777777" w:rsidR="00B25614" w:rsidRPr="008F735E" w:rsidRDefault="00B25614" w:rsidP="00447F49">
            <w:pPr>
              <w:keepNext/>
              <w:keepLines/>
              <w:tabs>
                <w:tab w:val="decimal" w:pos="256"/>
              </w:tabs>
              <w:spacing w:before="60" w:after="60"/>
              <w:jc w:val="center"/>
              <w:rPr>
                <w:sz w:val="14"/>
                <w:szCs w:val="14"/>
              </w:rPr>
            </w:pPr>
          </w:p>
        </w:tc>
        <w:tc>
          <w:tcPr>
            <w:tcW w:w="851" w:type="dxa"/>
            <w:vAlign w:val="center"/>
          </w:tcPr>
          <w:p w14:paraId="0ACF8891" w14:textId="77777777" w:rsidR="00B25614" w:rsidRPr="008F735E" w:rsidRDefault="00B25614" w:rsidP="00447F49">
            <w:pPr>
              <w:keepNext/>
              <w:keepLines/>
              <w:tabs>
                <w:tab w:val="decimal" w:pos="256"/>
              </w:tabs>
              <w:spacing w:before="60" w:after="60"/>
              <w:jc w:val="center"/>
              <w:rPr>
                <w:sz w:val="14"/>
                <w:szCs w:val="14"/>
              </w:rPr>
            </w:pPr>
          </w:p>
        </w:tc>
        <w:tc>
          <w:tcPr>
            <w:tcW w:w="1134" w:type="dxa"/>
            <w:vAlign w:val="center"/>
          </w:tcPr>
          <w:p w14:paraId="56B6CD3C" w14:textId="77777777" w:rsidR="00B25614" w:rsidRPr="008F735E" w:rsidRDefault="00B25614" w:rsidP="00447F49">
            <w:pPr>
              <w:keepNext/>
              <w:keepLines/>
              <w:tabs>
                <w:tab w:val="decimal" w:pos="256"/>
              </w:tabs>
              <w:spacing w:before="60" w:after="60"/>
              <w:jc w:val="center"/>
              <w:rPr>
                <w:sz w:val="14"/>
                <w:szCs w:val="14"/>
              </w:rPr>
            </w:pPr>
          </w:p>
        </w:tc>
        <w:tc>
          <w:tcPr>
            <w:tcW w:w="921" w:type="dxa"/>
            <w:vAlign w:val="center"/>
          </w:tcPr>
          <w:p w14:paraId="3DEC573B" w14:textId="77777777" w:rsidR="00B25614" w:rsidRPr="008F735E" w:rsidRDefault="00B25614" w:rsidP="00447F49">
            <w:pPr>
              <w:keepNext/>
              <w:keepLines/>
              <w:tabs>
                <w:tab w:val="decimal" w:pos="256"/>
              </w:tabs>
              <w:spacing w:before="60" w:after="60"/>
              <w:jc w:val="center"/>
              <w:rPr>
                <w:sz w:val="14"/>
                <w:szCs w:val="14"/>
              </w:rPr>
            </w:pPr>
          </w:p>
        </w:tc>
      </w:tr>
      <w:tr w:rsidR="00B25614" w14:paraId="3729CB4C" w14:textId="77777777" w:rsidTr="001E378B">
        <w:tc>
          <w:tcPr>
            <w:tcW w:w="1347" w:type="dxa"/>
            <w:shd w:val="clear" w:color="auto" w:fill="auto"/>
            <w:vAlign w:val="bottom"/>
          </w:tcPr>
          <w:p w14:paraId="2CB99A3C" w14:textId="77777777" w:rsidR="00B25614" w:rsidRPr="006B6DF2" w:rsidRDefault="00B25614" w:rsidP="00447F49">
            <w:pPr>
              <w:keepNext/>
              <w:keepLines/>
              <w:tabs>
                <w:tab w:val="left" w:pos="106"/>
              </w:tabs>
              <w:spacing w:before="60" w:after="60"/>
              <w:rPr>
                <w:b/>
                <w:bCs/>
                <w:sz w:val="14"/>
                <w:szCs w:val="14"/>
              </w:rPr>
            </w:pPr>
            <w:r>
              <w:rPr>
                <w:sz w:val="14"/>
                <w:szCs w:val="14"/>
              </w:rPr>
              <w:t xml:space="preserve">  </w:t>
            </w:r>
            <w:r>
              <w:rPr>
                <w:b/>
                <w:bCs/>
                <w:sz w:val="14"/>
                <w:szCs w:val="14"/>
              </w:rPr>
              <w:t>Inflation = 0%</w:t>
            </w:r>
          </w:p>
        </w:tc>
        <w:tc>
          <w:tcPr>
            <w:tcW w:w="992" w:type="dxa"/>
          </w:tcPr>
          <w:p w14:paraId="675EB8A0" w14:textId="77777777" w:rsidR="00B25614" w:rsidRDefault="00B25614" w:rsidP="00447F49">
            <w:pPr>
              <w:keepNext/>
              <w:keepLines/>
              <w:tabs>
                <w:tab w:val="decimal" w:pos="256"/>
              </w:tabs>
              <w:spacing w:before="60" w:after="60"/>
              <w:jc w:val="center"/>
              <w:rPr>
                <w:sz w:val="14"/>
                <w:szCs w:val="14"/>
              </w:rPr>
            </w:pPr>
          </w:p>
        </w:tc>
        <w:tc>
          <w:tcPr>
            <w:tcW w:w="737" w:type="dxa"/>
          </w:tcPr>
          <w:p w14:paraId="37DDC13F" w14:textId="77777777" w:rsidR="00B25614" w:rsidRDefault="00B25614" w:rsidP="00447F49">
            <w:pPr>
              <w:keepNext/>
              <w:keepLines/>
              <w:tabs>
                <w:tab w:val="decimal" w:pos="256"/>
              </w:tabs>
              <w:spacing w:before="60" w:after="60"/>
              <w:jc w:val="center"/>
              <w:rPr>
                <w:sz w:val="14"/>
                <w:szCs w:val="14"/>
              </w:rPr>
            </w:pPr>
          </w:p>
        </w:tc>
        <w:tc>
          <w:tcPr>
            <w:tcW w:w="681" w:type="dxa"/>
          </w:tcPr>
          <w:p w14:paraId="514B4FAC" w14:textId="77777777" w:rsidR="00B25614" w:rsidRDefault="00B25614" w:rsidP="00447F49">
            <w:pPr>
              <w:keepNext/>
              <w:keepLines/>
              <w:tabs>
                <w:tab w:val="decimal" w:pos="256"/>
              </w:tabs>
              <w:spacing w:before="60" w:after="60"/>
              <w:jc w:val="center"/>
              <w:rPr>
                <w:sz w:val="14"/>
                <w:szCs w:val="14"/>
              </w:rPr>
            </w:pPr>
          </w:p>
        </w:tc>
        <w:tc>
          <w:tcPr>
            <w:tcW w:w="651" w:type="dxa"/>
          </w:tcPr>
          <w:p w14:paraId="513C65C1" w14:textId="77777777" w:rsidR="00B25614" w:rsidRDefault="00B25614" w:rsidP="00447F49">
            <w:pPr>
              <w:keepNext/>
              <w:keepLines/>
              <w:tabs>
                <w:tab w:val="decimal" w:pos="256"/>
              </w:tabs>
              <w:spacing w:before="60" w:after="60"/>
              <w:jc w:val="center"/>
              <w:rPr>
                <w:sz w:val="14"/>
                <w:szCs w:val="14"/>
              </w:rPr>
            </w:pPr>
          </w:p>
        </w:tc>
        <w:tc>
          <w:tcPr>
            <w:tcW w:w="666" w:type="dxa"/>
          </w:tcPr>
          <w:p w14:paraId="15188903" w14:textId="77777777" w:rsidR="00B25614" w:rsidRDefault="00B25614" w:rsidP="00447F49">
            <w:pPr>
              <w:keepNext/>
              <w:keepLines/>
              <w:tabs>
                <w:tab w:val="decimal" w:pos="256"/>
              </w:tabs>
              <w:spacing w:before="60" w:after="60"/>
              <w:jc w:val="center"/>
              <w:rPr>
                <w:sz w:val="14"/>
                <w:szCs w:val="14"/>
              </w:rPr>
            </w:pPr>
          </w:p>
        </w:tc>
        <w:tc>
          <w:tcPr>
            <w:tcW w:w="667" w:type="dxa"/>
          </w:tcPr>
          <w:p w14:paraId="694D0125" w14:textId="77777777" w:rsidR="00B25614" w:rsidRDefault="00B25614" w:rsidP="00447F49">
            <w:pPr>
              <w:keepNext/>
              <w:keepLines/>
              <w:tabs>
                <w:tab w:val="decimal" w:pos="256"/>
              </w:tabs>
              <w:spacing w:before="60" w:after="60"/>
              <w:jc w:val="center"/>
              <w:rPr>
                <w:sz w:val="14"/>
                <w:szCs w:val="14"/>
              </w:rPr>
            </w:pPr>
          </w:p>
        </w:tc>
        <w:tc>
          <w:tcPr>
            <w:tcW w:w="1134" w:type="dxa"/>
          </w:tcPr>
          <w:p w14:paraId="4A31C61A" w14:textId="77777777" w:rsidR="00B25614" w:rsidRDefault="00B25614" w:rsidP="00447F49">
            <w:pPr>
              <w:keepNext/>
              <w:keepLines/>
              <w:tabs>
                <w:tab w:val="decimal" w:pos="256"/>
              </w:tabs>
              <w:spacing w:before="60" w:after="60"/>
              <w:jc w:val="center"/>
              <w:rPr>
                <w:sz w:val="14"/>
                <w:szCs w:val="14"/>
              </w:rPr>
            </w:pPr>
          </w:p>
        </w:tc>
        <w:tc>
          <w:tcPr>
            <w:tcW w:w="851" w:type="dxa"/>
          </w:tcPr>
          <w:p w14:paraId="7289AF3B" w14:textId="77777777" w:rsidR="00B25614" w:rsidRDefault="00B25614" w:rsidP="00447F49">
            <w:pPr>
              <w:keepNext/>
              <w:keepLines/>
              <w:tabs>
                <w:tab w:val="decimal" w:pos="256"/>
              </w:tabs>
              <w:spacing w:before="60" w:after="60"/>
              <w:jc w:val="center"/>
              <w:rPr>
                <w:sz w:val="14"/>
                <w:szCs w:val="14"/>
              </w:rPr>
            </w:pPr>
          </w:p>
        </w:tc>
        <w:tc>
          <w:tcPr>
            <w:tcW w:w="1134" w:type="dxa"/>
          </w:tcPr>
          <w:p w14:paraId="271457D5" w14:textId="77777777" w:rsidR="00B25614" w:rsidRDefault="00B25614" w:rsidP="00447F49">
            <w:pPr>
              <w:keepNext/>
              <w:keepLines/>
              <w:tabs>
                <w:tab w:val="decimal" w:pos="256"/>
              </w:tabs>
              <w:spacing w:before="60" w:after="60"/>
              <w:jc w:val="center"/>
              <w:rPr>
                <w:sz w:val="14"/>
                <w:szCs w:val="14"/>
              </w:rPr>
            </w:pPr>
          </w:p>
        </w:tc>
        <w:tc>
          <w:tcPr>
            <w:tcW w:w="921" w:type="dxa"/>
          </w:tcPr>
          <w:p w14:paraId="527A4159" w14:textId="77777777" w:rsidR="00B25614" w:rsidRDefault="00B25614" w:rsidP="00447F49">
            <w:pPr>
              <w:keepNext/>
              <w:keepLines/>
              <w:tabs>
                <w:tab w:val="decimal" w:pos="256"/>
              </w:tabs>
              <w:spacing w:before="60" w:after="60"/>
              <w:jc w:val="center"/>
              <w:rPr>
                <w:sz w:val="14"/>
                <w:szCs w:val="14"/>
              </w:rPr>
            </w:pPr>
          </w:p>
        </w:tc>
      </w:tr>
      <w:tr w:rsidR="00B25614" w:rsidRPr="00E36296" w14:paraId="4BC54889" w14:textId="77777777" w:rsidTr="001E378B">
        <w:tc>
          <w:tcPr>
            <w:tcW w:w="1347" w:type="dxa"/>
            <w:shd w:val="clear" w:color="auto" w:fill="auto"/>
            <w:vAlign w:val="bottom"/>
          </w:tcPr>
          <w:p w14:paraId="596905E3" w14:textId="77777777" w:rsidR="00B25614" w:rsidRPr="008F735E" w:rsidRDefault="00B25614" w:rsidP="00447F49">
            <w:pPr>
              <w:keepNext/>
              <w:keepLines/>
              <w:tabs>
                <w:tab w:val="left" w:pos="106"/>
              </w:tabs>
              <w:spacing w:before="60" w:after="60"/>
              <w:rPr>
                <w:sz w:val="14"/>
                <w:szCs w:val="14"/>
              </w:rPr>
            </w:pPr>
            <w:r>
              <w:rPr>
                <w:sz w:val="14"/>
                <w:szCs w:val="14"/>
              </w:rPr>
              <w:t xml:space="preserve">  b = 0%</w:t>
            </w:r>
          </w:p>
        </w:tc>
        <w:tc>
          <w:tcPr>
            <w:tcW w:w="992" w:type="dxa"/>
            <w:shd w:val="clear" w:color="auto" w:fill="auto"/>
            <w:vAlign w:val="bottom"/>
          </w:tcPr>
          <w:p w14:paraId="2D13C928"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4.33%</w:t>
            </w:r>
          </w:p>
        </w:tc>
        <w:tc>
          <w:tcPr>
            <w:tcW w:w="737" w:type="dxa"/>
            <w:shd w:val="clear" w:color="auto" w:fill="auto"/>
            <w:vAlign w:val="bottom"/>
          </w:tcPr>
          <w:p w14:paraId="6B18C863"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4.17%</w:t>
            </w:r>
          </w:p>
        </w:tc>
        <w:tc>
          <w:tcPr>
            <w:tcW w:w="681" w:type="dxa"/>
            <w:shd w:val="clear" w:color="auto" w:fill="auto"/>
            <w:vAlign w:val="bottom"/>
          </w:tcPr>
          <w:p w14:paraId="30CC7B65"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4.17%</w:t>
            </w:r>
          </w:p>
        </w:tc>
        <w:tc>
          <w:tcPr>
            <w:tcW w:w="651" w:type="dxa"/>
            <w:shd w:val="clear" w:color="auto" w:fill="auto"/>
            <w:vAlign w:val="bottom"/>
          </w:tcPr>
          <w:p w14:paraId="2FA6AE3B"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4.17%</w:t>
            </w:r>
          </w:p>
        </w:tc>
        <w:tc>
          <w:tcPr>
            <w:tcW w:w="666" w:type="dxa"/>
            <w:shd w:val="clear" w:color="auto" w:fill="auto"/>
            <w:vAlign w:val="bottom"/>
          </w:tcPr>
          <w:p w14:paraId="2876CD6D"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4.17%</w:t>
            </w:r>
          </w:p>
        </w:tc>
        <w:tc>
          <w:tcPr>
            <w:tcW w:w="667" w:type="dxa"/>
            <w:shd w:val="clear" w:color="auto" w:fill="auto"/>
            <w:vAlign w:val="bottom"/>
          </w:tcPr>
          <w:p w14:paraId="70B386B7"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4.17%</w:t>
            </w:r>
          </w:p>
        </w:tc>
        <w:tc>
          <w:tcPr>
            <w:tcW w:w="1134" w:type="dxa"/>
            <w:shd w:val="clear" w:color="auto" w:fill="auto"/>
            <w:vAlign w:val="bottom"/>
          </w:tcPr>
          <w:p w14:paraId="32441C8F"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4.17%</w:t>
            </w:r>
          </w:p>
        </w:tc>
        <w:tc>
          <w:tcPr>
            <w:tcW w:w="851" w:type="dxa"/>
            <w:shd w:val="clear" w:color="auto" w:fill="auto"/>
            <w:vAlign w:val="bottom"/>
          </w:tcPr>
          <w:p w14:paraId="7A085A02"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4.17%</w:t>
            </w:r>
          </w:p>
        </w:tc>
        <w:tc>
          <w:tcPr>
            <w:tcW w:w="1134" w:type="dxa"/>
            <w:shd w:val="clear" w:color="auto" w:fill="auto"/>
            <w:vAlign w:val="bottom"/>
          </w:tcPr>
          <w:p w14:paraId="2D720A8B"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3.78%</w:t>
            </w:r>
          </w:p>
        </w:tc>
        <w:tc>
          <w:tcPr>
            <w:tcW w:w="921" w:type="dxa"/>
            <w:shd w:val="clear" w:color="auto" w:fill="auto"/>
            <w:vAlign w:val="bottom"/>
          </w:tcPr>
          <w:p w14:paraId="0B0B4E3E"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3.00%</w:t>
            </w:r>
          </w:p>
        </w:tc>
      </w:tr>
      <w:tr w:rsidR="00B25614" w:rsidRPr="00E36296" w14:paraId="70E9286A" w14:textId="77777777" w:rsidTr="001E378B">
        <w:tc>
          <w:tcPr>
            <w:tcW w:w="1347" w:type="dxa"/>
            <w:shd w:val="clear" w:color="auto" w:fill="auto"/>
            <w:vAlign w:val="bottom"/>
          </w:tcPr>
          <w:p w14:paraId="6A7C8975" w14:textId="77777777" w:rsidR="00B25614" w:rsidRPr="008F735E" w:rsidRDefault="00B25614" w:rsidP="00447F49">
            <w:pPr>
              <w:keepNext/>
              <w:keepLines/>
              <w:tabs>
                <w:tab w:val="left" w:pos="106"/>
              </w:tabs>
              <w:spacing w:before="60" w:after="60"/>
              <w:rPr>
                <w:sz w:val="14"/>
                <w:szCs w:val="14"/>
              </w:rPr>
            </w:pPr>
            <w:r>
              <w:rPr>
                <w:sz w:val="14"/>
                <w:szCs w:val="14"/>
              </w:rPr>
              <w:t xml:space="preserve">  b = 100%</w:t>
            </w:r>
          </w:p>
        </w:tc>
        <w:tc>
          <w:tcPr>
            <w:tcW w:w="992" w:type="dxa"/>
            <w:shd w:val="clear" w:color="auto" w:fill="auto"/>
            <w:vAlign w:val="bottom"/>
          </w:tcPr>
          <w:p w14:paraId="46B2379A"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3.20%</w:t>
            </w:r>
          </w:p>
        </w:tc>
        <w:tc>
          <w:tcPr>
            <w:tcW w:w="737" w:type="dxa"/>
            <w:shd w:val="clear" w:color="auto" w:fill="auto"/>
            <w:vAlign w:val="bottom"/>
          </w:tcPr>
          <w:p w14:paraId="3E0BF094"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3.06%</w:t>
            </w:r>
          </w:p>
        </w:tc>
        <w:tc>
          <w:tcPr>
            <w:tcW w:w="681" w:type="dxa"/>
            <w:shd w:val="clear" w:color="auto" w:fill="auto"/>
            <w:vAlign w:val="bottom"/>
          </w:tcPr>
          <w:p w14:paraId="6B192B3D"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3.06%</w:t>
            </w:r>
          </w:p>
        </w:tc>
        <w:tc>
          <w:tcPr>
            <w:tcW w:w="651" w:type="dxa"/>
            <w:shd w:val="clear" w:color="auto" w:fill="auto"/>
            <w:vAlign w:val="bottom"/>
          </w:tcPr>
          <w:p w14:paraId="3F9CBC52"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3.06%</w:t>
            </w:r>
          </w:p>
        </w:tc>
        <w:tc>
          <w:tcPr>
            <w:tcW w:w="666" w:type="dxa"/>
            <w:shd w:val="clear" w:color="auto" w:fill="auto"/>
            <w:vAlign w:val="bottom"/>
          </w:tcPr>
          <w:p w14:paraId="7AF164AF"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3.06%</w:t>
            </w:r>
          </w:p>
        </w:tc>
        <w:tc>
          <w:tcPr>
            <w:tcW w:w="667" w:type="dxa"/>
            <w:shd w:val="clear" w:color="auto" w:fill="auto"/>
            <w:vAlign w:val="bottom"/>
          </w:tcPr>
          <w:p w14:paraId="19B0980B"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3.06%</w:t>
            </w:r>
          </w:p>
        </w:tc>
        <w:tc>
          <w:tcPr>
            <w:tcW w:w="1134" w:type="dxa"/>
            <w:shd w:val="clear" w:color="auto" w:fill="auto"/>
            <w:vAlign w:val="bottom"/>
          </w:tcPr>
          <w:p w14:paraId="26C5AB40"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3.06%</w:t>
            </w:r>
          </w:p>
        </w:tc>
        <w:tc>
          <w:tcPr>
            <w:tcW w:w="851" w:type="dxa"/>
            <w:shd w:val="clear" w:color="auto" w:fill="auto"/>
            <w:vAlign w:val="bottom"/>
          </w:tcPr>
          <w:p w14:paraId="08477425"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3.06%</w:t>
            </w:r>
          </w:p>
        </w:tc>
        <w:tc>
          <w:tcPr>
            <w:tcW w:w="1134" w:type="dxa"/>
            <w:shd w:val="clear" w:color="auto" w:fill="auto"/>
            <w:vAlign w:val="bottom"/>
          </w:tcPr>
          <w:p w14:paraId="383F6444"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2.67%</w:t>
            </w:r>
          </w:p>
        </w:tc>
        <w:tc>
          <w:tcPr>
            <w:tcW w:w="921" w:type="dxa"/>
            <w:shd w:val="clear" w:color="auto" w:fill="auto"/>
            <w:vAlign w:val="bottom"/>
          </w:tcPr>
          <w:p w14:paraId="72F660B6"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2.20%</w:t>
            </w:r>
          </w:p>
        </w:tc>
      </w:tr>
      <w:tr w:rsidR="00B25614" w:rsidRPr="00E36296" w14:paraId="524BA943" w14:textId="77777777" w:rsidTr="001E378B">
        <w:tc>
          <w:tcPr>
            <w:tcW w:w="1347" w:type="dxa"/>
            <w:shd w:val="clear" w:color="auto" w:fill="auto"/>
            <w:vAlign w:val="bottom"/>
          </w:tcPr>
          <w:p w14:paraId="3BC065EA" w14:textId="77777777" w:rsidR="00B25614" w:rsidRPr="008F735E" w:rsidRDefault="00B25614" w:rsidP="00447F49">
            <w:pPr>
              <w:keepNext/>
              <w:keepLines/>
              <w:tabs>
                <w:tab w:val="left" w:pos="106"/>
              </w:tabs>
              <w:spacing w:before="60" w:after="60"/>
              <w:rPr>
                <w:sz w:val="14"/>
                <w:szCs w:val="14"/>
              </w:rPr>
            </w:pPr>
            <w:r>
              <w:rPr>
                <w:sz w:val="14"/>
                <w:szCs w:val="14"/>
              </w:rPr>
              <w:t xml:space="preserve">  b = 43%</w:t>
            </w:r>
          </w:p>
        </w:tc>
        <w:tc>
          <w:tcPr>
            <w:tcW w:w="992" w:type="dxa"/>
            <w:shd w:val="clear" w:color="auto" w:fill="auto"/>
            <w:vAlign w:val="bottom"/>
          </w:tcPr>
          <w:p w14:paraId="5F12A224"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3.84%</w:t>
            </w:r>
          </w:p>
        </w:tc>
        <w:tc>
          <w:tcPr>
            <w:tcW w:w="737" w:type="dxa"/>
            <w:shd w:val="clear" w:color="auto" w:fill="auto"/>
            <w:vAlign w:val="bottom"/>
          </w:tcPr>
          <w:p w14:paraId="68E31AA3"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3.69%</w:t>
            </w:r>
          </w:p>
        </w:tc>
        <w:tc>
          <w:tcPr>
            <w:tcW w:w="681" w:type="dxa"/>
            <w:shd w:val="clear" w:color="auto" w:fill="auto"/>
            <w:vAlign w:val="bottom"/>
          </w:tcPr>
          <w:p w14:paraId="6B81DE11"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3.69%</w:t>
            </w:r>
          </w:p>
        </w:tc>
        <w:tc>
          <w:tcPr>
            <w:tcW w:w="651" w:type="dxa"/>
            <w:shd w:val="clear" w:color="auto" w:fill="auto"/>
            <w:vAlign w:val="bottom"/>
          </w:tcPr>
          <w:p w14:paraId="70311FDE"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3.69%</w:t>
            </w:r>
          </w:p>
        </w:tc>
        <w:tc>
          <w:tcPr>
            <w:tcW w:w="666" w:type="dxa"/>
            <w:shd w:val="clear" w:color="auto" w:fill="auto"/>
            <w:vAlign w:val="bottom"/>
          </w:tcPr>
          <w:p w14:paraId="27A084DB"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3.69%</w:t>
            </w:r>
          </w:p>
        </w:tc>
        <w:tc>
          <w:tcPr>
            <w:tcW w:w="667" w:type="dxa"/>
            <w:shd w:val="clear" w:color="auto" w:fill="auto"/>
            <w:vAlign w:val="bottom"/>
          </w:tcPr>
          <w:p w14:paraId="54158D1D"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3.69%</w:t>
            </w:r>
          </w:p>
        </w:tc>
        <w:tc>
          <w:tcPr>
            <w:tcW w:w="1134" w:type="dxa"/>
            <w:shd w:val="clear" w:color="auto" w:fill="auto"/>
            <w:vAlign w:val="bottom"/>
          </w:tcPr>
          <w:p w14:paraId="59D37D48"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3.69%</w:t>
            </w:r>
          </w:p>
        </w:tc>
        <w:tc>
          <w:tcPr>
            <w:tcW w:w="851" w:type="dxa"/>
            <w:shd w:val="clear" w:color="auto" w:fill="auto"/>
            <w:vAlign w:val="bottom"/>
          </w:tcPr>
          <w:p w14:paraId="217A14A4"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3.69%</w:t>
            </w:r>
          </w:p>
        </w:tc>
        <w:tc>
          <w:tcPr>
            <w:tcW w:w="1134" w:type="dxa"/>
            <w:shd w:val="clear" w:color="auto" w:fill="auto"/>
            <w:vAlign w:val="bottom"/>
          </w:tcPr>
          <w:p w14:paraId="6376971E"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3.30%</w:t>
            </w:r>
          </w:p>
        </w:tc>
        <w:tc>
          <w:tcPr>
            <w:tcW w:w="921" w:type="dxa"/>
            <w:shd w:val="clear" w:color="auto" w:fill="auto"/>
            <w:vAlign w:val="bottom"/>
          </w:tcPr>
          <w:p w14:paraId="579034EF"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2.66%</w:t>
            </w:r>
          </w:p>
        </w:tc>
      </w:tr>
      <w:tr w:rsidR="00B25614" w:rsidRPr="00E36296" w14:paraId="32DC8310" w14:textId="77777777" w:rsidTr="001E378B">
        <w:tc>
          <w:tcPr>
            <w:tcW w:w="1347" w:type="dxa"/>
            <w:shd w:val="clear" w:color="auto" w:fill="auto"/>
            <w:vAlign w:val="bottom"/>
          </w:tcPr>
          <w:p w14:paraId="3BA95385" w14:textId="77777777" w:rsidR="00B25614" w:rsidRPr="008F735E" w:rsidRDefault="00B25614" w:rsidP="00447F49">
            <w:pPr>
              <w:keepNext/>
              <w:keepLines/>
              <w:tabs>
                <w:tab w:val="left" w:pos="106"/>
              </w:tabs>
              <w:spacing w:before="60" w:after="60"/>
              <w:rPr>
                <w:sz w:val="14"/>
                <w:szCs w:val="14"/>
              </w:rPr>
            </w:pPr>
            <w:r>
              <w:rPr>
                <w:sz w:val="14"/>
                <w:szCs w:val="14"/>
              </w:rPr>
              <w:t xml:space="preserve">  </w:t>
            </w:r>
            <w:r>
              <w:rPr>
                <w:b/>
                <w:bCs/>
                <w:sz w:val="14"/>
                <w:szCs w:val="14"/>
              </w:rPr>
              <w:t>Inflation = 2%</w:t>
            </w:r>
          </w:p>
        </w:tc>
        <w:tc>
          <w:tcPr>
            <w:tcW w:w="992" w:type="dxa"/>
            <w:shd w:val="clear" w:color="auto" w:fill="auto"/>
            <w:vAlign w:val="bottom"/>
          </w:tcPr>
          <w:p w14:paraId="69F5E989"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 </w:t>
            </w:r>
          </w:p>
        </w:tc>
        <w:tc>
          <w:tcPr>
            <w:tcW w:w="737" w:type="dxa"/>
            <w:shd w:val="clear" w:color="auto" w:fill="auto"/>
            <w:vAlign w:val="bottom"/>
          </w:tcPr>
          <w:p w14:paraId="1A0D0CE8"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 </w:t>
            </w:r>
          </w:p>
        </w:tc>
        <w:tc>
          <w:tcPr>
            <w:tcW w:w="681" w:type="dxa"/>
            <w:shd w:val="clear" w:color="auto" w:fill="auto"/>
            <w:vAlign w:val="bottom"/>
          </w:tcPr>
          <w:p w14:paraId="01B4D57C"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 </w:t>
            </w:r>
          </w:p>
        </w:tc>
        <w:tc>
          <w:tcPr>
            <w:tcW w:w="651" w:type="dxa"/>
            <w:shd w:val="clear" w:color="auto" w:fill="auto"/>
            <w:vAlign w:val="bottom"/>
          </w:tcPr>
          <w:p w14:paraId="116EA82D"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 </w:t>
            </w:r>
          </w:p>
        </w:tc>
        <w:tc>
          <w:tcPr>
            <w:tcW w:w="666" w:type="dxa"/>
            <w:shd w:val="clear" w:color="auto" w:fill="auto"/>
            <w:vAlign w:val="bottom"/>
          </w:tcPr>
          <w:p w14:paraId="5D368DAE"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 </w:t>
            </w:r>
          </w:p>
        </w:tc>
        <w:tc>
          <w:tcPr>
            <w:tcW w:w="667" w:type="dxa"/>
            <w:shd w:val="clear" w:color="auto" w:fill="auto"/>
            <w:vAlign w:val="bottom"/>
          </w:tcPr>
          <w:p w14:paraId="10E63A0F"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 </w:t>
            </w:r>
          </w:p>
        </w:tc>
        <w:tc>
          <w:tcPr>
            <w:tcW w:w="1134" w:type="dxa"/>
            <w:shd w:val="clear" w:color="auto" w:fill="auto"/>
            <w:vAlign w:val="bottom"/>
          </w:tcPr>
          <w:p w14:paraId="6B4E0FDD"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 </w:t>
            </w:r>
          </w:p>
        </w:tc>
        <w:tc>
          <w:tcPr>
            <w:tcW w:w="851" w:type="dxa"/>
            <w:shd w:val="clear" w:color="auto" w:fill="auto"/>
            <w:vAlign w:val="bottom"/>
          </w:tcPr>
          <w:p w14:paraId="2CC376E4"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 </w:t>
            </w:r>
          </w:p>
        </w:tc>
        <w:tc>
          <w:tcPr>
            <w:tcW w:w="1134" w:type="dxa"/>
            <w:shd w:val="clear" w:color="auto" w:fill="auto"/>
            <w:vAlign w:val="bottom"/>
          </w:tcPr>
          <w:p w14:paraId="61B4C7FE"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 </w:t>
            </w:r>
          </w:p>
        </w:tc>
        <w:tc>
          <w:tcPr>
            <w:tcW w:w="921" w:type="dxa"/>
            <w:shd w:val="clear" w:color="auto" w:fill="auto"/>
            <w:vAlign w:val="bottom"/>
          </w:tcPr>
          <w:p w14:paraId="6F6939D5"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 </w:t>
            </w:r>
          </w:p>
        </w:tc>
      </w:tr>
      <w:tr w:rsidR="00B25614" w:rsidRPr="00E36296" w14:paraId="664FE236" w14:textId="77777777" w:rsidTr="001E378B">
        <w:tc>
          <w:tcPr>
            <w:tcW w:w="1347" w:type="dxa"/>
            <w:shd w:val="clear" w:color="auto" w:fill="auto"/>
            <w:vAlign w:val="bottom"/>
          </w:tcPr>
          <w:p w14:paraId="509CB8D4" w14:textId="77777777" w:rsidR="00B25614" w:rsidRPr="008F735E" w:rsidRDefault="00B25614" w:rsidP="00447F49">
            <w:pPr>
              <w:keepNext/>
              <w:keepLines/>
              <w:tabs>
                <w:tab w:val="left" w:pos="106"/>
              </w:tabs>
              <w:spacing w:before="60" w:after="60"/>
              <w:rPr>
                <w:sz w:val="14"/>
                <w:szCs w:val="14"/>
              </w:rPr>
            </w:pPr>
            <w:r>
              <w:rPr>
                <w:sz w:val="14"/>
                <w:szCs w:val="14"/>
              </w:rPr>
              <w:t xml:space="preserve">  b = 0%</w:t>
            </w:r>
          </w:p>
        </w:tc>
        <w:tc>
          <w:tcPr>
            <w:tcW w:w="992" w:type="dxa"/>
            <w:shd w:val="clear" w:color="auto" w:fill="auto"/>
            <w:vAlign w:val="bottom"/>
          </w:tcPr>
          <w:p w14:paraId="276B89D0"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4.59%</w:t>
            </w:r>
          </w:p>
        </w:tc>
        <w:tc>
          <w:tcPr>
            <w:tcW w:w="737" w:type="dxa"/>
            <w:shd w:val="clear" w:color="auto" w:fill="auto"/>
            <w:vAlign w:val="bottom"/>
          </w:tcPr>
          <w:p w14:paraId="6392C082"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4.93%</w:t>
            </w:r>
          </w:p>
        </w:tc>
        <w:tc>
          <w:tcPr>
            <w:tcW w:w="681" w:type="dxa"/>
            <w:shd w:val="clear" w:color="auto" w:fill="auto"/>
            <w:vAlign w:val="bottom"/>
          </w:tcPr>
          <w:p w14:paraId="0FF0342A"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4.89%</w:t>
            </w:r>
          </w:p>
        </w:tc>
        <w:tc>
          <w:tcPr>
            <w:tcW w:w="651" w:type="dxa"/>
            <w:shd w:val="clear" w:color="auto" w:fill="auto"/>
            <w:vAlign w:val="bottom"/>
          </w:tcPr>
          <w:p w14:paraId="0D0DE92E"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4.70%</w:t>
            </w:r>
          </w:p>
        </w:tc>
        <w:tc>
          <w:tcPr>
            <w:tcW w:w="666" w:type="dxa"/>
            <w:shd w:val="clear" w:color="auto" w:fill="auto"/>
            <w:vAlign w:val="bottom"/>
          </w:tcPr>
          <w:p w14:paraId="69B74CD8"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4.52%</w:t>
            </w:r>
          </w:p>
        </w:tc>
        <w:tc>
          <w:tcPr>
            <w:tcW w:w="667" w:type="dxa"/>
            <w:shd w:val="clear" w:color="auto" w:fill="auto"/>
            <w:vAlign w:val="bottom"/>
          </w:tcPr>
          <w:p w14:paraId="380BF115"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4.39%</w:t>
            </w:r>
          </w:p>
        </w:tc>
        <w:tc>
          <w:tcPr>
            <w:tcW w:w="1134" w:type="dxa"/>
            <w:shd w:val="clear" w:color="auto" w:fill="auto"/>
            <w:vAlign w:val="bottom"/>
          </w:tcPr>
          <w:p w14:paraId="3D2C7AB6"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4.17%</w:t>
            </w:r>
          </w:p>
        </w:tc>
        <w:tc>
          <w:tcPr>
            <w:tcW w:w="851" w:type="dxa"/>
            <w:shd w:val="clear" w:color="auto" w:fill="auto"/>
            <w:vAlign w:val="bottom"/>
          </w:tcPr>
          <w:p w14:paraId="6E6C67EA"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4.93%</w:t>
            </w:r>
          </w:p>
        </w:tc>
        <w:tc>
          <w:tcPr>
            <w:tcW w:w="1134" w:type="dxa"/>
            <w:shd w:val="clear" w:color="auto" w:fill="auto"/>
            <w:vAlign w:val="bottom"/>
          </w:tcPr>
          <w:p w14:paraId="4FDB6701"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3.78%</w:t>
            </w:r>
          </w:p>
        </w:tc>
        <w:tc>
          <w:tcPr>
            <w:tcW w:w="921" w:type="dxa"/>
            <w:shd w:val="clear" w:color="auto" w:fill="auto"/>
            <w:vAlign w:val="bottom"/>
          </w:tcPr>
          <w:p w14:paraId="2F0B79E4"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3.00%</w:t>
            </w:r>
          </w:p>
        </w:tc>
      </w:tr>
      <w:tr w:rsidR="00B25614" w:rsidRPr="00E36296" w14:paraId="3E95E97F" w14:textId="77777777" w:rsidTr="001E378B">
        <w:tc>
          <w:tcPr>
            <w:tcW w:w="1347" w:type="dxa"/>
            <w:shd w:val="clear" w:color="auto" w:fill="auto"/>
            <w:vAlign w:val="bottom"/>
          </w:tcPr>
          <w:p w14:paraId="21A62F46" w14:textId="77777777" w:rsidR="00B25614" w:rsidRPr="008F735E" w:rsidRDefault="00B25614" w:rsidP="00447F49">
            <w:pPr>
              <w:keepNext/>
              <w:keepLines/>
              <w:tabs>
                <w:tab w:val="left" w:pos="106"/>
              </w:tabs>
              <w:spacing w:before="60" w:after="60"/>
              <w:rPr>
                <w:sz w:val="14"/>
                <w:szCs w:val="14"/>
              </w:rPr>
            </w:pPr>
            <w:r>
              <w:rPr>
                <w:sz w:val="14"/>
                <w:szCs w:val="14"/>
              </w:rPr>
              <w:t xml:space="preserve">  b = 100%</w:t>
            </w:r>
          </w:p>
        </w:tc>
        <w:tc>
          <w:tcPr>
            <w:tcW w:w="992" w:type="dxa"/>
            <w:shd w:val="clear" w:color="auto" w:fill="auto"/>
            <w:vAlign w:val="bottom"/>
          </w:tcPr>
          <w:p w14:paraId="7F705B5B"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2.79%</w:t>
            </w:r>
          </w:p>
        </w:tc>
        <w:tc>
          <w:tcPr>
            <w:tcW w:w="737" w:type="dxa"/>
            <w:shd w:val="clear" w:color="auto" w:fill="auto"/>
            <w:vAlign w:val="bottom"/>
          </w:tcPr>
          <w:p w14:paraId="146DA47A"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3.10%</w:t>
            </w:r>
          </w:p>
        </w:tc>
        <w:tc>
          <w:tcPr>
            <w:tcW w:w="681" w:type="dxa"/>
            <w:shd w:val="clear" w:color="auto" w:fill="auto"/>
            <w:vAlign w:val="bottom"/>
          </w:tcPr>
          <w:p w14:paraId="4D4B9DE2"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3.07%</w:t>
            </w:r>
          </w:p>
        </w:tc>
        <w:tc>
          <w:tcPr>
            <w:tcW w:w="651" w:type="dxa"/>
            <w:shd w:val="clear" w:color="auto" w:fill="auto"/>
            <w:vAlign w:val="bottom"/>
          </w:tcPr>
          <w:p w14:paraId="68F4BE77"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2.91%</w:t>
            </w:r>
          </w:p>
        </w:tc>
        <w:tc>
          <w:tcPr>
            <w:tcW w:w="666" w:type="dxa"/>
            <w:shd w:val="clear" w:color="auto" w:fill="auto"/>
            <w:vAlign w:val="bottom"/>
          </w:tcPr>
          <w:p w14:paraId="103BD37E"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2.75%</w:t>
            </w:r>
          </w:p>
        </w:tc>
        <w:tc>
          <w:tcPr>
            <w:tcW w:w="667" w:type="dxa"/>
            <w:shd w:val="clear" w:color="auto" w:fill="auto"/>
            <w:vAlign w:val="bottom"/>
          </w:tcPr>
          <w:p w14:paraId="622D50B4"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2.61%</w:t>
            </w:r>
          </w:p>
        </w:tc>
        <w:tc>
          <w:tcPr>
            <w:tcW w:w="1134" w:type="dxa"/>
            <w:shd w:val="clear" w:color="auto" w:fill="auto"/>
            <w:vAlign w:val="bottom"/>
          </w:tcPr>
          <w:p w14:paraId="7F7DF19D"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2.34%</w:t>
            </w:r>
          </w:p>
        </w:tc>
        <w:tc>
          <w:tcPr>
            <w:tcW w:w="851" w:type="dxa"/>
            <w:shd w:val="clear" w:color="auto" w:fill="auto"/>
            <w:vAlign w:val="bottom"/>
          </w:tcPr>
          <w:p w14:paraId="1DAB0747"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3.10%</w:t>
            </w:r>
          </w:p>
        </w:tc>
        <w:tc>
          <w:tcPr>
            <w:tcW w:w="1134" w:type="dxa"/>
            <w:shd w:val="clear" w:color="auto" w:fill="auto"/>
            <w:vAlign w:val="bottom"/>
          </w:tcPr>
          <w:p w14:paraId="4542F05B"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1.95%</w:t>
            </w:r>
          </w:p>
        </w:tc>
        <w:tc>
          <w:tcPr>
            <w:tcW w:w="921" w:type="dxa"/>
            <w:shd w:val="clear" w:color="auto" w:fill="auto"/>
            <w:vAlign w:val="bottom"/>
          </w:tcPr>
          <w:p w14:paraId="340BAA6D"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1.68%</w:t>
            </w:r>
          </w:p>
        </w:tc>
      </w:tr>
      <w:tr w:rsidR="00B25614" w:rsidRPr="00E36296" w14:paraId="0BB9DB91" w14:textId="77777777" w:rsidTr="001E378B">
        <w:tc>
          <w:tcPr>
            <w:tcW w:w="1347" w:type="dxa"/>
            <w:shd w:val="clear" w:color="auto" w:fill="auto"/>
            <w:vAlign w:val="bottom"/>
          </w:tcPr>
          <w:p w14:paraId="182B7512" w14:textId="77777777" w:rsidR="00B25614" w:rsidRPr="008F735E" w:rsidRDefault="00B25614" w:rsidP="00447F49">
            <w:pPr>
              <w:keepNext/>
              <w:keepLines/>
              <w:tabs>
                <w:tab w:val="left" w:pos="106"/>
              </w:tabs>
              <w:spacing w:before="60" w:after="60"/>
              <w:rPr>
                <w:sz w:val="14"/>
                <w:szCs w:val="14"/>
              </w:rPr>
            </w:pPr>
            <w:r>
              <w:rPr>
                <w:sz w:val="14"/>
                <w:szCs w:val="14"/>
              </w:rPr>
              <w:t xml:space="preserve">  b = 43%</w:t>
            </w:r>
          </w:p>
        </w:tc>
        <w:tc>
          <w:tcPr>
            <w:tcW w:w="992" w:type="dxa"/>
            <w:shd w:val="clear" w:color="auto" w:fill="auto"/>
            <w:vAlign w:val="bottom"/>
          </w:tcPr>
          <w:p w14:paraId="5636F566"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3.81%</w:t>
            </w:r>
          </w:p>
        </w:tc>
        <w:tc>
          <w:tcPr>
            <w:tcW w:w="737" w:type="dxa"/>
            <w:shd w:val="clear" w:color="auto" w:fill="auto"/>
            <w:vAlign w:val="bottom"/>
          </w:tcPr>
          <w:p w14:paraId="15713D4C"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4.14%</w:t>
            </w:r>
          </w:p>
        </w:tc>
        <w:tc>
          <w:tcPr>
            <w:tcW w:w="681" w:type="dxa"/>
            <w:shd w:val="clear" w:color="auto" w:fill="auto"/>
            <w:vAlign w:val="bottom"/>
          </w:tcPr>
          <w:p w14:paraId="34494E06"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4.11%</w:t>
            </w:r>
          </w:p>
        </w:tc>
        <w:tc>
          <w:tcPr>
            <w:tcW w:w="651" w:type="dxa"/>
            <w:shd w:val="clear" w:color="auto" w:fill="auto"/>
            <w:vAlign w:val="bottom"/>
          </w:tcPr>
          <w:p w14:paraId="7B43059B"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3.93%</w:t>
            </w:r>
          </w:p>
        </w:tc>
        <w:tc>
          <w:tcPr>
            <w:tcW w:w="666" w:type="dxa"/>
            <w:shd w:val="clear" w:color="auto" w:fill="auto"/>
            <w:vAlign w:val="bottom"/>
          </w:tcPr>
          <w:p w14:paraId="553B0BCF"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3.76%</w:t>
            </w:r>
          </w:p>
        </w:tc>
        <w:tc>
          <w:tcPr>
            <w:tcW w:w="667" w:type="dxa"/>
            <w:shd w:val="clear" w:color="auto" w:fill="auto"/>
            <w:vAlign w:val="bottom"/>
          </w:tcPr>
          <w:p w14:paraId="5540F1D1"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3.63%</w:t>
            </w:r>
          </w:p>
        </w:tc>
        <w:tc>
          <w:tcPr>
            <w:tcW w:w="1134" w:type="dxa"/>
            <w:shd w:val="clear" w:color="auto" w:fill="auto"/>
            <w:vAlign w:val="bottom"/>
          </w:tcPr>
          <w:p w14:paraId="3789D52A"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3.38%</w:t>
            </w:r>
          </w:p>
        </w:tc>
        <w:tc>
          <w:tcPr>
            <w:tcW w:w="851" w:type="dxa"/>
            <w:shd w:val="clear" w:color="auto" w:fill="auto"/>
            <w:vAlign w:val="bottom"/>
          </w:tcPr>
          <w:p w14:paraId="3DC377DC"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4.14%</w:t>
            </w:r>
          </w:p>
        </w:tc>
        <w:tc>
          <w:tcPr>
            <w:tcW w:w="1134" w:type="dxa"/>
            <w:shd w:val="clear" w:color="auto" w:fill="auto"/>
            <w:vAlign w:val="bottom"/>
          </w:tcPr>
          <w:p w14:paraId="0EDA1754"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2.99%</w:t>
            </w:r>
          </w:p>
        </w:tc>
        <w:tc>
          <w:tcPr>
            <w:tcW w:w="921" w:type="dxa"/>
            <w:shd w:val="clear" w:color="auto" w:fill="auto"/>
            <w:vAlign w:val="bottom"/>
          </w:tcPr>
          <w:p w14:paraId="5FBDB446"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2.43%</w:t>
            </w:r>
          </w:p>
        </w:tc>
      </w:tr>
      <w:tr w:rsidR="00B25614" w:rsidRPr="00E36296" w14:paraId="0AA6DAF0" w14:textId="77777777" w:rsidTr="001E378B">
        <w:tc>
          <w:tcPr>
            <w:tcW w:w="1347" w:type="dxa"/>
            <w:shd w:val="clear" w:color="auto" w:fill="auto"/>
            <w:vAlign w:val="bottom"/>
          </w:tcPr>
          <w:p w14:paraId="7428FFFF" w14:textId="77777777" w:rsidR="00B25614" w:rsidRPr="008F735E" w:rsidRDefault="00B25614" w:rsidP="00447F49">
            <w:pPr>
              <w:keepNext/>
              <w:keepLines/>
              <w:tabs>
                <w:tab w:val="left" w:pos="106"/>
              </w:tabs>
              <w:spacing w:before="60" w:after="60"/>
              <w:rPr>
                <w:sz w:val="14"/>
                <w:szCs w:val="14"/>
              </w:rPr>
            </w:pPr>
            <w:r w:rsidRPr="008F735E">
              <w:rPr>
                <w:b/>
                <w:bCs/>
                <w:sz w:val="14"/>
                <w:szCs w:val="14"/>
              </w:rPr>
              <w:t>EMTR</w:t>
            </w:r>
            <w:r>
              <w:rPr>
                <w:b/>
                <w:bCs/>
                <w:sz w:val="14"/>
                <w:szCs w:val="14"/>
              </w:rPr>
              <w:t>s</w:t>
            </w:r>
          </w:p>
        </w:tc>
        <w:tc>
          <w:tcPr>
            <w:tcW w:w="992" w:type="dxa"/>
            <w:shd w:val="clear" w:color="auto" w:fill="auto"/>
            <w:vAlign w:val="bottom"/>
          </w:tcPr>
          <w:p w14:paraId="63F1CDEC"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 </w:t>
            </w:r>
          </w:p>
        </w:tc>
        <w:tc>
          <w:tcPr>
            <w:tcW w:w="737" w:type="dxa"/>
            <w:shd w:val="clear" w:color="auto" w:fill="auto"/>
            <w:vAlign w:val="bottom"/>
          </w:tcPr>
          <w:p w14:paraId="4E75D357"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 </w:t>
            </w:r>
          </w:p>
        </w:tc>
        <w:tc>
          <w:tcPr>
            <w:tcW w:w="681" w:type="dxa"/>
            <w:shd w:val="clear" w:color="auto" w:fill="auto"/>
            <w:vAlign w:val="bottom"/>
          </w:tcPr>
          <w:p w14:paraId="19398D12"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 </w:t>
            </w:r>
          </w:p>
        </w:tc>
        <w:tc>
          <w:tcPr>
            <w:tcW w:w="651" w:type="dxa"/>
            <w:shd w:val="clear" w:color="auto" w:fill="auto"/>
            <w:vAlign w:val="bottom"/>
          </w:tcPr>
          <w:p w14:paraId="4FE5A48F"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 </w:t>
            </w:r>
          </w:p>
        </w:tc>
        <w:tc>
          <w:tcPr>
            <w:tcW w:w="666" w:type="dxa"/>
            <w:shd w:val="clear" w:color="auto" w:fill="auto"/>
            <w:vAlign w:val="bottom"/>
          </w:tcPr>
          <w:p w14:paraId="37E6E48E"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 </w:t>
            </w:r>
          </w:p>
        </w:tc>
        <w:tc>
          <w:tcPr>
            <w:tcW w:w="667" w:type="dxa"/>
            <w:shd w:val="clear" w:color="auto" w:fill="auto"/>
            <w:vAlign w:val="bottom"/>
          </w:tcPr>
          <w:p w14:paraId="2FDAF6ED"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 </w:t>
            </w:r>
          </w:p>
        </w:tc>
        <w:tc>
          <w:tcPr>
            <w:tcW w:w="1134" w:type="dxa"/>
            <w:shd w:val="clear" w:color="auto" w:fill="auto"/>
            <w:vAlign w:val="bottom"/>
          </w:tcPr>
          <w:p w14:paraId="7E3FA5AE"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 </w:t>
            </w:r>
          </w:p>
        </w:tc>
        <w:tc>
          <w:tcPr>
            <w:tcW w:w="851" w:type="dxa"/>
            <w:shd w:val="clear" w:color="auto" w:fill="auto"/>
            <w:vAlign w:val="bottom"/>
          </w:tcPr>
          <w:p w14:paraId="6AC3FE44"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 </w:t>
            </w:r>
          </w:p>
        </w:tc>
        <w:tc>
          <w:tcPr>
            <w:tcW w:w="1134" w:type="dxa"/>
            <w:shd w:val="clear" w:color="auto" w:fill="auto"/>
            <w:vAlign w:val="bottom"/>
          </w:tcPr>
          <w:p w14:paraId="7BFE72DB"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 </w:t>
            </w:r>
          </w:p>
        </w:tc>
        <w:tc>
          <w:tcPr>
            <w:tcW w:w="921" w:type="dxa"/>
            <w:shd w:val="clear" w:color="auto" w:fill="auto"/>
            <w:vAlign w:val="bottom"/>
          </w:tcPr>
          <w:p w14:paraId="6B893AEF"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 </w:t>
            </w:r>
          </w:p>
        </w:tc>
      </w:tr>
      <w:tr w:rsidR="00B25614" w:rsidRPr="00E36296" w14:paraId="0F7BA9D8" w14:textId="77777777" w:rsidTr="001E378B">
        <w:tc>
          <w:tcPr>
            <w:tcW w:w="1347" w:type="dxa"/>
            <w:shd w:val="clear" w:color="auto" w:fill="auto"/>
            <w:vAlign w:val="bottom"/>
          </w:tcPr>
          <w:p w14:paraId="3E29E342" w14:textId="77777777" w:rsidR="00B25614" w:rsidRPr="008F735E" w:rsidRDefault="00B25614" w:rsidP="00447F49">
            <w:pPr>
              <w:keepNext/>
              <w:keepLines/>
              <w:tabs>
                <w:tab w:val="left" w:pos="106"/>
              </w:tabs>
              <w:spacing w:before="60" w:after="60"/>
              <w:rPr>
                <w:sz w:val="14"/>
                <w:szCs w:val="14"/>
              </w:rPr>
            </w:pPr>
            <w:r>
              <w:rPr>
                <w:sz w:val="14"/>
                <w:szCs w:val="14"/>
              </w:rPr>
              <w:t xml:space="preserve">  </w:t>
            </w:r>
            <w:r>
              <w:rPr>
                <w:b/>
                <w:bCs/>
                <w:sz w:val="14"/>
                <w:szCs w:val="14"/>
              </w:rPr>
              <w:t>Inflation = 0%</w:t>
            </w:r>
          </w:p>
        </w:tc>
        <w:tc>
          <w:tcPr>
            <w:tcW w:w="992" w:type="dxa"/>
            <w:shd w:val="clear" w:color="auto" w:fill="auto"/>
            <w:vAlign w:val="bottom"/>
          </w:tcPr>
          <w:p w14:paraId="68002C0C"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 </w:t>
            </w:r>
          </w:p>
        </w:tc>
        <w:tc>
          <w:tcPr>
            <w:tcW w:w="737" w:type="dxa"/>
            <w:shd w:val="clear" w:color="auto" w:fill="auto"/>
            <w:vAlign w:val="bottom"/>
          </w:tcPr>
          <w:p w14:paraId="69A6B6BA"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 </w:t>
            </w:r>
          </w:p>
        </w:tc>
        <w:tc>
          <w:tcPr>
            <w:tcW w:w="681" w:type="dxa"/>
            <w:shd w:val="clear" w:color="auto" w:fill="auto"/>
            <w:vAlign w:val="bottom"/>
          </w:tcPr>
          <w:p w14:paraId="3BBCECC4"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 </w:t>
            </w:r>
          </w:p>
        </w:tc>
        <w:tc>
          <w:tcPr>
            <w:tcW w:w="651" w:type="dxa"/>
            <w:shd w:val="clear" w:color="auto" w:fill="auto"/>
            <w:vAlign w:val="bottom"/>
          </w:tcPr>
          <w:p w14:paraId="59D3E3F5"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 </w:t>
            </w:r>
          </w:p>
        </w:tc>
        <w:tc>
          <w:tcPr>
            <w:tcW w:w="666" w:type="dxa"/>
            <w:shd w:val="clear" w:color="auto" w:fill="auto"/>
            <w:vAlign w:val="bottom"/>
          </w:tcPr>
          <w:p w14:paraId="30DD1628"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 </w:t>
            </w:r>
          </w:p>
        </w:tc>
        <w:tc>
          <w:tcPr>
            <w:tcW w:w="667" w:type="dxa"/>
            <w:shd w:val="clear" w:color="auto" w:fill="auto"/>
            <w:vAlign w:val="bottom"/>
          </w:tcPr>
          <w:p w14:paraId="2CA7C271"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 </w:t>
            </w:r>
          </w:p>
        </w:tc>
        <w:tc>
          <w:tcPr>
            <w:tcW w:w="1134" w:type="dxa"/>
            <w:shd w:val="clear" w:color="auto" w:fill="auto"/>
            <w:vAlign w:val="bottom"/>
          </w:tcPr>
          <w:p w14:paraId="3ADB2E96"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 </w:t>
            </w:r>
          </w:p>
        </w:tc>
        <w:tc>
          <w:tcPr>
            <w:tcW w:w="851" w:type="dxa"/>
            <w:shd w:val="clear" w:color="auto" w:fill="auto"/>
            <w:vAlign w:val="bottom"/>
          </w:tcPr>
          <w:p w14:paraId="0596F98D"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 </w:t>
            </w:r>
          </w:p>
        </w:tc>
        <w:tc>
          <w:tcPr>
            <w:tcW w:w="1134" w:type="dxa"/>
            <w:shd w:val="clear" w:color="auto" w:fill="auto"/>
            <w:vAlign w:val="bottom"/>
          </w:tcPr>
          <w:p w14:paraId="0BF04D86"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 </w:t>
            </w:r>
          </w:p>
        </w:tc>
        <w:tc>
          <w:tcPr>
            <w:tcW w:w="921" w:type="dxa"/>
            <w:shd w:val="clear" w:color="auto" w:fill="auto"/>
            <w:vAlign w:val="bottom"/>
          </w:tcPr>
          <w:p w14:paraId="1CDAC31B"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 </w:t>
            </w:r>
          </w:p>
        </w:tc>
      </w:tr>
      <w:tr w:rsidR="00B25614" w:rsidRPr="00E36296" w14:paraId="3A5923F1" w14:textId="77777777" w:rsidTr="001E378B">
        <w:tc>
          <w:tcPr>
            <w:tcW w:w="1347" w:type="dxa"/>
            <w:shd w:val="clear" w:color="auto" w:fill="auto"/>
            <w:vAlign w:val="bottom"/>
          </w:tcPr>
          <w:p w14:paraId="162F7E71" w14:textId="77777777" w:rsidR="00B25614" w:rsidRPr="008F735E" w:rsidRDefault="00B25614" w:rsidP="00447F49">
            <w:pPr>
              <w:keepNext/>
              <w:keepLines/>
              <w:tabs>
                <w:tab w:val="left" w:pos="106"/>
              </w:tabs>
              <w:spacing w:before="60" w:after="60"/>
              <w:rPr>
                <w:b/>
                <w:bCs/>
                <w:sz w:val="14"/>
                <w:szCs w:val="14"/>
              </w:rPr>
            </w:pPr>
            <w:r>
              <w:rPr>
                <w:sz w:val="14"/>
                <w:szCs w:val="14"/>
              </w:rPr>
              <w:t xml:space="preserve">  b = 0%</w:t>
            </w:r>
          </w:p>
        </w:tc>
        <w:tc>
          <w:tcPr>
            <w:tcW w:w="992" w:type="dxa"/>
            <w:shd w:val="clear" w:color="auto" w:fill="auto"/>
            <w:vAlign w:val="bottom"/>
          </w:tcPr>
          <w:p w14:paraId="371266A7"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30.7%</w:t>
            </w:r>
          </w:p>
        </w:tc>
        <w:tc>
          <w:tcPr>
            <w:tcW w:w="737" w:type="dxa"/>
            <w:shd w:val="clear" w:color="auto" w:fill="auto"/>
            <w:vAlign w:val="bottom"/>
          </w:tcPr>
          <w:p w14:paraId="57F8F7F2"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28.0%</w:t>
            </w:r>
          </w:p>
        </w:tc>
        <w:tc>
          <w:tcPr>
            <w:tcW w:w="681" w:type="dxa"/>
            <w:shd w:val="clear" w:color="auto" w:fill="auto"/>
            <w:vAlign w:val="bottom"/>
          </w:tcPr>
          <w:p w14:paraId="054CF29B"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28.0%</w:t>
            </w:r>
          </w:p>
        </w:tc>
        <w:tc>
          <w:tcPr>
            <w:tcW w:w="651" w:type="dxa"/>
            <w:shd w:val="clear" w:color="auto" w:fill="auto"/>
            <w:vAlign w:val="bottom"/>
          </w:tcPr>
          <w:p w14:paraId="7403E92A"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28.0%</w:t>
            </w:r>
          </w:p>
        </w:tc>
        <w:tc>
          <w:tcPr>
            <w:tcW w:w="666" w:type="dxa"/>
            <w:shd w:val="clear" w:color="auto" w:fill="auto"/>
            <w:vAlign w:val="bottom"/>
          </w:tcPr>
          <w:p w14:paraId="5514EDB0"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28.0%</w:t>
            </w:r>
          </w:p>
        </w:tc>
        <w:tc>
          <w:tcPr>
            <w:tcW w:w="667" w:type="dxa"/>
            <w:shd w:val="clear" w:color="auto" w:fill="auto"/>
            <w:vAlign w:val="bottom"/>
          </w:tcPr>
          <w:p w14:paraId="1EEF557A"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28.0%</w:t>
            </w:r>
          </w:p>
        </w:tc>
        <w:tc>
          <w:tcPr>
            <w:tcW w:w="1134" w:type="dxa"/>
            <w:shd w:val="clear" w:color="auto" w:fill="auto"/>
            <w:vAlign w:val="bottom"/>
          </w:tcPr>
          <w:p w14:paraId="5EAEE94F"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28.0%</w:t>
            </w:r>
          </w:p>
        </w:tc>
        <w:tc>
          <w:tcPr>
            <w:tcW w:w="851" w:type="dxa"/>
            <w:shd w:val="clear" w:color="auto" w:fill="auto"/>
            <w:vAlign w:val="bottom"/>
          </w:tcPr>
          <w:p w14:paraId="77395A2E"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28.0%</w:t>
            </w:r>
          </w:p>
        </w:tc>
        <w:tc>
          <w:tcPr>
            <w:tcW w:w="1134" w:type="dxa"/>
            <w:shd w:val="clear" w:color="auto" w:fill="auto"/>
            <w:vAlign w:val="bottom"/>
          </w:tcPr>
          <w:p w14:paraId="6E4598C9"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20.6%</w:t>
            </w:r>
          </w:p>
        </w:tc>
        <w:tc>
          <w:tcPr>
            <w:tcW w:w="921" w:type="dxa"/>
            <w:shd w:val="clear" w:color="auto" w:fill="auto"/>
            <w:vAlign w:val="bottom"/>
          </w:tcPr>
          <w:p w14:paraId="7F033D71"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0.0%</w:t>
            </w:r>
          </w:p>
        </w:tc>
      </w:tr>
      <w:tr w:rsidR="00B25614" w:rsidRPr="00E36296" w14:paraId="43A2B0D0" w14:textId="77777777" w:rsidTr="001E378B">
        <w:tc>
          <w:tcPr>
            <w:tcW w:w="1347" w:type="dxa"/>
            <w:shd w:val="clear" w:color="auto" w:fill="auto"/>
            <w:vAlign w:val="bottom"/>
          </w:tcPr>
          <w:p w14:paraId="08C4B330" w14:textId="77777777" w:rsidR="00B25614" w:rsidRPr="008F735E" w:rsidRDefault="00B25614" w:rsidP="00447F49">
            <w:pPr>
              <w:keepNext/>
              <w:keepLines/>
              <w:tabs>
                <w:tab w:val="left" w:pos="106"/>
              </w:tabs>
              <w:spacing w:before="60" w:after="60"/>
              <w:rPr>
                <w:sz w:val="14"/>
                <w:szCs w:val="14"/>
              </w:rPr>
            </w:pPr>
            <w:r>
              <w:rPr>
                <w:sz w:val="14"/>
                <w:szCs w:val="14"/>
              </w:rPr>
              <w:t xml:space="preserve">  b = 100%</w:t>
            </w:r>
          </w:p>
        </w:tc>
        <w:tc>
          <w:tcPr>
            <w:tcW w:w="992" w:type="dxa"/>
            <w:shd w:val="clear" w:color="auto" w:fill="auto"/>
            <w:vAlign w:val="bottom"/>
          </w:tcPr>
          <w:p w14:paraId="7D1AFBB8"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6.3%</w:t>
            </w:r>
          </w:p>
        </w:tc>
        <w:tc>
          <w:tcPr>
            <w:tcW w:w="737" w:type="dxa"/>
            <w:shd w:val="clear" w:color="auto" w:fill="auto"/>
            <w:vAlign w:val="bottom"/>
          </w:tcPr>
          <w:p w14:paraId="0F37C665"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2.0%</w:t>
            </w:r>
          </w:p>
        </w:tc>
        <w:tc>
          <w:tcPr>
            <w:tcW w:w="681" w:type="dxa"/>
            <w:shd w:val="clear" w:color="auto" w:fill="auto"/>
            <w:vAlign w:val="bottom"/>
          </w:tcPr>
          <w:p w14:paraId="69C2D09A"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2.0%</w:t>
            </w:r>
          </w:p>
        </w:tc>
        <w:tc>
          <w:tcPr>
            <w:tcW w:w="651" w:type="dxa"/>
            <w:shd w:val="clear" w:color="auto" w:fill="auto"/>
            <w:vAlign w:val="bottom"/>
          </w:tcPr>
          <w:p w14:paraId="71C9A1D2"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2.0%</w:t>
            </w:r>
          </w:p>
        </w:tc>
        <w:tc>
          <w:tcPr>
            <w:tcW w:w="666" w:type="dxa"/>
            <w:shd w:val="clear" w:color="auto" w:fill="auto"/>
            <w:vAlign w:val="bottom"/>
          </w:tcPr>
          <w:p w14:paraId="5F51FB7C"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2.0%</w:t>
            </w:r>
          </w:p>
        </w:tc>
        <w:tc>
          <w:tcPr>
            <w:tcW w:w="667" w:type="dxa"/>
            <w:shd w:val="clear" w:color="auto" w:fill="auto"/>
            <w:vAlign w:val="bottom"/>
          </w:tcPr>
          <w:p w14:paraId="6729AA2C"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2.0%</w:t>
            </w:r>
          </w:p>
        </w:tc>
        <w:tc>
          <w:tcPr>
            <w:tcW w:w="1134" w:type="dxa"/>
            <w:shd w:val="clear" w:color="auto" w:fill="auto"/>
            <w:vAlign w:val="bottom"/>
          </w:tcPr>
          <w:p w14:paraId="447249ED"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2.0%</w:t>
            </w:r>
          </w:p>
        </w:tc>
        <w:tc>
          <w:tcPr>
            <w:tcW w:w="851" w:type="dxa"/>
            <w:shd w:val="clear" w:color="auto" w:fill="auto"/>
            <w:vAlign w:val="bottom"/>
          </w:tcPr>
          <w:p w14:paraId="6F8AF12C"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2.0%</w:t>
            </w:r>
          </w:p>
        </w:tc>
        <w:tc>
          <w:tcPr>
            <w:tcW w:w="1134" w:type="dxa"/>
            <w:shd w:val="clear" w:color="auto" w:fill="auto"/>
            <w:vAlign w:val="bottom"/>
          </w:tcPr>
          <w:p w14:paraId="40530A4A"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-12.3%</w:t>
            </w:r>
          </w:p>
        </w:tc>
        <w:tc>
          <w:tcPr>
            <w:tcW w:w="921" w:type="dxa"/>
            <w:shd w:val="clear" w:color="auto" w:fill="auto"/>
            <w:vAlign w:val="bottom"/>
          </w:tcPr>
          <w:p w14:paraId="4CBE8289"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-36.2%</w:t>
            </w:r>
          </w:p>
        </w:tc>
      </w:tr>
      <w:tr w:rsidR="00B25614" w:rsidRPr="00E36296" w14:paraId="729BE17B" w14:textId="77777777" w:rsidTr="001E378B">
        <w:tc>
          <w:tcPr>
            <w:tcW w:w="1347" w:type="dxa"/>
            <w:shd w:val="clear" w:color="auto" w:fill="auto"/>
            <w:vAlign w:val="bottom"/>
          </w:tcPr>
          <w:p w14:paraId="5365FCBE" w14:textId="77777777" w:rsidR="00B25614" w:rsidRPr="008F735E" w:rsidRDefault="00B25614" w:rsidP="00447F49">
            <w:pPr>
              <w:keepNext/>
              <w:keepLines/>
              <w:tabs>
                <w:tab w:val="left" w:pos="106"/>
              </w:tabs>
              <w:spacing w:before="60" w:after="60"/>
              <w:rPr>
                <w:sz w:val="14"/>
                <w:szCs w:val="14"/>
              </w:rPr>
            </w:pPr>
            <w:r>
              <w:rPr>
                <w:sz w:val="14"/>
                <w:szCs w:val="14"/>
              </w:rPr>
              <w:t xml:space="preserve">  b = 43%</w:t>
            </w:r>
          </w:p>
        </w:tc>
        <w:tc>
          <w:tcPr>
            <w:tcW w:w="992" w:type="dxa"/>
            <w:shd w:val="clear" w:color="auto" w:fill="auto"/>
            <w:vAlign w:val="bottom"/>
          </w:tcPr>
          <w:p w14:paraId="0A9DF56B"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22.0%</w:t>
            </w:r>
          </w:p>
        </w:tc>
        <w:tc>
          <w:tcPr>
            <w:tcW w:w="737" w:type="dxa"/>
            <w:shd w:val="clear" w:color="auto" w:fill="auto"/>
            <w:vAlign w:val="bottom"/>
          </w:tcPr>
          <w:p w14:paraId="68DCCF07"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18.7%</w:t>
            </w:r>
          </w:p>
        </w:tc>
        <w:tc>
          <w:tcPr>
            <w:tcW w:w="681" w:type="dxa"/>
            <w:shd w:val="clear" w:color="auto" w:fill="auto"/>
            <w:vAlign w:val="bottom"/>
          </w:tcPr>
          <w:p w14:paraId="79FF327B"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18.7%</w:t>
            </w:r>
          </w:p>
        </w:tc>
        <w:tc>
          <w:tcPr>
            <w:tcW w:w="651" w:type="dxa"/>
            <w:shd w:val="clear" w:color="auto" w:fill="auto"/>
            <w:vAlign w:val="bottom"/>
          </w:tcPr>
          <w:p w14:paraId="4E408AF3"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18.7%</w:t>
            </w:r>
          </w:p>
        </w:tc>
        <w:tc>
          <w:tcPr>
            <w:tcW w:w="666" w:type="dxa"/>
            <w:shd w:val="clear" w:color="auto" w:fill="auto"/>
            <w:vAlign w:val="bottom"/>
          </w:tcPr>
          <w:p w14:paraId="1D1F6645"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18.7%</w:t>
            </w:r>
          </w:p>
        </w:tc>
        <w:tc>
          <w:tcPr>
            <w:tcW w:w="667" w:type="dxa"/>
            <w:shd w:val="clear" w:color="auto" w:fill="auto"/>
            <w:vAlign w:val="bottom"/>
          </w:tcPr>
          <w:p w14:paraId="58A31E4F"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18.7%</w:t>
            </w:r>
          </w:p>
        </w:tc>
        <w:tc>
          <w:tcPr>
            <w:tcW w:w="1134" w:type="dxa"/>
            <w:shd w:val="clear" w:color="auto" w:fill="auto"/>
            <w:vAlign w:val="bottom"/>
          </w:tcPr>
          <w:p w14:paraId="04CEB437"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18.7%</w:t>
            </w:r>
          </w:p>
        </w:tc>
        <w:tc>
          <w:tcPr>
            <w:tcW w:w="851" w:type="dxa"/>
            <w:shd w:val="clear" w:color="auto" w:fill="auto"/>
            <w:vAlign w:val="bottom"/>
          </w:tcPr>
          <w:p w14:paraId="08E44A98"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18.7%</w:t>
            </w:r>
          </w:p>
        </w:tc>
        <w:tc>
          <w:tcPr>
            <w:tcW w:w="1134" w:type="dxa"/>
            <w:shd w:val="clear" w:color="auto" w:fill="auto"/>
            <w:vAlign w:val="bottom"/>
          </w:tcPr>
          <w:p w14:paraId="390E6DEE"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9.1%</w:t>
            </w:r>
          </w:p>
        </w:tc>
        <w:tc>
          <w:tcPr>
            <w:tcW w:w="921" w:type="dxa"/>
            <w:shd w:val="clear" w:color="auto" w:fill="auto"/>
            <w:vAlign w:val="bottom"/>
          </w:tcPr>
          <w:p w14:paraId="799C0C96"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-12.9%</w:t>
            </w:r>
          </w:p>
        </w:tc>
      </w:tr>
      <w:tr w:rsidR="00B25614" w:rsidRPr="00E36296" w14:paraId="71504847" w14:textId="77777777" w:rsidTr="001E378B">
        <w:tc>
          <w:tcPr>
            <w:tcW w:w="1347" w:type="dxa"/>
            <w:shd w:val="clear" w:color="auto" w:fill="auto"/>
            <w:vAlign w:val="bottom"/>
          </w:tcPr>
          <w:p w14:paraId="612629C9" w14:textId="77777777" w:rsidR="00B25614" w:rsidRPr="008F735E" w:rsidRDefault="00B25614" w:rsidP="00447F49">
            <w:pPr>
              <w:keepNext/>
              <w:keepLines/>
              <w:tabs>
                <w:tab w:val="left" w:pos="106"/>
              </w:tabs>
              <w:spacing w:before="60" w:after="60"/>
              <w:rPr>
                <w:sz w:val="14"/>
                <w:szCs w:val="14"/>
              </w:rPr>
            </w:pPr>
            <w:r>
              <w:rPr>
                <w:sz w:val="14"/>
                <w:szCs w:val="14"/>
              </w:rPr>
              <w:t xml:space="preserve">  </w:t>
            </w:r>
            <w:r>
              <w:rPr>
                <w:b/>
                <w:bCs/>
                <w:sz w:val="14"/>
                <w:szCs w:val="14"/>
              </w:rPr>
              <w:t>Inflation = 2%</w:t>
            </w:r>
          </w:p>
        </w:tc>
        <w:tc>
          <w:tcPr>
            <w:tcW w:w="992" w:type="dxa"/>
            <w:shd w:val="clear" w:color="auto" w:fill="auto"/>
            <w:vAlign w:val="bottom"/>
          </w:tcPr>
          <w:p w14:paraId="101DF8D6"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 </w:t>
            </w:r>
          </w:p>
        </w:tc>
        <w:tc>
          <w:tcPr>
            <w:tcW w:w="737" w:type="dxa"/>
            <w:shd w:val="clear" w:color="auto" w:fill="auto"/>
            <w:vAlign w:val="bottom"/>
          </w:tcPr>
          <w:p w14:paraId="68DFE409"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 </w:t>
            </w:r>
          </w:p>
        </w:tc>
        <w:tc>
          <w:tcPr>
            <w:tcW w:w="681" w:type="dxa"/>
            <w:shd w:val="clear" w:color="auto" w:fill="auto"/>
            <w:vAlign w:val="bottom"/>
          </w:tcPr>
          <w:p w14:paraId="703C133F"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 </w:t>
            </w:r>
          </w:p>
        </w:tc>
        <w:tc>
          <w:tcPr>
            <w:tcW w:w="651" w:type="dxa"/>
            <w:shd w:val="clear" w:color="auto" w:fill="auto"/>
            <w:vAlign w:val="bottom"/>
          </w:tcPr>
          <w:p w14:paraId="4BBB39E4"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 </w:t>
            </w:r>
          </w:p>
        </w:tc>
        <w:tc>
          <w:tcPr>
            <w:tcW w:w="666" w:type="dxa"/>
            <w:shd w:val="clear" w:color="auto" w:fill="auto"/>
            <w:vAlign w:val="bottom"/>
          </w:tcPr>
          <w:p w14:paraId="68A8D025"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 </w:t>
            </w:r>
          </w:p>
        </w:tc>
        <w:tc>
          <w:tcPr>
            <w:tcW w:w="667" w:type="dxa"/>
            <w:shd w:val="clear" w:color="auto" w:fill="auto"/>
            <w:vAlign w:val="bottom"/>
          </w:tcPr>
          <w:p w14:paraId="2F45FFFF"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 </w:t>
            </w:r>
          </w:p>
        </w:tc>
        <w:tc>
          <w:tcPr>
            <w:tcW w:w="1134" w:type="dxa"/>
            <w:shd w:val="clear" w:color="auto" w:fill="auto"/>
            <w:vAlign w:val="bottom"/>
          </w:tcPr>
          <w:p w14:paraId="2B7AAA56"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 </w:t>
            </w:r>
          </w:p>
        </w:tc>
        <w:tc>
          <w:tcPr>
            <w:tcW w:w="851" w:type="dxa"/>
            <w:shd w:val="clear" w:color="auto" w:fill="auto"/>
            <w:vAlign w:val="bottom"/>
          </w:tcPr>
          <w:p w14:paraId="1BE570C6"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 </w:t>
            </w:r>
          </w:p>
        </w:tc>
        <w:tc>
          <w:tcPr>
            <w:tcW w:w="1134" w:type="dxa"/>
            <w:shd w:val="clear" w:color="auto" w:fill="auto"/>
            <w:vAlign w:val="bottom"/>
          </w:tcPr>
          <w:p w14:paraId="4C241300"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 </w:t>
            </w:r>
          </w:p>
        </w:tc>
        <w:tc>
          <w:tcPr>
            <w:tcW w:w="921" w:type="dxa"/>
            <w:shd w:val="clear" w:color="auto" w:fill="auto"/>
            <w:vAlign w:val="bottom"/>
          </w:tcPr>
          <w:p w14:paraId="1EF9D43F"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 </w:t>
            </w:r>
          </w:p>
        </w:tc>
      </w:tr>
      <w:tr w:rsidR="00B25614" w:rsidRPr="00E36296" w14:paraId="3A6A57C5" w14:textId="77777777" w:rsidTr="001E378B">
        <w:tc>
          <w:tcPr>
            <w:tcW w:w="1347" w:type="dxa"/>
            <w:shd w:val="clear" w:color="auto" w:fill="auto"/>
            <w:vAlign w:val="bottom"/>
          </w:tcPr>
          <w:p w14:paraId="2FF1D25E" w14:textId="77777777" w:rsidR="00B25614" w:rsidRPr="008F735E" w:rsidRDefault="00B25614" w:rsidP="00447F49">
            <w:pPr>
              <w:keepNext/>
              <w:keepLines/>
              <w:tabs>
                <w:tab w:val="left" w:pos="106"/>
              </w:tabs>
              <w:spacing w:before="60" w:after="60"/>
              <w:rPr>
                <w:sz w:val="14"/>
                <w:szCs w:val="14"/>
              </w:rPr>
            </w:pPr>
            <w:r>
              <w:rPr>
                <w:sz w:val="14"/>
                <w:szCs w:val="14"/>
              </w:rPr>
              <w:t xml:space="preserve">  b = 0%</w:t>
            </w:r>
          </w:p>
        </w:tc>
        <w:tc>
          <w:tcPr>
            <w:tcW w:w="992" w:type="dxa"/>
            <w:shd w:val="clear" w:color="auto" w:fill="auto"/>
            <w:vAlign w:val="bottom"/>
          </w:tcPr>
          <w:p w14:paraId="6B201C50"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34.6%</w:t>
            </w:r>
          </w:p>
        </w:tc>
        <w:tc>
          <w:tcPr>
            <w:tcW w:w="737" w:type="dxa"/>
            <w:shd w:val="clear" w:color="auto" w:fill="auto"/>
            <w:vAlign w:val="bottom"/>
          </w:tcPr>
          <w:p w14:paraId="49EB23CB"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39.1%</w:t>
            </w:r>
          </w:p>
        </w:tc>
        <w:tc>
          <w:tcPr>
            <w:tcW w:w="681" w:type="dxa"/>
            <w:shd w:val="clear" w:color="auto" w:fill="auto"/>
            <w:vAlign w:val="bottom"/>
          </w:tcPr>
          <w:p w14:paraId="5CC910F7"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38.7%</w:t>
            </w:r>
          </w:p>
        </w:tc>
        <w:tc>
          <w:tcPr>
            <w:tcW w:w="651" w:type="dxa"/>
            <w:shd w:val="clear" w:color="auto" w:fill="auto"/>
            <w:vAlign w:val="bottom"/>
          </w:tcPr>
          <w:p w14:paraId="289CB4FD"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36.2%</w:t>
            </w:r>
          </w:p>
        </w:tc>
        <w:tc>
          <w:tcPr>
            <w:tcW w:w="666" w:type="dxa"/>
            <w:shd w:val="clear" w:color="auto" w:fill="auto"/>
            <w:vAlign w:val="bottom"/>
          </w:tcPr>
          <w:p w14:paraId="1ED81EE9"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33.6%</w:t>
            </w:r>
          </w:p>
        </w:tc>
        <w:tc>
          <w:tcPr>
            <w:tcW w:w="667" w:type="dxa"/>
            <w:shd w:val="clear" w:color="auto" w:fill="auto"/>
            <w:vAlign w:val="bottom"/>
          </w:tcPr>
          <w:p w14:paraId="642691AE"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31.7%</w:t>
            </w:r>
          </w:p>
        </w:tc>
        <w:tc>
          <w:tcPr>
            <w:tcW w:w="1134" w:type="dxa"/>
            <w:shd w:val="clear" w:color="auto" w:fill="auto"/>
            <w:vAlign w:val="bottom"/>
          </w:tcPr>
          <w:p w14:paraId="36AFB387"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28.0%</w:t>
            </w:r>
          </w:p>
        </w:tc>
        <w:tc>
          <w:tcPr>
            <w:tcW w:w="851" w:type="dxa"/>
            <w:shd w:val="clear" w:color="auto" w:fill="auto"/>
            <w:vAlign w:val="bottom"/>
          </w:tcPr>
          <w:p w14:paraId="0D870A6D"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39.1%</w:t>
            </w:r>
          </w:p>
        </w:tc>
        <w:tc>
          <w:tcPr>
            <w:tcW w:w="1134" w:type="dxa"/>
            <w:shd w:val="clear" w:color="auto" w:fill="auto"/>
            <w:vAlign w:val="bottom"/>
          </w:tcPr>
          <w:p w14:paraId="10A7BCE9"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20.6%</w:t>
            </w:r>
          </w:p>
        </w:tc>
        <w:tc>
          <w:tcPr>
            <w:tcW w:w="921" w:type="dxa"/>
            <w:shd w:val="clear" w:color="auto" w:fill="auto"/>
            <w:vAlign w:val="bottom"/>
          </w:tcPr>
          <w:p w14:paraId="0E06EACC"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0.0%</w:t>
            </w:r>
          </w:p>
        </w:tc>
      </w:tr>
      <w:tr w:rsidR="00B25614" w:rsidRPr="00E36296" w14:paraId="47B5FB2E" w14:textId="77777777" w:rsidTr="001E378B">
        <w:tc>
          <w:tcPr>
            <w:tcW w:w="1347" w:type="dxa"/>
            <w:shd w:val="clear" w:color="auto" w:fill="auto"/>
            <w:vAlign w:val="bottom"/>
          </w:tcPr>
          <w:p w14:paraId="1CB5FB3B" w14:textId="77777777" w:rsidR="00B25614" w:rsidRPr="008F735E" w:rsidRDefault="00B25614" w:rsidP="00447F49">
            <w:pPr>
              <w:keepNext/>
              <w:keepLines/>
              <w:tabs>
                <w:tab w:val="left" w:pos="106"/>
              </w:tabs>
              <w:spacing w:before="60" w:after="60"/>
              <w:rPr>
                <w:sz w:val="14"/>
                <w:szCs w:val="14"/>
              </w:rPr>
            </w:pPr>
            <w:r>
              <w:rPr>
                <w:sz w:val="14"/>
                <w:szCs w:val="14"/>
              </w:rPr>
              <w:t xml:space="preserve">  b = 100%</w:t>
            </w:r>
          </w:p>
        </w:tc>
        <w:tc>
          <w:tcPr>
            <w:tcW w:w="992" w:type="dxa"/>
            <w:shd w:val="clear" w:color="auto" w:fill="auto"/>
            <w:vAlign w:val="bottom"/>
          </w:tcPr>
          <w:p w14:paraId="0C73D809"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-7.6%</w:t>
            </w:r>
          </w:p>
        </w:tc>
        <w:tc>
          <w:tcPr>
            <w:tcW w:w="737" w:type="dxa"/>
            <w:shd w:val="clear" w:color="auto" w:fill="auto"/>
            <w:vAlign w:val="bottom"/>
          </w:tcPr>
          <w:p w14:paraId="53337D54"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3.2%</w:t>
            </w:r>
          </w:p>
        </w:tc>
        <w:tc>
          <w:tcPr>
            <w:tcW w:w="681" w:type="dxa"/>
            <w:shd w:val="clear" w:color="auto" w:fill="auto"/>
            <w:vAlign w:val="bottom"/>
          </w:tcPr>
          <w:p w14:paraId="795BD1DC"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2.4%</w:t>
            </w:r>
          </w:p>
        </w:tc>
        <w:tc>
          <w:tcPr>
            <w:tcW w:w="651" w:type="dxa"/>
            <w:shd w:val="clear" w:color="auto" w:fill="auto"/>
            <w:vAlign w:val="bottom"/>
          </w:tcPr>
          <w:p w14:paraId="528ED6AA"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-3.0%</w:t>
            </w:r>
          </w:p>
        </w:tc>
        <w:tc>
          <w:tcPr>
            <w:tcW w:w="666" w:type="dxa"/>
            <w:shd w:val="clear" w:color="auto" w:fill="auto"/>
            <w:vAlign w:val="bottom"/>
          </w:tcPr>
          <w:p w14:paraId="4CCE0768"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-9.2%</w:t>
            </w:r>
          </w:p>
        </w:tc>
        <w:tc>
          <w:tcPr>
            <w:tcW w:w="667" w:type="dxa"/>
            <w:shd w:val="clear" w:color="auto" w:fill="auto"/>
            <w:vAlign w:val="bottom"/>
          </w:tcPr>
          <w:p w14:paraId="16FEFDD8"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-14.8%</w:t>
            </w:r>
          </w:p>
        </w:tc>
        <w:tc>
          <w:tcPr>
            <w:tcW w:w="1134" w:type="dxa"/>
            <w:shd w:val="clear" w:color="auto" w:fill="auto"/>
            <w:vAlign w:val="bottom"/>
          </w:tcPr>
          <w:p w14:paraId="4F5D11DF"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-28.4%</w:t>
            </w:r>
          </w:p>
        </w:tc>
        <w:tc>
          <w:tcPr>
            <w:tcW w:w="851" w:type="dxa"/>
            <w:shd w:val="clear" w:color="auto" w:fill="auto"/>
            <w:vAlign w:val="bottom"/>
          </w:tcPr>
          <w:p w14:paraId="40838003"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3.2%</w:t>
            </w:r>
          </w:p>
        </w:tc>
        <w:tc>
          <w:tcPr>
            <w:tcW w:w="1134" w:type="dxa"/>
            <w:shd w:val="clear" w:color="auto" w:fill="auto"/>
            <w:vAlign w:val="bottom"/>
          </w:tcPr>
          <w:p w14:paraId="0FD2D16E"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-54.0%</w:t>
            </w:r>
          </w:p>
        </w:tc>
        <w:tc>
          <w:tcPr>
            <w:tcW w:w="921" w:type="dxa"/>
            <w:shd w:val="clear" w:color="auto" w:fill="auto"/>
            <w:vAlign w:val="bottom"/>
          </w:tcPr>
          <w:p w14:paraId="25B91060"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-78.3%</w:t>
            </w:r>
          </w:p>
        </w:tc>
      </w:tr>
      <w:tr w:rsidR="00B25614" w:rsidRPr="00E36296" w14:paraId="28879E83" w14:textId="77777777" w:rsidTr="001E378B">
        <w:tc>
          <w:tcPr>
            <w:tcW w:w="1347" w:type="dxa"/>
            <w:shd w:val="clear" w:color="auto" w:fill="auto"/>
            <w:vAlign w:val="bottom"/>
          </w:tcPr>
          <w:p w14:paraId="2B71F86B" w14:textId="77777777" w:rsidR="00B25614" w:rsidRPr="008F735E" w:rsidRDefault="00B25614" w:rsidP="00447F49">
            <w:pPr>
              <w:keepNext/>
              <w:keepLines/>
              <w:tabs>
                <w:tab w:val="left" w:pos="106"/>
              </w:tabs>
              <w:spacing w:before="60" w:after="60"/>
              <w:rPr>
                <w:sz w:val="14"/>
                <w:szCs w:val="14"/>
              </w:rPr>
            </w:pPr>
            <w:r>
              <w:rPr>
                <w:sz w:val="14"/>
                <w:szCs w:val="14"/>
              </w:rPr>
              <w:t xml:space="preserve">  b = 43%</w:t>
            </w:r>
          </w:p>
        </w:tc>
        <w:tc>
          <w:tcPr>
            <w:tcW w:w="992" w:type="dxa"/>
            <w:shd w:val="clear" w:color="auto" w:fill="auto"/>
            <w:vAlign w:val="bottom"/>
          </w:tcPr>
          <w:p w14:paraId="4E53D924"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21.3%</w:t>
            </w:r>
          </w:p>
        </w:tc>
        <w:tc>
          <w:tcPr>
            <w:tcW w:w="737" w:type="dxa"/>
            <w:shd w:val="clear" w:color="auto" w:fill="auto"/>
            <w:vAlign w:val="bottom"/>
          </w:tcPr>
          <w:p w14:paraId="01BE23BB"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27.6%</w:t>
            </w:r>
          </w:p>
        </w:tc>
        <w:tc>
          <w:tcPr>
            <w:tcW w:w="681" w:type="dxa"/>
            <w:shd w:val="clear" w:color="auto" w:fill="auto"/>
            <w:vAlign w:val="bottom"/>
          </w:tcPr>
          <w:p w14:paraId="766D74C1"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27.0%</w:t>
            </w:r>
          </w:p>
        </w:tc>
        <w:tc>
          <w:tcPr>
            <w:tcW w:w="651" w:type="dxa"/>
            <w:shd w:val="clear" w:color="auto" w:fill="auto"/>
            <w:vAlign w:val="bottom"/>
          </w:tcPr>
          <w:p w14:paraId="6024F651"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23.7%</w:t>
            </w:r>
          </w:p>
        </w:tc>
        <w:tc>
          <w:tcPr>
            <w:tcW w:w="666" w:type="dxa"/>
            <w:shd w:val="clear" w:color="auto" w:fill="auto"/>
            <w:vAlign w:val="bottom"/>
          </w:tcPr>
          <w:p w14:paraId="050A690E"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20.1%</w:t>
            </w:r>
          </w:p>
        </w:tc>
        <w:tc>
          <w:tcPr>
            <w:tcW w:w="667" w:type="dxa"/>
            <w:shd w:val="clear" w:color="auto" w:fill="auto"/>
            <w:vAlign w:val="bottom"/>
          </w:tcPr>
          <w:p w14:paraId="7B6CF993"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17.3%</w:t>
            </w:r>
          </w:p>
        </w:tc>
        <w:tc>
          <w:tcPr>
            <w:tcW w:w="1134" w:type="dxa"/>
            <w:shd w:val="clear" w:color="auto" w:fill="auto"/>
            <w:vAlign w:val="bottom"/>
          </w:tcPr>
          <w:p w14:paraId="1EAF8526"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11.2%</w:t>
            </w:r>
          </w:p>
        </w:tc>
        <w:tc>
          <w:tcPr>
            <w:tcW w:w="851" w:type="dxa"/>
            <w:shd w:val="clear" w:color="auto" w:fill="auto"/>
            <w:vAlign w:val="bottom"/>
          </w:tcPr>
          <w:p w14:paraId="4E93C950"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27.6%</w:t>
            </w:r>
          </w:p>
        </w:tc>
        <w:tc>
          <w:tcPr>
            <w:tcW w:w="1134" w:type="dxa"/>
            <w:shd w:val="clear" w:color="auto" w:fill="auto"/>
            <w:vAlign w:val="bottom"/>
          </w:tcPr>
          <w:p w14:paraId="169ED8FB"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-0.3%</w:t>
            </w:r>
          </w:p>
        </w:tc>
        <w:tc>
          <w:tcPr>
            <w:tcW w:w="921" w:type="dxa"/>
            <w:shd w:val="clear" w:color="auto" w:fill="auto"/>
            <w:vAlign w:val="bottom"/>
          </w:tcPr>
          <w:p w14:paraId="66F6E3A2" w14:textId="77777777" w:rsidR="00B25614" w:rsidRPr="0008735C" w:rsidRDefault="00B25614" w:rsidP="00447F49">
            <w:pPr>
              <w:keepNext/>
              <w:keepLines/>
              <w:tabs>
                <w:tab w:val="decimal" w:pos="256"/>
              </w:tabs>
              <w:spacing w:before="60" w:after="60"/>
              <w:jc w:val="center"/>
              <w:rPr>
                <w:sz w:val="14"/>
                <w:szCs w:val="14"/>
              </w:rPr>
            </w:pPr>
            <w:r w:rsidRPr="0008735C">
              <w:rPr>
                <w:rFonts w:cs="Calibri"/>
                <w:color w:val="000000"/>
                <w:sz w:val="14"/>
                <w:szCs w:val="14"/>
              </w:rPr>
              <w:t>-23.3%</w:t>
            </w:r>
          </w:p>
        </w:tc>
      </w:tr>
    </w:tbl>
    <w:p w14:paraId="0DD51434" w14:textId="77777777" w:rsidR="005353D0" w:rsidRDefault="005353D0" w:rsidP="00B25614">
      <w:pPr>
        <w:pStyle w:val="NumberedParagraph"/>
        <w:numPr>
          <w:ilvl w:val="0"/>
          <w:numId w:val="0"/>
        </w:numPr>
        <w:spacing w:after="0"/>
        <w:ind w:left="851" w:hanging="851"/>
      </w:pPr>
    </w:p>
    <w:p w14:paraId="6898FB37" w14:textId="106BACE9" w:rsidR="00B6771F" w:rsidRPr="00FB5A82" w:rsidRDefault="00B6771F" w:rsidP="008C3DFF">
      <w:pPr>
        <w:pStyle w:val="NumberedParagraph"/>
      </w:pPr>
      <w:r>
        <w:t>We draw attention to the following points:</w:t>
      </w:r>
    </w:p>
    <w:p w14:paraId="039B134B" w14:textId="741BDAD9" w:rsidR="00EB1B55" w:rsidRDefault="00791A51" w:rsidP="008C3DFF">
      <w:pPr>
        <w:pStyle w:val="NumberedParagraph-BulletL1"/>
      </w:pPr>
      <w:r>
        <w:t xml:space="preserve">As would be expected, AIL has no impact </w:t>
      </w:r>
      <w:r w:rsidR="00AD6111">
        <w:t>when investment is fully</w:t>
      </w:r>
      <w:r w:rsidR="00215A3D">
        <w:t xml:space="preserve"> </w:t>
      </w:r>
      <w:r w:rsidR="00AD6111">
        <w:t>equity</w:t>
      </w:r>
      <w:r w:rsidR="00E76949">
        <w:t>-</w:t>
      </w:r>
      <w:r w:rsidR="00AD6111">
        <w:t xml:space="preserve">financed. If b </w:t>
      </w:r>
      <w:r w:rsidR="001C013D">
        <w:t xml:space="preserve">= 0%, costs of capital and EMTRs are the same as in </w:t>
      </w:r>
      <w:r w:rsidR="008B5C8C">
        <w:t>t</w:t>
      </w:r>
      <w:r w:rsidR="001C013D">
        <w:t>able A</w:t>
      </w:r>
      <w:r w:rsidR="00EB1B55">
        <w:t>2.1</w:t>
      </w:r>
      <w:r w:rsidR="009D4B4F">
        <w:t>.</w:t>
      </w:r>
    </w:p>
    <w:p w14:paraId="0AC22630" w14:textId="568CFB72" w:rsidR="006316C0" w:rsidRDefault="00EB1B55" w:rsidP="008C3DFF">
      <w:pPr>
        <w:pStyle w:val="NumberedParagraph-BulletL1"/>
      </w:pPr>
      <w:r>
        <w:lastRenderedPageBreak/>
        <w:t>If there is no inflation</w:t>
      </w:r>
      <w:r w:rsidR="00917ACE">
        <w:t>,</w:t>
      </w:r>
      <w:r>
        <w:t xml:space="preserve"> economi</w:t>
      </w:r>
      <w:r w:rsidR="00DC4AC4">
        <w:t>c depreciation is deductible</w:t>
      </w:r>
      <w:r w:rsidR="00917ACE">
        <w:t xml:space="preserve"> and investment is fully debt</w:t>
      </w:r>
      <w:r w:rsidR="00AF5DB4">
        <w:t>-</w:t>
      </w:r>
      <w:r w:rsidR="00917ACE">
        <w:t>financed</w:t>
      </w:r>
      <w:r w:rsidR="00DC4AC4">
        <w:t xml:space="preserve">, AIL increases EMTRs from the value of 0.0% reported in </w:t>
      </w:r>
      <w:r w:rsidR="008B5C8C">
        <w:t>t</w:t>
      </w:r>
      <w:r w:rsidR="00DC4AC4">
        <w:t>able A2.1 to 2.0%</w:t>
      </w:r>
      <w:r w:rsidR="006316C0">
        <w:t>.</w:t>
      </w:r>
      <w:r w:rsidR="00A71D74">
        <w:t xml:space="preserve"> This is, of course, just the rate at which AIL is being levied.</w:t>
      </w:r>
    </w:p>
    <w:p w14:paraId="7323BD0B" w14:textId="4B3BA23F" w:rsidR="00AB64E4" w:rsidRDefault="00D0209E" w:rsidP="008C3DFF">
      <w:pPr>
        <w:pStyle w:val="NumberedParagraph-BulletL1"/>
      </w:pPr>
      <w:r>
        <w:t>If we allow for 2% inflation</w:t>
      </w:r>
      <w:r w:rsidR="00DE72A9">
        <w:t>,</w:t>
      </w:r>
      <w:r>
        <w:t xml:space="preserve"> AIL ends up increasing EMTRs </w:t>
      </w:r>
      <w:r w:rsidR="00DE1A95">
        <w:t>a bit more for</w:t>
      </w:r>
      <w:r w:rsidR="000C0AF6">
        <w:t xml:space="preserve"> fully debt</w:t>
      </w:r>
      <w:r w:rsidR="0017054F">
        <w:t>-</w:t>
      </w:r>
      <w:r w:rsidR="000C0AF6">
        <w:t>financed investment in asset</w:t>
      </w:r>
      <w:r w:rsidR="00A71D74">
        <w:t>s</w:t>
      </w:r>
      <w:r w:rsidR="000C0AF6">
        <w:t xml:space="preserve"> that depreciate quickly </w:t>
      </w:r>
      <w:r w:rsidR="0017054F">
        <w:t>and</w:t>
      </w:r>
      <w:r w:rsidR="000C0AF6">
        <w:t xml:space="preserve"> for inventory. For example, the EMTR for inventory rises to 3.3%</w:t>
      </w:r>
      <w:r w:rsidR="0012047B">
        <w:t>. This is because AIL is levied on nominal</w:t>
      </w:r>
      <w:r w:rsidR="0017054F">
        <w:t>,</w:t>
      </w:r>
      <w:r w:rsidR="0012047B">
        <w:t xml:space="preserve"> rather than real</w:t>
      </w:r>
      <w:r w:rsidR="0017054F">
        <w:t>,</w:t>
      </w:r>
      <w:r w:rsidR="0012047B">
        <w:t xml:space="preserve"> interest expense.</w:t>
      </w:r>
    </w:p>
    <w:p w14:paraId="2C3ACC68" w14:textId="362B7672" w:rsidR="002D54F1" w:rsidRPr="009C1F81" w:rsidRDefault="00A265F6" w:rsidP="008C3DFF">
      <w:pPr>
        <w:pStyle w:val="NumberedParagraph-BulletL1"/>
      </w:pPr>
      <w:r>
        <w:t>But the general pattern of EMTRs is similar to th</w:t>
      </w:r>
      <w:r w:rsidR="009D4BBF">
        <w:t>at</w:t>
      </w:r>
      <w:r>
        <w:t xml:space="preserve"> in </w:t>
      </w:r>
      <w:r w:rsidR="008B5C8C">
        <w:t>t</w:t>
      </w:r>
      <w:r>
        <w:t>able A4.1</w:t>
      </w:r>
      <w:r w:rsidR="004A61E6">
        <w:t xml:space="preserve">. With an average debt level of b = </w:t>
      </w:r>
      <w:r w:rsidR="00186F55">
        <w:t>43%, there are</w:t>
      </w:r>
      <w:r w:rsidR="008E1FE1">
        <w:t xml:space="preserve"> high EMTRs for short-lived </w:t>
      </w:r>
      <w:r w:rsidR="00186F55">
        <w:t>PME</w:t>
      </w:r>
      <w:r w:rsidR="008E1FE1">
        <w:t xml:space="preserve"> </w:t>
      </w:r>
      <w:r w:rsidR="004A61E6">
        <w:t xml:space="preserve">and </w:t>
      </w:r>
      <w:r w:rsidR="00186F55">
        <w:t xml:space="preserve">for </w:t>
      </w:r>
      <w:r w:rsidR="004A61E6">
        <w:t>inventories</w:t>
      </w:r>
      <w:r w:rsidR="00450450">
        <w:t>. There are</w:t>
      </w:r>
      <w:r w:rsidR="004A61E6">
        <w:t xml:space="preserve"> negative EMTRs for assets that can be expensed.</w:t>
      </w:r>
      <w:r w:rsidR="0012047B">
        <w:t xml:space="preserve"> </w:t>
      </w:r>
      <w:r w:rsidR="00450450">
        <w:t>EMTRs fall as debt levels increase.</w:t>
      </w:r>
      <w:r w:rsidR="00251612">
        <w:rPr>
          <w:rStyle w:val="FootnoteReference"/>
        </w:rPr>
        <w:footnoteReference w:id="17"/>
      </w:r>
    </w:p>
    <w:p w14:paraId="5B3D05F9" w14:textId="20367869" w:rsidR="00FE15A9" w:rsidRPr="007F1AF5" w:rsidRDefault="009C1F81" w:rsidP="008C3DFF">
      <w:pPr>
        <w:pStyle w:val="NumberedParagraph"/>
      </w:pPr>
      <w:r w:rsidRPr="009C1F81">
        <w:t xml:space="preserve">Foreign-controlled companies </w:t>
      </w:r>
      <w:r w:rsidR="0033466B">
        <w:t>would normally be</w:t>
      </w:r>
      <w:r w:rsidR="00B669EE">
        <w:t xml:space="preserve"> su</w:t>
      </w:r>
      <w:r w:rsidR="000C5444">
        <w:t>bject to AIL on their third</w:t>
      </w:r>
      <w:r w:rsidR="0075287A">
        <w:t>-</w:t>
      </w:r>
      <w:r w:rsidR="000C5444">
        <w:t>party borrowing.</w:t>
      </w:r>
      <w:r w:rsidR="00F05972">
        <w:t xml:space="preserve"> However, if they</w:t>
      </w:r>
      <w:r w:rsidRPr="009C1F81">
        <w:t xml:space="preserve"> are partly financed by related-party debt</w:t>
      </w:r>
      <w:r w:rsidR="00F05972">
        <w:t>, they</w:t>
      </w:r>
      <w:r w:rsidRPr="009C1F81">
        <w:t xml:space="preserve"> </w:t>
      </w:r>
      <w:r w:rsidR="00F60710">
        <w:t xml:space="preserve">will also be </w:t>
      </w:r>
      <w:r w:rsidR="00251612">
        <w:t>subject to</w:t>
      </w:r>
      <w:r w:rsidRPr="009C1F81">
        <w:t xml:space="preserve"> NRWT. At one extreme, if NRWT is fully creditable abroad, there should be no increase in the real interest rate demanded on related-party lending</w:t>
      </w:r>
      <w:r w:rsidR="00AB1FF9">
        <w:t xml:space="preserve"> because any higher taxes in New Zealand will lead to equal and offsetting lower taxes abroad.</w:t>
      </w:r>
      <w:r w:rsidRPr="009C1F81">
        <w:t xml:space="preserve"> If</w:t>
      </w:r>
      <w:r w:rsidR="00CB4E24">
        <w:t>,</w:t>
      </w:r>
      <w:r w:rsidRPr="009C1F81">
        <w:t xml:space="preserve"> </w:t>
      </w:r>
      <w:r w:rsidR="00D8692C">
        <w:t>instead</w:t>
      </w:r>
      <w:r w:rsidR="00CB4E24">
        <w:t>,</w:t>
      </w:r>
      <w:r w:rsidR="00D8692C">
        <w:t xml:space="preserve"> </w:t>
      </w:r>
      <w:r w:rsidRPr="009C1F81">
        <w:t>NRWT is not creditable, it would be expected to push up the interest rate that borrowers must pay. The real interest rate on related-party lending would be expected to rise to 3.55%.</w:t>
      </w:r>
      <w:r w:rsidRPr="009C1F81">
        <w:rPr>
          <w:vertAlign w:val="superscript"/>
        </w:rPr>
        <w:footnoteReference w:id="18"/>
      </w:r>
    </w:p>
    <w:p w14:paraId="1BBDAD80" w14:textId="758BFE26" w:rsidR="009C1F81" w:rsidRPr="009C1F81" w:rsidRDefault="009C1F81" w:rsidP="008C3DFF">
      <w:pPr>
        <w:pStyle w:val="NumberedParagraph"/>
      </w:pPr>
      <w:r w:rsidRPr="009C1F81">
        <w:t xml:space="preserve">Data on firms from whom Inland Revenue collects information as part of its International Questionnaire (IQ firms) is presented in </w:t>
      </w:r>
      <w:r w:rsidRPr="00327D70">
        <w:t xml:space="preserve">table </w:t>
      </w:r>
      <w:r w:rsidR="006446B9" w:rsidRPr="00387B48">
        <w:t>A2</w:t>
      </w:r>
      <w:r w:rsidRPr="00387B48">
        <w:t>.</w:t>
      </w:r>
      <w:r w:rsidR="00AD61E1">
        <w:t>3</w:t>
      </w:r>
      <w:r w:rsidRPr="009C1F81">
        <w:t>.</w:t>
      </w:r>
    </w:p>
    <w:p w14:paraId="56B5D892" w14:textId="2B3F6883" w:rsidR="009C1F81" w:rsidRPr="009C1F81" w:rsidRDefault="009C1F81" w:rsidP="003C4E22">
      <w:pPr>
        <w:pStyle w:val="Caption-table"/>
      </w:pPr>
      <w:r w:rsidRPr="009C1F81">
        <w:t xml:space="preserve">Table </w:t>
      </w:r>
      <w:r w:rsidR="006446B9" w:rsidRPr="00387B48">
        <w:t>A2</w:t>
      </w:r>
      <w:r w:rsidRPr="00387B48">
        <w:t>.</w:t>
      </w:r>
      <w:r w:rsidR="0073096E">
        <w:t>3</w:t>
      </w:r>
      <w:r w:rsidR="00C90804" w:rsidRPr="00387B48">
        <w:t>:</w:t>
      </w:r>
      <w:r w:rsidR="00C90804">
        <w:t xml:space="preserve"> </w:t>
      </w:r>
      <w:r w:rsidRPr="009C1F81">
        <w:t>IQ data on debt and equity</w:t>
      </w:r>
    </w:p>
    <w:tbl>
      <w:tblPr>
        <w:tblStyle w:val="TableGrid"/>
        <w:tblW w:w="0" w:type="auto"/>
        <w:tblInd w:w="84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559"/>
        <w:gridCol w:w="1274"/>
        <w:gridCol w:w="1275"/>
        <w:gridCol w:w="1274"/>
        <w:gridCol w:w="1275"/>
        <w:gridCol w:w="1275"/>
      </w:tblGrid>
      <w:tr w:rsidR="001331D1" w:rsidRPr="001331D1" w14:paraId="4EF659B6" w14:textId="77777777" w:rsidTr="006066A2">
        <w:trPr>
          <w:tblHeader/>
        </w:trPr>
        <w:tc>
          <w:tcPr>
            <w:tcW w:w="1559" w:type="dxa"/>
            <w:shd w:val="clear" w:color="auto" w:fill="232E36"/>
          </w:tcPr>
          <w:p w14:paraId="1313496C" w14:textId="77777777" w:rsidR="007B2AB9" w:rsidRPr="00CA0BF8" w:rsidRDefault="007B2AB9" w:rsidP="00C07D55">
            <w:pPr>
              <w:keepNext/>
              <w:spacing w:before="120" w:after="120"/>
              <w:jc w:val="center"/>
              <w:rPr>
                <w:color w:val="FFFFFF" w:themeColor="background1"/>
                <w:sz w:val="16"/>
                <w:szCs w:val="16"/>
              </w:rPr>
            </w:pPr>
          </w:p>
        </w:tc>
        <w:tc>
          <w:tcPr>
            <w:tcW w:w="1274" w:type="dxa"/>
            <w:shd w:val="clear" w:color="auto" w:fill="232E36"/>
          </w:tcPr>
          <w:p w14:paraId="65F47293" w14:textId="77777777" w:rsidR="007B2AB9" w:rsidRPr="00CA0BF8" w:rsidRDefault="007B2AB9" w:rsidP="00C07D55">
            <w:pPr>
              <w:keepNext/>
              <w:spacing w:before="120" w:after="120"/>
              <w:jc w:val="center"/>
              <w:rPr>
                <w:rStyle w:val="Strong"/>
                <w:color w:val="FFFFFF" w:themeColor="background1"/>
                <w:sz w:val="16"/>
                <w:szCs w:val="16"/>
              </w:rPr>
            </w:pPr>
            <w:r w:rsidRPr="00CA0BF8">
              <w:rPr>
                <w:rStyle w:val="Strong"/>
                <w:color w:val="FFFFFF" w:themeColor="background1"/>
                <w:sz w:val="16"/>
                <w:szCs w:val="16"/>
              </w:rPr>
              <w:t>Related-party interest-bearing debt</w:t>
            </w:r>
          </w:p>
        </w:tc>
        <w:tc>
          <w:tcPr>
            <w:tcW w:w="1275" w:type="dxa"/>
            <w:shd w:val="clear" w:color="auto" w:fill="232E36"/>
          </w:tcPr>
          <w:p w14:paraId="6DDC5009" w14:textId="77777777" w:rsidR="007B2AB9" w:rsidRPr="00CA0BF8" w:rsidRDefault="007B2AB9" w:rsidP="00C07D55">
            <w:pPr>
              <w:keepNext/>
              <w:spacing w:before="120" w:after="120"/>
              <w:jc w:val="center"/>
              <w:rPr>
                <w:rStyle w:val="Strong"/>
                <w:color w:val="FFFFFF" w:themeColor="background1"/>
                <w:sz w:val="16"/>
                <w:szCs w:val="16"/>
              </w:rPr>
            </w:pPr>
            <w:r w:rsidRPr="00CA0BF8">
              <w:rPr>
                <w:rStyle w:val="Strong"/>
                <w:color w:val="FFFFFF" w:themeColor="background1"/>
                <w:sz w:val="16"/>
                <w:szCs w:val="16"/>
              </w:rPr>
              <w:t>Other interest-bearing debt</w:t>
            </w:r>
          </w:p>
        </w:tc>
        <w:tc>
          <w:tcPr>
            <w:tcW w:w="1274" w:type="dxa"/>
            <w:shd w:val="clear" w:color="auto" w:fill="232E36"/>
          </w:tcPr>
          <w:p w14:paraId="37F752EB" w14:textId="77777777" w:rsidR="007B2AB9" w:rsidRPr="00CA0BF8" w:rsidRDefault="007B2AB9" w:rsidP="00C07D55">
            <w:pPr>
              <w:keepNext/>
              <w:spacing w:before="120" w:after="120"/>
              <w:jc w:val="center"/>
              <w:rPr>
                <w:rStyle w:val="Strong"/>
                <w:color w:val="FFFFFF" w:themeColor="background1"/>
                <w:sz w:val="16"/>
                <w:szCs w:val="16"/>
              </w:rPr>
            </w:pPr>
            <w:r w:rsidRPr="00CA0BF8">
              <w:rPr>
                <w:rStyle w:val="Strong"/>
                <w:color w:val="FFFFFF" w:themeColor="background1"/>
                <w:sz w:val="16"/>
                <w:szCs w:val="16"/>
              </w:rPr>
              <w:t>Total interest-bearing debt</w:t>
            </w:r>
          </w:p>
        </w:tc>
        <w:tc>
          <w:tcPr>
            <w:tcW w:w="1275" w:type="dxa"/>
            <w:shd w:val="clear" w:color="auto" w:fill="232E36"/>
          </w:tcPr>
          <w:p w14:paraId="2634DFB5" w14:textId="77777777" w:rsidR="007B2AB9" w:rsidRPr="00CA0BF8" w:rsidRDefault="007B2AB9" w:rsidP="00C07D55">
            <w:pPr>
              <w:keepNext/>
              <w:spacing w:before="120" w:after="120"/>
              <w:jc w:val="center"/>
              <w:rPr>
                <w:rStyle w:val="Strong"/>
                <w:color w:val="FFFFFF" w:themeColor="background1"/>
                <w:sz w:val="16"/>
                <w:szCs w:val="16"/>
              </w:rPr>
            </w:pPr>
            <w:r w:rsidRPr="00CA0BF8">
              <w:rPr>
                <w:rStyle w:val="Strong"/>
                <w:color w:val="FFFFFF" w:themeColor="background1"/>
                <w:sz w:val="16"/>
                <w:szCs w:val="16"/>
              </w:rPr>
              <w:t>Equity</w:t>
            </w:r>
          </w:p>
        </w:tc>
        <w:tc>
          <w:tcPr>
            <w:tcW w:w="1275" w:type="dxa"/>
            <w:shd w:val="clear" w:color="auto" w:fill="232E36"/>
          </w:tcPr>
          <w:p w14:paraId="5576F087" w14:textId="77777777" w:rsidR="007B2AB9" w:rsidRPr="00CA0BF8" w:rsidRDefault="007B2AB9" w:rsidP="00C07D55">
            <w:pPr>
              <w:keepNext/>
              <w:spacing w:before="120" w:after="120"/>
              <w:jc w:val="center"/>
              <w:rPr>
                <w:rStyle w:val="Strong"/>
                <w:color w:val="FFFFFF" w:themeColor="background1"/>
                <w:sz w:val="16"/>
                <w:szCs w:val="16"/>
              </w:rPr>
            </w:pPr>
            <w:r w:rsidRPr="00CA0BF8">
              <w:rPr>
                <w:rStyle w:val="Strong"/>
                <w:color w:val="FFFFFF" w:themeColor="background1"/>
                <w:sz w:val="16"/>
                <w:szCs w:val="16"/>
              </w:rPr>
              <w:t>Debt + Equity</w:t>
            </w:r>
          </w:p>
        </w:tc>
      </w:tr>
      <w:tr w:rsidR="001E7736" w:rsidRPr="001331D1" w14:paraId="796B5A90" w14:textId="77777777" w:rsidTr="006066A2">
        <w:tc>
          <w:tcPr>
            <w:tcW w:w="1559" w:type="dxa"/>
            <w:shd w:val="clear" w:color="auto" w:fill="auto"/>
          </w:tcPr>
          <w:p w14:paraId="5BDC7FD2" w14:textId="77777777" w:rsidR="007B2AB9" w:rsidRPr="00CA0BF8" w:rsidRDefault="007B2AB9" w:rsidP="00C07D55">
            <w:pPr>
              <w:keepNext/>
              <w:spacing w:before="60" w:after="60"/>
              <w:jc w:val="left"/>
              <w:rPr>
                <w:rStyle w:val="Strong"/>
                <w:sz w:val="16"/>
                <w:szCs w:val="16"/>
              </w:rPr>
            </w:pPr>
            <w:r w:rsidRPr="00CA0BF8">
              <w:rPr>
                <w:rStyle w:val="Strong"/>
                <w:sz w:val="16"/>
                <w:szCs w:val="16"/>
              </w:rPr>
              <w:t>$ billion</w:t>
            </w:r>
          </w:p>
        </w:tc>
        <w:tc>
          <w:tcPr>
            <w:tcW w:w="1274" w:type="dxa"/>
            <w:vAlign w:val="center"/>
          </w:tcPr>
          <w:p w14:paraId="352079ED" w14:textId="77777777" w:rsidR="007B2AB9" w:rsidRPr="00CA0BF8" w:rsidRDefault="007B2AB9" w:rsidP="00C07D55">
            <w:pPr>
              <w:keepNext/>
              <w:spacing w:before="60" w:after="60"/>
              <w:jc w:val="center"/>
              <w:rPr>
                <w:sz w:val="16"/>
                <w:szCs w:val="16"/>
              </w:rPr>
            </w:pPr>
            <w:r w:rsidRPr="00CA0BF8">
              <w:rPr>
                <w:sz w:val="16"/>
                <w:szCs w:val="16"/>
              </w:rPr>
              <w:t>14.72</w:t>
            </w:r>
          </w:p>
        </w:tc>
        <w:tc>
          <w:tcPr>
            <w:tcW w:w="1275" w:type="dxa"/>
            <w:vAlign w:val="center"/>
          </w:tcPr>
          <w:p w14:paraId="39F23C62" w14:textId="77777777" w:rsidR="007B2AB9" w:rsidRPr="00CA0BF8" w:rsidRDefault="007B2AB9" w:rsidP="00C07D55">
            <w:pPr>
              <w:keepNext/>
              <w:spacing w:before="60" w:after="60"/>
              <w:jc w:val="center"/>
              <w:rPr>
                <w:sz w:val="16"/>
                <w:szCs w:val="16"/>
              </w:rPr>
            </w:pPr>
            <w:r w:rsidRPr="00CA0BF8">
              <w:rPr>
                <w:sz w:val="16"/>
                <w:szCs w:val="16"/>
              </w:rPr>
              <w:t>24.78</w:t>
            </w:r>
          </w:p>
        </w:tc>
        <w:tc>
          <w:tcPr>
            <w:tcW w:w="1274" w:type="dxa"/>
            <w:vAlign w:val="center"/>
          </w:tcPr>
          <w:p w14:paraId="1D0359CA" w14:textId="77777777" w:rsidR="007B2AB9" w:rsidRPr="00CA0BF8" w:rsidRDefault="007B2AB9" w:rsidP="00C07D55">
            <w:pPr>
              <w:keepNext/>
              <w:spacing w:before="60" w:after="60"/>
              <w:jc w:val="center"/>
              <w:rPr>
                <w:sz w:val="16"/>
                <w:szCs w:val="16"/>
              </w:rPr>
            </w:pPr>
            <w:r w:rsidRPr="00CA0BF8">
              <w:rPr>
                <w:sz w:val="16"/>
                <w:szCs w:val="16"/>
              </w:rPr>
              <w:t>39.5</w:t>
            </w:r>
          </w:p>
        </w:tc>
        <w:tc>
          <w:tcPr>
            <w:tcW w:w="1275" w:type="dxa"/>
            <w:vAlign w:val="center"/>
          </w:tcPr>
          <w:p w14:paraId="24985A39" w14:textId="77777777" w:rsidR="007B2AB9" w:rsidRPr="00CA0BF8" w:rsidRDefault="007B2AB9" w:rsidP="00C07D55">
            <w:pPr>
              <w:keepNext/>
              <w:spacing w:before="60" w:after="60"/>
              <w:jc w:val="center"/>
              <w:rPr>
                <w:sz w:val="16"/>
                <w:szCs w:val="16"/>
              </w:rPr>
            </w:pPr>
            <w:r w:rsidRPr="00CA0BF8">
              <w:rPr>
                <w:sz w:val="16"/>
                <w:szCs w:val="16"/>
              </w:rPr>
              <w:t>52.19</w:t>
            </w:r>
          </w:p>
        </w:tc>
        <w:tc>
          <w:tcPr>
            <w:tcW w:w="1275" w:type="dxa"/>
            <w:vAlign w:val="center"/>
          </w:tcPr>
          <w:p w14:paraId="03CA0D42" w14:textId="77777777" w:rsidR="007B2AB9" w:rsidRPr="00CA0BF8" w:rsidRDefault="007B2AB9" w:rsidP="00C07D55">
            <w:pPr>
              <w:keepNext/>
              <w:spacing w:before="60" w:after="60"/>
              <w:jc w:val="center"/>
              <w:rPr>
                <w:sz w:val="16"/>
                <w:szCs w:val="16"/>
              </w:rPr>
            </w:pPr>
            <w:r w:rsidRPr="00CA0BF8">
              <w:rPr>
                <w:sz w:val="16"/>
                <w:szCs w:val="16"/>
              </w:rPr>
              <w:t>91.69</w:t>
            </w:r>
          </w:p>
        </w:tc>
      </w:tr>
      <w:tr w:rsidR="001E7736" w:rsidRPr="001331D1" w14:paraId="193C0673" w14:textId="77777777" w:rsidTr="006066A2">
        <w:tc>
          <w:tcPr>
            <w:tcW w:w="1559" w:type="dxa"/>
            <w:shd w:val="clear" w:color="auto" w:fill="auto"/>
          </w:tcPr>
          <w:p w14:paraId="267E525B" w14:textId="77777777" w:rsidR="007B2AB9" w:rsidRPr="00CA0BF8" w:rsidRDefault="007B2AB9" w:rsidP="00C07D55">
            <w:pPr>
              <w:keepNext/>
              <w:spacing w:before="60" w:after="60"/>
              <w:jc w:val="left"/>
              <w:rPr>
                <w:rStyle w:val="Strong"/>
                <w:sz w:val="16"/>
                <w:szCs w:val="16"/>
              </w:rPr>
            </w:pPr>
            <w:r w:rsidRPr="00CA0BF8">
              <w:rPr>
                <w:rStyle w:val="Strong"/>
                <w:sz w:val="16"/>
                <w:szCs w:val="16"/>
              </w:rPr>
              <w:t xml:space="preserve">% </w:t>
            </w:r>
            <w:proofErr w:type="gramStart"/>
            <w:r w:rsidRPr="00CA0BF8">
              <w:rPr>
                <w:rStyle w:val="Strong"/>
                <w:sz w:val="16"/>
                <w:szCs w:val="16"/>
              </w:rPr>
              <w:t>of</w:t>
            </w:r>
            <w:proofErr w:type="gramEnd"/>
            <w:r w:rsidRPr="00CA0BF8">
              <w:rPr>
                <w:rStyle w:val="Strong"/>
                <w:sz w:val="16"/>
                <w:szCs w:val="16"/>
              </w:rPr>
              <w:t xml:space="preserve"> debt + equity</w:t>
            </w:r>
          </w:p>
        </w:tc>
        <w:tc>
          <w:tcPr>
            <w:tcW w:w="1274" w:type="dxa"/>
            <w:vAlign w:val="center"/>
          </w:tcPr>
          <w:p w14:paraId="572A3344" w14:textId="186E77E8" w:rsidR="007B2AB9" w:rsidRPr="00CA0BF8" w:rsidRDefault="007B2AB9" w:rsidP="00C07D55">
            <w:pPr>
              <w:keepNext/>
              <w:spacing w:before="60" w:after="60"/>
              <w:jc w:val="center"/>
              <w:rPr>
                <w:sz w:val="16"/>
                <w:szCs w:val="16"/>
              </w:rPr>
            </w:pPr>
          </w:p>
        </w:tc>
        <w:tc>
          <w:tcPr>
            <w:tcW w:w="1275" w:type="dxa"/>
            <w:vAlign w:val="center"/>
          </w:tcPr>
          <w:p w14:paraId="08FD991D" w14:textId="60FAAAF6" w:rsidR="007B2AB9" w:rsidRPr="00CA0BF8" w:rsidRDefault="007B2AB9" w:rsidP="00C07D55">
            <w:pPr>
              <w:keepNext/>
              <w:spacing w:before="60" w:after="60"/>
              <w:jc w:val="center"/>
              <w:rPr>
                <w:sz w:val="16"/>
                <w:szCs w:val="16"/>
              </w:rPr>
            </w:pPr>
          </w:p>
        </w:tc>
        <w:tc>
          <w:tcPr>
            <w:tcW w:w="1274" w:type="dxa"/>
            <w:vAlign w:val="center"/>
          </w:tcPr>
          <w:p w14:paraId="03E7A61C" w14:textId="63965474" w:rsidR="007B2AB9" w:rsidRPr="00CA0BF8" w:rsidRDefault="007B2AB9" w:rsidP="00C07D55">
            <w:pPr>
              <w:keepNext/>
              <w:spacing w:before="60" w:after="60"/>
              <w:jc w:val="center"/>
              <w:rPr>
                <w:sz w:val="16"/>
                <w:szCs w:val="16"/>
              </w:rPr>
            </w:pPr>
            <w:r w:rsidRPr="00CA0BF8">
              <w:rPr>
                <w:sz w:val="16"/>
                <w:szCs w:val="16"/>
              </w:rPr>
              <w:t>43.1</w:t>
            </w:r>
            <w:r w:rsidR="001E7736" w:rsidRPr="001331D1">
              <w:rPr>
                <w:sz w:val="16"/>
                <w:szCs w:val="16"/>
              </w:rPr>
              <w:t>%</w:t>
            </w:r>
          </w:p>
        </w:tc>
        <w:tc>
          <w:tcPr>
            <w:tcW w:w="1275" w:type="dxa"/>
            <w:vAlign w:val="center"/>
          </w:tcPr>
          <w:p w14:paraId="68DC38F7" w14:textId="3AEE3352" w:rsidR="007B2AB9" w:rsidRPr="00CA0BF8" w:rsidRDefault="007B2AB9" w:rsidP="00C07D55">
            <w:pPr>
              <w:keepNext/>
              <w:spacing w:before="60" w:after="60"/>
              <w:jc w:val="center"/>
              <w:rPr>
                <w:sz w:val="16"/>
                <w:szCs w:val="16"/>
              </w:rPr>
            </w:pPr>
            <w:r w:rsidRPr="00CA0BF8">
              <w:rPr>
                <w:sz w:val="16"/>
                <w:szCs w:val="16"/>
              </w:rPr>
              <w:t>56.9</w:t>
            </w:r>
            <w:r w:rsidR="001E7736" w:rsidRPr="001331D1">
              <w:rPr>
                <w:sz w:val="16"/>
                <w:szCs w:val="16"/>
              </w:rPr>
              <w:t>%</w:t>
            </w:r>
          </w:p>
        </w:tc>
        <w:tc>
          <w:tcPr>
            <w:tcW w:w="1275" w:type="dxa"/>
            <w:vAlign w:val="center"/>
          </w:tcPr>
          <w:p w14:paraId="63824FCB" w14:textId="4AD79061" w:rsidR="007B2AB9" w:rsidRPr="00CA0BF8" w:rsidRDefault="007B2AB9" w:rsidP="00C07D55">
            <w:pPr>
              <w:keepNext/>
              <w:spacing w:before="60" w:after="60"/>
              <w:jc w:val="center"/>
              <w:rPr>
                <w:sz w:val="16"/>
                <w:szCs w:val="16"/>
              </w:rPr>
            </w:pPr>
            <w:r w:rsidRPr="00CA0BF8">
              <w:rPr>
                <w:sz w:val="16"/>
                <w:szCs w:val="16"/>
              </w:rPr>
              <w:t>100</w:t>
            </w:r>
            <w:r w:rsidR="001E7736" w:rsidRPr="001331D1">
              <w:rPr>
                <w:sz w:val="16"/>
                <w:szCs w:val="16"/>
              </w:rPr>
              <w:t>%</w:t>
            </w:r>
          </w:p>
        </w:tc>
      </w:tr>
      <w:tr w:rsidR="001E7736" w:rsidRPr="001331D1" w14:paraId="299D38D0" w14:textId="77777777" w:rsidTr="006066A2">
        <w:tc>
          <w:tcPr>
            <w:tcW w:w="1559" w:type="dxa"/>
            <w:shd w:val="clear" w:color="auto" w:fill="auto"/>
          </w:tcPr>
          <w:p w14:paraId="2ED02C3D" w14:textId="77777777" w:rsidR="007B2AB9" w:rsidRPr="00CA0BF8" w:rsidRDefault="007B2AB9" w:rsidP="00C07D55">
            <w:pPr>
              <w:keepNext/>
              <w:spacing w:before="60" w:after="60"/>
              <w:jc w:val="left"/>
              <w:rPr>
                <w:rStyle w:val="Strong"/>
                <w:sz w:val="16"/>
                <w:szCs w:val="16"/>
              </w:rPr>
            </w:pPr>
            <w:r w:rsidRPr="00CA0BF8">
              <w:rPr>
                <w:rStyle w:val="Strong"/>
                <w:sz w:val="16"/>
                <w:szCs w:val="16"/>
              </w:rPr>
              <w:t xml:space="preserve">% </w:t>
            </w:r>
            <w:proofErr w:type="gramStart"/>
            <w:r w:rsidRPr="00CA0BF8">
              <w:rPr>
                <w:rStyle w:val="Strong"/>
                <w:sz w:val="16"/>
                <w:szCs w:val="16"/>
              </w:rPr>
              <w:t>of</w:t>
            </w:r>
            <w:proofErr w:type="gramEnd"/>
            <w:r w:rsidRPr="00CA0BF8">
              <w:rPr>
                <w:rStyle w:val="Strong"/>
                <w:sz w:val="16"/>
                <w:szCs w:val="16"/>
              </w:rPr>
              <w:t xml:space="preserve"> interest-bearing debt</w:t>
            </w:r>
          </w:p>
        </w:tc>
        <w:tc>
          <w:tcPr>
            <w:tcW w:w="1274" w:type="dxa"/>
            <w:vAlign w:val="center"/>
          </w:tcPr>
          <w:p w14:paraId="033DFE6D" w14:textId="24DC818E" w:rsidR="007B2AB9" w:rsidRPr="00CA0BF8" w:rsidRDefault="007B2AB9" w:rsidP="00C07D55">
            <w:pPr>
              <w:keepNext/>
              <w:spacing w:before="60" w:after="60"/>
              <w:jc w:val="center"/>
              <w:rPr>
                <w:sz w:val="16"/>
                <w:szCs w:val="16"/>
              </w:rPr>
            </w:pPr>
            <w:r w:rsidRPr="00CA0BF8">
              <w:rPr>
                <w:sz w:val="16"/>
                <w:szCs w:val="16"/>
              </w:rPr>
              <w:t>37.3</w:t>
            </w:r>
            <w:r w:rsidR="001E7736" w:rsidRPr="001331D1">
              <w:rPr>
                <w:sz w:val="16"/>
                <w:szCs w:val="16"/>
              </w:rPr>
              <w:t>%</w:t>
            </w:r>
          </w:p>
        </w:tc>
        <w:tc>
          <w:tcPr>
            <w:tcW w:w="1275" w:type="dxa"/>
            <w:vAlign w:val="center"/>
          </w:tcPr>
          <w:p w14:paraId="7C563C0A" w14:textId="4C3A9381" w:rsidR="007B2AB9" w:rsidRPr="00CA0BF8" w:rsidRDefault="007B2AB9" w:rsidP="00C07D55">
            <w:pPr>
              <w:keepNext/>
              <w:spacing w:before="60" w:after="60"/>
              <w:jc w:val="center"/>
              <w:rPr>
                <w:sz w:val="16"/>
                <w:szCs w:val="16"/>
              </w:rPr>
            </w:pPr>
            <w:r w:rsidRPr="00CA0BF8">
              <w:rPr>
                <w:sz w:val="16"/>
                <w:szCs w:val="16"/>
              </w:rPr>
              <w:t>62.7</w:t>
            </w:r>
            <w:r w:rsidR="001E7736" w:rsidRPr="001331D1">
              <w:rPr>
                <w:sz w:val="16"/>
                <w:szCs w:val="16"/>
              </w:rPr>
              <w:t>%</w:t>
            </w:r>
          </w:p>
        </w:tc>
        <w:tc>
          <w:tcPr>
            <w:tcW w:w="1274" w:type="dxa"/>
            <w:vAlign w:val="center"/>
          </w:tcPr>
          <w:p w14:paraId="134A3E6E" w14:textId="1EA0391B" w:rsidR="007B2AB9" w:rsidRPr="00CA0BF8" w:rsidRDefault="007B2AB9" w:rsidP="00C07D55">
            <w:pPr>
              <w:keepNext/>
              <w:spacing w:before="60" w:after="60"/>
              <w:jc w:val="center"/>
              <w:rPr>
                <w:sz w:val="16"/>
                <w:szCs w:val="16"/>
              </w:rPr>
            </w:pPr>
            <w:r w:rsidRPr="00CA0BF8">
              <w:rPr>
                <w:sz w:val="16"/>
                <w:szCs w:val="16"/>
              </w:rPr>
              <w:t>100</w:t>
            </w:r>
            <w:r w:rsidR="001E7736" w:rsidRPr="001331D1">
              <w:rPr>
                <w:sz w:val="16"/>
                <w:szCs w:val="16"/>
              </w:rPr>
              <w:t>%</w:t>
            </w:r>
          </w:p>
        </w:tc>
        <w:tc>
          <w:tcPr>
            <w:tcW w:w="1275" w:type="dxa"/>
            <w:vAlign w:val="center"/>
          </w:tcPr>
          <w:p w14:paraId="2249B0A5" w14:textId="0B7D9B9A" w:rsidR="007B2AB9" w:rsidRPr="00CA0BF8" w:rsidRDefault="007B2AB9" w:rsidP="00C07D55">
            <w:pPr>
              <w:keepNext/>
              <w:spacing w:before="60" w:after="60"/>
              <w:jc w:val="center"/>
              <w:rPr>
                <w:sz w:val="16"/>
                <w:szCs w:val="16"/>
              </w:rPr>
            </w:pPr>
          </w:p>
        </w:tc>
        <w:tc>
          <w:tcPr>
            <w:tcW w:w="1275" w:type="dxa"/>
            <w:vAlign w:val="center"/>
          </w:tcPr>
          <w:p w14:paraId="000A63A4" w14:textId="6CC71C90" w:rsidR="007B2AB9" w:rsidRPr="00CA0BF8" w:rsidRDefault="007B2AB9" w:rsidP="00C07D55">
            <w:pPr>
              <w:keepNext/>
              <w:spacing w:before="60" w:after="60"/>
              <w:jc w:val="center"/>
              <w:rPr>
                <w:sz w:val="16"/>
                <w:szCs w:val="16"/>
              </w:rPr>
            </w:pPr>
          </w:p>
        </w:tc>
      </w:tr>
    </w:tbl>
    <w:p w14:paraId="1E908C60" w14:textId="77777777" w:rsidR="00D072C9" w:rsidRPr="00D70FDD" w:rsidRDefault="00D072C9" w:rsidP="00F15B8F">
      <w:pPr>
        <w:spacing w:before="0"/>
      </w:pPr>
    </w:p>
    <w:p w14:paraId="526A1A0B" w14:textId="50419E32" w:rsidR="00170106" w:rsidRPr="00170106" w:rsidRDefault="00170106" w:rsidP="008C3DFF">
      <w:pPr>
        <w:pStyle w:val="NumberedParagraph"/>
      </w:pPr>
      <w:r w:rsidRPr="00170106">
        <w:t xml:space="preserve">Table </w:t>
      </w:r>
      <w:r w:rsidR="00387B48">
        <w:t>A2</w:t>
      </w:r>
      <w:r w:rsidR="00004F1C">
        <w:t>.</w:t>
      </w:r>
      <w:r w:rsidR="00AD61E1">
        <w:t>3</w:t>
      </w:r>
      <w:r w:rsidRPr="00170106">
        <w:t xml:space="preserve"> indicates that related-party debt was 37.3%, and other debt was 62.7%, of total interest-bearing debt for the foreign-controlled firms in the IQ database.</w:t>
      </w:r>
    </w:p>
    <w:p w14:paraId="4B760983" w14:textId="005EB3BE" w:rsidR="00170106" w:rsidRPr="00170106" w:rsidRDefault="00170106" w:rsidP="008C3DFF">
      <w:pPr>
        <w:pStyle w:val="NumberedParagraph"/>
      </w:pPr>
      <w:r w:rsidRPr="00170106">
        <w:lastRenderedPageBreak/>
        <w:t>This allows us to consider how AIL and NRWT w</w:t>
      </w:r>
      <w:r w:rsidR="0073500B">
        <w:t>ould</w:t>
      </w:r>
      <w:r w:rsidRPr="00170106">
        <w:t xml:space="preserve"> affect costs of capital </w:t>
      </w:r>
      <w:r w:rsidR="00FC0C75">
        <w:t xml:space="preserve">for </w:t>
      </w:r>
      <w:r w:rsidR="00411435">
        <w:t xml:space="preserve">three different types of companies with </w:t>
      </w:r>
      <w:r w:rsidR="007043E9">
        <w:t>foreign marginal shareholders</w:t>
      </w:r>
      <w:r w:rsidR="009D26A3">
        <w:t>. In each case</w:t>
      </w:r>
      <w:r w:rsidR="00FC1CF1">
        <w:t>,</w:t>
      </w:r>
      <w:r w:rsidR="004C2ECD">
        <w:t xml:space="preserve"> we consider firms with average levels of debt:</w:t>
      </w:r>
    </w:p>
    <w:p w14:paraId="648F2158" w14:textId="283F893F" w:rsidR="00170106" w:rsidRPr="00170106" w:rsidRDefault="00170106" w:rsidP="008C3DFF">
      <w:pPr>
        <w:pStyle w:val="NumberedParagraph-BulletL1"/>
      </w:pPr>
      <w:r w:rsidRPr="00170106">
        <w:t>For domestic companies that are not foreign controlled, it would increase the interest rate from 3% to 3.10% on the 43% of capital that is debt</w:t>
      </w:r>
      <w:r w:rsidR="00AF5DB4">
        <w:t>-</w:t>
      </w:r>
      <w:r w:rsidRPr="00170106">
        <w:t>financed</w:t>
      </w:r>
      <w:r w:rsidR="000B62BA">
        <w:t xml:space="preserve"> and subject to AIL</w:t>
      </w:r>
      <w:r w:rsidR="00F65C3F">
        <w:t xml:space="preserve"> if the inflation rate is 2% per annum</w:t>
      </w:r>
      <w:r w:rsidRPr="00170106">
        <w:t>.</w:t>
      </w:r>
    </w:p>
    <w:p w14:paraId="61FF24DA" w14:textId="570751FF" w:rsidR="00170106" w:rsidRPr="00170106" w:rsidRDefault="00170106" w:rsidP="008C3DFF">
      <w:pPr>
        <w:pStyle w:val="NumberedParagraph-BulletL1"/>
      </w:pPr>
      <w:r w:rsidRPr="00170106">
        <w:t xml:space="preserve">For foreign-controlled companies that can claim credits for NRWT on interest, it would increase the average real interest rate paid to 3.06%. It leaves the interest rate paid on the 37% of debt </w:t>
      </w:r>
      <w:r w:rsidR="002C787D">
        <w:t>that</w:t>
      </w:r>
      <w:r w:rsidRPr="00170106">
        <w:t xml:space="preserve"> is related</w:t>
      </w:r>
      <w:r w:rsidR="00D46B08">
        <w:t>-</w:t>
      </w:r>
      <w:r w:rsidRPr="00170106">
        <w:t>party debt unchanged, while pushing up the cost of other debt to 3.10%.</w:t>
      </w:r>
    </w:p>
    <w:p w14:paraId="1435B104" w14:textId="568ECDA3" w:rsidR="00170106" w:rsidRPr="00170106" w:rsidRDefault="00170106" w:rsidP="008C3DFF">
      <w:pPr>
        <w:pStyle w:val="NumberedParagraph-BulletL1"/>
      </w:pPr>
      <w:r w:rsidRPr="00170106">
        <w:t xml:space="preserve">For foreign-controlled companies that are unable to claim credits for NRWT on interest, it would increase the average interest rate paid to 3.27% by pushing up the interest rate paid on the 37% of debt </w:t>
      </w:r>
      <w:r w:rsidR="002C787D">
        <w:t>that</w:t>
      </w:r>
      <w:r w:rsidRPr="00170106">
        <w:t xml:space="preserve"> is related</w:t>
      </w:r>
      <w:r w:rsidR="003A0C31">
        <w:t>-</w:t>
      </w:r>
      <w:r w:rsidRPr="00170106">
        <w:t>party debt to 3.55%</w:t>
      </w:r>
      <w:r w:rsidR="00BE559A">
        <w:t>,</w:t>
      </w:r>
      <w:r w:rsidRPr="00170106">
        <w:t xml:space="preserve"> while pushing up the cost of other debt to 3.10%.</w:t>
      </w:r>
    </w:p>
    <w:p w14:paraId="2A982A29" w14:textId="6A8373BC" w:rsidR="00170106" w:rsidRPr="00170106" w:rsidRDefault="00170106" w:rsidP="0067211A">
      <w:pPr>
        <w:pStyle w:val="NumberedParagraph"/>
      </w:pPr>
      <w:r w:rsidRPr="00170106">
        <w:t xml:space="preserve">Estimated effects on costs of capital are examined in </w:t>
      </w:r>
      <w:r w:rsidRPr="00387B48">
        <w:t xml:space="preserve">table </w:t>
      </w:r>
      <w:r w:rsidR="000E1769" w:rsidRPr="00387B48">
        <w:t>A2</w:t>
      </w:r>
      <w:r w:rsidRPr="00387B48">
        <w:t>.</w:t>
      </w:r>
      <w:r w:rsidR="0073096E">
        <w:t>4</w:t>
      </w:r>
      <w:r w:rsidR="00BE559A">
        <w:t>,</w:t>
      </w:r>
      <w:r w:rsidRPr="00170106">
        <w:t xml:space="preserve"> assuming a world real interest rate of 3% and 2% inflation.</w:t>
      </w:r>
      <w:r w:rsidRPr="00170106">
        <w:rPr>
          <w:vertAlign w:val="superscript"/>
        </w:rPr>
        <w:footnoteReference w:id="19"/>
      </w:r>
      <w:r w:rsidR="00704A8C">
        <w:t xml:space="preserve"> The third row shows costs of capital</w:t>
      </w:r>
      <w:r w:rsidR="008C0EAC">
        <w:t xml:space="preserve"> for companies with marginal foreign shareholders</w:t>
      </w:r>
      <w:r w:rsidR="00D80069">
        <w:t xml:space="preserve"> </w:t>
      </w:r>
      <w:r w:rsidR="007301BA">
        <w:t xml:space="preserve">(which might or might not be foreign controlled) if </w:t>
      </w:r>
      <w:r w:rsidR="008C0EAC">
        <w:t xml:space="preserve">there is no AIL or NRWT. </w:t>
      </w:r>
      <w:r w:rsidR="003B7A38">
        <w:t xml:space="preserve">The </w:t>
      </w:r>
      <w:proofErr w:type="gramStart"/>
      <w:r w:rsidR="003B7A38">
        <w:t>fourth row</w:t>
      </w:r>
      <w:proofErr w:type="gramEnd"/>
      <w:r w:rsidR="003B7A38">
        <w:t xml:space="preserve"> show costs of capital for domestic companies </w:t>
      </w:r>
      <w:r w:rsidR="001B6206">
        <w:t>(</w:t>
      </w:r>
      <w:r w:rsidR="00770087">
        <w:t xml:space="preserve">that is, </w:t>
      </w:r>
      <w:r w:rsidR="001B6206">
        <w:t xml:space="preserve">companies </w:t>
      </w:r>
      <w:r w:rsidR="00EA359A">
        <w:t xml:space="preserve">with marginal foreign shareholders </w:t>
      </w:r>
      <w:r w:rsidR="0036676F">
        <w:t>that</w:t>
      </w:r>
      <w:r w:rsidR="001B6206">
        <w:t xml:space="preserve"> are not foreign controlled) when we have AIL and NRWT. </w:t>
      </w:r>
      <w:r w:rsidR="000A30C2">
        <w:t>The fifth row shows costs of capital for foreign</w:t>
      </w:r>
      <w:r w:rsidR="00074A9B">
        <w:t>-</w:t>
      </w:r>
      <w:r w:rsidR="000A30C2">
        <w:t xml:space="preserve">controlled companies when we have AIL and NRWT and NRWT is fully creditable. The </w:t>
      </w:r>
      <w:r w:rsidR="00626202">
        <w:t>sixth row shows costs of capital for foreign</w:t>
      </w:r>
      <w:r w:rsidR="0015390C">
        <w:t>-</w:t>
      </w:r>
      <w:r w:rsidR="00626202">
        <w:t>controlled companies when we have AIL and NRWT</w:t>
      </w:r>
      <w:r w:rsidR="00D8671A">
        <w:t>,</w:t>
      </w:r>
      <w:r w:rsidR="00626202">
        <w:t xml:space="preserve"> and NRWT is not creditable.</w:t>
      </w:r>
    </w:p>
    <w:p w14:paraId="55D1E2F5" w14:textId="6F727110" w:rsidR="00017B0F" w:rsidRPr="00017B0F" w:rsidRDefault="00A22636" w:rsidP="00A22636">
      <w:pPr>
        <w:pStyle w:val="Caption"/>
        <w:rPr>
          <w:rFonts w:eastAsia="Calibri"/>
        </w:rPr>
      </w:pPr>
      <w:r w:rsidRPr="00170106">
        <w:rPr>
          <w:rFonts w:eastAsia="Calibri"/>
          <w:lang w:eastAsia="en-US"/>
        </w:rPr>
        <w:lastRenderedPageBreak/>
        <w:t xml:space="preserve">Table </w:t>
      </w:r>
      <w:r>
        <w:rPr>
          <w:rFonts w:eastAsia="Calibri"/>
          <w:lang w:eastAsia="en-US"/>
        </w:rPr>
        <w:t>A2.</w:t>
      </w:r>
      <w:r w:rsidRPr="00170106">
        <w:rPr>
          <w:rFonts w:eastAsia="Calibri"/>
          <w:lang w:eastAsia="en-US"/>
        </w:rPr>
        <w:t>4</w:t>
      </w:r>
      <w:r>
        <w:rPr>
          <w:rFonts w:eastAsia="Calibri"/>
          <w:lang w:eastAsia="en-US"/>
        </w:rPr>
        <w:t xml:space="preserve">: </w:t>
      </w:r>
      <w:r w:rsidRPr="00170106">
        <w:rPr>
          <w:rFonts w:eastAsia="Calibri"/>
          <w:lang w:eastAsia="en-US"/>
        </w:rPr>
        <w:t xml:space="preserve">Costs of capital </w:t>
      </w:r>
      <w:r>
        <w:rPr>
          <w:rFonts w:eastAsia="Calibri"/>
          <w:lang w:eastAsia="en-US"/>
        </w:rPr>
        <w:t xml:space="preserve">for domestic companies with marginal foreign portfolio shareholders and for foreign-controlled companies, </w:t>
      </w:r>
      <w:r w:rsidRPr="00170106">
        <w:rPr>
          <w:rFonts w:eastAsia="Calibri"/>
          <w:lang w:eastAsia="en-US"/>
        </w:rPr>
        <w:t>r</w:t>
      </w:r>
      <w:r>
        <w:rPr>
          <w:rFonts w:eastAsia="Calibri"/>
          <w:lang w:eastAsia="en-US"/>
        </w:rPr>
        <w:t>*</w:t>
      </w:r>
      <w:r w:rsidRPr="00170106">
        <w:rPr>
          <w:rFonts w:eastAsia="Calibri"/>
          <w:lang w:eastAsia="en-US"/>
        </w:rPr>
        <w:t xml:space="preserve"> = 3%, inflation = 2%, </w:t>
      </w:r>
      <w:r>
        <w:rPr>
          <w:rFonts w:eastAsia="Calibri"/>
          <w:lang w:eastAsia="en-US"/>
        </w:rPr>
        <w:t>debt</w:t>
      </w:r>
      <w:r w:rsidRPr="00170106">
        <w:rPr>
          <w:rFonts w:eastAsia="Calibri"/>
          <w:lang w:eastAsia="en-US"/>
        </w:rPr>
        <w:t xml:space="preserve"> = </w:t>
      </w:r>
      <w:r>
        <w:rPr>
          <w:rFonts w:eastAsia="Calibri"/>
          <w:lang w:eastAsia="en-US"/>
        </w:rPr>
        <w:t>43%</w:t>
      </w:r>
    </w:p>
    <w:tbl>
      <w:tblPr>
        <w:tblStyle w:val="TableGrid"/>
        <w:tblW w:w="9781" w:type="dxa"/>
        <w:tblInd w:w="-50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28" w:type="dxa"/>
          <w:right w:w="28" w:type="dxa"/>
        </w:tblCellMar>
        <w:tblLook w:val="04A0" w:firstRow="1" w:lastRow="0" w:firstColumn="1" w:lastColumn="0" w:noHBand="0" w:noVBand="1"/>
      </w:tblPr>
      <w:tblGrid>
        <w:gridCol w:w="1347"/>
        <w:gridCol w:w="992"/>
        <w:gridCol w:w="737"/>
        <w:gridCol w:w="681"/>
        <w:gridCol w:w="651"/>
        <w:gridCol w:w="666"/>
        <w:gridCol w:w="667"/>
        <w:gridCol w:w="1134"/>
        <w:gridCol w:w="851"/>
        <w:gridCol w:w="1134"/>
        <w:gridCol w:w="921"/>
      </w:tblGrid>
      <w:tr w:rsidR="0028109D" w:rsidRPr="008F735E" w14:paraId="7C4819E1" w14:textId="77777777" w:rsidTr="006066A2">
        <w:trPr>
          <w:tblHeader/>
        </w:trPr>
        <w:tc>
          <w:tcPr>
            <w:tcW w:w="1347" w:type="dxa"/>
            <w:shd w:val="clear" w:color="auto" w:fill="232E36"/>
          </w:tcPr>
          <w:p w14:paraId="208760AF" w14:textId="77777777" w:rsidR="0028109D" w:rsidRPr="008F735E" w:rsidRDefault="0028109D" w:rsidP="00447F49">
            <w:pPr>
              <w:keepNext/>
              <w:keepLines/>
              <w:spacing w:before="120" w:after="120"/>
              <w:rPr>
                <w:color w:val="FFFFFF" w:themeColor="background1"/>
                <w:sz w:val="14"/>
                <w:szCs w:val="14"/>
              </w:rPr>
            </w:pPr>
          </w:p>
        </w:tc>
        <w:tc>
          <w:tcPr>
            <w:tcW w:w="992" w:type="dxa"/>
            <w:shd w:val="clear" w:color="auto" w:fill="232E36"/>
          </w:tcPr>
          <w:p w14:paraId="0494CACE" w14:textId="77777777" w:rsidR="0028109D" w:rsidRPr="008F735E" w:rsidRDefault="0028109D" w:rsidP="00447F49">
            <w:pPr>
              <w:keepNext/>
              <w:keepLines/>
              <w:spacing w:before="120" w:after="120"/>
              <w:jc w:val="center"/>
              <w:rPr>
                <w:b/>
                <w:bCs/>
                <w:color w:val="FFFFFF" w:themeColor="background1"/>
                <w:sz w:val="14"/>
                <w:szCs w:val="14"/>
              </w:rPr>
            </w:pPr>
            <w:r w:rsidRPr="008F735E">
              <w:rPr>
                <w:b/>
                <w:bCs/>
                <w:color w:val="FFFFFF" w:themeColor="background1"/>
                <w:sz w:val="14"/>
                <w:szCs w:val="14"/>
              </w:rPr>
              <w:t>Commercial and industrial buildings</w:t>
            </w:r>
          </w:p>
        </w:tc>
        <w:tc>
          <w:tcPr>
            <w:tcW w:w="3402" w:type="dxa"/>
            <w:gridSpan w:val="5"/>
            <w:shd w:val="clear" w:color="auto" w:fill="232E36"/>
          </w:tcPr>
          <w:p w14:paraId="5B350146" w14:textId="77777777" w:rsidR="0028109D" w:rsidRPr="008F735E" w:rsidRDefault="0028109D" w:rsidP="00447F49">
            <w:pPr>
              <w:keepNext/>
              <w:keepLines/>
              <w:spacing w:before="120" w:after="120"/>
              <w:jc w:val="center"/>
              <w:rPr>
                <w:b/>
                <w:bCs/>
                <w:color w:val="FFFFFF" w:themeColor="background1"/>
                <w:sz w:val="14"/>
                <w:szCs w:val="14"/>
              </w:rPr>
            </w:pPr>
            <w:r w:rsidRPr="008F735E">
              <w:rPr>
                <w:b/>
                <w:bCs/>
                <w:color w:val="FFFFFF" w:themeColor="background1"/>
                <w:sz w:val="14"/>
                <w:szCs w:val="14"/>
              </w:rPr>
              <w:t xml:space="preserve">Plant, </w:t>
            </w:r>
            <w:proofErr w:type="gramStart"/>
            <w:r w:rsidRPr="008F735E">
              <w:rPr>
                <w:b/>
                <w:bCs/>
                <w:color w:val="FFFFFF" w:themeColor="background1"/>
                <w:sz w:val="14"/>
                <w:szCs w:val="14"/>
              </w:rPr>
              <w:t>machinery</w:t>
            </w:r>
            <w:proofErr w:type="gramEnd"/>
            <w:r w:rsidRPr="008F735E">
              <w:rPr>
                <w:b/>
                <w:bCs/>
                <w:color w:val="FFFFFF" w:themeColor="background1"/>
                <w:sz w:val="14"/>
                <w:szCs w:val="14"/>
              </w:rPr>
              <w:t xml:space="preserve"> and equipment</w:t>
            </w:r>
          </w:p>
        </w:tc>
        <w:tc>
          <w:tcPr>
            <w:tcW w:w="1134" w:type="dxa"/>
            <w:shd w:val="clear" w:color="auto" w:fill="232E36"/>
          </w:tcPr>
          <w:p w14:paraId="1B7EBC5D" w14:textId="77777777" w:rsidR="0028109D" w:rsidRPr="008F735E" w:rsidRDefault="0028109D" w:rsidP="00447F49">
            <w:pPr>
              <w:keepNext/>
              <w:keepLines/>
              <w:spacing w:before="120" w:after="120"/>
              <w:jc w:val="center"/>
              <w:rPr>
                <w:b/>
                <w:bCs/>
                <w:color w:val="FFFFFF" w:themeColor="background1"/>
                <w:sz w:val="14"/>
                <w:szCs w:val="14"/>
              </w:rPr>
            </w:pPr>
            <w:r w:rsidRPr="008F735E">
              <w:rPr>
                <w:b/>
                <w:bCs/>
                <w:color w:val="FFFFFF" w:themeColor="background1"/>
                <w:sz w:val="14"/>
                <w:szCs w:val="14"/>
              </w:rPr>
              <w:t>Zero</w:t>
            </w:r>
            <w:r>
              <w:rPr>
                <w:b/>
                <w:bCs/>
                <w:color w:val="FFFFFF" w:themeColor="background1"/>
                <w:sz w:val="14"/>
                <w:szCs w:val="14"/>
              </w:rPr>
              <w:t>-</w:t>
            </w:r>
            <w:r w:rsidRPr="008F735E">
              <w:rPr>
                <w:b/>
                <w:bCs/>
                <w:color w:val="FFFFFF" w:themeColor="background1"/>
                <w:sz w:val="14"/>
                <w:szCs w:val="14"/>
              </w:rPr>
              <w:t>depreciating assets</w:t>
            </w:r>
          </w:p>
        </w:tc>
        <w:tc>
          <w:tcPr>
            <w:tcW w:w="851" w:type="dxa"/>
            <w:shd w:val="clear" w:color="auto" w:fill="232E36"/>
          </w:tcPr>
          <w:p w14:paraId="680CFEC5" w14:textId="77777777" w:rsidR="0028109D" w:rsidRPr="008F735E" w:rsidRDefault="0028109D" w:rsidP="00447F49">
            <w:pPr>
              <w:keepNext/>
              <w:keepLines/>
              <w:spacing w:before="120" w:after="120"/>
              <w:jc w:val="center"/>
              <w:rPr>
                <w:b/>
                <w:bCs/>
                <w:color w:val="FFFFFF" w:themeColor="background1"/>
                <w:sz w:val="14"/>
                <w:szCs w:val="14"/>
              </w:rPr>
            </w:pPr>
            <w:r w:rsidRPr="008F735E">
              <w:rPr>
                <w:b/>
                <w:bCs/>
                <w:color w:val="FFFFFF" w:themeColor="background1"/>
                <w:sz w:val="14"/>
                <w:szCs w:val="14"/>
              </w:rPr>
              <w:t>Inventory</w:t>
            </w:r>
          </w:p>
        </w:tc>
        <w:tc>
          <w:tcPr>
            <w:tcW w:w="1134" w:type="dxa"/>
            <w:shd w:val="clear" w:color="auto" w:fill="232E36"/>
          </w:tcPr>
          <w:p w14:paraId="5596B43E" w14:textId="77777777" w:rsidR="0028109D" w:rsidRPr="008F735E" w:rsidRDefault="0028109D" w:rsidP="00447F49">
            <w:pPr>
              <w:keepNext/>
              <w:keepLines/>
              <w:spacing w:before="120" w:after="120"/>
              <w:jc w:val="center"/>
              <w:rPr>
                <w:b/>
                <w:bCs/>
                <w:color w:val="FFFFFF" w:themeColor="background1"/>
                <w:sz w:val="14"/>
                <w:szCs w:val="14"/>
              </w:rPr>
            </w:pPr>
            <w:r w:rsidRPr="008F735E">
              <w:rPr>
                <w:b/>
                <w:bCs/>
                <w:color w:val="FFFFFF" w:themeColor="background1"/>
                <w:sz w:val="14"/>
                <w:szCs w:val="14"/>
              </w:rPr>
              <w:t>Appreciating assets</w:t>
            </w:r>
          </w:p>
        </w:tc>
        <w:tc>
          <w:tcPr>
            <w:tcW w:w="921" w:type="dxa"/>
            <w:shd w:val="clear" w:color="auto" w:fill="232E36"/>
          </w:tcPr>
          <w:p w14:paraId="118D7EDA" w14:textId="77777777" w:rsidR="0028109D" w:rsidRPr="008F735E" w:rsidRDefault="0028109D" w:rsidP="00447F49">
            <w:pPr>
              <w:keepNext/>
              <w:keepLines/>
              <w:spacing w:before="120" w:after="120"/>
              <w:jc w:val="center"/>
              <w:rPr>
                <w:b/>
                <w:bCs/>
                <w:color w:val="FFFFFF" w:themeColor="background1"/>
                <w:sz w:val="14"/>
                <w:szCs w:val="14"/>
              </w:rPr>
            </w:pPr>
            <w:r w:rsidRPr="008F735E">
              <w:rPr>
                <w:b/>
                <w:bCs/>
                <w:color w:val="FFFFFF" w:themeColor="background1"/>
                <w:sz w:val="14"/>
                <w:szCs w:val="14"/>
              </w:rPr>
              <w:t>Expensing</w:t>
            </w:r>
          </w:p>
        </w:tc>
      </w:tr>
      <w:tr w:rsidR="0028109D" w:rsidRPr="008F735E" w14:paraId="15487AC9" w14:textId="77777777" w:rsidTr="006066A2">
        <w:tc>
          <w:tcPr>
            <w:tcW w:w="1347" w:type="dxa"/>
            <w:shd w:val="clear" w:color="auto" w:fill="auto"/>
            <w:vAlign w:val="bottom"/>
          </w:tcPr>
          <w:p w14:paraId="7515BEC7" w14:textId="77777777" w:rsidR="0028109D" w:rsidRPr="00CF778C" w:rsidRDefault="0028109D" w:rsidP="00447F49">
            <w:pPr>
              <w:keepNext/>
              <w:keepLines/>
              <w:tabs>
                <w:tab w:val="left" w:pos="106"/>
              </w:tabs>
              <w:spacing w:before="60" w:after="60"/>
              <w:rPr>
                <w:rStyle w:val="Strong"/>
                <w:b w:val="0"/>
                <w:bCs w:val="0"/>
                <w:sz w:val="14"/>
                <w:szCs w:val="14"/>
              </w:rPr>
            </w:pPr>
            <w:r>
              <w:rPr>
                <w:rStyle w:val="Strong"/>
                <w:sz w:val="14"/>
                <w:szCs w:val="14"/>
              </w:rPr>
              <w:t>d</w:t>
            </w:r>
          </w:p>
        </w:tc>
        <w:tc>
          <w:tcPr>
            <w:tcW w:w="992" w:type="dxa"/>
            <w:vAlign w:val="center"/>
          </w:tcPr>
          <w:p w14:paraId="5E44C3D0" w14:textId="77777777" w:rsidR="0028109D" w:rsidRPr="008F735E" w:rsidRDefault="0028109D" w:rsidP="00447F49">
            <w:pPr>
              <w:keepNext/>
              <w:keepLines/>
              <w:tabs>
                <w:tab w:val="decimal" w:pos="256"/>
              </w:tabs>
              <w:spacing w:before="60" w:after="60"/>
              <w:jc w:val="center"/>
              <w:rPr>
                <w:sz w:val="14"/>
                <w:szCs w:val="14"/>
              </w:rPr>
            </w:pPr>
            <w:r w:rsidRPr="008F735E">
              <w:rPr>
                <w:sz w:val="14"/>
                <w:szCs w:val="14"/>
              </w:rPr>
              <w:t>2.69%</w:t>
            </w:r>
          </w:p>
        </w:tc>
        <w:tc>
          <w:tcPr>
            <w:tcW w:w="737" w:type="dxa"/>
            <w:vAlign w:val="center"/>
          </w:tcPr>
          <w:p w14:paraId="0F18F595" w14:textId="77777777" w:rsidR="0028109D" w:rsidRPr="008F735E" w:rsidRDefault="0028109D" w:rsidP="00447F49">
            <w:pPr>
              <w:keepNext/>
              <w:keepLines/>
              <w:tabs>
                <w:tab w:val="decimal" w:pos="256"/>
              </w:tabs>
              <w:spacing w:before="60" w:after="60"/>
              <w:jc w:val="center"/>
              <w:rPr>
                <w:sz w:val="14"/>
                <w:szCs w:val="14"/>
              </w:rPr>
            </w:pPr>
            <w:r w:rsidRPr="008F735E">
              <w:rPr>
                <w:sz w:val="14"/>
                <w:szCs w:val="14"/>
              </w:rPr>
              <w:t>100.00%</w:t>
            </w:r>
          </w:p>
        </w:tc>
        <w:tc>
          <w:tcPr>
            <w:tcW w:w="681" w:type="dxa"/>
            <w:vAlign w:val="center"/>
          </w:tcPr>
          <w:p w14:paraId="4B9201A3" w14:textId="77777777" w:rsidR="0028109D" w:rsidRPr="008F735E" w:rsidRDefault="0028109D" w:rsidP="00447F49">
            <w:pPr>
              <w:keepNext/>
              <w:keepLines/>
              <w:tabs>
                <w:tab w:val="decimal" w:pos="256"/>
              </w:tabs>
              <w:spacing w:before="60" w:after="60"/>
              <w:jc w:val="center"/>
              <w:rPr>
                <w:sz w:val="14"/>
                <w:szCs w:val="14"/>
              </w:rPr>
            </w:pPr>
            <w:r w:rsidRPr="008F735E">
              <w:rPr>
                <w:sz w:val="14"/>
                <w:szCs w:val="14"/>
              </w:rPr>
              <w:t>50.00%</w:t>
            </w:r>
          </w:p>
        </w:tc>
        <w:tc>
          <w:tcPr>
            <w:tcW w:w="651" w:type="dxa"/>
            <w:vAlign w:val="center"/>
          </w:tcPr>
          <w:p w14:paraId="3B55A002" w14:textId="77777777" w:rsidR="0028109D" w:rsidRPr="008F735E" w:rsidRDefault="0028109D" w:rsidP="00447F49">
            <w:pPr>
              <w:keepNext/>
              <w:keepLines/>
              <w:tabs>
                <w:tab w:val="decimal" w:pos="256"/>
              </w:tabs>
              <w:spacing w:before="60" w:after="60"/>
              <w:jc w:val="center"/>
              <w:rPr>
                <w:sz w:val="14"/>
                <w:szCs w:val="14"/>
              </w:rPr>
            </w:pPr>
            <w:r w:rsidRPr="008F735E">
              <w:rPr>
                <w:sz w:val="14"/>
                <w:szCs w:val="14"/>
              </w:rPr>
              <w:t>10.00%</w:t>
            </w:r>
          </w:p>
        </w:tc>
        <w:tc>
          <w:tcPr>
            <w:tcW w:w="666" w:type="dxa"/>
            <w:vAlign w:val="center"/>
          </w:tcPr>
          <w:p w14:paraId="5EE845BD" w14:textId="77777777" w:rsidR="0028109D" w:rsidRPr="008F735E" w:rsidRDefault="0028109D" w:rsidP="00447F49">
            <w:pPr>
              <w:keepNext/>
              <w:keepLines/>
              <w:tabs>
                <w:tab w:val="decimal" w:pos="256"/>
              </w:tabs>
              <w:spacing w:before="60" w:after="60"/>
              <w:jc w:val="center"/>
              <w:rPr>
                <w:sz w:val="14"/>
                <w:szCs w:val="14"/>
              </w:rPr>
            </w:pPr>
            <w:r w:rsidRPr="008F735E">
              <w:rPr>
                <w:sz w:val="14"/>
                <w:szCs w:val="14"/>
              </w:rPr>
              <w:t>4.00%</w:t>
            </w:r>
          </w:p>
        </w:tc>
        <w:tc>
          <w:tcPr>
            <w:tcW w:w="667" w:type="dxa"/>
            <w:vAlign w:val="center"/>
          </w:tcPr>
          <w:p w14:paraId="0FC85BC6" w14:textId="77777777" w:rsidR="0028109D" w:rsidRPr="008F735E" w:rsidRDefault="0028109D" w:rsidP="00447F49">
            <w:pPr>
              <w:keepNext/>
              <w:keepLines/>
              <w:tabs>
                <w:tab w:val="decimal" w:pos="256"/>
              </w:tabs>
              <w:spacing w:before="60" w:after="60"/>
              <w:jc w:val="center"/>
              <w:rPr>
                <w:sz w:val="14"/>
                <w:szCs w:val="14"/>
              </w:rPr>
            </w:pPr>
            <w:r w:rsidRPr="008F735E">
              <w:rPr>
                <w:sz w:val="14"/>
                <w:szCs w:val="14"/>
              </w:rPr>
              <w:t>2.00%</w:t>
            </w:r>
          </w:p>
        </w:tc>
        <w:tc>
          <w:tcPr>
            <w:tcW w:w="1134" w:type="dxa"/>
            <w:vAlign w:val="center"/>
          </w:tcPr>
          <w:p w14:paraId="147574ED" w14:textId="77777777" w:rsidR="0028109D" w:rsidRPr="008F735E" w:rsidRDefault="0028109D" w:rsidP="00447F49">
            <w:pPr>
              <w:keepNext/>
              <w:keepLines/>
              <w:tabs>
                <w:tab w:val="decimal" w:pos="256"/>
              </w:tabs>
              <w:spacing w:before="60" w:after="60"/>
              <w:jc w:val="center"/>
              <w:rPr>
                <w:sz w:val="14"/>
                <w:szCs w:val="14"/>
              </w:rPr>
            </w:pPr>
            <w:r w:rsidRPr="008F735E">
              <w:rPr>
                <w:sz w:val="14"/>
                <w:szCs w:val="14"/>
              </w:rPr>
              <w:t>0.00%</w:t>
            </w:r>
          </w:p>
        </w:tc>
        <w:tc>
          <w:tcPr>
            <w:tcW w:w="851" w:type="dxa"/>
            <w:vAlign w:val="center"/>
          </w:tcPr>
          <w:p w14:paraId="79137233" w14:textId="77777777" w:rsidR="0028109D" w:rsidRPr="008F735E" w:rsidRDefault="0028109D" w:rsidP="00447F49">
            <w:pPr>
              <w:keepNext/>
              <w:keepLines/>
              <w:tabs>
                <w:tab w:val="decimal" w:pos="256"/>
              </w:tabs>
              <w:spacing w:before="60" w:after="60"/>
              <w:jc w:val="center"/>
              <w:rPr>
                <w:sz w:val="14"/>
                <w:szCs w:val="14"/>
              </w:rPr>
            </w:pPr>
          </w:p>
        </w:tc>
        <w:tc>
          <w:tcPr>
            <w:tcW w:w="1134" w:type="dxa"/>
            <w:vAlign w:val="center"/>
          </w:tcPr>
          <w:p w14:paraId="7A110104" w14:textId="77777777" w:rsidR="0028109D" w:rsidRPr="008F735E" w:rsidRDefault="0028109D" w:rsidP="00447F49">
            <w:pPr>
              <w:keepNext/>
              <w:keepLines/>
              <w:tabs>
                <w:tab w:val="decimal" w:pos="256"/>
              </w:tabs>
              <w:spacing w:before="60" w:after="60"/>
              <w:jc w:val="center"/>
              <w:rPr>
                <w:sz w:val="14"/>
                <w:szCs w:val="14"/>
              </w:rPr>
            </w:pPr>
            <w:r w:rsidRPr="008F735E">
              <w:rPr>
                <w:sz w:val="14"/>
                <w:szCs w:val="14"/>
              </w:rPr>
              <w:t>-1.00%</w:t>
            </w:r>
          </w:p>
        </w:tc>
        <w:tc>
          <w:tcPr>
            <w:tcW w:w="921" w:type="dxa"/>
            <w:vAlign w:val="center"/>
          </w:tcPr>
          <w:p w14:paraId="7960E545" w14:textId="77777777" w:rsidR="0028109D" w:rsidRPr="008F735E" w:rsidRDefault="0028109D" w:rsidP="00447F49">
            <w:pPr>
              <w:keepNext/>
              <w:keepLines/>
              <w:tabs>
                <w:tab w:val="decimal" w:pos="256"/>
              </w:tabs>
              <w:spacing w:before="60" w:after="60"/>
              <w:jc w:val="center"/>
              <w:rPr>
                <w:sz w:val="14"/>
                <w:szCs w:val="14"/>
              </w:rPr>
            </w:pPr>
          </w:p>
        </w:tc>
      </w:tr>
      <w:tr w:rsidR="0028109D" w:rsidRPr="008F735E" w14:paraId="433395AD" w14:textId="77777777" w:rsidTr="006066A2">
        <w:tc>
          <w:tcPr>
            <w:tcW w:w="1347" w:type="dxa"/>
            <w:shd w:val="clear" w:color="auto" w:fill="auto"/>
            <w:vAlign w:val="bottom"/>
          </w:tcPr>
          <w:p w14:paraId="189B2818" w14:textId="77777777" w:rsidR="0028109D" w:rsidRPr="00CF778C" w:rsidRDefault="0028109D" w:rsidP="00447F49">
            <w:pPr>
              <w:keepNext/>
              <w:keepLines/>
              <w:tabs>
                <w:tab w:val="left" w:pos="106"/>
              </w:tabs>
              <w:spacing w:before="60" w:after="60"/>
              <w:rPr>
                <w:rStyle w:val="Strong"/>
                <w:b w:val="0"/>
                <w:bCs w:val="0"/>
                <w:sz w:val="14"/>
                <w:szCs w:val="14"/>
              </w:rPr>
            </w:pPr>
            <w:r>
              <w:rPr>
                <w:rStyle w:val="Strong"/>
                <w:sz w:val="14"/>
                <w:szCs w:val="14"/>
              </w:rPr>
              <w:t>d*</w:t>
            </w:r>
          </w:p>
        </w:tc>
        <w:tc>
          <w:tcPr>
            <w:tcW w:w="992" w:type="dxa"/>
            <w:vAlign w:val="center"/>
          </w:tcPr>
          <w:p w14:paraId="135DE79B" w14:textId="77777777" w:rsidR="0028109D" w:rsidRPr="008F735E" w:rsidRDefault="0028109D" w:rsidP="00447F49">
            <w:pPr>
              <w:keepNext/>
              <w:keepLines/>
              <w:tabs>
                <w:tab w:val="decimal" w:pos="256"/>
              </w:tabs>
              <w:spacing w:before="60" w:after="60"/>
              <w:jc w:val="center"/>
              <w:rPr>
                <w:sz w:val="14"/>
                <w:szCs w:val="14"/>
              </w:rPr>
            </w:pPr>
            <w:r w:rsidRPr="008F735E">
              <w:rPr>
                <w:sz w:val="14"/>
                <w:szCs w:val="14"/>
              </w:rPr>
              <w:t>2.00%</w:t>
            </w:r>
          </w:p>
        </w:tc>
        <w:tc>
          <w:tcPr>
            <w:tcW w:w="737" w:type="dxa"/>
            <w:vAlign w:val="center"/>
          </w:tcPr>
          <w:p w14:paraId="148AD258" w14:textId="77777777" w:rsidR="0028109D" w:rsidRPr="008F735E" w:rsidRDefault="0028109D" w:rsidP="00447F49">
            <w:pPr>
              <w:keepNext/>
              <w:keepLines/>
              <w:tabs>
                <w:tab w:val="decimal" w:pos="256"/>
              </w:tabs>
              <w:spacing w:before="60" w:after="60"/>
              <w:jc w:val="center"/>
              <w:rPr>
                <w:sz w:val="14"/>
                <w:szCs w:val="14"/>
              </w:rPr>
            </w:pPr>
            <w:r w:rsidRPr="008F735E">
              <w:rPr>
                <w:sz w:val="14"/>
                <w:szCs w:val="14"/>
              </w:rPr>
              <w:t>100.00%</w:t>
            </w:r>
          </w:p>
        </w:tc>
        <w:tc>
          <w:tcPr>
            <w:tcW w:w="681" w:type="dxa"/>
            <w:vAlign w:val="center"/>
          </w:tcPr>
          <w:p w14:paraId="2CB433D1" w14:textId="77777777" w:rsidR="0028109D" w:rsidRPr="008F735E" w:rsidRDefault="0028109D" w:rsidP="00447F49">
            <w:pPr>
              <w:keepNext/>
              <w:keepLines/>
              <w:tabs>
                <w:tab w:val="decimal" w:pos="256"/>
              </w:tabs>
              <w:spacing w:before="60" w:after="60"/>
              <w:jc w:val="center"/>
              <w:rPr>
                <w:sz w:val="14"/>
                <w:szCs w:val="14"/>
              </w:rPr>
            </w:pPr>
            <w:r w:rsidRPr="008F735E">
              <w:rPr>
                <w:sz w:val="14"/>
                <w:szCs w:val="14"/>
              </w:rPr>
              <w:t>50.00%</w:t>
            </w:r>
          </w:p>
        </w:tc>
        <w:tc>
          <w:tcPr>
            <w:tcW w:w="651" w:type="dxa"/>
            <w:vAlign w:val="center"/>
          </w:tcPr>
          <w:p w14:paraId="18349519" w14:textId="77777777" w:rsidR="0028109D" w:rsidRPr="008F735E" w:rsidRDefault="0028109D" w:rsidP="00447F49">
            <w:pPr>
              <w:keepNext/>
              <w:keepLines/>
              <w:tabs>
                <w:tab w:val="decimal" w:pos="256"/>
              </w:tabs>
              <w:spacing w:before="60" w:after="60"/>
              <w:jc w:val="center"/>
              <w:rPr>
                <w:sz w:val="14"/>
                <w:szCs w:val="14"/>
              </w:rPr>
            </w:pPr>
            <w:r w:rsidRPr="008F735E">
              <w:rPr>
                <w:sz w:val="14"/>
                <w:szCs w:val="14"/>
              </w:rPr>
              <w:t>10.00%</w:t>
            </w:r>
          </w:p>
        </w:tc>
        <w:tc>
          <w:tcPr>
            <w:tcW w:w="666" w:type="dxa"/>
            <w:vAlign w:val="center"/>
          </w:tcPr>
          <w:p w14:paraId="34488E17" w14:textId="77777777" w:rsidR="0028109D" w:rsidRPr="008F735E" w:rsidRDefault="0028109D" w:rsidP="00447F49">
            <w:pPr>
              <w:keepNext/>
              <w:keepLines/>
              <w:tabs>
                <w:tab w:val="decimal" w:pos="256"/>
              </w:tabs>
              <w:spacing w:before="60" w:after="60"/>
              <w:jc w:val="center"/>
              <w:rPr>
                <w:sz w:val="14"/>
                <w:szCs w:val="14"/>
              </w:rPr>
            </w:pPr>
            <w:r w:rsidRPr="008F735E">
              <w:rPr>
                <w:sz w:val="14"/>
                <w:szCs w:val="14"/>
              </w:rPr>
              <w:t>4.00%</w:t>
            </w:r>
          </w:p>
        </w:tc>
        <w:tc>
          <w:tcPr>
            <w:tcW w:w="667" w:type="dxa"/>
            <w:vAlign w:val="center"/>
          </w:tcPr>
          <w:p w14:paraId="5E7FD00F" w14:textId="77777777" w:rsidR="0028109D" w:rsidRPr="008F735E" w:rsidRDefault="0028109D" w:rsidP="00447F49">
            <w:pPr>
              <w:keepNext/>
              <w:keepLines/>
              <w:tabs>
                <w:tab w:val="decimal" w:pos="256"/>
              </w:tabs>
              <w:spacing w:before="60" w:after="60"/>
              <w:jc w:val="center"/>
              <w:rPr>
                <w:sz w:val="14"/>
                <w:szCs w:val="14"/>
              </w:rPr>
            </w:pPr>
            <w:r w:rsidRPr="008F735E">
              <w:rPr>
                <w:sz w:val="14"/>
                <w:szCs w:val="14"/>
              </w:rPr>
              <w:t>2.00%</w:t>
            </w:r>
          </w:p>
        </w:tc>
        <w:tc>
          <w:tcPr>
            <w:tcW w:w="1134" w:type="dxa"/>
            <w:vAlign w:val="center"/>
          </w:tcPr>
          <w:p w14:paraId="685DC921" w14:textId="77777777" w:rsidR="0028109D" w:rsidRPr="008F735E" w:rsidRDefault="0028109D" w:rsidP="00447F49">
            <w:pPr>
              <w:keepNext/>
              <w:keepLines/>
              <w:tabs>
                <w:tab w:val="decimal" w:pos="256"/>
              </w:tabs>
              <w:spacing w:before="60" w:after="60"/>
              <w:jc w:val="center"/>
              <w:rPr>
                <w:sz w:val="14"/>
                <w:szCs w:val="14"/>
              </w:rPr>
            </w:pPr>
            <w:r w:rsidRPr="008F735E">
              <w:rPr>
                <w:sz w:val="14"/>
                <w:szCs w:val="14"/>
              </w:rPr>
              <w:t>0.00%</w:t>
            </w:r>
          </w:p>
        </w:tc>
        <w:tc>
          <w:tcPr>
            <w:tcW w:w="851" w:type="dxa"/>
            <w:vAlign w:val="center"/>
          </w:tcPr>
          <w:p w14:paraId="70F9F697" w14:textId="77777777" w:rsidR="0028109D" w:rsidRPr="008F735E" w:rsidRDefault="0028109D" w:rsidP="00447F49">
            <w:pPr>
              <w:keepNext/>
              <w:keepLines/>
              <w:tabs>
                <w:tab w:val="decimal" w:pos="256"/>
              </w:tabs>
              <w:spacing w:before="60" w:after="60"/>
              <w:jc w:val="center"/>
              <w:rPr>
                <w:sz w:val="14"/>
                <w:szCs w:val="14"/>
              </w:rPr>
            </w:pPr>
          </w:p>
        </w:tc>
        <w:tc>
          <w:tcPr>
            <w:tcW w:w="1134" w:type="dxa"/>
            <w:vAlign w:val="center"/>
          </w:tcPr>
          <w:p w14:paraId="4075E582" w14:textId="77777777" w:rsidR="0028109D" w:rsidRPr="008F735E" w:rsidRDefault="0028109D" w:rsidP="00447F49">
            <w:pPr>
              <w:keepNext/>
              <w:keepLines/>
              <w:tabs>
                <w:tab w:val="decimal" w:pos="256"/>
              </w:tabs>
              <w:spacing w:before="60" w:after="60"/>
              <w:jc w:val="center"/>
              <w:rPr>
                <w:sz w:val="14"/>
                <w:szCs w:val="14"/>
              </w:rPr>
            </w:pPr>
            <w:r w:rsidRPr="008F735E">
              <w:rPr>
                <w:sz w:val="14"/>
                <w:szCs w:val="14"/>
              </w:rPr>
              <w:t>0.00%</w:t>
            </w:r>
          </w:p>
        </w:tc>
        <w:tc>
          <w:tcPr>
            <w:tcW w:w="921" w:type="dxa"/>
            <w:vAlign w:val="center"/>
          </w:tcPr>
          <w:p w14:paraId="05F28060" w14:textId="77777777" w:rsidR="0028109D" w:rsidRPr="008F735E" w:rsidRDefault="0028109D" w:rsidP="00447F49">
            <w:pPr>
              <w:keepNext/>
              <w:keepLines/>
              <w:tabs>
                <w:tab w:val="decimal" w:pos="256"/>
              </w:tabs>
              <w:spacing w:before="60" w:after="60"/>
              <w:jc w:val="center"/>
              <w:rPr>
                <w:sz w:val="14"/>
                <w:szCs w:val="14"/>
              </w:rPr>
            </w:pPr>
          </w:p>
        </w:tc>
      </w:tr>
      <w:tr w:rsidR="0028109D" w:rsidRPr="008F735E" w14:paraId="523B6D55" w14:textId="77777777" w:rsidTr="006066A2">
        <w:tc>
          <w:tcPr>
            <w:tcW w:w="1347" w:type="dxa"/>
            <w:shd w:val="clear" w:color="auto" w:fill="auto"/>
            <w:vAlign w:val="bottom"/>
          </w:tcPr>
          <w:p w14:paraId="2D01ED88" w14:textId="77777777" w:rsidR="0028109D" w:rsidRPr="008F735E" w:rsidRDefault="0028109D" w:rsidP="00447F49">
            <w:pPr>
              <w:keepNext/>
              <w:keepLines/>
              <w:tabs>
                <w:tab w:val="left" w:pos="106"/>
              </w:tabs>
              <w:spacing w:before="60" w:after="60"/>
              <w:rPr>
                <w:b/>
                <w:bCs/>
                <w:sz w:val="14"/>
                <w:szCs w:val="14"/>
              </w:rPr>
            </w:pPr>
            <w:r>
              <w:rPr>
                <w:b/>
                <w:bCs/>
                <w:sz w:val="14"/>
                <w:szCs w:val="14"/>
              </w:rPr>
              <w:t>Costs of capital</w:t>
            </w:r>
          </w:p>
        </w:tc>
        <w:tc>
          <w:tcPr>
            <w:tcW w:w="992" w:type="dxa"/>
            <w:vAlign w:val="center"/>
          </w:tcPr>
          <w:p w14:paraId="3E025286" w14:textId="77777777" w:rsidR="0028109D" w:rsidRPr="008F735E" w:rsidRDefault="0028109D" w:rsidP="00447F49">
            <w:pPr>
              <w:keepNext/>
              <w:keepLines/>
              <w:tabs>
                <w:tab w:val="decimal" w:pos="256"/>
              </w:tabs>
              <w:spacing w:before="60" w:after="60"/>
              <w:jc w:val="center"/>
              <w:rPr>
                <w:sz w:val="14"/>
                <w:szCs w:val="14"/>
              </w:rPr>
            </w:pPr>
          </w:p>
        </w:tc>
        <w:tc>
          <w:tcPr>
            <w:tcW w:w="737" w:type="dxa"/>
            <w:vAlign w:val="center"/>
          </w:tcPr>
          <w:p w14:paraId="7A24A988" w14:textId="77777777" w:rsidR="0028109D" w:rsidRPr="008F735E" w:rsidRDefault="0028109D" w:rsidP="00447F49">
            <w:pPr>
              <w:keepNext/>
              <w:keepLines/>
              <w:tabs>
                <w:tab w:val="decimal" w:pos="256"/>
              </w:tabs>
              <w:spacing w:before="60" w:after="60"/>
              <w:jc w:val="center"/>
              <w:rPr>
                <w:sz w:val="14"/>
                <w:szCs w:val="14"/>
              </w:rPr>
            </w:pPr>
          </w:p>
        </w:tc>
        <w:tc>
          <w:tcPr>
            <w:tcW w:w="681" w:type="dxa"/>
            <w:vAlign w:val="center"/>
          </w:tcPr>
          <w:p w14:paraId="6B88B1DA" w14:textId="77777777" w:rsidR="0028109D" w:rsidRPr="008F735E" w:rsidRDefault="0028109D" w:rsidP="00447F49">
            <w:pPr>
              <w:keepNext/>
              <w:keepLines/>
              <w:tabs>
                <w:tab w:val="decimal" w:pos="256"/>
              </w:tabs>
              <w:spacing w:before="60" w:after="60"/>
              <w:jc w:val="center"/>
              <w:rPr>
                <w:sz w:val="14"/>
                <w:szCs w:val="14"/>
              </w:rPr>
            </w:pPr>
          </w:p>
        </w:tc>
        <w:tc>
          <w:tcPr>
            <w:tcW w:w="651" w:type="dxa"/>
            <w:vAlign w:val="center"/>
          </w:tcPr>
          <w:p w14:paraId="761BE450" w14:textId="77777777" w:rsidR="0028109D" w:rsidRPr="008F735E" w:rsidRDefault="0028109D" w:rsidP="00447F49">
            <w:pPr>
              <w:keepNext/>
              <w:keepLines/>
              <w:tabs>
                <w:tab w:val="decimal" w:pos="256"/>
              </w:tabs>
              <w:spacing w:before="60" w:after="60"/>
              <w:jc w:val="center"/>
              <w:rPr>
                <w:sz w:val="14"/>
                <w:szCs w:val="14"/>
              </w:rPr>
            </w:pPr>
          </w:p>
        </w:tc>
        <w:tc>
          <w:tcPr>
            <w:tcW w:w="666" w:type="dxa"/>
            <w:vAlign w:val="center"/>
          </w:tcPr>
          <w:p w14:paraId="2712D576" w14:textId="77777777" w:rsidR="0028109D" w:rsidRPr="008F735E" w:rsidRDefault="0028109D" w:rsidP="00447F49">
            <w:pPr>
              <w:keepNext/>
              <w:keepLines/>
              <w:tabs>
                <w:tab w:val="decimal" w:pos="256"/>
              </w:tabs>
              <w:spacing w:before="60" w:after="60"/>
              <w:jc w:val="center"/>
              <w:rPr>
                <w:sz w:val="14"/>
                <w:szCs w:val="14"/>
              </w:rPr>
            </w:pPr>
          </w:p>
        </w:tc>
        <w:tc>
          <w:tcPr>
            <w:tcW w:w="667" w:type="dxa"/>
            <w:vAlign w:val="center"/>
          </w:tcPr>
          <w:p w14:paraId="1893E836" w14:textId="77777777" w:rsidR="0028109D" w:rsidRPr="008F735E" w:rsidRDefault="0028109D" w:rsidP="00447F49">
            <w:pPr>
              <w:keepNext/>
              <w:keepLines/>
              <w:tabs>
                <w:tab w:val="decimal" w:pos="256"/>
              </w:tabs>
              <w:spacing w:before="60" w:after="60"/>
              <w:jc w:val="center"/>
              <w:rPr>
                <w:sz w:val="14"/>
                <w:szCs w:val="14"/>
              </w:rPr>
            </w:pPr>
          </w:p>
        </w:tc>
        <w:tc>
          <w:tcPr>
            <w:tcW w:w="1134" w:type="dxa"/>
            <w:vAlign w:val="center"/>
          </w:tcPr>
          <w:p w14:paraId="7D401902" w14:textId="77777777" w:rsidR="0028109D" w:rsidRPr="008F735E" w:rsidRDefault="0028109D" w:rsidP="00447F49">
            <w:pPr>
              <w:keepNext/>
              <w:keepLines/>
              <w:tabs>
                <w:tab w:val="decimal" w:pos="256"/>
              </w:tabs>
              <w:spacing w:before="60" w:after="60"/>
              <w:jc w:val="center"/>
              <w:rPr>
                <w:sz w:val="14"/>
                <w:szCs w:val="14"/>
              </w:rPr>
            </w:pPr>
          </w:p>
        </w:tc>
        <w:tc>
          <w:tcPr>
            <w:tcW w:w="851" w:type="dxa"/>
            <w:vAlign w:val="center"/>
          </w:tcPr>
          <w:p w14:paraId="1F0C672D" w14:textId="77777777" w:rsidR="0028109D" w:rsidRPr="008F735E" w:rsidRDefault="0028109D" w:rsidP="00447F49">
            <w:pPr>
              <w:keepNext/>
              <w:keepLines/>
              <w:tabs>
                <w:tab w:val="decimal" w:pos="256"/>
              </w:tabs>
              <w:spacing w:before="60" w:after="60"/>
              <w:jc w:val="center"/>
              <w:rPr>
                <w:sz w:val="14"/>
                <w:szCs w:val="14"/>
              </w:rPr>
            </w:pPr>
          </w:p>
        </w:tc>
        <w:tc>
          <w:tcPr>
            <w:tcW w:w="1134" w:type="dxa"/>
            <w:vAlign w:val="center"/>
          </w:tcPr>
          <w:p w14:paraId="39DEF028" w14:textId="77777777" w:rsidR="0028109D" w:rsidRPr="008F735E" w:rsidRDefault="0028109D" w:rsidP="00447F49">
            <w:pPr>
              <w:keepNext/>
              <w:keepLines/>
              <w:tabs>
                <w:tab w:val="decimal" w:pos="256"/>
              </w:tabs>
              <w:spacing w:before="60" w:after="60"/>
              <w:jc w:val="center"/>
              <w:rPr>
                <w:sz w:val="14"/>
                <w:szCs w:val="14"/>
              </w:rPr>
            </w:pPr>
          </w:p>
        </w:tc>
        <w:tc>
          <w:tcPr>
            <w:tcW w:w="921" w:type="dxa"/>
            <w:vAlign w:val="center"/>
          </w:tcPr>
          <w:p w14:paraId="38AFFAF5" w14:textId="77777777" w:rsidR="0028109D" w:rsidRPr="008F735E" w:rsidRDefault="0028109D" w:rsidP="00447F49">
            <w:pPr>
              <w:keepNext/>
              <w:keepLines/>
              <w:tabs>
                <w:tab w:val="decimal" w:pos="256"/>
              </w:tabs>
              <w:spacing w:before="60" w:after="60"/>
              <w:jc w:val="center"/>
              <w:rPr>
                <w:sz w:val="14"/>
                <w:szCs w:val="14"/>
              </w:rPr>
            </w:pPr>
          </w:p>
        </w:tc>
      </w:tr>
      <w:tr w:rsidR="0028109D" w:rsidRPr="008F735E" w14:paraId="7B753370" w14:textId="77777777" w:rsidTr="006066A2">
        <w:tc>
          <w:tcPr>
            <w:tcW w:w="1347" w:type="dxa"/>
            <w:shd w:val="clear" w:color="auto" w:fill="auto"/>
            <w:vAlign w:val="bottom"/>
          </w:tcPr>
          <w:p w14:paraId="4CDE3809" w14:textId="77777777" w:rsidR="0028109D" w:rsidRPr="008F735E" w:rsidRDefault="0028109D" w:rsidP="00447F49">
            <w:pPr>
              <w:keepNext/>
              <w:keepLines/>
              <w:tabs>
                <w:tab w:val="left" w:pos="106"/>
              </w:tabs>
              <w:spacing w:before="60" w:after="60"/>
              <w:rPr>
                <w:sz w:val="14"/>
                <w:szCs w:val="14"/>
              </w:rPr>
            </w:pPr>
            <w:r>
              <w:rPr>
                <w:sz w:val="14"/>
                <w:szCs w:val="14"/>
              </w:rPr>
              <w:t>No AIL or NRWT</w:t>
            </w:r>
          </w:p>
        </w:tc>
        <w:tc>
          <w:tcPr>
            <w:tcW w:w="992" w:type="dxa"/>
            <w:shd w:val="clear" w:color="auto" w:fill="auto"/>
            <w:vAlign w:val="bottom"/>
          </w:tcPr>
          <w:p w14:paraId="0418892A" w14:textId="77777777" w:rsidR="0028109D" w:rsidRPr="00591C70" w:rsidRDefault="0028109D" w:rsidP="00447F49">
            <w:pPr>
              <w:keepNext/>
              <w:keepLines/>
              <w:tabs>
                <w:tab w:val="decimal" w:pos="256"/>
              </w:tabs>
              <w:spacing w:before="60" w:after="60"/>
              <w:jc w:val="center"/>
              <w:rPr>
                <w:sz w:val="14"/>
                <w:szCs w:val="14"/>
              </w:rPr>
            </w:pPr>
            <w:r w:rsidRPr="00591C70">
              <w:rPr>
                <w:rFonts w:cs="Calibri"/>
                <w:color w:val="000000"/>
                <w:sz w:val="14"/>
                <w:szCs w:val="14"/>
              </w:rPr>
              <w:t>3.77%</w:t>
            </w:r>
          </w:p>
        </w:tc>
        <w:tc>
          <w:tcPr>
            <w:tcW w:w="737" w:type="dxa"/>
            <w:shd w:val="clear" w:color="auto" w:fill="auto"/>
            <w:vAlign w:val="bottom"/>
          </w:tcPr>
          <w:p w14:paraId="3C52C635" w14:textId="77777777" w:rsidR="0028109D" w:rsidRPr="00591C70" w:rsidRDefault="0028109D" w:rsidP="00447F49">
            <w:pPr>
              <w:keepNext/>
              <w:keepLines/>
              <w:tabs>
                <w:tab w:val="decimal" w:pos="256"/>
              </w:tabs>
              <w:spacing w:before="60" w:after="60"/>
              <w:jc w:val="center"/>
              <w:rPr>
                <w:sz w:val="14"/>
                <w:szCs w:val="14"/>
              </w:rPr>
            </w:pPr>
            <w:r w:rsidRPr="00591C70">
              <w:rPr>
                <w:rFonts w:cs="Calibri"/>
                <w:color w:val="000000"/>
                <w:sz w:val="14"/>
                <w:szCs w:val="14"/>
              </w:rPr>
              <w:t>4.10%</w:t>
            </w:r>
          </w:p>
        </w:tc>
        <w:tc>
          <w:tcPr>
            <w:tcW w:w="681" w:type="dxa"/>
            <w:shd w:val="clear" w:color="auto" w:fill="auto"/>
            <w:vAlign w:val="bottom"/>
          </w:tcPr>
          <w:p w14:paraId="4E8AB0B3" w14:textId="77777777" w:rsidR="0028109D" w:rsidRPr="00591C70" w:rsidRDefault="0028109D" w:rsidP="00447F49">
            <w:pPr>
              <w:keepNext/>
              <w:keepLines/>
              <w:tabs>
                <w:tab w:val="decimal" w:pos="256"/>
              </w:tabs>
              <w:spacing w:before="60" w:after="60"/>
              <w:jc w:val="center"/>
              <w:rPr>
                <w:sz w:val="14"/>
                <w:szCs w:val="14"/>
              </w:rPr>
            </w:pPr>
            <w:r w:rsidRPr="00591C70">
              <w:rPr>
                <w:rFonts w:cs="Calibri"/>
                <w:color w:val="000000"/>
                <w:sz w:val="14"/>
                <w:szCs w:val="14"/>
              </w:rPr>
              <w:t>4.07%</w:t>
            </w:r>
          </w:p>
        </w:tc>
        <w:tc>
          <w:tcPr>
            <w:tcW w:w="651" w:type="dxa"/>
            <w:shd w:val="clear" w:color="auto" w:fill="auto"/>
            <w:vAlign w:val="bottom"/>
          </w:tcPr>
          <w:p w14:paraId="39A9ADE0" w14:textId="77777777" w:rsidR="0028109D" w:rsidRPr="00591C70" w:rsidRDefault="0028109D" w:rsidP="00447F49">
            <w:pPr>
              <w:keepNext/>
              <w:keepLines/>
              <w:tabs>
                <w:tab w:val="decimal" w:pos="256"/>
              </w:tabs>
              <w:spacing w:before="60" w:after="60"/>
              <w:jc w:val="center"/>
              <w:rPr>
                <w:sz w:val="14"/>
                <w:szCs w:val="14"/>
              </w:rPr>
            </w:pPr>
            <w:r w:rsidRPr="00591C70">
              <w:rPr>
                <w:rFonts w:cs="Calibri"/>
                <w:color w:val="000000"/>
                <w:sz w:val="14"/>
                <w:szCs w:val="14"/>
              </w:rPr>
              <w:t>3.89%</w:t>
            </w:r>
          </w:p>
        </w:tc>
        <w:tc>
          <w:tcPr>
            <w:tcW w:w="666" w:type="dxa"/>
            <w:shd w:val="clear" w:color="auto" w:fill="auto"/>
            <w:vAlign w:val="bottom"/>
          </w:tcPr>
          <w:p w14:paraId="3D8044F7" w14:textId="77777777" w:rsidR="0028109D" w:rsidRPr="00591C70" w:rsidRDefault="0028109D" w:rsidP="00447F49">
            <w:pPr>
              <w:keepNext/>
              <w:keepLines/>
              <w:tabs>
                <w:tab w:val="decimal" w:pos="256"/>
              </w:tabs>
              <w:spacing w:before="60" w:after="60"/>
              <w:jc w:val="center"/>
              <w:rPr>
                <w:sz w:val="14"/>
                <w:szCs w:val="14"/>
              </w:rPr>
            </w:pPr>
            <w:r w:rsidRPr="00591C70">
              <w:rPr>
                <w:rFonts w:cs="Calibri"/>
                <w:color w:val="000000"/>
                <w:sz w:val="14"/>
                <w:szCs w:val="14"/>
              </w:rPr>
              <w:t>3.71%</w:t>
            </w:r>
          </w:p>
        </w:tc>
        <w:tc>
          <w:tcPr>
            <w:tcW w:w="667" w:type="dxa"/>
            <w:shd w:val="clear" w:color="auto" w:fill="auto"/>
            <w:vAlign w:val="bottom"/>
          </w:tcPr>
          <w:p w14:paraId="7CE2825B" w14:textId="77777777" w:rsidR="0028109D" w:rsidRPr="00591C70" w:rsidRDefault="0028109D" w:rsidP="00447F49">
            <w:pPr>
              <w:keepNext/>
              <w:keepLines/>
              <w:tabs>
                <w:tab w:val="decimal" w:pos="256"/>
              </w:tabs>
              <w:spacing w:before="60" w:after="60"/>
              <w:jc w:val="center"/>
              <w:rPr>
                <w:sz w:val="14"/>
                <w:szCs w:val="14"/>
              </w:rPr>
            </w:pPr>
            <w:r w:rsidRPr="00591C70">
              <w:rPr>
                <w:rFonts w:cs="Calibri"/>
                <w:color w:val="000000"/>
                <w:sz w:val="14"/>
                <w:szCs w:val="14"/>
              </w:rPr>
              <w:t>3.58%</w:t>
            </w:r>
          </w:p>
        </w:tc>
        <w:tc>
          <w:tcPr>
            <w:tcW w:w="1134" w:type="dxa"/>
            <w:shd w:val="clear" w:color="auto" w:fill="auto"/>
            <w:vAlign w:val="bottom"/>
          </w:tcPr>
          <w:p w14:paraId="18AFD9F7" w14:textId="77777777" w:rsidR="0028109D" w:rsidRPr="00591C70" w:rsidRDefault="0028109D" w:rsidP="00447F49">
            <w:pPr>
              <w:keepNext/>
              <w:keepLines/>
              <w:tabs>
                <w:tab w:val="decimal" w:pos="256"/>
              </w:tabs>
              <w:spacing w:before="60" w:after="60"/>
              <w:jc w:val="center"/>
              <w:rPr>
                <w:sz w:val="14"/>
                <w:szCs w:val="14"/>
              </w:rPr>
            </w:pPr>
            <w:r w:rsidRPr="00591C70">
              <w:rPr>
                <w:rFonts w:cs="Calibri"/>
                <w:color w:val="000000"/>
                <w:sz w:val="14"/>
                <w:szCs w:val="14"/>
              </w:rPr>
              <w:t>3.34%</w:t>
            </w:r>
          </w:p>
        </w:tc>
        <w:tc>
          <w:tcPr>
            <w:tcW w:w="851" w:type="dxa"/>
            <w:shd w:val="clear" w:color="auto" w:fill="auto"/>
            <w:vAlign w:val="bottom"/>
          </w:tcPr>
          <w:p w14:paraId="2D49AAC7" w14:textId="77777777" w:rsidR="0028109D" w:rsidRPr="00591C70" w:rsidRDefault="0028109D" w:rsidP="00447F49">
            <w:pPr>
              <w:keepNext/>
              <w:keepLines/>
              <w:tabs>
                <w:tab w:val="decimal" w:pos="256"/>
              </w:tabs>
              <w:spacing w:before="60" w:after="60"/>
              <w:jc w:val="center"/>
              <w:rPr>
                <w:sz w:val="14"/>
                <w:szCs w:val="14"/>
              </w:rPr>
            </w:pPr>
            <w:r w:rsidRPr="00591C70">
              <w:rPr>
                <w:rFonts w:cs="Calibri"/>
                <w:color w:val="000000"/>
                <w:sz w:val="14"/>
                <w:szCs w:val="14"/>
              </w:rPr>
              <w:t>4.10%</w:t>
            </w:r>
          </w:p>
        </w:tc>
        <w:tc>
          <w:tcPr>
            <w:tcW w:w="1134" w:type="dxa"/>
            <w:shd w:val="clear" w:color="auto" w:fill="auto"/>
            <w:vAlign w:val="bottom"/>
          </w:tcPr>
          <w:p w14:paraId="7E296A28" w14:textId="77777777" w:rsidR="0028109D" w:rsidRPr="00591C70" w:rsidRDefault="0028109D" w:rsidP="00447F49">
            <w:pPr>
              <w:keepNext/>
              <w:keepLines/>
              <w:tabs>
                <w:tab w:val="decimal" w:pos="256"/>
              </w:tabs>
              <w:spacing w:before="60" w:after="60"/>
              <w:jc w:val="center"/>
              <w:rPr>
                <w:sz w:val="14"/>
                <w:szCs w:val="14"/>
              </w:rPr>
            </w:pPr>
            <w:r w:rsidRPr="00591C70">
              <w:rPr>
                <w:rFonts w:cs="Calibri"/>
                <w:color w:val="000000"/>
                <w:sz w:val="14"/>
                <w:szCs w:val="14"/>
              </w:rPr>
              <w:t>2.95%</w:t>
            </w:r>
          </w:p>
        </w:tc>
        <w:tc>
          <w:tcPr>
            <w:tcW w:w="921" w:type="dxa"/>
            <w:shd w:val="clear" w:color="auto" w:fill="auto"/>
            <w:vAlign w:val="bottom"/>
          </w:tcPr>
          <w:p w14:paraId="15DA86E1" w14:textId="77777777" w:rsidR="0028109D" w:rsidRPr="00591C70" w:rsidRDefault="0028109D" w:rsidP="00447F49">
            <w:pPr>
              <w:keepNext/>
              <w:keepLines/>
              <w:tabs>
                <w:tab w:val="decimal" w:pos="256"/>
              </w:tabs>
              <w:spacing w:before="60" w:after="60"/>
              <w:jc w:val="center"/>
              <w:rPr>
                <w:sz w:val="14"/>
                <w:szCs w:val="14"/>
              </w:rPr>
            </w:pPr>
            <w:r w:rsidRPr="00591C70">
              <w:rPr>
                <w:rFonts w:cs="Calibri"/>
                <w:color w:val="000000"/>
                <w:sz w:val="14"/>
                <w:szCs w:val="14"/>
              </w:rPr>
              <w:t>2.40%</w:t>
            </w:r>
          </w:p>
        </w:tc>
      </w:tr>
      <w:tr w:rsidR="0028109D" w:rsidRPr="008F735E" w14:paraId="6D5068A6" w14:textId="77777777" w:rsidTr="006066A2">
        <w:tc>
          <w:tcPr>
            <w:tcW w:w="1347" w:type="dxa"/>
            <w:shd w:val="clear" w:color="auto" w:fill="auto"/>
            <w:vAlign w:val="bottom"/>
          </w:tcPr>
          <w:p w14:paraId="5A433763" w14:textId="77777777" w:rsidR="0028109D" w:rsidRPr="008F735E" w:rsidRDefault="0028109D" w:rsidP="00447F49">
            <w:pPr>
              <w:keepNext/>
              <w:keepLines/>
              <w:tabs>
                <w:tab w:val="left" w:pos="106"/>
              </w:tabs>
              <w:spacing w:before="60" w:after="60"/>
              <w:rPr>
                <w:sz w:val="14"/>
                <w:szCs w:val="14"/>
              </w:rPr>
            </w:pPr>
            <w:r>
              <w:rPr>
                <w:sz w:val="14"/>
                <w:szCs w:val="14"/>
              </w:rPr>
              <w:t>Domestic companies with marginal foreign shareholders</w:t>
            </w:r>
            <w:r w:rsidRPr="008F735E">
              <w:rPr>
                <w:sz w:val="14"/>
                <w:szCs w:val="14"/>
              </w:rPr>
              <w:tab/>
            </w:r>
            <w:r>
              <w:rPr>
                <w:sz w:val="14"/>
                <w:szCs w:val="14"/>
              </w:rPr>
              <w:t>AIL = 2%</w:t>
            </w:r>
          </w:p>
        </w:tc>
        <w:tc>
          <w:tcPr>
            <w:tcW w:w="992" w:type="dxa"/>
            <w:shd w:val="clear" w:color="auto" w:fill="auto"/>
            <w:vAlign w:val="bottom"/>
          </w:tcPr>
          <w:p w14:paraId="5FB0B9CA" w14:textId="77777777" w:rsidR="0028109D" w:rsidRPr="00591C70" w:rsidRDefault="0028109D" w:rsidP="00447F49">
            <w:pPr>
              <w:keepNext/>
              <w:keepLines/>
              <w:tabs>
                <w:tab w:val="decimal" w:pos="256"/>
              </w:tabs>
              <w:spacing w:before="60" w:after="60"/>
              <w:jc w:val="center"/>
              <w:rPr>
                <w:sz w:val="14"/>
                <w:szCs w:val="14"/>
              </w:rPr>
            </w:pPr>
            <w:r w:rsidRPr="00591C70">
              <w:rPr>
                <w:rFonts w:cs="Calibri"/>
                <w:color w:val="000000"/>
                <w:sz w:val="14"/>
                <w:szCs w:val="14"/>
              </w:rPr>
              <w:t>3.81%</w:t>
            </w:r>
          </w:p>
        </w:tc>
        <w:tc>
          <w:tcPr>
            <w:tcW w:w="737" w:type="dxa"/>
            <w:shd w:val="clear" w:color="auto" w:fill="auto"/>
            <w:vAlign w:val="bottom"/>
          </w:tcPr>
          <w:p w14:paraId="19D458A5" w14:textId="77777777" w:rsidR="0028109D" w:rsidRPr="00591C70" w:rsidRDefault="0028109D" w:rsidP="00447F49">
            <w:pPr>
              <w:keepNext/>
              <w:keepLines/>
              <w:tabs>
                <w:tab w:val="decimal" w:pos="256"/>
              </w:tabs>
              <w:spacing w:before="60" w:after="60"/>
              <w:jc w:val="center"/>
              <w:rPr>
                <w:sz w:val="14"/>
                <w:szCs w:val="14"/>
              </w:rPr>
            </w:pPr>
            <w:r w:rsidRPr="00591C70">
              <w:rPr>
                <w:rFonts w:cs="Calibri"/>
                <w:color w:val="000000"/>
                <w:sz w:val="14"/>
                <w:szCs w:val="14"/>
              </w:rPr>
              <w:t>4.14%</w:t>
            </w:r>
          </w:p>
        </w:tc>
        <w:tc>
          <w:tcPr>
            <w:tcW w:w="681" w:type="dxa"/>
            <w:shd w:val="clear" w:color="auto" w:fill="auto"/>
            <w:vAlign w:val="bottom"/>
          </w:tcPr>
          <w:p w14:paraId="025978C1" w14:textId="77777777" w:rsidR="0028109D" w:rsidRPr="00591C70" w:rsidRDefault="0028109D" w:rsidP="00447F49">
            <w:pPr>
              <w:keepNext/>
              <w:keepLines/>
              <w:tabs>
                <w:tab w:val="decimal" w:pos="256"/>
              </w:tabs>
              <w:spacing w:before="60" w:after="60"/>
              <w:jc w:val="center"/>
              <w:rPr>
                <w:sz w:val="14"/>
                <w:szCs w:val="14"/>
              </w:rPr>
            </w:pPr>
            <w:r w:rsidRPr="00591C70">
              <w:rPr>
                <w:rFonts w:cs="Calibri"/>
                <w:color w:val="000000"/>
                <w:sz w:val="14"/>
                <w:szCs w:val="14"/>
              </w:rPr>
              <w:t>4.11%</w:t>
            </w:r>
          </w:p>
        </w:tc>
        <w:tc>
          <w:tcPr>
            <w:tcW w:w="651" w:type="dxa"/>
            <w:shd w:val="clear" w:color="auto" w:fill="auto"/>
            <w:vAlign w:val="bottom"/>
          </w:tcPr>
          <w:p w14:paraId="3D7A2A2D" w14:textId="77777777" w:rsidR="0028109D" w:rsidRPr="00591C70" w:rsidRDefault="0028109D" w:rsidP="00447F49">
            <w:pPr>
              <w:keepNext/>
              <w:keepLines/>
              <w:tabs>
                <w:tab w:val="decimal" w:pos="256"/>
              </w:tabs>
              <w:spacing w:before="60" w:after="60"/>
              <w:jc w:val="center"/>
              <w:rPr>
                <w:sz w:val="14"/>
                <w:szCs w:val="14"/>
              </w:rPr>
            </w:pPr>
            <w:r w:rsidRPr="00591C70">
              <w:rPr>
                <w:rFonts w:cs="Calibri"/>
                <w:color w:val="000000"/>
                <w:sz w:val="14"/>
                <w:szCs w:val="14"/>
              </w:rPr>
              <w:t>3.93%</w:t>
            </w:r>
          </w:p>
        </w:tc>
        <w:tc>
          <w:tcPr>
            <w:tcW w:w="666" w:type="dxa"/>
            <w:shd w:val="clear" w:color="auto" w:fill="auto"/>
            <w:vAlign w:val="bottom"/>
          </w:tcPr>
          <w:p w14:paraId="12B0E4AF" w14:textId="77777777" w:rsidR="0028109D" w:rsidRPr="00591C70" w:rsidRDefault="0028109D" w:rsidP="00447F49">
            <w:pPr>
              <w:keepNext/>
              <w:keepLines/>
              <w:tabs>
                <w:tab w:val="decimal" w:pos="256"/>
              </w:tabs>
              <w:spacing w:before="60" w:after="60"/>
              <w:jc w:val="center"/>
              <w:rPr>
                <w:sz w:val="14"/>
                <w:szCs w:val="14"/>
              </w:rPr>
            </w:pPr>
            <w:r w:rsidRPr="00591C70">
              <w:rPr>
                <w:rFonts w:cs="Calibri"/>
                <w:color w:val="000000"/>
                <w:sz w:val="14"/>
                <w:szCs w:val="14"/>
              </w:rPr>
              <w:t>3.76%</w:t>
            </w:r>
          </w:p>
        </w:tc>
        <w:tc>
          <w:tcPr>
            <w:tcW w:w="667" w:type="dxa"/>
            <w:shd w:val="clear" w:color="auto" w:fill="auto"/>
            <w:vAlign w:val="bottom"/>
          </w:tcPr>
          <w:p w14:paraId="2741BA02" w14:textId="77777777" w:rsidR="0028109D" w:rsidRPr="00591C70" w:rsidRDefault="0028109D" w:rsidP="00447F49">
            <w:pPr>
              <w:keepNext/>
              <w:keepLines/>
              <w:tabs>
                <w:tab w:val="decimal" w:pos="256"/>
              </w:tabs>
              <w:spacing w:before="60" w:after="60"/>
              <w:jc w:val="center"/>
              <w:rPr>
                <w:sz w:val="14"/>
                <w:szCs w:val="14"/>
              </w:rPr>
            </w:pPr>
            <w:r w:rsidRPr="00591C70">
              <w:rPr>
                <w:rFonts w:cs="Calibri"/>
                <w:color w:val="000000"/>
                <w:sz w:val="14"/>
                <w:szCs w:val="14"/>
              </w:rPr>
              <w:t>3.63%</w:t>
            </w:r>
          </w:p>
        </w:tc>
        <w:tc>
          <w:tcPr>
            <w:tcW w:w="1134" w:type="dxa"/>
            <w:shd w:val="clear" w:color="auto" w:fill="auto"/>
            <w:vAlign w:val="bottom"/>
          </w:tcPr>
          <w:p w14:paraId="1F89AD8E" w14:textId="77777777" w:rsidR="0028109D" w:rsidRPr="00591C70" w:rsidRDefault="0028109D" w:rsidP="00447F49">
            <w:pPr>
              <w:keepNext/>
              <w:keepLines/>
              <w:tabs>
                <w:tab w:val="decimal" w:pos="256"/>
              </w:tabs>
              <w:spacing w:before="60" w:after="60"/>
              <w:jc w:val="center"/>
              <w:rPr>
                <w:sz w:val="14"/>
                <w:szCs w:val="14"/>
              </w:rPr>
            </w:pPr>
            <w:r w:rsidRPr="00591C70">
              <w:rPr>
                <w:rFonts w:cs="Calibri"/>
                <w:color w:val="000000"/>
                <w:sz w:val="14"/>
                <w:szCs w:val="14"/>
              </w:rPr>
              <w:t>3.38%</w:t>
            </w:r>
          </w:p>
        </w:tc>
        <w:tc>
          <w:tcPr>
            <w:tcW w:w="851" w:type="dxa"/>
            <w:shd w:val="clear" w:color="auto" w:fill="auto"/>
            <w:vAlign w:val="bottom"/>
          </w:tcPr>
          <w:p w14:paraId="7FD3D75B" w14:textId="77777777" w:rsidR="0028109D" w:rsidRPr="00591C70" w:rsidRDefault="0028109D" w:rsidP="00447F49">
            <w:pPr>
              <w:keepNext/>
              <w:keepLines/>
              <w:tabs>
                <w:tab w:val="decimal" w:pos="256"/>
              </w:tabs>
              <w:spacing w:before="60" w:after="60"/>
              <w:jc w:val="center"/>
              <w:rPr>
                <w:sz w:val="14"/>
                <w:szCs w:val="14"/>
              </w:rPr>
            </w:pPr>
            <w:r w:rsidRPr="00591C70">
              <w:rPr>
                <w:rFonts w:cs="Calibri"/>
                <w:color w:val="000000"/>
                <w:sz w:val="14"/>
                <w:szCs w:val="14"/>
              </w:rPr>
              <w:t>4.14%</w:t>
            </w:r>
          </w:p>
        </w:tc>
        <w:tc>
          <w:tcPr>
            <w:tcW w:w="1134" w:type="dxa"/>
            <w:shd w:val="clear" w:color="auto" w:fill="auto"/>
            <w:vAlign w:val="bottom"/>
          </w:tcPr>
          <w:p w14:paraId="7CF9B5CA" w14:textId="77777777" w:rsidR="0028109D" w:rsidRPr="00591C70" w:rsidRDefault="0028109D" w:rsidP="00447F49">
            <w:pPr>
              <w:keepNext/>
              <w:keepLines/>
              <w:tabs>
                <w:tab w:val="decimal" w:pos="256"/>
              </w:tabs>
              <w:spacing w:before="60" w:after="60"/>
              <w:jc w:val="center"/>
              <w:rPr>
                <w:sz w:val="14"/>
                <w:szCs w:val="14"/>
              </w:rPr>
            </w:pPr>
            <w:r w:rsidRPr="00591C70">
              <w:rPr>
                <w:rFonts w:cs="Calibri"/>
                <w:color w:val="000000"/>
                <w:sz w:val="14"/>
                <w:szCs w:val="14"/>
              </w:rPr>
              <w:t>2.99%</w:t>
            </w:r>
          </w:p>
        </w:tc>
        <w:tc>
          <w:tcPr>
            <w:tcW w:w="921" w:type="dxa"/>
            <w:shd w:val="clear" w:color="auto" w:fill="auto"/>
            <w:vAlign w:val="bottom"/>
          </w:tcPr>
          <w:p w14:paraId="12C010C7" w14:textId="77777777" w:rsidR="0028109D" w:rsidRPr="00591C70" w:rsidRDefault="0028109D" w:rsidP="00447F49">
            <w:pPr>
              <w:keepNext/>
              <w:keepLines/>
              <w:tabs>
                <w:tab w:val="decimal" w:pos="256"/>
              </w:tabs>
              <w:spacing w:before="60" w:after="60"/>
              <w:jc w:val="center"/>
              <w:rPr>
                <w:sz w:val="14"/>
                <w:szCs w:val="14"/>
              </w:rPr>
            </w:pPr>
            <w:r w:rsidRPr="00591C70">
              <w:rPr>
                <w:rFonts w:cs="Calibri"/>
                <w:color w:val="000000"/>
                <w:sz w:val="14"/>
                <w:szCs w:val="14"/>
              </w:rPr>
              <w:t>2.43%</w:t>
            </w:r>
          </w:p>
        </w:tc>
      </w:tr>
      <w:tr w:rsidR="0028109D" w:rsidRPr="008F735E" w14:paraId="0082DD24" w14:textId="77777777" w:rsidTr="006066A2">
        <w:tc>
          <w:tcPr>
            <w:tcW w:w="1347" w:type="dxa"/>
            <w:shd w:val="clear" w:color="auto" w:fill="auto"/>
            <w:vAlign w:val="bottom"/>
          </w:tcPr>
          <w:p w14:paraId="40CB97A6" w14:textId="77777777" w:rsidR="0028109D" w:rsidRDefault="0028109D" w:rsidP="00447F49">
            <w:pPr>
              <w:keepNext/>
              <w:keepLines/>
              <w:tabs>
                <w:tab w:val="left" w:pos="106"/>
              </w:tabs>
              <w:spacing w:before="60" w:after="60"/>
              <w:rPr>
                <w:sz w:val="14"/>
                <w:szCs w:val="14"/>
              </w:rPr>
            </w:pPr>
            <w:r>
              <w:rPr>
                <w:sz w:val="14"/>
                <w:szCs w:val="14"/>
              </w:rPr>
              <w:t>Foreign-controlled companies:</w:t>
            </w:r>
          </w:p>
          <w:p w14:paraId="5D859225" w14:textId="77777777" w:rsidR="0028109D" w:rsidRDefault="0028109D" w:rsidP="00447F49">
            <w:pPr>
              <w:keepNext/>
              <w:keepLines/>
              <w:tabs>
                <w:tab w:val="left" w:pos="106"/>
              </w:tabs>
              <w:spacing w:before="60" w:after="60"/>
              <w:rPr>
                <w:sz w:val="14"/>
                <w:szCs w:val="14"/>
              </w:rPr>
            </w:pPr>
            <w:r>
              <w:rPr>
                <w:sz w:val="14"/>
                <w:szCs w:val="14"/>
              </w:rPr>
              <w:t xml:space="preserve">  AIL = 2% and</w:t>
            </w:r>
          </w:p>
          <w:p w14:paraId="68448349" w14:textId="77777777" w:rsidR="0028109D" w:rsidRPr="00E36296" w:rsidRDefault="0028109D" w:rsidP="00447F49">
            <w:pPr>
              <w:keepNext/>
              <w:keepLines/>
              <w:tabs>
                <w:tab w:val="left" w:pos="106"/>
              </w:tabs>
              <w:spacing w:before="60" w:after="60"/>
              <w:rPr>
                <w:sz w:val="14"/>
                <w:szCs w:val="14"/>
              </w:rPr>
            </w:pPr>
            <w:r>
              <w:rPr>
                <w:sz w:val="14"/>
                <w:szCs w:val="14"/>
              </w:rPr>
              <w:t xml:space="preserve">  NRWT = 10%</w:t>
            </w:r>
          </w:p>
        </w:tc>
        <w:tc>
          <w:tcPr>
            <w:tcW w:w="992" w:type="dxa"/>
            <w:shd w:val="clear" w:color="auto" w:fill="auto"/>
            <w:vAlign w:val="bottom"/>
          </w:tcPr>
          <w:p w14:paraId="276D6C4D" w14:textId="77777777" w:rsidR="0028109D" w:rsidRPr="00591C70" w:rsidRDefault="0028109D" w:rsidP="00447F49">
            <w:pPr>
              <w:keepNext/>
              <w:keepLines/>
              <w:tabs>
                <w:tab w:val="decimal" w:pos="256"/>
              </w:tabs>
              <w:spacing w:before="60" w:after="60"/>
              <w:jc w:val="center"/>
              <w:rPr>
                <w:sz w:val="14"/>
                <w:szCs w:val="14"/>
              </w:rPr>
            </w:pPr>
            <w:r w:rsidRPr="00591C70">
              <w:rPr>
                <w:rFonts w:cs="Calibri"/>
                <w:color w:val="000000"/>
                <w:sz w:val="14"/>
                <w:szCs w:val="14"/>
              </w:rPr>
              <w:t> </w:t>
            </w:r>
          </w:p>
        </w:tc>
        <w:tc>
          <w:tcPr>
            <w:tcW w:w="737" w:type="dxa"/>
            <w:shd w:val="clear" w:color="auto" w:fill="auto"/>
            <w:vAlign w:val="bottom"/>
          </w:tcPr>
          <w:p w14:paraId="2BE08537" w14:textId="77777777" w:rsidR="0028109D" w:rsidRPr="00591C70" w:rsidRDefault="0028109D" w:rsidP="00447F49">
            <w:pPr>
              <w:keepNext/>
              <w:keepLines/>
              <w:tabs>
                <w:tab w:val="decimal" w:pos="256"/>
              </w:tabs>
              <w:spacing w:before="60" w:after="60"/>
              <w:jc w:val="center"/>
              <w:rPr>
                <w:sz w:val="14"/>
                <w:szCs w:val="14"/>
              </w:rPr>
            </w:pPr>
            <w:r w:rsidRPr="00591C70">
              <w:rPr>
                <w:rFonts w:cs="Calibri"/>
                <w:color w:val="000000"/>
                <w:sz w:val="14"/>
                <w:szCs w:val="14"/>
              </w:rPr>
              <w:t> </w:t>
            </w:r>
          </w:p>
        </w:tc>
        <w:tc>
          <w:tcPr>
            <w:tcW w:w="681" w:type="dxa"/>
            <w:shd w:val="clear" w:color="auto" w:fill="auto"/>
            <w:vAlign w:val="bottom"/>
          </w:tcPr>
          <w:p w14:paraId="5F634E25" w14:textId="77777777" w:rsidR="0028109D" w:rsidRPr="00591C70" w:rsidRDefault="0028109D" w:rsidP="00447F49">
            <w:pPr>
              <w:keepNext/>
              <w:keepLines/>
              <w:tabs>
                <w:tab w:val="decimal" w:pos="256"/>
              </w:tabs>
              <w:spacing w:before="60" w:after="60"/>
              <w:jc w:val="center"/>
              <w:rPr>
                <w:sz w:val="14"/>
                <w:szCs w:val="14"/>
              </w:rPr>
            </w:pPr>
            <w:r w:rsidRPr="00591C70">
              <w:rPr>
                <w:rFonts w:cs="Calibri"/>
                <w:color w:val="000000"/>
                <w:sz w:val="14"/>
                <w:szCs w:val="14"/>
              </w:rPr>
              <w:t> </w:t>
            </w:r>
          </w:p>
        </w:tc>
        <w:tc>
          <w:tcPr>
            <w:tcW w:w="651" w:type="dxa"/>
            <w:shd w:val="clear" w:color="auto" w:fill="auto"/>
            <w:vAlign w:val="bottom"/>
          </w:tcPr>
          <w:p w14:paraId="7FB9BFFF" w14:textId="77777777" w:rsidR="0028109D" w:rsidRPr="00591C70" w:rsidRDefault="0028109D" w:rsidP="00447F49">
            <w:pPr>
              <w:keepNext/>
              <w:keepLines/>
              <w:tabs>
                <w:tab w:val="decimal" w:pos="256"/>
              </w:tabs>
              <w:spacing w:before="60" w:after="60"/>
              <w:jc w:val="center"/>
              <w:rPr>
                <w:sz w:val="14"/>
                <w:szCs w:val="14"/>
              </w:rPr>
            </w:pPr>
            <w:r w:rsidRPr="00591C70">
              <w:rPr>
                <w:rFonts w:cs="Calibri"/>
                <w:color w:val="000000"/>
                <w:sz w:val="14"/>
                <w:szCs w:val="14"/>
              </w:rPr>
              <w:t> </w:t>
            </w:r>
          </w:p>
        </w:tc>
        <w:tc>
          <w:tcPr>
            <w:tcW w:w="666" w:type="dxa"/>
            <w:shd w:val="clear" w:color="auto" w:fill="auto"/>
            <w:vAlign w:val="bottom"/>
          </w:tcPr>
          <w:p w14:paraId="1407A2AF" w14:textId="77777777" w:rsidR="0028109D" w:rsidRPr="00591C70" w:rsidRDefault="0028109D" w:rsidP="00447F49">
            <w:pPr>
              <w:keepNext/>
              <w:keepLines/>
              <w:tabs>
                <w:tab w:val="decimal" w:pos="256"/>
              </w:tabs>
              <w:spacing w:before="60" w:after="60"/>
              <w:jc w:val="center"/>
              <w:rPr>
                <w:sz w:val="14"/>
                <w:szCs w:val="14"/>
              </w:rPr>
            </w:pPr>
            <w:r w:rsidRPr="00591C70">
              <w:rPr>
                <w:rFonts w:cs="Calibri"/>
                <w:color w:val="000000"/>
                <w:sz w:val="14"/>
                <w:szCs w:val="14"/>
              </w:rPr>
              <w:t> </w:t>
            </w:r>
          </w:p>
        </w:tc>
        <w:tc>
          <w:tcPr>
            <w:tcW w:w="667" w:type="dxa"/>
            <w:shd w:val="clear" w:color="auto" w:fill="auto"/>
            <w:vAlign w:val="bottom"/>
          </w:tcPr>
          <w:p w14:paraId="03F8CF99" w14:textId="77777777" w:rsidR="0028109D" w:rsidRPr="00591C70" w:rsidRDefault="0028109D" w:rsidP="00447F49">
            <w:pPr>
              <w:keepNext/>
              <w:keepLines/>
              <w:tabs>
                <w:tab w:val="decimal" w:pos="256"/>
              </w:tabs>
              <w:spacing w:before="60" w:after="60"/>
              <w:jc w:val="center"/>
              <w:rPr>
                <w:sz w:val="14"/>
                <w:szCs w:val="14"/>
              </w:rPr>
            </w:pPr>
            <w:r w:rsidRPr="00591C70">
              <w:rPr>
                <w:rFonts w:cs="Calibri"/>
                <w:color w:val="000000"/>
                <w:sz w:val="14"/>
                <w:szCs w:val="14"/>
              </w:rPr>
              <w:t> </w:t>
            </w:r>
          </w:p>
        </w:tc>
        <w:tc>
          <w:tcPr>
            <w:tcW w:w="1134" w:type="dxa"/>
            <w:shd w:val="clear" w:color="auto" w:fill="auto"/>
            <w:vAlign w:val="bottom"/>
          </w:tcPr>
          <w:p w14:paraId="7B40C0A6" w14:textId="77777777" w:rsidR="0028109D" w:rsidRPr="00591C70" w:rsidRDefault="0028109D" w:rsidP="00447F49">
            <w:pPr>
              <w:keepNext/>
              <w:keepLines/>
              <w:tabs>
                <w:tab w:val="decimal" w:pos="256"/>
              </w:tabs>
              <w:spacing w:before="60" w:after="60"/>
              <w:jc w:val="center"/>
              <w:rPr>
                <w:sz w:val="14"/>
                <w:szCs w:val="14"/>
              </w:rPr>
            </w:pPr>
            <w:r w:rsidRPr="00591C70">
              <w:rPr>
                <w:rFonts w:cs="Calibri"/>
                <w:color w:val="000000"/>
                <w:sz w:val="14"/>
                <w:szCs w:val="14"/>
              </w:rPr>
              <w:t> </w:t>
            </w:r>
          </w:p>
        </w:tc>
        <w:tc>
          <w:tcPr>
            <w:tcW w:w="851" w:type="dxa"/>
            <w:shd w:val="clear" w:color="auto" w:fill="auto"/>
            <w:vAlign w:val="bottom"/>
          </w:tcPr>
          <w:p w14:paraId="7E2B969D" w14:textId="77777777" w:rsidR="0028109D" w:rsidRPr="00591C70" w:rsidRDefault="0028109D" w:rsidP="00447F49">
            <w:pPr>
              <w:keepNext/>
              <w:keepLines/>
              <w:tabs>
                <w:tab w:val="decimal" w:pos="256"/>
              </w:tabs>
              <w:spacing w:before="60" w:after="60"/>
              <w:jc w:val="center"/>
              <w:rPr>
                <w:sz w:val="14"/>
                <w:szCs w:val="14"/>
              </w:rPr>
            </w:pPr>
            <w:r w:rsidRPr="00591C70">
              <w:rPr>
                <w:rFonts w:cs="Calibri"/>
                <w:color w:val="000000"/>
                <w:sz w:val="14"/>
                <w:szCs w:val="14"/>
              </w:rPr>
              <w:t> </w:t>
            </w:r>
          </w:p>
        </w:tc>
        <w:tc>
          <w:tcPr>
            <w:tcW w:w="1134" w:type="dxa"/>
            <w:shd w:val="clear" w:color="auto" w:fill="auto"/>
            <w:vAlign w:val="bottom"/>
          </w:tcPr>
          <w:p w14:paraId="693DFE0B" w14:textId="77777777" w:rsidR="0028109D" w:rsidRPr="00591C70" w:rsidRDefault="0028109D" w:rsidP="00447F49">
            <w:pPr>
              <w:keepNext/>
              <w:keepLines/>
              <w:tabs>
                <w:tab w:val="decimal" w:pos="256"/>
              </w:tabs>
              <w:spacing w:before="60" w:after="60"/>
              <w:jc w:val="center"/>
              <w:rPr>
                <w:sz w:val="14"/>
                <w:szCs w:val="14"/>
              </w:rPr>
            </w:pPr>
            <w:r w:rsidRPr="00591C70">
              <w:rPr>
                <w:rFonts w:cs="Calibri"/>
                <w:color w:val="000000"/>
                <w:sz w:val="14"/>
                <w:szCs w:val="14"/>
              </w:rPr>
              <w:t> </w:t>
            </w:r>
          </w:p>
        </w:tc>
        <w:tc>
          <w:tcPr>
            <w:tcW w:w="921" w:type="dxa"/>
            <w:shd w:val="clear" w:color="auto" w:fill="auto"/>
            <w:vAlign w:val="bottom"/>
          </w:tcPr>
          <w:p w14:paraId="0A47D353" w14:textId="77777777" w:rsidR="0028109D" w:rsidRPr="00591C70" w:rsidRDefault="0028109D" w:rsidP="00447F49">
            <w:pPr>
              <w:keepNext/>
              <w:keepLines/>
              <w:tabs>
                <w:tab w:val="decimal" w:pos="256"/>
              </w:tabs>
              <w:spacing w:before="60" w:after="60"/>
              <w:jc w:val="center"/>
              <w:rPr>
                <w:sz w:val="14"/>
                <w:szCs w:val="14"/>
              </w:rPr>
            </w:pPr>
            <w:r w:rsidRPr="00591C70">
              <w:rPr>
                <w:rFonts w:cs="Calibri"/>
                <w:color w:val="000000"/>
                <w:sz w:val="14"/>
                <w:szCs w:val="14"/>
              </w:rPr>
              <w:t> </w:t>
            </w:r>
          </w:p>
        </w:tc>
      </w:tr>
      <w:tr w:rsidR="0028109D" w:rsidRPr="006B6DF2" w14:paraId="0609C124" w14:textId="77777777" w:rsidTr="006066A2">
        <w:tc>
          <w:tcPr>
            <w:tcW w:w="1347" w:type="dxa"/>
            <w:shd w:val="clear" w:color="auto" w:fill="auto"/>
            <w:vAlign w:val="bottom"/>
          </w:tcPr>
          <w:p w14:paraId="376A5438" w14:textId="77777777" w:rsidR="0028109D" w:rsidRPr="008F735E" w:rsidRDefault="0028109D" w:rsidP="00447F49">
            <w:pPr>
              <w:keepNext/>
              <w:keepLines/>
              <w:tabs>
                <w:tab w:val="left" w:pos="106"/>
              </w:tabs>
              <w:spacing w:before="60" w:after="60"/>
              <w:rPr>
                <w:b/>
                <w:bCs/>
                <w:sz w:val="14"/>
                <w:szCs w:val="14"/>
              </w:rPr>
            </w:pPr>
            <w:r>
              <w:rPr>
                <w:sz w:val="14"/>
                <w:szCs w:val="14"/>
              </w:rPr>
              <w:t xml:space="preserve">  NRWT creditable</w:t>
            </w:r>
          </w:p>
        </w:tc>
        <w:tc>
          <w:tcPr>
            <w:tcW w:w="992" w:type="dxa"/>
            <w:shd w:val="clear" w:color="auto" w:fill="auto"/>
            <w:vAlign w:val="bottom"/>
          </w:tcPr>
          <w:p w14:paraId="052DAD48" w14:textId="77777777" w:rsidR="0028109D" w:rsidRPr="00591C70" w:rsidRDefault="0028109D" w:rsidP="00447F49">
            <w:pPr>
              <w:keepNext/>
              <w:keepLines/>
              <w:tabs>
                <w:tab w:val="decimal" w:pos="256"/>
              </w:tabs>
              <w:spacing w:before="60" w:after="60"/>
              <w:jc w:val="center"/>
              <w:rPr>
                <w:sz w:val="14"/>
                <w:szCs w:val="14"/>
              </w:rPr>
            </w:pPr>
            <w:r w:rsidRPr="00591C70">
              <w:rPr>
                <w:rFonts w:cs="Calibri"/>
                <w:color w:val="000000"/>
                <w:sz w:val="14"/>
                <w:szCs w:val="14"/>
              </w:rPr>
              <w:t>3.80%</w:t>
            </w:r>
          </w:p>
        </w:tc>
        <w:tc>
          <w:tcPr>
            <w:tcW w:w="737" w:type="dxa"/>
            <w:shd w:val="clear" w:color="auto" w:fill="auto"/>
            <w:vAlign w:val="bottom"/>
          </w:tcPr>
          <w:p w14:paraId="445D664B" w14:textId="77777777" w:rsidR="0028109D" w:rsidRPr="00591C70" w:rsidRDefault="0028109D" w:rsidP="00447F49">
            <w:pPr>
              <w:keepNext/>
              <w:keepLines/>
              <w:tabs>
                <w:tab w:val="decimal" w:pos="256"/>
              </w:tabs>
              <w:spacing w:before="60" w:after="60"/>
              <w:jc w:val="center"/>
              <w:rPr>
                <w:sz w:val="14"/>
                <w:szCs w:val="14"/>
              </w:rPr>
            </w:pPr>
            <w:r w:rsidRPr="00591C70">
              <w:rPr>
                <w:rFonts w:cs="Calibri"/>
                <w:color w:val="000000"/>
                <w:sz w:val="14"/>
                <w:szCs w:val="14"/>
              </w:rPr>
              <w:t>4.13%</w:t>
            </w:r>
          </w:p>
        </w:tc>
        <w:tc>
          <w:tcPr>
            <w:tcW w:w="681" w:type="dxa"/>
            <w:shd w:val="clear" w:color="auto" w:fill="auto"/>
            <w:vAlign w:val="bottom"/>
          </w:tcPr>
          <w:p w14:paraId="4E2A1B7E" w14:textId="77777777" w:rsidR="0028109D" w:rsidRPr="00591C70" w:rsidRDefault="0028109D" w:rsidP="00447F49">
            <w:pPr>
              <w:keepNext/>
              <w:keepLines/>
              <w:tabs>
                <w:tab w:val="decimal" w:pos="256"/>
              </w:tabs>
              <w:spacing w:before="60" w:after="60"/>
              <w:jc w:val="center"/>
              <w:rPr>
                <w:sz w:val="14"/>
                <w:szCs w:val="14"/>
              </w:rPr>
            </w:pPr>
            <w:r w:rsidRPr="00591C70">
              <w:rPr>
                <w:rFonts w:cs="Calibri"/>
                <w:color w:val="000000"/>
                <w:sz w:val="14"/>
                <w:szCs w:val="14"/>
              </w:rPr>
              <w:t>4.10%</w:t>
            </w:r>
          </w:p>
        </w:tc>
        <w:tc>
          <w:tcPr>
            <w:tcW w:w="651" w:type="dxa"/>
            <w:shd w:val="clear" w:color="auto" w:fill="auto"/>
            <w:vAlign w:val="bottom"/>
          </w:tcPr>
          <w:p w14:paraId="406D9F38" w14:textId="77777777" w:rsidR="0028109D" w:rsidRPr="00591C70" w:rsidRDefault="0028109D" w:rsidP="00447F49">
            <w:pPr>
              <w:keepNext/>
              <w:keepLines/>
              <w:tabs>
                <w:tab w:val="decimal" w:pos="256"/>
              </w:tabs>
              <w:spacing w:before="60" w:after="60"/>
              <w:jc w:val="center"/>
              <w:rPr>
                <w:sz w:val="14"/>
                <w:szCs w:val="14"/>
              </w:rPr>
            </w:pPr>
            <w:r w:rsidRPr="00591C70">
              <w:rPr>
                <w:rFonts w:cs="Calibri"/>
                <w:color w:val="000000"/>
                <w:sz w:val="14"/>
                <w:szCs w:val="14"/>
              </w:rPr>
              <w:t>3.91%</w:t>
            </w:r>
          </w:p>
        </w:tc>
        <w:tc>
          <w:tcPr>
            <w:tcW w:w="666" w:type="dxa"/>
            <w:shd w:val="clear" w:color="auto" w:fill="auto"/>
            <w:vAlign w:val="bottom"/>
          </w:tcPr>
          <w:p w14:paraId="4881F724" w14:textId="77777777" w:rsidR="0028109D" w:rsidRPr="00591C70" w:rsidRDefault="0028109D" w:rsidP="00447F49">
            <w:pPr>
              <w:keepNext/>
              <w:keepLines/>
              <w:tabs>
                <w:tab w:val="decimal" w:pos="256"/>
              </w:tabs>
              <w:spacing w:before="60" w:after="60"/>
              <w:jc w:val="center"/>
              <w:rPr>
                <w:sz w:val="14"/>
                <w:szCs w:val="14"/>
              </w:rPr>
            </w:pPr>
            <w:r w:rsidRPr="00591C70">
              <w:rPr>
                <w:rFonts w:cs="Calibri"/>
                <w:color w:val="000000"/>
                <w:sz w:val="14"/>
                <w:szCs w:val="14"/>
              </w:rPr>
              <w:t>3.74%</w:t>
            </w:r>
          </w:p>
        </w:tc>
        <w:tc>
          <w:tcPr>
            <w:tcW w:w="667" w:type="dxa"/>
            <w:shd w:val="clear" w:color="auto" w:fill="auto"/>
            <w:vAlign w:val="bottom"/>
          </w:tcPr>
          <w:p w14:paraId="3CF30B14" w14:textId="77777777" w:rsidR="0028109D" w:rsidRPr="00591C70" w:rsidRDefault="0028109D" w:rsidP="00447F49">
            <w:pPr>
              <w:keepNext/>
              <w:keepLines/>
              <w:tabs>
                <w:tab w:val="decimal" w:pos="256"/>
              </w:tabs>
              <w:spacing w:before="60" w:after="60"/>
              <w:jc w:val="center"/>
              <w:rPr>
                <w:sz w:val="14"/>
                <w:szCs w:val="14"/>
              </w:rPr>
            </w:pPr>
            <w:r w:rsidRPr="00591C70">
              <w:rPr>
                <w:rFonts w:cs="Calibri"/>
                <w:color w:val="000000"/>
                <w:sz w:val="14"/>
                <w:szCs w:val="14"/>
              </w:rPr>
              <w:t>3.61%</w:t>
            </w:r>
          </w:p>
        </w:tc>
        <w:tc>
          <w:tcPr>
            <w:tcW w:w="1134" w:type="dxa"/>
            <w:shd w:val="clear" w:color="auto" w:fill="auto"/>
            <w:vAlign w:val="bottom"/>
          </w:tcPr>
          <w:p w14:paraId="52FCC06D" w14:textId="77777777" w:rsidR="0028109D" w:rsidRPr="00591C70" w:rsidRDefault="0028109D" w:rsidP="00447F49">
            <w:pPr>
              <w:keepNext/>
              <w:keepLines/>
              <w:tabs>
                <w:tab w:val="decimal" w:pos="256"/>
              </w:tabs>
              <w:spacing w:before="60" w:after="60"/>
              <w:jc w:val="center"/>
              <w:rPr>
                <w:sz w:val="14"/>
                <w:szCs w:val="14"/>
              </w:rPr>
            </w:pPr>
            <w:r w:rsidRPr="00591C70">
              <w:rPr>
                <w:rFonts w:cs="Calibri"/>
                <w:color w:val="000000"/>
                <w:sz w:val="14"/>
                <w:szCs w:val="14"/>
              </w:rPr>
              <w:t>3.36%</w:t>
            </w:r>
          </w:p>
        </w:tc>
        <w:tc>
          <w:tcPr>
            <w:tcW w:w="851" w:type="dxa"/>
            <w:shd w:val="clear" w:color="auto" w:fill="auto"/>
            <w:vAlign w:val="bottom"/>
          </w:tcPr>
          <w:p w14:paraId="456EFE59" w14:textId="77777777" w:rsidR="0028109D" w:rsidRPr="00591C70" w:rsidRDefault="0028109D" w:rsidP="00447F49">
            <w:pPr>
              <w:keepNext/>
              <w:keepLines/>
              <w:tabs>
                <w:tab w:val="decimal" w:pos="256"/>
              </w:tabs>
              <w:spacing w:before="60" w:after="60"/>
              <w:jc w:val="center"/>
              <w:rPr>
                <w:sz w:val="14"/>
                <w:szCs w:val="14"/>
              </w:rPr>
            </w:pPr>
            <w:r w:rsidRPr="00591C70">
              <w:rPr>
                <w:rFonts w:cs="Calibri"/>
                <w:color w:val="000000"/>
                <w:sz w:val="14"/>
                <w:szCs w:val="14"/>
              </w:rPr>
              <w:t>4.13%</w:t>
            </w:r>
          </w:p>
        </w:tc>
        <w:tc>
          <w:tcPr>
            <w:tcW w:w="1134" w:type="dxa"/>
            <w:shd w:val="clear" w:color="auto" w:fill="auto"/>
            <w:vAlign w:val="bottom"/>
          </w:tcPr>
          <w:p w14:paraId="4E20739F" w14:textId="77777777" w:rsidR="0028109D" w:rsidRPr="00591C70" w:rsidRDefault="0028109D" w:rsidP="00447F49">
            <w:pPr>
              <w:keepNext/>
              <w:keepLines/>
              <w:tabs>
                <w:tab w:val="decimal" w:pos="256"/>
              </w:tabs>
              <w:spacing w:before="60" w:after="60"/>
              <w:jc w:val="center"/>
              <w:rPr>
                <w:sz w:val="14"/>
                <w:szCs w:val="14"/>
              </w:rPr>
            </w:pPr>
            <w:r w:rsidRPr="00591C70">
              <w:rPr>
                <w:rFonts w:cs="Calibri"/>
                <w:color w:val="000000"/>
                <w:sz w:val="14"/>
                <w:szCs w:val="14"/>
              </w:rPr>
              <w:t>2.97%</w:t>
            </w:r>
          </w:p>
        </w:tc>
        <w:tc>
          <w:tcPr>
            <w:tcW w:w="921" w:type="dxa"/>
            <w:shd w:val="clear" w:color="auto" w:fill="auto"/>
            <w:vAlign w:val="bottom"/>
          </w:tcPr>
          <w:p w14:paraId="4E008C0E" w14:textId="77777777" w:rsidR="0028109D" w:rsidRPr="00591C70" w:rsidRDefault="0028109D" w:rsidP="00447F49">
            <w:pPr>
              <w:keepNext/>
              <w:keepLines/>
              <w:tabs>
                <w:tab w:val="decimal" w:pos="256"/>
              </w:tabs>
              <w:spacing w:before="60" w:after="60"/>
              <w:jc w:val="center"/>
              <w:rPr>
                <w:sz w:val="14"/>
                <w:szCs w:val="14"/>
              </w:rPr>
            </w:pPr>
            <w:r w:rsidRPr="00591C70">
              <w:rPr>
                <w:rFonts w:cs="Calibri"/>
                <w:color w:val="000000"/>
                <w:sz w:val="14"/>
                <w:szCs w:val="14"/>
              </w:rPr>
              <w:t>2.42%</w:t>
            </w:r>
          </w:p>
        </w:tc>
      </w:tr>
      <w:tr w:rsidR="0028109D" w:rsidRPr="006B6DF2" w14:paraId="34AA7764" w14:textId="77777777" w:rsidTr="006066A2">
        <w:tc>
          <w:tcPr>
            <w:tcW w:w="1347" w:type="dxa"/>
            <w:shd w:val="clear" w:color="auto" w:fill="auto"/>
            <w:vAlign w:val="bottom"/>
          </w:tcPr>
          <w:p w14:paraId="3F434391" w14:textId="77777777" w:rsidR="0028109D" w:rsidRDefault="0028109D" w:rsidP="00447F49">
            <w:pPr>
              <w:keepNext/>
              <w:keepLines/>
              <w:tabs>
                <w:tab w:val="left" w:pos="106"/>
              </w:tabs>
              <w:spacing w:before="60" w:after="60"/>
              <w:rPr>
                <w:sz w:val="14"/>
                <w:szCs w:val="14"/>
              </w:rPr>
            </w:pPr>
            <w:r>
              <w:rPr>
                <w:sz w:val="14"/>
                <w:szCs w:val="14"/>
              </w:rPr>
              <w:t xml:space="preserve">  NRWT not</w:t>
            </w:r>
          </w:p>
          <w:p w14:paraId="1283E214" w14:textId="77777777" w:rsidR="0028109D" w:rsidRPr="008F735E" w:rsidRDefault="0028109D" w:rsidP="00447F49">
            <w:pPr>
              <w:keepNext/>
              <w:keepLines/>
              <w:tabs>
                <w:tab w:val="left" w:pos="106"/>
              </w:tabs>
              <w:spacing w:before="60" w:after="60"/>
              <w:rPr>
                <w:sz w:val="14"/>
                <w:szCs w:val="14"/>
              </w:rPr>
            </w:pPr>
            <w:r>
              <w:rPr>
                <w:sz w:val="14"/>
                <w:szCs w:val="14"/>
              </w:rPr>
              <w:t xml:space="preserve">  creditable</w:t>
            </w:r>
          </w:p>
        </w:tc>
        <w:tc>
          <w:tcPr>
            <w:tcW w:w="992" w:type="dxa"/>
            <w:shd w:val="clear" w:color="auto" w:fill="auto"/>
            <w:vAlign w:val="bottom"/>
          </w:tcPr>
          <w:p w14:paraId="6884C8EB" w14:textId="77777777" w:rsidR="0028109D" w:rsidRPr="00591C70" w:rsidRDefault="0028109D" w:rsidP="00447F49">
            <w:pPr>
              <w:keepNext/>
              <w:keepLines/>
              <w:tabs>
                <w:tab w:val="decimal" w:pos="256"/>
              </w:tabs>
              <w:spacing w:before="60" w:after="60"/>
              <w:jc w:val="center"/>
              <w:rPr>
                <w:sz w:val="14"/>
                <w:szCs w:val="14"/>
              </w:rPr>
            </w:pPr>
            <w:r w:rsidRPr="00591C70">
              <w:rPr>
                <w:rFonts w:cs="Calibri"/>
                <w:color w:val="000000"/>
                <w:sz w:val="14"/>
                <w:szCs w:val="14"/>
              </w:rPr>
              <w:t>3.88%</w:t>
            </w:r>
          </w:p>
        </w:tc>
        <w:tc>
          <w:tcPr>
            <w:tcW w:w="737" w:type="dxa"/>
            <w:shd w:val="clear" w:color="auto" w:fill="auto"/>
            <w:vAlign w:val="bottom"/>
          </w:tcPr>
          <w:p w14:paraId="491CCD4A" w14:textId="77777777" w:rsidR="0028109D" w:rsidRPr="00591C70" w:rsidRDefault="0028109D" w:rsidP="00447F49">
            <w:pPr>
              <w:keepNext/>
              <w:keepLines/>
              <w:tabs>
                <w:tab w:val="decimal" w:pos="256"/>
              </w:tabs>
              <w:spacing w:before="60" w:after="60"/>
              <w:jc w:val="center"/>
              <w:rPr>
                <w:sz w:val="14"/>
                <w:szCs w:val="14"/>
              </w:rPr>
            </w:pPr>
            <w:r w:rsidRPr="00591C70">
              <w:rPr>
                <w:rFonts w:cs="Calibri"/>
                <w:color w:val="000000"/>
                <w:sz w:val="14"/>
                <w:szCs w:val="14"/>
              </w:rPr>
              <w:t>4.21%</w:t>
            </w:r>
          </w:p>
        </w:tc>
        <w:tc>
          <w:tcPr>
            <w:tcW w:w="681" w:type="dxa"/>
            <w:shd w:val="clear" w:color="auto" w:fill="auto"/>
            <w:vAlign w:val="bottom"/>
          </w:tcPr>
          <w:p w14:paraId="70FC7BA1" w14:textId="77777777" w:rsidR="0028109D" w:rsidRPr="00591C70" w:rsidRDefault="0028109D" w:rsidP="00447F49">
            <w:pPr>
              <w:keepNext/>
              <w:keepLines/>
              <w:tabs>
                <w:tab w:val="decimal" w:pos="256"/>
              </w:tabs>
              <w:spacing w:before="60" w:after="60"/>
              <w:jc w:val="center"/>
              <w:rPr>
                <w:sz w:val="14"/>
                <w:szCs w:val="14"/>
              </w:rPr>
            </w:pPr>
            <w:r w:rsidRPr="00591C70">
              <w:rPr>
                <w:rFonts w:cs="Calibri"/>
                <w:color w:val="000000"/>
                <w:sz w:val="14"/>
                <w:szCs w:val="14"/>
              </w:rPr>
              <w:t>4.18%</w:t>
            </w:r>
          </w:p>
        </w:tc>
        <w:tc>
          <w:tcPr>
            <w:tcW w:w="651" w:type="dxa"/>
            <w:shd w:val="clear" w:color="auto" w:fill="auto"/>
            <w:vAlign w:val="bottom"/>
          </w:tcPr>
          <w:p w14:paraId="211FB0F9" w14:textId="77777777" w:rsidR="0028109D" w:rsidRPr="00591C70" w:rsidRDefault="0028109D" w:rsidP="00447F49">
            <w:pPr>
              <w:keepNext/>
              <w:keepLines/>
              <w:tabs>
                <w:tab w:val="decimal" w:pos="256"/>
              </w:tabs>
              <w:spacing w:before="60" w:after="60"/>
              <w:jc w:val="center"/>
              <w:rPr>
                <w:sz w:val="14"/>
                <w:szCs w:val="14"/>
              </w:rPr>
            </w:pPr>
            <w:r w:rsidRPr="00591C70">
              <w:rPr>
                <w:rFonts w:cs="Calibri"/>
                <w:color w:val="000000"/>
                <w:sz w:val="14"/>
                <w:szCs w:val="14"/>
              </w:rPr>
              <w:t>4.00%</w:t>
            </w:r>
          </w:p>
        </w:tc>
        <w:tc>
          <w:tcPr>
            <w:tcW w:w="666" w:type="dxa"/>
            <w:shd w:val="clear" w:color="auto" w:fill="auto"/>
            <w:vAlign w:val="bottom"/>
          </w:tcPr>
          <w:p w14:paraId="57D50012" w14:textId="77777777" w:rsidR="0028109D" w:rsidRPr="00591C70" w:rsidRDefault="0028109D" w:rsidP="00447F49">
            <w:pPr>
              <w:keepNext/>
              <w:keepLines/>
              <w:tabs>
                <w:tab w:val="decimal" w:pos="256"/>
              </w:tabs>
              <w:spacing w:before="60" w:after="60"/>
              <w:jc w:val="center"/>
              <w:rPr>
                <w:sz w:val="14"/>
                <w:szCs w:val="14"/>
              </w:rPr>
            </w:pPr>
            <w:r w:rsidRPr="00591C70">
              <w:rPr>
                <w:rFonts w:cs="Calibri"/>
                <w:color w:val="000000"/>
                <w:sz w:val="14"/>
                <w:szCs w:val="14"/>
              </w:rPr>
              <w:t>3.83%</w:t>
            </w:r>
          </w:p>
        </w:tc>
        <w:tc>
          <w:tcPr>
            <w:tcW w:w="667" w:type="dxa"/>
            <w:shd w:val="clear" w:color="auto" w:fill="auto"/>
            <w:vAlign w:val="bottom"/>
          </w:tcPr>
          <w:p w14:paraId="2170948C" w14:textId="77777777" w:rsidR="0028109D" w:rsidRPr="00591C70" w:rsidRDefault="0028109D" w:rsidP="00447F49">
            <w:pPr>
              <w:keepNext/>
              <w:keepLines/>
              <w:tabs>
                <w:tab w:val="decimal" w:pos="256"/>
              </w:tabs>
              <w:spacing w:before="60" w:after="60"/>
              <w:jc w:val="center"/>
              <w:rPr>
                <w:sz w:val="14"/>
                <w:szCs w:val="14"/>
              </w:rPr>
            </w:pPr>
            <w:r w:rsidRPr="00591C70">
              <w:rPr>
                <w:rFonts w:cs="Calibri"/>
                <w:color w:val="000000"/>
                <w:sz w:val="14"/>
                <w:szCs w:val="14"/>
              </w:rPr>
              <w:t>3.70%</w:t>
            </w:r>
          </w:p>
        </w:tc>
        <w:tc>
          <w:tcPr>
            <w:tcW w:w="1134" w:type="dxa"/>
            <w:shd w:val="clear" w:color="auto" w:fill="auto"/>
            <w:vAlign w:val="bottom"/>
          </w:tcPr>
          <w:p w14:paraId="76FF88D0" w14:textId="77777777" w:rsidR="0028109D" w:rsidRPr="00591C70" w:rsidRDefault="0028109D" w:rsidP="00447F49">
            <w:pPr>
              <w:keepNext/>
              <w:keepLines/>
              <w:tabs>
                <w:tab w:val="decimal" w:pos="256"/>
              </w:tabs>
              <w:spacing w:before="60" w:after="60"/>
              <w:jc w:val="center"/>
              <w:rPr>
                <w:sz w:val="14"/>
                <w:szCs w:val="14"/>
              </w:rPr>
            </w:pPr>
            <w:r w:rsidRPr="00591C70">
              <w:rPr>
                <w:rFonts w:cs="Calibri"/>
                <w:color w:val="000000"/>
                <w:sz w:val="14"/>
                <w:szCs w:val="14"/>
              </w:rPr>
              <w:t>3.45%</w:t>
            </w:r>
          </w:p>
        </w:tc>
        <w:tc>
          <w:tcPr>
            <w:tcW w:w="851" w:type="dxa"/>
            <w:shd w:val="clear" w:color="auto" w:fill="auto"/>
            <w:vAlign w:val="bottom"/>
          </w:tcPr>
          <w:p w14:paraId="4430781E" w14:textId="77777777" w:rsidR="0028109D" w:rsidRPr="00591C70" w:rsidRDefault="0028109D" w:rsidP="00447F49">
            <w:pPr>
              <w:keepNext/>
              <w:keepLines/>
              <w:tabs>
                <w:tab w:val="decimal" w:pos="256"/>
              </w:tabs>
              <w:spacing w:before="60" w:after="60"/>
              <w:jc w:val="center"/>
              <w:rPr>
                <w:sz w:val="14"/>
                <w:szCs w:val="14"/>
              </w:rPr>
            </w:pPr>
            <w:r w:rsidRPr="00591C70">
              <w:rPr>
                <w:rFonts w:cs="Calibri"/>
                <w:color w:val="000000"/>
                <w:sz w:val="14"/>
                <w:szCs w:val="14"/>
              </w:rPr>
              <w:t>4.21%</w:t>
            </w:r>
          </w:p>
        </w:tc>
        <w:tc>
          <w:tcPr>
            <w:tcW w:w="1134" w:type="dxa"/>
            <w:shd w:val="clear" w:color="auto" w:fill="auto"/>
            <w:vAlign w:val="bottom"/>
          </w:tcPr>
          <w:p w14:paraId="127CE7C0" w14:textId="77777777" w:rsidR="0028109D" w:rsidRPr="00591C70" w:rsidRDefault="0028109D" w:rsidP="00447F49">
            <w:pPr>
              <w:keepNext/>
              <w:keepLines/>
              <w:tabs>
                <w:tab w:val="decimal" w:pos="256"/>
              </w:tabs>
              <w:spacing w:before="60" w:after="60"/>
              <w:jc w:val="center"/>
              <w:rPr>
                <w:sz w:val="14"/>
                <w:szCs w:val="14"/>
              </w:rPr>
            </w:pPr>
            <w:r w:rsidRPr="00591C70">
              <w:rPr>
                <w:rFonts w:cs="Calibri"/>
                <w:color w:val="000000"/>
                <w:sz w:val="14"/>
                <w:szCs w:val="14"/>
              </w:rPr>
              <w:t>3.06%</w:t>
            </w:r>
          </w:p>
        </w:tc>
        <w:tc>
          <w:tcPr>
            <w:tcW w:w="921" w:type="dxa"/>
            <w:shd w:val="clear" w:color="auto" w:fill="auto"/>
            <w:vAlign w:val="bottom"/>
          </w:tcPr>
          <w:p w14:paraId="5CD363DA" w14:textId="77777777" w:rsidR="0028109D" w:rsidRPr="00591C70" w:rsidRDefault="0028109D" w:rsidP="00447F49">
            <w:pPr>
              <w:keepNext/>
              <w:keepLines/>
              <w:tabs>
                <w:tab w:val="decimal" w:pos="256"/>
              </w:tabs>
              <w:spacing w:before="60" w:after="60"/>
              <w:jc w:val="center"/>
              <w:rPr>
                <w:sz w:val="14"/>
                <w:szCs w:val="14"/>
              </w:rPr>
            </w:pPr>
            <w:r w:rsidRPr="00591C70">
              <w:rPr>
                <w:rFonts w:cs="Calibri"/>
                <w:color w:val="000000"/>
                <w:sz w:val="14"/>
                <w:szCs w:val="14"/>
              </w:rPr>
              <w:t>2.49%</w:t>
            </w:r>
          </w:p>
        </w:tc>
      </w:tr>
    </w:tbl>
    <w:p w14:paraId="431166E7" w14:textId="77777777" w:rsidR="00941EDB" w:rsidRPr="00F12861" w:rsidRDefault="00941EDB" w:rsidP="0028109D">
      <w:pPr>
        <w:spacing w:before="0"/>
      </w:pPr>
    </w:p>
    <w:p w14:paraId="5978C076" w14:textId="5D69A545" w:rsidR="00A303F4" w:rsidRPr="00387B48" w:rsidRDefault="00A303F4" w:rsidP="00B37632">
      <w:pPr>
        <w:pStyle w:val="NumberedParagraph"/>
      </w:pPr>
      <w:r w:rsidRPr="00A303F4">
        <w:t xml:space="preserve">We draw attention to the following points illustrated by table </w:t>
      </w:r>
      <w:r w:rsidR="00C446F8" w:rsidRPr="00387B48">
        <w:t>A2</w:t>
      </w:r>
      <w:r w:rsidRPr="00387B48">
        <w:t>.</w:t>
      </w:r>
      <w:r w:rsidR="009814C2">
        <w:t>4</w:t>
      </w:r>
      <w:r w:rsidRPr="00387B48">
        <w:t>:</w:t>
      </w:r>
    </w:p>
    <w:p w14:paraId="24684922" w14:textId="4580E51A" w:rsidR="00A303F4" w:rsidRPr="00A303F4" w:rsidRDefault="00EB0FB1" w:rsidP="008C3DFF">
      <w:pPr>
        <w:pStyle w:val="NumberedParagraph-BulletL1"/>
      </w:pPr>
      <w:r>
        <w:t xml:space="preserve">The third row of </w:t>
      </w:r>
      <w:r w:rsidR="008443A5">
        <w:t xml:space="preserve">table A2.4 comes from table A2.1 and the fourth row comes from table </w:t>
      </w:r>
      <w:r w:rsidR="00941E20">
        <w:t xml:space="preserve">A2.2. </w:t>
      </w:r>
      <w:r w:rsidR="00A303F4" w:rsidRPr="00A303F4">
        <w:t>By comparing the</w:t>
      </w:r>
      <w:r w:rsidR="00941E20">
        <w:t>se</w:t>
      </w:r>
      <w:r w:rsidR="00A303F4" w:rsidRPr="00A303F4">
        <w:t xml:space="preserve"> rows, we see that AIL pushes up costs of capital but only by very small amounts for domestic companies with marginal foreign shareholders that are not foreign controlled.</w:t>
      </w:r>
    </w:p>
    <w:p w14:paraId="4FCA6236" w14:textId="77777777" w:rsidR="00A303F4" w:rsidRPr="00A303F4" w:rsidRDefault="00A303F4" w:rsidP="008C3DFF">
      <w:pPr>
        <w:pStyle w:val="NumberedParagraph-BulletL1"/>
      </w:pPr>
      <w:r w:rsidRPr="00A303F4">
        <w:t>By comparing the fourth and fifth rows, we see that the combination of AIL and NRWT has an even smaller effect on pushing up costs of capital for foreign-controlled companies that can claim credits for NRWT. Unlike AIL, NRWT is not increasing the cost of capital for these companies.</w:t>
      </w:r>
    </w:p>
    <w:p w14:paraId="222688B0" w14:textId="15E48D83" w:rsidR="00A303F4" w:rsidRPr="00A303F4" w:rsidRDefault="00A303F4" w:rsidP="008C3DFF">
      <w:pPr>
        <w:pStyle w:val="NumberedParagraph-BulletL1"/>
      </w:pPr>
      <w:r w:rsidRPr="00A303F4">
        <w:t>By comparing the fourth and sixth rows, we see that the combination of AIL and NRWT has a bigger effect on costs of capital for foreign-controlled companies that cannot make use of credits for NRWT.</w:t>
      </w:r>
      <w:r w:rsidR="00AA733A">
        <w:t xml:space="preserve"> This is because the 10% rate of NRWT</w:t>
      </w:r>
      <w:r w:rsidR="00E120C9">
        <w:t xml:space="preserve"> is greater than the 2% rate of AIL.</w:t>
      </w:r>
    </w:p>
    <w:p w14:paraId="3B567DF6" w14:textId="69CA9412" w:rsidR="00A303F4" w:rsidRPr="00387B48" w:rsidRDefault="00A303F4" w:rsidP="008C3DFF">
      <w:pPr>
        <w:pStyle w:val="NumberedParagraph-BulletL1"/>
      </w:pPr>
      <w:r w:rsidRPr="00387B48">
        <w:t>Differences in costs of capital going down the rows seem small relative to differences in costs of capital going across the rows. This suggests that tax biases between these different types of company are likely to be small relative to tax biases between different types of asset</w:t>
      </w:r>
      <w:r w:rsidR="00FC39FA">
        <w:t>s</w:t>
      </w:r>
      <w:r w:rsidRPr="00387B48">
        <w:t>.</w:t>
      </w:r>
    </w:p>
    <w:p w14:paraId="002B1EC9" w14:textId="4AE66C4B" w:rsidR="00A303F4" w:rsidRPr="00A303F4" w:rsidRDefault="00A303F4" w:rsidP="00CA72CD">
      <w:pPr>
        <w:pStyle w:val="Heading3"/>
        <w:rPr>
          <w:rFonts w:eastAsia="Calibri"/>
          <w:lang w:eastAsia="en-US"/>
        </w:rPr>
      </w:pPr>
      <w:r w:rsidRPr="00A303F4">
        <w:rPr>
          <w:rFonts w:eastAsia="Calibri"/>
          <w:lang w:eastAsia="en-US"/>
        </w:rPr>
        <w:t>Thin capitalisation rules</w:t>
      </w:r>
    </w:p>
    <w:p w14:paraId="1148C563" w14:textId="77777777" w:rsidR="00A303F4" w:rsidRPr="00B37632" w:rsidRDefault="00A303F4" w:rsidP="00B37632">
      <w:pPr>
        <w:pStyle w:val="NumberedParagraph"/>
      </w:pPr>
      <w:r w:rsidRPr="00B37632">
        <w:t>Non-residents investing into New Zealand can reduce the amount of corporate income tax they pay in New Zealand by having the subsidiary borrow from the parent and pay part of the return to the parent by way of deductible interest on a loan (rather than as a non-deductible dividend payment). Alternatively, the corporate group could lower the amount of tax it pays in New Zealand by having a New Zealand subsidiary take on a disproportionately large share of borrowing from third parties.</w:t>
      </w:r>
    </w:p>
    <w:p w14:paraId="2FC91B91" w14:textId="77777777" w:rsidR="00A303F4" w:rsidRPr="00A303F4" w:rsidRDefault="00A303F4" w:rsidP="00B37632">
      <w:pPr>
        <w:pStyle w:val="NumberedParagraph"/>
      </w:pPr>
      <w:r w:rsidRPr="00B37632">
        <w:t>The thin capitalisat</w:t>
      </w:r>
      <w:r w:rsidRPr="00A303F4">
        <w:t>ion rules deny interest deductions if there are deemed to be excessive levels of debt in New Zealand. This can occur if both:</w:t>
      </w:r>
    </w:p>
    <w:p w14:paraId="3AD6202D" w14:textId="77777777" w:rsidR="00A303F4" w:rsidRPr="00A303F4" w:rsidRDefault="00A303F4" w:rsidP="008C3DFF">
      <w:pPr>
        <w:pStyle w:val="NumberedParagraph-BulletL1"/>
      </w:pPr>
      <w:r w:rsidRPr="00A303F4">
        <w:lastRenderedPageBreak/>
        <w:t>the New Zealand group’s debt ratio (that is, debt/(debt+equity)) is greater than 110% of the group’s worldwide debt ratio, and</w:t>
      </w:r>
    </w:p>
    <w:p w14:paraId="439D435A" w14:textId="35E5CDAB" w:rsidR="00A303F4" w:rsidRPr="00A303F4" w:rsidRDefault="00A303F4" w:rsidP="008C3DFF">
      <w:pPr>
        <w:pStyle w:val="NumberedParagraph-BulletL1"/>
      </w:pPr>
      <w:r w:rsidRPr="00A303F4">
        <w:t xml:space="preserve">the New Zealand group’s debt ratio is greater than the </w:t>
      </w:r>
      <w:r w:rsidR="002A768D">
        <w:t>‘</w:t>
      </w:r>
      <w:r w:rsidRPr="00A303F4">
        <w:t>safe harbour</w:t>
      </w:r>
      <w:r w:rsidR="002A768D">
        <w:t>’</w:t>
      </w:r>
      <w:r w:rsidRPr="00A303F4">
        <w:t xml:space="preserve"> </w:t>
      </w:r>
      <w:r w:rsidR="00386D13" w:rsidRPr="00A303F4">
        <w:t>of</w:t>
      </w:r>
      <w:r w:rsidR="00F251AA">
        <w:t xml:space="preserve"> </w:t>
      </w:r>
      <w:r w:rsidRPr="00A303F4">
        <w:t>60%.</w:t>
      </w:r>
    </w:p>
    <w:p w14:paraId="032DA7D8" w14:textId="1D3A00C0" w:rsidR="00A303F4" w:rsidRPr="00B37632" w:rsidRDefault="00A303F4" w:rsidP="00B37632">
      <w:pPr>
        <w:pStyle w:val="NumberedParagraph"/>
      </w:pPr>
      <w:r w:rsidRPr="00B37632">
        <w:t>We understand that the safe harbour test is normally the binding constraint. We assume that firms that fail to satisfy the safe harbour test are not able to use the worldwide test to qualify for a better interest deductibility result.</w:t>
      </w:r>
    </w:p>
    <w:p w14:paraId="098CBC46" w14:textId="77777777" w:rsidR="00A303F4" w:rsidRPr="00B37632" w:rsidRDefault="00A303F4" w:rsidP="00B37632">
      <w:pPr>
        <w:pStyle w:val="NumberedParagraph"/>
      </w:pPr>
      <w:r w:rsidRPr="00B37632">
        <w:t>If borrowing is from a foreign parent company, interest payments will normally be taxed in the parent’s hands. In this case, it will often be the difference between the New Zealand company tax rate and the foreign tax rate that determines incentives for debt financing. For example, suppose $100 of additional interest is paid from a New Zealand company in tax profit to a foreign parent. This reduces the New Zealand total tax payments by $18 (income tax falls by $28 but NRWT increases by $10). Also suppose that the parent is based in a country with a 20% company tax rate that can claim credits for New Zealand tax. In this case, additional tax of $10 would be paid by the foreign parent (income tax of $20 offset by a tax credit for NRWT of $10). This suggests that incentives to thinly capitalise New Zealand operations will often arise when the New Zealand company tax rate is higher than the tax rate in the country where the foreign parent resides.</w:t>
      </w:r>
    </w:p>
    <w:p w14:paraId="771F82C0" w14:textId="73301509" w:rsidR="00A303F4" w:rsidRPr="00A303F4" w:rsidRDefault="00A303F4" w:rsidP="00B37632">
      <w:pPr>
        <w:pStyle w:val="NumberedParagraph"/>
      </w:pPr>
      <w:r w:rsidRPr="00B37632">
        <w:t xml:space="preserve">New Zealand has a relatively high company tax rate within the OECD. Therefore, it might be thought </w:t>
      </w:r>
      <w:r w:rsidR="00E433AE" w:rsidRPr="00B37632">
        <w:t>a multinational enterprise with a foreign parent</w:t>
      </w:r>
      <w:r w:rsidRPr="00B37632">
        <w:t xml:space="preserve"> would normally have a tax advantage in thinly capitalising New Zealand opera</w:t>
      </w:r>
      <w:r w:rsidRPr="00A303F4">
        <w:t>tions. At the same time, slightly more than 50% of foreign direct investment (FDI) into New Zealand ($66.1</w:t>
      </w:r>
      <w:r w:rsidR="00386D13">
        <w:t xml:space="preserve"> </w:t>
      </w:r>
      <w:r w:rsidRPr="00A303F4">
        <w:t>b</w:t>
      </w:r>
      <w:r w:rsidR="00386D13">
        <w:t>illio</w:t>
      </w:r>
      <w:r w:rsidRPr="00A303F4">
        <w:t>n or 50.5% of a total stock of $130.9</w:t>
      </w:r>
      <w:r w:rsidR="00386D13">
        <w:t xml:space="preserve"> </w:t>
      </w:r>
      <w:r w:rsidRPr="00A303F4">
        <w:t>b</w:t>
      </w:r>
      <w:r w:rsidR="00386D13">
        <w:t>illio</w:t>
      </w:r>
      <w:r w:rsidRPr="00A303F4">
        <w:t xml:space="preserve">n as </w:t>
      </w:r>
      <w:proofErr w:type="gramStart"/>
      <w:r w:rsidRPr="00A303F4">
        <w:t>at</w:t>
      </w:r>
      <w:proofErr w:type="gramEnd"/>
      <w:r w:rsidRPr="00A303F4">
        <w:t xml:space="preserve"> 31 March 2021) is from Australia.</w:t>
      </w:r>
      <w:r w:rsidRPr="00A303F4">
        <w:rPr>
          <w:vertAlign w:val="superscript"/>
        </w:rPr>
        <w:footnoteReference w:id="20"/>
      </w:r>
      <w:r w:rsidRPr="00A303F4">
        <w:t xml:space="preserve"> The Australian company tax rate for large companies is 30%, which is slightly higher than New Zealand’s 28% company tax rate. Nonetheless, there are other factors to consider, and there can be incentives for Australian corporate parents to thinly capitalise New Zealand subsidiaries even if the Australian company tax rate is slightly higher.</w:t>
      </w:r>
    </w:p>
    <w:p w14:paraId="0EE7EEDD" w14:textId="77777777" w:rsidR="00A303F4" w:rsidRPr="00B37632" w:rsidRDefault="00A303F4" w:rsidP="00B37632">
      <w:pPr>
        <w:pStyle w:val="NumberedParagraph"/>
      </w:pPr>
      <w:r w:rsidRPr="00B37632">
        <w:t>Australia’s full imputation system means that many firms will want to pay tax in Australia, rather than New Zealand, because franking credits (that is, imputation credits) are available for Australian, but not foreign, taxes. Many other factors may be important as well, including whether the foreign parent or the domestic subsidiary are in a taxpaying position and whether foreign tax credits can be claimed for taxes paid in New Zealand.</w:t>
      </w:r>
    </w:p>
    <w:p w14:paraId="72C346DC" w14:textId="7633E617" w:rsidR="00A303F4" w:rsidRPr="00B37632" w:rsidRDefault="00A303F4" w:rsidP="00B37632">
      <w:pPr>
        <w:pStyle w:val="NumberedParagraph"/>
      </w:pPr>
      <w:r w:rsidRPr="00B37632">
        <w:t>One possible way of examining the effects of thin capitalisation rules on the cost of capital, which has been used in prior studies, is to assume that firms are clustered at their thin capitalisation safe harbour limits and that this determines the amount of debt they hold.</w:t>
      </w:r>
      <w:r w:rsidR="00615C98">
        <w:rPr>
          <w:rStyle w:val="FootnoteReference"/>
        </w:rPr>
        <w:footnoteReference w:id="21"/>
      </w:r>
      <w:r w:rsidR="00373DAB">
        <w:t xml:space="preserve"> </w:t>
      </w:r>
      <w:r w:rsidR="004C14BC">
        <w:t>H</w:t>
      </w:r>
      <w:r w:rsidRPr="00B37632">
        <w:t>owever, this would imply that foreign-controlled companies were all facing a debt ratio of 60%, which is considerably higher than the 43% ratio suggested by IQ data.</w:t>
      </w:r>
    </w:p>
    <w:p w14:paraId="48825710" w14:textId="7CE1F946" w:rsidR="00A303F4" w:rsidRPr="00A303F4" w:rsidRDefault="00A303F4" w:rsidP="00B37632">
      <w:pPr>
        <w:pStyle w:val="NumberedParagraph"/>
      </w:pPr>
      <w:r w:rsidRPr="00B37632">
        <w:t xml:space="preserve">To examine whether there is major evidence of clustering, IQ data on debt ratios is provided in table </w:t>
      </w:r>
      <w:r w:rsidR="00FD0FED" w:rsidRPr="00B37632">
        <w:t>A2</w:t>
      </w:r>
      <w:r w:rsidRPr="00B37632">
        <w:t>.</w:t>
      </w:r>
      <w:r w:rsidR="00DE3CBD" w:rsidRPr="00B37632">
        <w:t>5</w:t>
      </w:r>
      <w:r w:rsidRPr="00B37632">
        <w:t>. Firms are grouped by their debt ratio. A rat</w:t>
      </w:r>
      <w:r w:rsidRPr="00A303F4">
        <w:t xml:space="preserve">io </w:t>
      </w:r>
      <w:r w:rsidRPr="00A303F4">
        <w:lastRenderedPageBreak/>
        <w:t>of 0 means either no debt or a debt ratio below 1%, which is too low to register. There are 587 firms included in our sample.</w:t>
      </w:r>
    </w:p>
    <w:p w14:paraId="4B52E571" w14:textId="49208197" w:rsidR="00A303F4" w:rsidRPr="00A303F4" w:rsidRDefault="00A303F4" w:rsidP="005576A0">
      <w:pPr>
        <w:pStyle w:val="Caption"/>
        <w:rPr>
          <w:rFonts w:eastAsia="Calibri"/>
        </w:rPr>
      </w:pPr>
      <w:r w:rsidRPr="00E73896">
        <w:rPr>
          <w:rFonts w:eastAsia="Calibri"/>
        </w:rPr>
        <w:t xml:space="preserve">Table </w:t>
      </w:r>
      <w:r w:rsidR="00453CDB" w:rsidRPr="00E73896">
        <w:rPr>
          <w:rFonts w:eastAsia="Calibri"/>
        </w:rPr>
        <w:t>A2</w:t>
      </w:r>
      <w:r w:rsidRPr="00E73896">
        <w:rPr>
          <w:rFonts w:eastAsia="Calibri"/>
        </w:rPr>
        <w:t>.</w:t>
      </w:r>
      <w:r w:rsidR="00DE3CBD">
        <w:rPr>
          <w:rFonts w:eastAsia="Calibri"/>
        </w:rPr>
        <w:t>5</w:t>
      </w:r>
      <w:r w:rsidRPr="00E73896">
        <w:rPr>
          <w:rFonts w:eastAsia="Calibri"/>
        </w:rPr>
        <w:t>:</w:t>
      </w:r>
      <w:r w:rsidR="007E7469" w:rsidRPr="00E73896">
        <w:rPr>
          <w:rFonts w:eastAsia="Calibri"/>
        </w:rPr>
        <w:t xml:space="preserve"> </w:t>
      </w:r>
      <w:r w:rsidRPr="00E73896">
        <w:rPr>
          <w:rFonts w:eastAsia="Calibri"/>
        </w:rPr>
        <w:t>Debt</w:t>
      </w:r>
      <w:r w:rsidRPr="00A303F4">
        <w:rPr>
          <w:rFonts w:eastAsia="Calibri"/>
        </w:rPr>
        <w:t>/(debt+equity) ratios for IQ firms</w:t>
      </w:r>
      <w:r w:rsidRPr="00A303F4">
        <w:rPr>
          <w:rFonts w:eastAsia="Calibri"/>
          <w:vertAlign w:val="superscript"/>
        </w:rPr>
        <w:footnoteReference w:id="22"/>
      </w:r>
    </w:p>
    <w:tbl>
      <w:tblPr>
        <w:tblStyle w:val="TableGrid"/>
        <w:tblW w:w="9570" w:type="dxa"/>
        <w:tblInd w:w="-78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063"/>
        <w:gridCol w:w="1063"/>
        <w:gridCol w:w="1064"/>
        <w:gridCol w:w="1063"/>
        <w:gridCol w:w="1063"/>
        <w:gridCol w:w="1064"/>
        <w:gridCol w:w="1063"/>
        <w:gridCol w:w="1063"/>
        <w:gridCol w:w="1064"/>
      </w:tblGrid>
      <w:tr w:rsidR="006B6CE6" w:rsidRPr="001D63BE" w14:paraId="456F0987" w14:textId="77777777" w:rsidTr="006066A2">
        <w:trPr>
          <w:tblHeader/>
        </w:trPr>
        <w:tc>
          <w:tcPr>
            <w:tcW w:w="1063" w:type="dxa"/>
            <w:shd w:val="clear" w:color="auto" w:fill="232E36"/>
          </w:tcPr>
          <w:p w14:paraId="4767AFC9" w14:textId="057E970B" w:rsidR="000E6FF1" w:rsidRPr="00CA0BF8" w:rsidRDefault="000E6FF1" w:rsidP="00CA0BF8">
            <w:pPr>
              <w:pStyle w:val="Table-Text"/>
              <w:spacing w:before="120" w:after="120"/>
              <w:jc w:val="center"/>
              <w:rPr>
                <w:rStyle w:val="Strong"/>
                <w:color w:val="FFFFFF" w:themeColor="background1"/>
              </w:rPr>
            </w:pPr>
            <w:r w:rsidRPr="00CA0BF8">
              <w:rPr>
                <w:rStyle w:val="Strong"/>
                <w:color w:val="FFFFFF" w:themeColor="background1"/>
              </w:rPr>
              <w:t>Debt / (Debt + Equity)</w:t>
            </w:r>
          </w:p>
        </w:tc>
        <w:tc>
          <w:tcPr>
            <w:tcW w:w="1063" w:type="dxa"/>
            <w:shd w:val="clear" w:color="auto" w:fill="232E36"/>
          </w:tcPr>
          <w:p w14:paraId="15F8C819" w14:textId="23F8CEA2" w:rsidR="000E6FF1" w:rsidRPr="00CA0BF8" w:rsidRDefault="000E6FF1" w:rsidP="00CA0BF8">
            <w:pPr>
              <w:pStyle w:val="Table-Text"/>
              <w:spacing w:before="120" w:after="120"/>
              <w:jc w:val="center"/>
              <w:rPr>
                <w:rStyle w:val="Strong"/>
                <w:color w:val="FFFFFF" w:themeColor="background1"/>
              </w:rPr>
            </w:pPr>
            <w:r w:rsidRPr="00CA0BF8">
              <w:rPr>
                <w:rStyle w:val="Strong"/>
                <w:color w:val="FFFFFF" w:themeColor="background1"/>
              </w:rPr>
              <w:t>Numbers</w:t>
            </w:r>
          </w:p>
        </w:tc>
        <w:tc>
          <w:tcPr>
            <w:tcW w:w="1064" w:type="dxa"/>
            <w:shd w:val="clear" w:color="auto" w:fill="232E36"/>
          </w:tcPr>
          <w:p w14:paraId="0421334A" w14:textId="3C39BA86" w:rsidR="000E6FF1" w:rsidRPr="00CA0BF8" w:rsidRDefault="000E6FF1" w:rsidP="000C146A">
            <w:pPr>
              <w:pStyle w:val="Table-Text"/>
              <w:spacing w:before="120" w:after="120"/>
              <w:jc w:val="center"/>
              <w:rPr>
                <w:b/>
                <w:bCs/>
                <w:color w:val="FFFFFF" w:themeColor="background1"/>
              </w:rPr>
            </w:pPr>
            <w:r w:rsidRPr="00CA0BF8">
              <w:rPr>
                <w:b/>
                <w:bCs/>
                <w:color w:val="FFFFFF" w:themeColor="background1"/>
              </w:rPr>
              <w:t xml:space="preserve">% </w:t>
            </w:r>
            <w:proofErr w:type="gramStart"/>
            <w:r w:rsidRPr="00CA0BF8">
              <w:rPr>
                <w:b/>
                <w:bCs/>
                <w:color w:val="FFFFFF" w:themeColor="background1"/>
              </w:rPr>
              <w:t>of</w:t>
            </w:r>
            <w:proofErr w:type="gramEnd"/>
            <w:r w:rsidRPr="00CA0BF8">
              <w:rPr>
                <w:b/>
                <w:bCs/>
                <w:color w:val="FFFFFF" w:themeColor="background1"/>
              </w:rPr>
              <w:t xml:space="preserve"> total groups</w:t>
            </w:r>
          </w:p>
        </w:tc>
        <w:tc>
          <w:tcPr>
            <w:tcW w:w="1063" w:type="dxa"/>
            <w:shd w:val="clear" w:color="auto" w:fill="232E36"/>
            <w:tcMar>
              <w:left w:w="57" w:type="dxa"/>
              <w:right w:w="57" w:type="dxa"/>
            </w:tcMar>
          </w:tcPr>
          <w:p w14:paraId="08B946F2" w14:textId="6DFEBF33" w:rsidR="000E6FF1" w:rsidRPr="00CA0BF8" w:rsidRDefault="000E6FF1" w:rsidP="000C146A">
            <w:pPr>
              <w:pStyle w:val="Table-Text"/>
              <w:spacing w:before="120" w:after="120"/>
              <w:jc w:val="center"/>
              <w:rPr>
                <w:b/>
                <w:bCs/>
                <w:color w:val="FFFFFF" w:themeColor="background1"/>
              </w:rPr>
            </w:pPr>
            <w:r w:rsidRPr="00CA0BF8">
              <w:rPr>
                <w:b/>
                <w:bCs/>
                <w:color w:val="FFFFFF" w:themeColor="background1"/>
              </w:rPr>
              <w:t xml:space="preserve">Debt </w:t>
            </w:r>
            <w:r w:rsidR="006B6CE6">
              <w:rPr>
                <w:b/>
                <w:bCs/>
                <w:color w:val="FFFFFF" w:themeColor="background1"/>
              </w:rPr>
              <w:br/>
            </w:r>
            <w:r w:rsidRPr="00CA0BF8">
              <w:rPr>
                <w:b/>
                <w:bCs/>
                <w:color w:val="FFFFFF" w:themeColor="background1"/>
              </w:rPr>
              <w:t>($ billion)</w:t>
            </w:r>
          </w:p>
        </w:tc>
        <w:tc>
          <w:tcPr>
            <w:tcW w:w="1063" w:type="dxa"/>
            <w:shd w:val="clear" w:color="auto" w:fill="232E36"/>
          </w:tcPr>
          <w:p w14:paraId="46E37A12" w14:textId="52359A5C" w:rsidR="000E6FF1" w:rsidRPr="00CA0BF8" w:rsidRDefault="000E6FF1" w:rsidP="000C146A">
            <w:pPr>
              <w:pStyle w:val="Table-Text"/>
              <w:spacing w:before="120" w:after="120"/>
              <w:jc w:val="center"/>
              <w:rPr>
                <w:b/>
                <w:bCs/>
                <w:color w:val="FFFFFF" w:themeColor="background1"/>
              </w:rPr>
            </w:pPr>
            <w:r w:rsidRPr="00CA0BF8">
              <w:rPr>
                <w:b/>
                <w:bCs/>
                <w:color w:val="FFFFFF" w:themeColor="background1"/>
              </w:rPr>
              <w:t xml:space="preserve">% </w:t>
            </w:r>
            <w:proofErr w:type="gramStart"/>
            <w:r w:rsidRPr="00CA0BF8">
              <w:rPr>
                <w:b/>
                <w:bCs/>
                <w:color w:val="FFFFFF" w:themeColor="background1"/>
              </w:rPr>
              <w:t>of</w:t>
            </w:r>
            <w:proofErr w:type="gramEnd"/>
            <w:r w:rsidRPr="00CA0BF8">
              <w:rPr>
                <w:b/>
                <w:bCs/>
                <w:color w:val="FFFFFF" w:themeColor="background1"/>
              </w:rPr>
              <w:t xml:space="preserve"> total debt</w:t>
            </w:r>
          </w:p>
        </w:tc>
        <w:tc>
          <w:tcPr>
            <w:tcW w:w="1064" w:type="dxa"/>
            <w:shd w:val="clear" w:color="auto" w:fill="232E36"/>
            <w:tcMar>
              <w:left w:w="57" w:type="dxa"/>
              <w:right w:w="57" w:type="dxa"/>
            </w:tcMar>
          </w:tcPr>
          <w:p w14:paraId="1FCEDB4F" w14:textId="40326DDE" w:rsidR="000E6FF1" w:rsidRPr="00CA0BF8" w:rsidRDefault="000E6FF1" w:rsidP="000C146A">
            <w:pPr>
              <w:pStyle w:val="Table-Text"/>
              <w:spacing w:before="120" w:after="120"/>
              <w:jc w:val="center"/>
              <w:rPr>
                <w:b/>
                <w:bCs/>
                <w:color w:val="FFFFFF" w:themeColor="background1"/>
              </w:rPr>
            </w:pPr>
            <w:r w:rsidRPr="00CA0BF8">
              <w:rPr>
                <w:b/>
                <w:bCs/>
                <w:color w:val="FFFFFF" w:themeColor="background1"/>
              </w:rPr>
              <w:t xml:space="preserve">Equity </w:t>
            </w:r>
            <w:r w:rsidR="00BE760E">
              <w:rPr>
                <w:b/>
                <w:bCs/>
                <w:color w:val="FFFFFF" w:themeColor="background1"/>
              </w:rPr>
              <w:br/>
            </w:r>
            <w:r w:rsidRPr="00CA0BF8">
              <w:rPr>
                <w:b/>
                <w:bCs/>
                <w:color w:val="FFFFFF" w:themeColor="background1"/>
              </w:rPr>
              <w:t>($ billion)</w:t>
            </w:r>
          </w:p>
        </w:tc>
        <w:tc>
          <w:tcPr>
            <w:tcW w:w="1063" w:type="dxa"/>
            <w:shd w:val="clear" w:color="auto" w:fill="232E36"/>
          </w:tcPr>
          <w:p w14:paraId="5DC02636" w14:textId="0B524CDC" w:rsidR="000E6FF1" w:rsidRPr="00CA0BF8" w:rsidRDefault="000E6FF1" w:rsidP="000C146A">
            <w:pPr>
              <w:pStyle w:val="Table-Text"/>
              <w:spacing w:before="120" w:after="120"/>
              <w:jc w:val="center"/>
              <w:rPr>
                <w:b/>
                <w:bCs/>
                <w:color w:val="FFFFFF" w:themeColor="background1"/>
              </w:rPr>
            </w:pPr>
            <w:r w:rsidRPr="00CA0BF8">
              <w:rPr>
                <w:b/>
                <w:bCs/>
                <w:color w:val="FFFFFF" w:themeColor="background1"/>
              </w:rPr>
              <w:t xml:space="preserve">% </w:t>
            </w:r>
            <w:proofErr w:type="gramStart"/>
            <w:r w:rsidRPr="00CA0BF8">
              <w:rPr>
                <w:b/>
                <w:bCs/>
                <w:color w:val="FFFFFF" w:themeColor="background1"/>
              </w:rPr>
              <w:t>of</w:t>
            </w:r>
            <w:proofErr w:type="gramEnd"/>
            <w:r w:rsidRPr="00CA0BF8">
              <w:rPr>
                <w:b/>
                <w:bCs/>
                <w:color w:val="FFFFFF" w:themeColor="background1"/>
              </w:rPr>
              <w:t xml:space="preserve"> total equity</w:t>
            </w:r>
          </w:p>
        </w:tc>
        <w:tc>
          <w:tcPr>
            <w:tcW w:w="1063" w:type="dxa"/>
            <w:shd w:val="clear" w:color="auto" w:fill="232E36"/>
            <w:tcMar>
              <w:left w:w="57" w:type="dxa"/>
              <w:right w:w="57" w:type="dxa"/>
            </w:tcMar>
          </w:tcPr>
          <w:p w14:paraId="2F86CE85" w14:textId="618624CB" w:rsidR="000E6FF1" w:rsidRPr="00CA0BF8" w:rsidRDefault="000E6FF1" w:rsidP="000C146A">
            <w:pPr>
              <w:pStyle w:val="Table-Text"/>
              <w:spacing w:before="120" w:after="120"/>
              <w:jc w:val="center"/>
              <w:rPr>
                <w:b/>
                <w:bCs/>
                <w:color w:val="FFFFFF" w:themeColor="background1"/>
              </w:rPr>
            </w:pPr>
            <w:r w:rsidRPr="00CA0BF8">
              <w:rPr>
                <w:b/>
                <w:bCs/>
                <w:color w:val="FFFFFF" w:themeColor="background1"/>
              </w:rPr>
              <w:t xml:space="preserve">Debt + equity </w:t>
            </w:r>
            <w:r w:rsidR="00BE760E">
              <w:rPr>
                <w:b/>
                <w:bCs/>
                <w:color w:val="FFFFFF" w:themeColor="background1"/>
              </w:rPr>
              <w:br/>
            </w:r>
            <w:r w:rsidRPr="00CA0BF8">
              <w:rPr>
                <w:b/>
                <w:bCs/>
                <w:color w:val="FFFFFF" w:themeColor="background1"/>
              </w:rPr>
              <w:t>($ billion)</w:t>
            </w:r>
          </w:p>
        </w:tc>
        <w:tc>
          <w:tcPr>
            <w:tcW w:w="1064" w:type="dxa"/>
            <w:shd w:val="clear" w:color="auto" w:fill="232E36"/>
          </w:tcPr>
          <w:p w14:paraId="61AD832E" w14:textId="53F2F4EB" w:rsidR="000E6FF1" w:rsidRPr="00CA0BF8" w:rsidRDefault="000E6FF1" w:rsidP="000C146A">
            <w:pPr>
              <w:pStyle w:val="Table-Text"/>
              <w:spacing w:before="120" w:after="120"/>
              <w:jc w:val="center"/>
              <w:rPr>
                <w:b/>
                <w:bCs/>
                <w:color w:val="FFFFFF" w:themeColor="background1"/>
              </w:rPr>
            </w:pPr>
            <w:r w:rsidRPr="00CA0BF8">
              <w:rPr>
                <w:b/>
                <w:bCs/>
                <w:color w:val="FFFFFF" w:themeColor="background1"/>
              </w:rPr>
              <w:t xml:space="preserve">% </w:t>
            </w:r>
            <w:proofErr w:type="gramStart"/>
            <w:r w:rsidRPr="00CA0BF8">
              <w:rPr>
                <w:b/>
                <w:bCs/>
                <w:color w:val="FFFFFF" w:themeColor="background1"/>
              </w:rPr>
              <w:t>of</w:t>
            </w:r>
            <w:proofErr w:type="gramEnd"/>
            <w:r w:rsidRPr="00CA0BF8">
              <w:rPr>
                <w:b/>
                <w:bCs/>
                <w:color w:val="FFFFFF" w:themeColor="background1"/>
              </w:rPr>
              <w:t xml:space="preserve"> total debt + equity</w:t>
            </w:r>
          </w:p>
        </w:tc>
      </w:tr>
      <w:tr w:rsidR="00BE760E" w:rsidRPr="00CA0BF8" w14:paraId="1C451132" w14:textId="77777777" w:rsidTr="006066A2">
        <w:tc>
          <w:tcPr>
            <w:tcW w:w="1063" w:type="dxa"/>
          </w:tcPr>
          <w:p w14:paraId="06AE5A30" w14:textId="5BA0D338" w:rsidR="000E6FF1" w:rsidRPr="00CA0BF8" w:rsidRDefault="000E6FF1" w:rsidP="000E6FF1">
            <w:pPr>
              <w:pStyle w:val="Table-Text"/>
              <w:rPr>
                <w:rStyle w:val="Strong"/>
              </w:rPr>
            </w:pPr>
            <w:r w:rsidRPr="00CA0BF8">
              <w:rPr>
                <w:rStyle w:val="Strong"/>
              </w:rPr>
              <w:t>0%</w:t>
            </w:r>
          </w:p>
        </w:tc>
        <w:tc>
          <w:tcPr>
            <w:tcW w:w="1063" w:type="dxa"/>
            <w:shd w:val="clear" w:color="auto" w:fill="auto"/>
            <w:vAlign w:val="bottom"/>
          </w:tcPr>
          <w:p w14:paraId="57A172FA" w14:textId="557DA2D4" w:rsidR="000E6FF1" w:rsidRPr="00CA0BF8" w:rsidRDefault="000E6FF1" w:rsidP="00CA0BF8">
            <w:pPr>
              <w:pStyle w:val="Table-Text"/>
              <w:tabs>
                <w:tab w:val="clear" w:pos="174"/>
              </w:tabs>
              <w:jc w:val="right"/>
              <w:rPr>
                <w:rStyle w:val="Strong"/>
                <w:b w:val="0"/>
                <w:bCs w:val="0"/>
              </w:rPr>
            </w:pPr>
            <w:r w:rsidRPr="00CA0BF8">
              <w:rPr>
                <w:rStyle w:val="Strong"/>
                <w:b w:val="0"/>
                <w:bCs w:val="0"/>
              </w:rPr>
              <w:t>259</w:t>
            </w:r>
          </w:p>
        </w:tc>
        <w:tc>
          <w:tcPr>
            <w:tcW w:w="1064" w:type="dxa"/>
            <w:vAlign w:val="center"/>
          </w:tcPr>
          <w:p w14:paraId="67C4CD3D" w14:textId="7A1F723E" w:rsidR="000E6FF1" w:rsidRPr="00CA0BF8" w:rsidRDefault="000E6FF1" w:rsidP="00CA0BF8">
            <w:pPr>
              <w:pStyle w:val="Table-Text"/>
              <w:tabs>
                <w:tab w:val="clear" w:pos="174"/>
              </w:tabs>
              <w:jc w:val="right"/>
            </w:pPr>
            <w:r w:rsidRPr="00CA0BF8">
              <w:t>44.1%</w:t>
            </w:r>
          </w:p>
        </w:tc>
        <w:tc>
          <w:tcPr>
            <w:tcW w:w="1063" w:type="dxa"/>
            <w:vAlign w:val="center"/>
          </w:tcPr>
          <w:p w14:paraId="040296FF" w14:textId="5DFB4E25" w:rsidR="000E6FF1" w:rsidRPr="00CA0BF8" w:rsidRDefault="000E6FF1" w:rsidP="00CA0BF8">
            <w:pPr>
              <w:pStyle w:val="Table-Text"/>
              <w:tabs>
                <w:tab w:val="clear" w:pos="174"/>
              </w:tabs>
              <w:jc w:val="right"/>
            </w:pPr>
            <w:r w:rsidRPr="00CA0BF8">
              <w:t>0.000</w:t>
            </w:r>
          </w:p>
        </w:tc>
        <w:tc>
          <w:tcPr>
            <w:tcW w:w="1063" w:type="dxa"/>
          </w:tcPr>
          <w:p w14:paraId="72677572" w14:textId="7550C1F1" w:rsidR="000E6FF1" w:rsidRPr="00CA0BF8" w:rsidRDefault="000E6FF1" w:rsidP="00CA0BF8">
            <w:pPr>
              <w:pStyle w:val="Table-Text"/>
              <w:tabs>
                <w:tab w:val="clear" w:pos="174"/>
              </w:tabs>
              <w:jc w:val="right"/>
            </w:pPr>
            <w:r w:rsidRPr="00CA0BF8">
              <w:t>0.0%</w:t>
            </w:r>
          </w:p>
        </w:tc>
        <w:tc>
          <w:tcPr>
            <w:tcW w:w="1064" w:type="dxa"/>
            <w:vAlign w:val="center"/>
          </w:tcPr>
          <w:p w14:paraId="06119B31" w14:textId="6FDFD31A" w:rsidR="000E6FF1" w:rsidRPr="00CA0BF8" w:rsidRDefault="000E6FF1" w:rsidP="00CA0BF8">
            <w:pPr>
              <w:pStyle w:val="Table-Text"/>
              <w:tabs>
                <w:tab w:val="clear" w:pos="174"/>
              </w:tabs>
              <w:jc w:val="right"/>
            </w:pPr>
            <w:r w:rsidRPr="00CA0BF8">
              <w:t>14.263</w:t>
            </w:r>
          </w:p>
        </w:tc>
        <w:tc>
          <w:tcPr>
            <w:tcW w:w="1063" w:type="dxa"/>
          </w:tcPr>
          <w:p w14:paraId="6C7B552E" w14:textId="7EB7FACA" w:rsidR="000E6FF1" w:rsidRPr="00CA0BF8" w:rsidRDefault="000E6FF1" w:rsidP="00CA0BF8">
            <w:pPr>
              <w:pStyle w:val="Table-Text"/>
              <w:tabs>
                <w:tab w:val="clear" w:pos="174"/>
              </w:tabs>
              <w:jc w:val="right"/>
            </w:pPr>
            <w:r w:rsidRPr="00CA0BF8">
              <w:t>27.3%</w:t>
            </w:r>
          </w:p>
        </w:tc>
        <w:tc>
          <w:tcPr>
            <w:tcW w:w="1063" w:type="dxa"/>
            <w:vAlign w:val="center"/>
          </w:tcPr>
          <w:p w14:paraId="527FB042" w14:textId="29393AA0" w:rsidR="000E6FF1" w:rsidRPr="00CA0BF8" w:rsidRDefault="000E6FF1" w:rsidP="00CA0BF8">
            <w:pPr>
              <w:pStyle w:val="Table-Text"/>
              <w:tabs>
                <w:tab w:val="clear" w:pos="174"/>
              </w:tabs>
              <w:jc w:val="right"/>
            </w:pPr>
            <w:r w:rsidRPr="00CA0BF8">
              <w:t>14.264</w:t>
            </w:r>
          </w:p>
        </w:tc>
        <w:tc>
          <w:tcPr>
            <w:tcW w:w="1064" w:type="dxa"/>
          </w:tcPr>
          <w:p w14:paraId="0799B935" w14:textId="7C8E9CE8" w:rsidR="000E6FF1" w:rsidRPr="00CA0BF8" w:rsidRDefault="001D63BE" w:rsidP="00CA0BF8">
            <w:pPr>
              <w:pStyle w:val="Table-Text"/>
              <w:tabs>
                <w:tab w:val="clear" w:pos="174"/>
              </w:tabs>
              <w:jc w:val="right"/>
            </w:pPr>
            <w:r w:rsidRPr="00CA0BF8">
              <w:t>15.6</w:t>
            </w:r>
            <w:r w:rsidR="000E6FF1" w:rsidRPr="00CA0BF8">
              <w:t>%</w:t>
            </w:r>
          </w:p>
        </w:tc>
      </w:tr>
      <w:tr w:rsidR="00BE760E" w:rsidRPr="00CA0BF8" w14:paraId="224443B1" w14:textId="77777777" w:rsidTr="006066A2">
        <w:tc>
          <w:tcPr>
            <w:tcW w:w="1063" w:type="dxa"/>
          </w:tcPr>
          <w:p w14:paraId="004DFB11" w14:textId="6390EDD9" w:rsidR="000E6FF1" w:rsidRPr="00CA0BF8" w:rsidRDefault="001D63BE" w:rsidP="000E6FF1">
            <w:pPr>
              <w:pStyle w:val="Table-Text"/>
              <w:rPr>
                <w:rStyle w:val="Strong"/>
              </w:rPr>
            </w:pPr>
            <w:r w:rsidRPr="00CA0BF8">
              <w:rPr>
                <w:rStyle w:val="Strong"/>
              </w:rPr>
              <w:t>to</w:t>
            </w:r>
            <w:r w:rsidR="000E6FF1" w:rsidRPr="00CA0BF8">
              <w:rPr>
                <w:rStyle w:val="Strong"/>
              </w:rPr>
              <w:t xml:space="preserve"> 10%</w:t>
            </w:r>
          </w:p>
        </w:tc>
        <w:tc>
          <w:tcPr>
            <w:tcW w:w="1063" w:type="dxa"/>
            <w:shd w:val="clear" w:color="auto" w:fill="auto"/>
            <w:vAlign w:val="bottom"/>
          </w:tcPr>
          <w:p w14:paraId="008F325B" w14:textId="6FEBEEED" w:rsidR="000E6FF1" w:rsidRPr="00CA0BF8" w:rsidRDefault="000E6FF1" w:rsidP="00CA0BF8">
            <w:pPr>
              <w:pStyle w:val="Table-Text"/>
              <w:tabs>
                <w:tab w:val="clear" w:pos="174"/>
              </w:tabs>
              <w:jc w:val="right"/>
              <w:rPr>
                <w:rStyle w:val="Strong"/>
                <w:b w:val="0"/>
                <w:bCs w:val="0"/>
              </w:rPr>
            </w:pPr>
            <w:r w:rsidRPr="00CA0BF8">
              <w:rPr>
                <w:rStyle w:val="Strong"/>
                <w:b w:val="0"/>
                <w:bCs w:val="0"/>
              </w:rPr>
              <w:t>34</w:t>
            </w:r>
          </w:p>
        </w:tc>
        <w:tc>
          <w:tcPr>
            <w:tcW w:w="1064" w:type="dxa"/>
            <w:vAlign w:val="center"/>
          </w:tcPr>
          <w:p w14:paraId="108B8782" w14:textId="775B1AB0" w:rsidR="000E6FF1" w:rsidRPr="00CA0BF8" w:rsidRDefault="000E6FF1" w:rsidP="00CA0BF8">
            <w:pPr>
              <w:pStyle w:val="Table-Text"/>
              <w:tabs>
                <w:tab w:val="clear" w:pos="174"/>
              </w:tabs>
              <w:jc w:val="right"/>
            </w:pPr>
            <w:r w:rsidRPr="00CA0BF8">
              <w:t>5.8%</w:t>
            </w:r>
          </w:p>
        </w:tc>
        <w:tc>
          <w:tcPr>
            <w:tcW w:w="1063" w:type="dxa"/>
            <w:vAlign w:val="center"/>
          </w:tcPr>
          <w:p w14:paraId="53DA2D6A" w14:textId="7DE6FA80" w:rsidR="000E6FF1" w:rsidRPr="00CA0BF8" w:rsidRDefault="000E6FF1" w:rsidP="00CA0BF8">
            <w:pPr>
              <w:pStyle w:val="Table-Text"/>
              <w:tabs>
                <w:tab w:val="clear" w:pos="174"/>
              </w:tabs>
              <w:jc w:val="right"/>
            </w:pPr>
            <w:r w:rsidRPr="00CA0BF8">
              <w:t>0.320</w:t>
            </w:r>
          </w:p>
        </w:tc>
        <w:tc>
          <w:tcPr>
            <w:tcW w:w="1063" w:type="dxa"/>
          </w:tcPr>
          <w:p w14:paraId="740D20C5" w14:textId="6DBCF61A" w:rsidR="000E6FF1" w:rsidRPr="00CA0BF8" w:rsidRDefault="000E6FF1" w:rsidP="00CA0BF8">
            <w:pPr>
              <w:pStyle w:val="Table-Text"/>
              <w:tabs>
                <w:tab w:val="clear" w:pos="174"/>
              </w:tabs>
              <w:jc w:val="right"/>
            </w:pPr>
            <w:r w:rsidRPr="00CA0BF8">
              <w:t>0.8%</w:t>
            </w:r>
          </w:p>
        </w:tc>
        <w:tc>
          <w:tcPr>
            <w:tcW w:w="1064" w:type="dxa"/>
            <w:vAlign w:val="center"/>
          </w:tcPr>
          <w:p w14:paraId="36AF253F" w14:textId="4B08C565" w:rsidR="000E6FF1" w:rsidRPr="00CA0BF8" w:rsidRDefault="000E6FF1" w:rsidP="00CA0BF8">
            <w:pPr>
              <w:pStyle w:val="Table-Text"/>
              <w:tabs>
                <w:tab w:val="clear" w:pos="174"/>
              </w:tabs>
              <w:jc w:val="right"/>
            </w:pPr>
            <w:r w:rsidRPr="00CA0BF8">
              <w:t>4.619</w:t>
            </w:r>
          </w:p>
        </w:tc>
        <w:tc>
          <w:tcPr>
            <w:tcW w:w="1063" w:type="dxa"/>
          </w:tcPr>
          <w:p w14:paraId="7834A924" w14:textId="4770DFCA" w:rsidR="000E6FF1" w:rsidRPr="00CA0BF8" w:rsidRDefault="000E6FF1" w:rsidP="00CA0BF8">
            <w:pPr>
              <w:pStyle w:val="Table-Text"/>
              <w:tabs>
                <w:tab w:val="clear" w:pos="174"/>
              </w:tabs>
              <w:jc w:val="right"/>
            </w:pPr>
            <w:r w:rsidRPr="00CA0BF8">
              <w:t>8.8</w:t>
            </w:r>
            <w:r w:rsidR="00FC4BD7" w:rsidRPr="00D96BEC">
              <w:t>%</w:t>
            </w:r>
          </w:p>
        </w:tc>
        <w:tc>
          <w:tcPr>
            <w:tcW w:w="1063" w:type="dxa"/>
            <w:vAlign w:val="center"/>
          </w:tcPr>
          <w:p w14:paraId="1749C051" w14:textId="5CBF41C2" w:rsidR="000E6FF1" w:rsidRPr="00CA0BF8" w:rsidRDefault="000E6FF1" w:rsidP="00CA0BF8">
            <w:pPr>
              <w:pStyle w:val="Table-Text"/>
              <w:tabs>
                <w:tab w:val="clear" w:pos="174"/>
              </w:tabs>
              <w:jc w:val="right"/>
            </w:pPr>
            <w:r w:rsidRPr="00CA0BF8">
              <w:t>4.939</w:t>
            </w:r>
          </w:p>
        </w:tc>
        <w:tc>
          <w:tcPr>
            <w:tcW w:w="1064" w:type="dxa"/>
          </w:tcPr>
          <w:p w14:paraId="0363AF2F" w14:textId="5AFC1D82" w:rsidR="000E6FF1" w:rsidRPr="00CA0BF8" w:rsidRDefault="001D63BE" w:rsidP="00CA0BF8">
            <w:pPr>
              <w:pStyle w:val="Table-Text"/>
              <w:tabs>
                <w:tab w:val="clear" w:pos="174"/>
              </w:tabs>
              <w:jc w:val="right"/>
            </w:pPr>
            <w:r w:rsidRPr="00CA0BF8">
              <w:t>5.4</w:t>
            </w:r>
            <w:r w:rsidR="000E6FF1" w:rsidRPr="00CA0BF8">
              <w:t>%</w:t>
            </w:r>
          </w:p>
        </w:tc>
      </w:tr>
      <w:tr w:rsidR="00BE760E" w:rsidRPr="00CA0BF8" w14:paraId="232A6AC7" w14:textId="77777777" w:rsidTr="006066A2">
        <w:tc>
          <w:tcPr>
            <w:tcW w:w="1063" w:type="dxa"/>
          </w:tcPr>
          <w:p w14:paraId="470314CF" w14:textId="25977B69" w:rsidR="000E6FF1" w:rsidRPr="00CA0BF8" w:rsidRDefault="001D63BE" w:rsidP="000E6FF1">
            <w:pPr>
              <w:pStyle w:val="Table-Text"/>
              <w:rPr>
                <w:rStyle w:val="Strong"/>
              </w:rPr>
            </w:pPr>
            <w:r w:rsidRPr="00CA0BF8">
              <w:rPr>
                <w:rStyle w:val="Strong"/>
              </w:rPr>
              <w:t>to</w:t>
            </w:r>
            <w:r w:rsidR="000E6FF1" w:rsidRPr="00CA0BF8">
              <w:rPr>
                <w:rStyle w:val="Strong"/>
              </w:rPr>
              <w:t xml:space="preserve"> 20%</w:t>
            </w:r>
          </w:p>
        </w:tc>
        <w:tc>
          <w:tcPr>
            <w:tcW w:w="1063" w:type="dxa"/>
            <w:shd w:val="clear" w:color="auto" w:fill="auto"/>
            <w:vAlign w:val="bottom"/>
          </w:tcPr>
          <w:p w14:paraId="2FE597D2" w14:textId="159F03CF" w:rsidR="000E6FF1" w:rsidRPr="00CA0BF8" w:rsidRDefault="000E6FF1" w:rsidP="00CA0BF8">
            <w:pPr>
              <w:pStyle w:val="Table-Text"/>
              <w:tabs>
                <w:tab w:val="clear" w:pos="174"/>
              </w:tabs>
              <w:jc w:val="right"/>
              <w:rPr>
                <w:rStyle w:val="Strong"/>
                <w:b w:val="0"/>
                <w:bCs w:val="0"/>
              </w:rPr>
            </w:pPr>
            <w:r w:rsidRPr="00CA0BF8">
              <w:rPr>
                <w:rStyle w:val="Strong"/>
                <w:b w:val="0"/>
                <w:bCs w:val="0"/>
              </w:rPr>
              <w:t>28</w:t>
            </w:r>
          </w:p>
        </w:tc>
        <w:tc>
          <w:tcPr>
            <w:tcW w:w="1064" w:type="dxa"/>
          </w:tcPr>
          <w:p w14:paraId="15FE27D0" w14:textId="1605A913" w:rsidR="000E6FF1" w:rsidRPr="00CA0BF8" w:rsidRDefault="000E6FF1" w:rsidP="00CA0BF8">
            <w:pPr>
              <w:pStyle w:val="Table-Text"/>
              <w:tabs>
                <w:tab w:val="clear" w:pos="174"/>
              </w:tabs>
              <w:jc w:val="right"/>
            </w:pPr>
            <w:r w:rsidRPr="00CA0BF8">
              <w:t>4.8%</w:t>
            </w:r>
          </w:p>
        </w:tc>
        <w:tc>
          <w:tcPr>
            <w:tcW w:w="1063" w:type="dxa"/>
            <w:vAlign w:val="center"/>
          </w:tcPr>
          <w:p w14:paraId="524A05D7" w14:textId="57682E73" w:rsidR="000E6FF1" w:rsidRPr="00CA0BF8" w:rsidRDefault="000E6FF1" w:rsidP="00CA0BF8">
            <w:pPr>
              <w:pStyle w:val="Table-Text"/>
              <w:tabs>
                <w:tab w:val="clear" w:pos="174"/>
              </w:tabs>
              <w:jc w:val="right"/>
            </w:pPr>
            <w:r w:rsidRPr="00CA0BF8">
              <w:t>0.719</w:t>
            </w:r>
          </w:p>
        </w:tc>
        <w:tc>
          <w:tcPr>
            <w:tcW w:w="1063" w:type="dxa"/>
          </w:tcPr>
          <w:p w14:paraId="7CCEFA8B" w14:textId="65F1D333" w:rsidR="000E6FF1" w:rsidRPr="00CA0BF8" w:rsidRDefault="000E6FF1" w:rsidP="00CA0BF8">
            <w:pPr>
              <w:pStyle w:val="Table-Text"/>
              <w:tabs>
                <w:tab w:val="clear" w:pos="174"/>
              </w:tabs>
              <w:jc w:val="right"/>
            </w:pPr>
            <w:r w:rsidRPr="00CA0BF8">
              <w:t>1.8%</w:t>
            </w:r>
          </w:p>
        </w:tc>
        <w:tc>
          <w:tcPr>
            <w:tcW w:w="1064" w:type="dxa"/>
            <w:vAlign w:val="center"/>
          </w:tcPr>
          <w:p w14:paraId="2B6EA6DA" w14:textId="6EA894AC" w:rsidR="000E6FF1" w:rsidRPr="00CA0BF8" w:rsidRDefault="000E6FF1" w:rsidP="00CA0BF8">
            <w:pPr>
              <w:pStyle w:val="Table-Text"/>
              <w:tabs>
                <w:tab w:val="clear" w:pos="174"/>
              </w:tabs>
              <w:jc w:val="right"/>
            </w:pPr>
            <w:r w:rsidRPr="00CA0BF8">
              <w:t>3.879</w:t>
            </w:r>
          </w:p>
        </w:tc>
        <w:tc>
          <w:tcPr>
            <w:tcW w:w="1063" w:type="dxa"/>
          </w:tcPr>
          <w:p w14:paraId="4F03B284" w14:textId="1511D199" w:rsidR="000E6FF1" w:rsidRPr="00CA0BF8" w:rsidRDefault="000E6FF1" w:rsidP="00CA0BF8">
            <w:pPr>
              <w:pStyle w:val="Table-Text"/>
              <w:tabs>
                <w:tab w:val="clear" w:pos="174"/>
              </w:tabs>
              <w:jc w:val="right"/>
            </w:pPr>
            <w:r w:rsidRPr="00CA0BF8">
              <w:t>7.4</w:t>
            </w:r>
            <w:r w:rsidR="00FC4BD7" w:rsidRPr="00D96BEC">
              <w:t>%</w:t>
            </w:r>
          </w:p>
        </w:tc>
        <w:tc>
          <w:tcPr>
            <w:tcW w:w="1063" w:type="dxa"/>
            <w:vAlign w:val="center"/>
          </w:tcPr>
          <w:p w14:paraId="5BE44A11" w14:textId="733F4AD0" w:rsidR="000E6FF1" w:rsidRPr="00CA0BF8" w:rsidRDefault="000E6FF1" w:rsidP="00CA0BF8">
            <w:pPr>
              <w:pStyle w:val="Table-Text"/>
              <w:tabs>
                <w:tab w:val="clear" w:pos="174"/>
              </w:tabs>
              <w:jc w:val="right"/>
            </w:pPr>
            <w:r w:rsidRPr="00CA0BF8">
              <w:t>4.598</w:t>
            </w:r>
          </w:p>
        </w:tc>
        <w:tc>
          <w:tcPr>
            <w:tcW w:w="1064" w:type="dxa"/>
          </w:tcPr>
          <w:p w14:paraId="5FFA5F64" w14:textId="1EFB2B7F" w:rsidR="000E6FF1" w:rsidRPr="00CA0BF8" w:rsidRDefault="001D63BE" w:rsidP="00CA0BF8">
            <w:pPr>
              <w:pStyle w:val="Table-Text"/>
              <w:tabs>
                <w:tab w:val="clear" w:pos="174"/>
              </w:tabs>
              <w:jc w:val="right"/>
            </w:pPr>
            <w:r w:rsidRPr="00CA0BF8">
              <w:t>5.0</w:t>
            </w:r>
            <w:r w:rsidR="000E6FF1" w:rsidRPr="00CA0BF8">
              <w:t>%</w:t>
            </w:r>
          </w:p>
        </w:tc>
      </w:tr>
      <w:tr w:rsidR="00BE760E" w:rsidRPr="00CA0BF8" w14:paraId="3354568B" w14:textId="77777777" w:rsidTr="006066A2">
        <w:tc>
          <w:tcPr>
            <w:tcW w:w="1063" w:type="dxa"/>
          </w:tcPr>
          <w:p w14:paraId="6EC019E4" w14:textId="1242CC1A" w:rsidR="000E6FF1" w:rsidRPr="00CA0BF8" w:rsidRDefault="001D63BE" w:rsidP="000E6FF1">
            <w:pPr>
              <w:pStyle w:val="Table-Text"/>
              <w:rPr>
                <w:rStyle w:val="Strong"/>
              </w:rPr>
            </w:pPr>
            <w:r w:rsidRPr="00CA0BF8">
              <w:rPr>
                <w:rStyle w:val="Strong"/>
              </w:rPr>
              <w:t>to</w:t>
            </w:r>
            <w:r w:rsidR="000E6FF1" w:rsidRPr="00CA0BF8">
              <w:rPr>
                <w:rStyle w:val="Strong"/>
              </w:rPr>
              <w:t xml:space="preserve"> 30%</w:t>
            </w:r>
          </w:p>
        </w:tc>
        <w:tc>
          <w:tcPr>
            <w:tcW w:w="1063" w:type="dxa"/>
            <w:shd w:val="clear" w:color="auto" w:fill="auto"/>
            <w:vAlign w:val="bottom"/>
          </w:tcPr>
          <w:p w14:paraId="2D4F19E7" w14:textId="43940881" w:rsidR="000E6FF1" w:rsidRPr="00CA0BF8" w:rsidRDefault="000E6FF1" w:rsidP="00CA0BF8">
            <w:pPr>
              <w:pStyle w:val="Table-Text"/>
              <w:tabs>
                <w:tab w:val="clear" w:pos="174"/>
              </w:tabs>
              <w:jc w:val="right"/>
              <w:rPr>
                <w:rStyle w:val="Strong"/>
                <w:b w:val="0"/>
                <w:bCs w:val="0"/>
              </w:rPr>
            </w:pPr>
            <w:r w:rsidRPr="00CA0BF8">
              <w:rPr>
                <w:rStyle w:val="Strong"/>
                <w:b w:val="0"/>
                <w:bCs w:val="0"/>
              </w:rPr>
              <w:t>38</w:t>
            </w:r>
          </w:p>
        </w:tc>
        <w:tc>
          <w:tcPr>
            <w:tcW w:w="1064" w:type="dxa"/>
          </w:tcPr>
          <w:p w14:paraId="4EA182F1" w14:textId="2805805E" w:rsidR="000E6FF1" w:rsidRPr="00CA0BF8" w:rsidRDefault="000E6FF1" w:rsidP="00CA0BF8">
            <w:pPr>
              <w:pStyle w:val="Table-Text"/>
              <w:tabs>
                <w:tab w:val="clear" w:pos="174"/>
              </w:tabs>
              <w:jc w:val="right"/>
            </w:pPr>
            <w:r w:rsidRPr="00CA0BF8">
              <w:t>6.5%</w:t>
            </w:r>
          </w:p>
        </w:tc>
        <w:tc>
          <w:tcPr>
            <w:tcW w:w="1063" w:type="dxa"/>
            <w:vAlign w:val="center"/>
          </w:tcPr>
          <w:p w14:paraId="25293118" w14:textId="5E0B9DFB" w:rsidR="000E6FF1" w:rsidRPr="00CA0BF8" w:rsidRDefault="000E6FF1" w:rsidP="00CA0BF8">
            <w:pPr>
              <w:pStyle w:val="Table-Text"/>
              <w:tabs>
                <w:tab w:val="clear" w:pos="174"/>
              </w:tabs>
              <w:jc w:val="right"/>
            </w:pPr>
            <w:r w:rsidRPr="00CA0BF8">
              <w:t>1.514</w:t>
            </w:r>
          </w:p>
        </w:tc>
        <w:tc>
          <w:tcPr>
            <w:tcW w:w="1063" w:type="dxa"/>
          </w:tcPr>
          <w:p w14:paraId="384D1B85" w14:textId="0A6DC98C" w:rsidR="000E6FF1" w:rsidRPr="00CA0BF8" w:rsidRDefault="000E6FF1" w:rsidP="00CA0BF8">
            <w:pPr>
              <w:pStyle w:val="Table-Text"/>
              <w:tabs>
                <w:tab w:val="clear" w:pos="174"/>
              </w:tabs>
              <w:jc w:val="right"/>
            </w:pPr>
            <w:r w:rsidRPr="00CA0BF8">
              <w:t>3.8%</w:t>
            </w:r>
          </w:p>
        </w:tc>
        <w:tc>
          <w:tcPr>
            <w:tcW w:w="1064" w:type="dxa"/>
            <w:vAlign w:val="center"/>
          </w:tcPr>
          <w:p w14:paraId="012580D5" w14:textId="47D0D4C1" w:rsidR="000E6FF1" w:rsidRPr="00CA0BF8" w:rsidRDefault="000E6FF1" w:rsidP="00CA0BF8">
            <w:pPr>
              <w:pStyle w:val="Table-Text"/>
              <w:tabs>
                <w:tab w:val="clear" w:pos="174"/>
              </w:tabs>
              <w:jc w:val="right"/>
            </w:pPr>
            <w:r w:rsidRPr="00CA0BF8">
              <w:t>4.352</w:t>
            </w:r>
          </w:p>
        </w:tc>
        <w:tc>
          <w:tcPr>
            <w:tcW w:w="1063" w:type="dxa"/>
          </w:tcPr>
          <w:p w14:paraId="16CC11BF" w14:textId="5C2E35BE" w:rsidR="000E6FF1" w:rsidRPr="00CA0BF8" w:rsidRDefault="000E6FF1" w:rsidP="00CA0BF8">
            <w:pPr>
              <w:pStyle w:val="Table-Text"/>
              <w:tabs>
                <w:tab w:val="clear" w:pos="174"/>
              </w:tabs>
              <w:jc w:val="right"/>
            </w:pPr>
            <w:r w:rsidRPr="00CA0BF8">
              <w:t>8.3</w:t>
            </w:r>
            <w:r w:rsidR="00FC4BD7" w:rsidRPr="00D96BEC">
              <w:t>%</w:t>
            </w:r>
          </w:p>
        </w:tc>
        <w:tc>
          <w:tcPr>
            <w:tcW w:w="1063" w:type="dxa"/>
            <w:vAlign w:val="center"/>
          </w:tcPr>
          <w:p w14:paraId="2DD17FDD" w14:textId="5A77BB44" w:rsidR="000E6FF1" w:rsidRPr="00CA0BF8" w:rsidRDefault="000E6FF1" w:rsidP="00CA0BF8">
            <w:pPr>
              <w:pStyle w:val="Table-Text"/>
              <w:tabs>
                <w:tab w:val="clear" w:pos="174"/>
              </w:tabs>
              <w:jc w:val="right"/>
            </w:pPr>
            <w:r w:rsidRPr="00CA0BF8">
              <w:t>5.866</w:t>
            </w:r>
          </w:p>
        </w:tc>
        <w:tc>
          <w:tcPr>
            <w:tcW w:w="1064" w:type="dxa"/>
          </w:tcPr>
          <w:p w14:paraId="59231E75" w14:textId="471CF76E" w:rsidR="000E6FF1" w:rsidRPr="00CA0BF8" w:rsidRDefault="001D63BE" w:rsidP="00CA0BF8">
            <w:pPr>
              <w:pStyle w:val="Table-Text"/>
              <w:tabs>
                <w:tab w:val="clear" w:pos="174"/>
              </w:tabs>
              <w:jc w:val="right"/>
            </w:pPr>
            <w:r w:rsidRPr="00CA0BF8">
              <w:t>6.4</w:t>
            </w:r>
            <w:r w:rsidR="000E6FF1" w:rsidRPr="00CA0BF8">
              <w:t>%</w:t>
            </w:r>
          </w:p>
        </w:tc>
      </w:tr>
      <w:tr w:rsidR="00BE760E" w:rsidRPr="00CA0BF8" w14:paraId="166436A3" w14:textId="77777777" w:rsidTr="006066A2">
        <w:tc>
          <w:tcPr>
            <w:tcW w:w="1063" w:type="dxa"/>
          </w:tcPr>
          <w:p w14:paraId="678B1F4B" w14:textId="6C4E4001" w:rsidR="000E6FF1" w:rsidRPr="00CA0BF8" w:rsidRDefault="001D63BE" w:rsidP="000E6FF1">
            <w:pPr>
              <w:pStyle w:val="Table-Text"/>
              <w:rPr>
                <w:rStyle w:val="Strong"/>
              </w:rPr>
            </w:pPr>
            <w:r w:rsidRPr="00CA0BF8">
              <w:rPr>
                <w:rStyle w:val="Strong"/>
              </w:rPr>
              <w:t>to</w:t>
            </w:r>
            <w:r w:rsidR="000E6FF1" w:rsidRPr="00CA0BF8">
              <w:rPr>
                <w:rStyle w:val="Strong"/>
              </w:rPr>
              <w:t xml:space="preserve"> 40%</w:t>
            </w:r>
          </w:p>
        </w:tc>
        <w:tc>
          <w:tcPr>
            <w:tcW w:w="1063" w:type="dxa"/>
            <w:shd w:val="clear" w:color="auto" w:fill="auto"/>
            <w:vAlign w:val="bottom"/>
          </w:tcPr>
          <w:p w14:paraId="4588E12C" w14:textId="00C8EEBA" w:rsidR="000E6FF1" w:rsidRPr="00CA0BF8" w:rsidRDefault="000E6FF1" w:rsidP="00CA0BF8">
            <w:pPr>
              <w:pStyle w:val="Table-Text"/>
              <w:tabs>
                <w:tab w:val="clear" w:pos="174"/>
              </w:tabs>
              <w:jc w:val="right"/>
              <w:rPr>
                <w:rStyle w:val="Strong"/>
                <w:b w:val="0"/>
                <w:bCs w:val="0"/>
              </w:rPr>
            </w:pPr>
            <w:r w:rsidRPr="00CA0BF8">
              <w:rPr>
                <w:rStyle w:val="Strong"/>
                <w:b w:val="0"/>
                <w:bCs w:val="0"/>
              </w:rPr>
              <w:t>44</w:t>
            </w:r>
          </w:p>
        </w:tc>
        <w:tc>
          <w:tcPr>
            <w:tcW w:w="1064" w:type="dxa"/>
            <w:shd w:val="clear" w:color="auto" w:fill="auto"/>
          </w:tcPr>
          <w:p w14:paraId="2F33242F" w14:textId="7F929610" w:rsidR="000E6FF1" w:rsidRPr="00CA0BF8" w:rsidRDefault="000E6FF1" w:rsidP="00CA0BF8">
            <w:pPr>
              <w:pStyle w:val="Table-Text"/>
              <w:tabs>
                <w:tab w:val="clear" w:pos="174"/>
              </w:tabs>
              <w:jc w:val="right"/>
            </w:pPr>
            <w:r w:rsidRPr="00CA0BF8">
              <w:t>7.5%</w:t>
            </w:r>
          </w:p>
        </w:tc>
        <w:tc>
          <w:tcPr>
            <w:tcW w:w="1063" w:type="dxa"/>
            <w:shd w:val="clear" w:color="auto" w:fill="auto"/>
            <w:vAlign w:val="center"/>
          </w:tcPr>
          <w:p w14:paraId="57FFF8B0" w14:textId="0BC349A7" w:rsidR="000E6FF1" w:rsidRPr="00CA0BF8" w:rsidRDefault="000E6FF1" w:rsidP="00CA0BF8">
            <w:pPr>
              <w:pStyle w:val="Table-Text"/>
              <w:tabs>
                <w:tab w:val="clear" w:pos="174"/>
              </w:tabs>
              <w:jc w:val="right"/>
            </w:pPr>
            <w:r w:rsidRPr="00CA0BF8">
              <w:t>4.697</w:t>
            </w:r>
          </w:p>
        </w:tc>
        <w:tc>
          <w:tcPr>
            <w:tcW w:w="1063" w:type="dxa"/>
            <w:shd w:val="clear" w:color="auto" w:fill="auto"/>
          </w:tcPr>
          <w:p w14:paraId="11F45B12" w14:textId="5BBA22D3" w:rsidR="000E6FF1" w:rsidRPr="00CA0BF8" w:rsidRDefault="000E6FF1" w:rsidP="00CA0BF8">
            <w:pPr>
              <w:pStyle w:val="Table-Text"/>
              <w:tabs>
                <w:tab w:val="clear" w:pos="174"/>
              </w:tabs>
              <w:jc w:val="right"/>
            </w:pPr>
            <w:r w:rsidRPr="00CA0BF8">
              <w:t>11.9%</w:t>
            </w:r>
          </w:p>
        </w:tc>
        <w:tc>
          <w:tcPr>
            <w:tcW w:w="1064" w:type="dxa"/>
            <w:shd w:val="clear" w:color="auto" w:fill="auto"/>
            <w:vAlign w:val="center"/>
          </w:tcPr>
          <w:p w14:paraId="665680ED" w14:textId="6A7036ED" w:rsidR="000E6FF1" w:rsidRPr="00CA0BF8" w:rsidRDefault="000E6FF1" w:rsidP="00CA0BF8">
            <w:pPr>
              <w:pStyle w:val="Table-Text"/>
              <w:tabs>
                <w:tab w:val="clear" w:pos="174"/>
              </w:tabs>
              <w:jc w:val="right"/>
            </w:pPr>
            <w:r w:rsidRPr="00CA0BF8">
              <w:t>9.043</w:t>
            </w:r>
          </w:p>
        </w:tc>
        <w:tc>
          <w:tcPr>
            <w:tcW w:w="1063" w:type="dxa"/>
            <w:shd w:val="clear" w:color="auto" w:fill="auto"/>
          </w:tcPr>
          <w:p w14:paraId="1F9CF791" w14:textId="12695F41" w:rsidR="000E6FF1" w:rsidRPr="00CA0BF8" w:rsidRDefault="000E6FF1" w:rsidP="00CA0BF8">
            <w:pPr>
              <w:pStyle w:val="Table-Text"/>
              <w:tabs>
                <w:tab w:val="clear" w:pos="174"/>
              </w:tabs>
              <w:jc w:val="right"/>
            </w:pPr>
            <w:r w:rsidRPr="00CA0BF8">
              <w:t>17.3%</w:t>
            </w:r>
          </w:p>
        </w:tc>
        <w:tc>
          <w:tcPr>
            <w:tcW w:w="1063" w:type="dxa"/>
            <w:shd w:val="clear" w:color="auto" w:fill="auto"/>
            <w:vAlign w:val="center"/>
          </w:tcPr>
          <w:p w14:paraId="63D225A1" w14:textId="282E0F85" w:rsidR="000E6FF1" w:rsidRPr="00CA0BF8" w:rsidRDefault="000E6FF1" w:rsidP="00CA0BF8">
            <w:pPr>
              <w:pStyle w:val="Table-Text"/>
              <w:tabs>
                <w:tab w:val="clear" w:pos="174"/>
              </w:tabs>
              <w:jc w:val="right"/>
            </w:pPr>
            <w:r w:rsidRPr="00CA0BF8">
              <w:t>13.740</w:t>
            </w:r>
          </w:p>
        </w:tc>
        <w:tc>
          <w:tcPr>
            <w:tcW w:w="1064" w:type="dxa"/>
            <w:shd w:val="clear" w:color="auto" w:fill="auto"/>
          </w:tcPr>
          <w:p w14:paraId="0FFA74EC" w14:textId="0481F502" w:rsidR="000E6FF1" w:rsidRPr="00CA0BF8" w:rsidRDefault="001D63BE" w:rsidP="00CA0BF8">
            <w:pPr>
              <w:pStyle w:val="Table-Text"/>
              <w:tabs>
                <w:tab w:val="clear" w:pos="174"/>
              </w:tabs>
              <w:jc w:val="right"/>
            </w:pPr>
            <w:r w:rsidRPr="00CA0BF8">
              <w:t>15.0</w:t>
            </w:r>
            <w:r w:rsidR="000E6FF1" w:rsidRPr="00CA0BF8">
              <w:t>%</w:t>
            </w:r>
          </w:p>
        </w:tc>
      </w:tr>
      <w:tr w:rsidR="006B6CE6" w:rsidRPr="00CA0BF8" w14:paraId="7DC68D39" w14:textId="77777777" w:rsidTr="006066A2">
        <w:tc>
          <w:tcPr>
            <w:tcW w:w="1063" w:type="dxa"/>
            <w:shd w:val="clear" w:color="auto" w:fill="BFBFBF" w:themeFill="background1" w:themeFillShade="BF"/>
          </w:tcPr>
          <w:p w14:paraId="2B109BE1" w14:textId="02FF65B0" w:rsidR="000E6FF1" w:rsidRPr="00CA0BF8" w:rsidRDefault="001D63BE" w:rsidP="000E6FF1">
            <w:pPr>
              <w:pStyle w:val="Table-Text"/>
              <w:rPr>
                <w:rStyle w:val="Strong"/>
              </w:rPr>
            </w:pPr>
            <w:r w:rsidRPr="00CA0BF8">
              <w:rPr>
                <w:rStyle w:val="Strong"/>
              </w:rPr>
              <w:t>to</w:t>
            </w:r>
            <w:r w:rsidR="000E6FF1" w:rsidRPr="00CA0BF8">
              <w:rPr>
                <w:rStyle w:val="Strong"/>
              </w:rPr>
              <w:t xml:space="preserve"> 50%</w:t>
            </w:r>
          </w:p>
        </w:tc>
        <w:tc>
          <w:tcPr>
            <w:tcW w:w="1063" w:type="dxa"/>
            <w:shd w:val="clear" w:color="auto" w:fill="BFBFBF" w:themeFill="background1" w:themeFillShade="BF"/>
            <w:vAlign w:val="bottom"/>
          </w:tcPr>
          <w:p w14:paraId="1D90C7D6" w14:textId="1F4BB0CE" w:rsidR="000E6FF1" w:rsidRPr="00CA0BF8" w:rsidRDefault="000E6FF1" w:rsidP="00CA0BF8">
            <w:pPr>
              <w:pStyle w:val="Table-Text"/>
              <w:tabs>
                <w:tab w:val="clear" w:pos="174"/>
              </w:tabs>
              <w:jc w:val="right"/>
              <w:rPr>
                <w:rStyle w:val="Strong"/>
                <w:b w:val="0"/>
                <w:bCs w:val="0"/>
              </w:rPr>
            </w:pPr>
            <w:r w:rsidRPr="00CA0BF8">
              <w:rPr>
                <w:rStyle w:val="Strong"/>
                <w:b w:val="0"/>
                <w:bCs w:val="0"/>
              </w:rPr>
              <w:t>31</w:t>
            </w:r>
          </w:p>
        </w:tc>
        <w:tc>
          <w:tcPr>
            <w:tcW w:w="1064" w:type="dxa"/>
            <w:shd w:val="clear" w:color="auto" w:fill="BFBFBF" w:themeFill="background1" w:themeFillShade="BF"/>
          </w:tcPr>
          <w:p w14:paraId="564F0E32" w14:textId="51EFBFF1" w:rsidR="000E6FF1" w:rsidRPr="00CA0BF8" w:rsidRDefault="000E6FF1" w:rsidP="00CA0BF8">
            <w:pPr>
              <w:pStyle w:val="Table-Text"/>
              <w:tabs>
                <w:tab w:val="clear" w:pos="174"/>
              </w:tabs>
              <w:jc w:val="right"/>
            </w:pPr>
            <w:r w:rsidRPr="00CA0BF8">
              <w:t>5.3%</w:t>
            </w:r>
          </w:p>
        </w:tc>
        <w:tc>
          <w:tcPr>
            <w:tcW w:w="1063" w:type="dxa"/>
            <w:shd w:val="clear" w:color="auto" w:fill="BFBFBF" w:themeFill="background1" w:themeFillShade="BF"/>
            <w:vAlign w:val="center"/>
          </w:tcPr>
          <w:p w14:paraId="31E06982" w14:textId="272EFC6D" w:rsidR="000E6FF1" w:rsidRPr="00CA0BF8" w:rsidRDefault="000E6FF1" w:rsidP="00CA0BF8">
            <w:pPr>
              <w:pStyle w:val="Table-Text"/>
              <w:tabs>
                <w:tab w:val="clear" w:pos="174"/>
              </w:tabs>
              <w:jc w:val="right"/>
            </w:pPr>
            <w:r w:rsidRPr="00CA0BF8">
              <w:t>2.516</w:t>
            </w:r>
          </w:p>
        </w:tc>
        <w:tc>
          <w:tcPr>
            <w:tcW w:w="1063" w:type="dxa"/>
            <w:shd w:val="clear" w:color="auto" w:fill="BFBFBF" w:themeFill="background1" w:themeFillShade="BF"/>
          </w:tcPr>
          <w:p w14:paraId="093C75CC" w14:textId="026DA35A" w:rsidR="000E6FF1" w:rsidRPr="00CA0BF8" w:rsidRDefault="000E6FF1" w:rsidP="00CA0BF8">
            <w:pPr>
              <w:pStyle w:val="Table-Text"/>
              <w:tabs>
                <w:tab w:val="clear" w:pos="174"/>
              </w:tabs>
              <w:jc w:val="right"/>
            </w:pPr>
            <w:r w:rsidRPr="00CA0BF8">
              <w:t>6.4%</w:t>
            </w:r>
          </w:p>
        </w:tc>
        <w:tc>
          <w:tcPr>
            <w:tcW w:w="1064" w:type="dxa"/>
            <w:shd w:val="clear" w:color="auto" w:fill="BFBFBF" w:themeFill="background1" w:themeFillShade="BF"/>
            <w:vAlign w:val="center"/>
          </w:tcPr>
          <w:p w14:paraId="6F7FD737" w14:textId="4E14800B" w:rsidR="000E6FF1" w:rsidRPr="00CA0BF8" w:rsidRDefault="000E6FF1" w:rsidP="00CA0BF8">
            <w:pPr>
              <w:pStyle w:val="Table-Text"/>
              <w:tabs>
                <w:tab w:val="clear" w:pos="174"/>
              </w:tabs>
              <w:jc w:val="right"/>
            </w:pPr>
            <w:r w:rsidRPr="00CA0BF8">
              <w:t>2.866</w:t>
            </w:r>
          </w:p>
        </w:tc>
        <w:tc>
          <w:tcPr>
            <w:tcW w:w="1063" w:type="dxa"/>
            <w:shd w:val="clear" w:color="auto" w:fill="BFBFBF" w:themeFill="background1" w:themeFillShade="BF"/>
          </w:tcPr>
          <w:p w14:paraId="16705D75" w14:textId="2DA6AE29" w:rsidR="000E6FF1" w:rsidRPr="00CA0BF8" w:rsidRDefault="000E6FF1" w:rsidP="00CA0BF8">
            <w:pPr>
              <w:pStyle w:val="Table-Text"/>
              <w:tabs>
                <w:tab w:val="clear" w:pos="174"/>
              </w:tabs>
              <w:jc w:val="right"/>
            </w:pPr>
            <w:r w:rsidRPr="00CA0BF8">
              <w:t>5.5%</w:t>
            </w:r>
          </w:p>
        </w:tc>
        <w:tc>
          <w:tcPr>
            <w:tcW w:w="1063" w:type="dxa"/>
            <w:shd w:val="clear" w:color="auto" w:fill="BFBFBF" w:themeFill="background1" w:themeFillShade="BF"/>
            <w:vAlign w:val="center"/>
          </w:tcPr>
          <w:p w14:paraId="6FBE0A5F" w14:textId="0265B087" w:rsidR="000E6FF1" w:rsidRPr="00CA0BF8" w:rsidRDefault="000E6FF1" w:rsidP="00CA0BF8">
            <w:pPr>
              <w:pStyle w:val="Table-Text"/>
              <w:tabs>
                <w:tab w:val="clear" w:pos="174"/>
              </w:tabs>
              <w:jc w:val="right"/>
            </w:pPr>
            <w:r w:rsidRPr="00CA0BF8">
              <w:t>5.383</w:t>
            </w:r>
          </w:p>
        </w:tc>
        <w:tc>
          <w:tcPr>
            <w:tcW w:w="1064" w:type="dxa"/>
            <w:shd w:val="clear" w:color="auto" w:fill="BFBFBF" w:themeFill="background1" w:themeFillShade="BF"/>
          </w:tcPr>
          <w:p w14:paraId="68A0D98B" w14:textId="15431AD3" w:rsidR="000E6FF1" w:rsidRPr="00CA0BF8" w:rsidRDefault="001D63BE" w:rsidP="00CA0BF8">
            <w:pPr>
              <w:pStyle w:val="Table-Text"/>
              <w:tabs>
                <w:tab w:val="clear" w:pos="174"/>
              </w:tabs>
              <w:jc w:val="right"/>
            </w:pPr>
            <w:r w:rsidRPr="00CA0BF8">
              <w:t>5.9</w:t>
            </w:r>
            <w:r w:rsidR="000E6FF1" w:rsidRPr="00CA0BF8">
              <w:t>%</w:t>
            </w:r>
          </w:p>
        </w:tc>
      </w:tr>
      <w:tr w:rsidR="006B6CE6" w:rsidRPr="00CA0BF8" w14:paraId="54AE4E44" w14:textId="77777777" w:rsidTr="006066A2">
        <w:tc>
          <w:tcPr>
            <w:tcW w:w="1063" w:type="dxa"/>
            <w:shd w:val="clear" w:color="auto" w:fill="BFBFBF" w:themeFill="background1" w:themeFillShade="BF"/>
          </w:tcPr>
          <w:p w14:paraId="197A1D0E" w14:textId="191EFC8A" w:rsidR="000E6FF1" w:rsidRPr="00CA0BF8" w:rsidRDefault="001D63BE" w:rsidP="000E6FF1">
            <w:pPr>
              <w:pStyle w:val="Table-Text"/>
              <w:rPr>
                <w:rStyle w:val="Strong"/>
              </w:rPr>
            </w:pPr>
            <w:r w:rsidRPr="00CA0BF8">
              <w:rPr>
                <w:rStyle w:val="Strong"/>
              </w:rPr>
              <w:t>to</w:t>
            </w:r>
            <w:r w:rsidR="000E6FF1" w:rsidRPr="00CA0BF8">
              <w:rPr>
                <w:rStyle w:val="Strong"/>
              </w:rPr>
              <w:t xml:space="preserve"> 60%</w:t>
            </w:r>
          </w:p>
        </w:tc>
        <w:tc>
          <w:tcPr>
            <w:tcW w:w="1063" w:type="dxa"/>
            <w:shd w:val="clear" w:color="auto" w:fill="BFBFBF" w:themeFill="background1" w:themeFillShade="BF"/>
            <w:vAlign w:val="bottom"/>
          </w:tcPr>
          <w:p w14:paraId="4524BAD8" w14:textId="4CDF39DA" w:rsidR="000E6FF1" w:rsidRPr="00CA0BF8" w:rsidRDefault="000E6FF1" w:rsidP="00CA0BF8">
            <w:pPr>
              <w:pStyle w:val="Table-Text"/>
              <w:tabs>
                <w:tab w:val="clear" w:pos="174"/>
              </w:tabs>
              <w:jc w:val="right"/>
              <w:rPr>
                <w:rStyle w:val="Strong"/>
                <w:b w:val="0"/>
                <w:bCs w:val="0"/>
              </w:rPr>
            </w:pPr>
            <w:r w:rsidRPr="00CA0BF8">
              <w:rPr>
                <w:rStyle w:val="Strong"/>
                <w:b w:val="0"/>
                <w:bCs w:val="0"/>
              </w:rPr>
              <w:t>55</w:t>
            </w:r>
          </w:p>
        </w:tc>
        <w:tc>
          <w:tcPr>
            <w:tcW w:w="1064" w:type="dxa"/>
            <w:shd w:val="clear" w:color="auto" w:fill="BFBFBF" w:themeFill="background1" w:themeFillShade="BF"/>
          </w:tcPr>
          <w:p w14:paraId="2D20C31E" w14:textId="17DAD97C" w:rsidR="000E6FF1" w:rsidRPr="00CA0BF8" w:rsidRDefault="000E6FF1" w:rsidP="00CA0BF8">
            <w:pPr>
              <w:pStyle w:val="Table-Text"/>
              <w:tabs>
                <w:tab w:val="clear" w:pos="174"/>
              </w:tabs>
              <w:jc w:val="right"/>
            </w:pPr>
            <w:r w:rsidRPr="00CA0BF8">
              <w:t>9.4%</w:t>
            </w:r>
          </w:p>
        </w:tc>
        <w:tc>
          <w:tcPr>
            <w:tcW w:w="1063" w:type="dxa"/>
            <w:shd w:val="clear" w:color="auto" w:fill="BFBFBF" w:themeFill="background1" w:themeFillShade="BF"/>
            <w:vAlign w:val="center"/>
          </w:tcPr>
          <w:p w14:paraId="5CEA16C9" w14:textId="7039783B" w:rsidR="000E6FF1" w:rsidRPr="00CA0BF8" w:rsidRDefault="000E6FF1" w:rsidP="00CA0BF8">
            <w:pPr>
              <w:pStyle w:val="Table-Text"/>
              <w:tabs>
                <w:tab w:val="clear" w:pos="174"/>
              </w:tabs>
              <w:jc w:val="right"/>
            </w:pPr>
            <w:r w:rsidRPr="00CA0BF8">
              <w:t>8.445</w:t>
            </w:r>
          </w:p>
        </w:tc>
        <w:tc>
          <w:tcPr>
            <w:tcW w:w="1063" w:type="dxa"/>
            <w:shd w:val="clear" w:color="auto" w:fill="BFBFBF" w:themeFill="background1" w:themeFillShade="BF"/>
          </w:tcPr>
          <w:p w14:paraId="1B790266" w14:textId="2B57FB85" w:rsidR="000E6FF1" w:rsidRPr="00CA0BF8" w:rsidRDefault="000E6FF1" w:rsidP="00CA0BF8">
            <w:pPr>
              <w:pStyle w:val="Table-Text"/>
              <w:tabs>
                <w:tab w:val="clear" w:pos="174"/>
              </w:tabs>
              <w:jc w:val="right"/>
            </w:pPr>
            <w:r w:rsidRPr="00CA0BF8">
              <w:t>21.4%</w:t>
            </w:r>
          </w:p>
        </w:tc>
        <w:tc>
          <w:tcPr>
            <w:tcW w:w="1064" w:type="dxa"/>
            <w:shd w:val="clear" w:color="auto" w:fill="BFBFBF" w:themeFill="background1" w:themeFillShade="BF"/>
            <w:vAlign w:val="center"/>
          </w:tcPr>
          <w:p w14:paraId="0C5DD3AE" w14:textId="19293DF7" w:rsidR="000E6FF1" w:rsidRPr="00CA0BF8" w:rsidRDefault="000E6FF1" w:rsidP="00CA0BF8">
            <w:pPr>
              <w:pStyle w:val="Table-Text"/>
              <w:tabs>
                <w:tab w:val="clear" w:pos="174"/>
              </w:tabs>
              <w:jc w:val="right"/>
            </w:pPr>
            <w:r w:rsidRPr="00CA0BF8">
              <w:t>6.748</w:t>
            </w:r>
          </w:p>
        </w:tc>
        <w:tc>
          <w:tcPr>
            <w:tcW w:w="1063" w:type="dxa"/>
            <w:shd w:val="clear" w:color="auto" w:fill="BFBFBF" w:themeFill="background1" w:themeFillShade="BF"/>
          </w:tcPr>
          <w:p w14:paraId="068E7EC6" w14:textId="68193158" w:rsidR="000E6FF1" w:rsidRPr="00CA0BF8" w:rsidRDefault="000E6FF1" w:rsidP="00CA0BF8">
            <w:pPr>
              <w:pStyle w:val="Table-Text"/>
              <w:tabs>
                <w:tab w:val="clear" w:pos="174"/>
              </w:tabs>
              <w:jc w:val="right"/>
            </w:pPr>
            <w:r w:rsidRPr="00CA0BF8">
              <w:t>12.9%</w:t>
            </w:r>
          </w:p>
        </w:tc>
        <w:tc>
          <w:tcPr>
            <w:tcW w:w="1063" w:type="dxa"/>
            <w:shd w:val="clear" w:color="auto" w:fill="BFBFBF" w:themeFill="background1" w:themeFillShade="BF"/>
            <w:vAlign w:val="center"/>
          </w:tcPr>
          <w:p w14:paraId="23A22D20" w14:textId="21DE5DF4" w:rsidR="000E6FF1" w:rsidRPr="00CA0BF8" w:rsidRDefault="000E6FF1" w:rsidP="00CA0BF8">
            <w:pPr>
              <w:pStyle w:val="Table-Text"/>
              <w:tabs>
                <w:tab w:val="clear" w:pos="174"/>
              </w:tabs>
              <w:jc w:val="right"/>
            </w:pPr>
            <w:r w:rsidRPr="00CA0BF8">
              <w:t>15.192</w:t>
            </w:r>
          </w:p>
        </w:tc>
        <w:tc>
          <w:tcPr>
            <w:tcW w:w="1064" w:type="dxa"/>
            <w:shd w:val="clear" w:color="auto" w:fill="BFBFBF" w:themeFill="background1" w:themeFillShade="BF"/>
          </w:tcPr>
          <w:p w14:paraId="1FA9EB23" w14:textId="4102C94D" w:rsidR="000E6FF1" w:rsidRPr="00CA0BF8" w:rsidRDefault="001D63BE" w:rsidP="00CA0BF8">
            <w:pPr>
              <w:pStyle w:val="Table-Text"/>
              <w:tabs>
                <w:tab w:val="clear" w:pos="174"/>
              </w:tabs>
              <w:jc w:val="right"/>
            </w:pPr>
            <w:r w:rsidRPr="00CA0BF8">
              <w:t>16.6</w:t>
            </w:r>
            <w:r w:rsidR="000E6FF1" w:rsidRPr="00CA0BF8">
              <w:t>%</w:t>
            </w:r>
          </w:p>
        </w:tc>
      </w:tr>
      <w:tr w:rsidR="00BE760E" w:rsidRPr="00CA0BF8" w14:paraId="5BCFEB0F" w14:textId="77777777" w:rsidTr="006066A2">
        <w:tc>
          <w:tcPr>
            <w:tcW w:w="1063" w:type="dxa"/>
          </w:tcPr>
          <w:p w14:paraId="7075800E" w14:textId="4E320BC0" w:rsidR="000E6FF1" w:rsidRPr="00CA0BF8" w:rsidRDefault="001D63BE" w:rsidP="000E6FF1">
            <w:pPr>
              <w:pStyle w:val="Table-Text"/>
              <w:rPr>
                <w:rStyle w:val="Strong"/>
              </w:rPr>
            </w:pPr>
            <w:r w:rsidRPr="00CA0BF8">
              <w:rPr>
                <w:rStyle w:val="Strong"/>
              </w:rPr>
              <w:t>to</w:t>
            </w:r>
            <w:r w:rsidR="000E6FF1" w:rsidRPr="00CA0BF8">
              <w:rPr>
                <w:rStyle w:val="Strong"/>
              </w:rPr>
              <w:t xml:space="preserve"> 70%</w:t>
            </w:r>
          </w:p>
        </w:tc>
        <w:tc>
          <w:tcPr>
            <w:tcW w:w="1063" w:type="dxa"/>
            <w:shd w:val="clear" w:color="auto" w:fill="auto"/>
            <w:vAlign w:val="bottom"/>
          </w:tcPr>
          <w:p w14:paraId="3DFD7B84" w14:textId="2A70C722" w:rsidR="000E6FF1" w:rsidRPr="00CA0BF8" w:rsidRDefault="000E6FF1" w:rsidP="00CA0BF8">
            <w:pPr>
              <w:pStyle w:val="Table-Text"/>
              <w:tabs>
                <w:tab w:val="clear" w:pos="174"/>
              </w:tabs>
              <w:jc w:val="right"/>
              <w:rPr>
                <w:rStyle w:val="Strong"/>
                <w:b w:val="0"/>
                <w:bCs w:val="0"/>
              </w:rPr>
            </w:pPr>
            <w:r w:rsidRPr="00CA0BF8">
              <w:rPr>
                <w:rStyle w:val="Strong"/>
                <w:b w:val="0"/>
                <w:bCs w:val="0"/>
              </w:rPr>
              <w:t>39</w:t>
            </w:r>
          </w:p>
        </w:tc>
        <w:tc>
          <w:tcPr>
            <w:tcW w:w="1064" w:type="dxa"/>
            <w:shd w:val="clear" w:color="auto" w:fill="auto"/>
          </w:tcPr>
          <w:p w14:paraId="4078579C" w14:textId="020490C0" w:rsidR="000E6FF1" w:rsidRPr="00CA0BF8" w:rsidRDefault="000E6FF1" w:rsidP="00CA0BF8">
            <w:pPr>
              <w:pStyle w:val="Table-Text"/>
              <w:tabs>
                <w:tab w:val="clear" w:pos="174"/>
              </w:tabs>
              <w:jc w:val="right"/>
            </w:pPr>
            <w:r w:rsidRPr="00CA0BF8">
              <w:t>6.6%</w:t>
            </w:r>
          </w:p>
        </w:tc>
        <w:tc>
          <w:tcPr>
            <w:tcW w:w="1063" w:type="dxa"/>
            <w:shd w:val="clear" w:color="auto" w:fill="auto"/>
            <w:vAlign w:val="center"/>
          </w:tcPr>
          <w:p w14:paraId="63C5E1A6" w14:textId="1AEF3766" w:rsidR="000E6FF1" w:rsidRPr="00CA0BF8" w:rsidRDefault="000E6FF1" w:rsidP="00CA0BF8">
            <w:pPr>
              <w:pStyle w:val="Table-Text"/>
              <w:tabs>
                <w:tab w:val="clear" w:pos="174"/>
              </w:tabs>
              <w:jc w:val="right"/>
            </w:pPr>
            <w:r w:rsidRPr="00CA0BF8">
              <w:t>8.294</w:t>
            </w:r>
          </w:p>
        </w:tc>
        <w:tc>
          <w:tcPr>
            <w:tcW w:w="1063" w:type="dxa"/>
            <w:shd w:val="clear" w:color="auto" w:fill="auto"/>
          </w:tcPr>
          <w:p w14:paraId="396E7F50" w14:textId="6080249F" w:rsidR="000E6FF1" w:rsidRPr="00CA0BF8" w:rsidRDefault="000E6FF1" w:rsidP="00CA0BF8">
            <w:pPr>
              <w:pStyle w:val="Table-Text"/>
              <w:tabs>
                <w:tab w:val="clear" w:pos="174"/>
              </w:tabs>
              <w:jc w:val="right"/>
            </w:pPr>
            <w:r w:rsidRPr="00CA0BF8">
              <w:t>21.0%</w:t>
            </w:r>
          </w:p>
        </w:tc>
        <w:tc>
          <w:tcPr>
            <w:tcW w:w="1064" w:type="dxa"/>
            <w:shd w:val="clear" w:color="auto" w:fill="auto"/>
            <w:vAlign w:val="center"/>
          </w:tcPr>
          <w:p w14:paraId="5F16EA04" w14:textId="43D5E652" w:rsidR="000E6FF1" w:rsidRPr="00CA0BF8" w:rsidRDefault="000E6FF1" w:rsidP="00CA0BF8">
            <w:pPr>
              <w:pStyle w:val="Table-Text"/>
              <w:tabs>
                <w:tab w:val="clear" w:pos="174"/>
              </w:tabs>
              <w:jc w:val="right"/>
            </w:pPr>
            <w:r w:rsidRPr="00CA0BF8">
              <w:t>4.549</w:t>
            </w:r>
          </w:p>
        </w:tc>
        <w:tc>
          <w:tcPr>
            <w:tcW w:w="1063" w:type="dxa"/>
            <w:shd w:val="clear" w:color="auto" w:fill="auto"/>
          </w:tcPr>
          <w:p w14:paraId="0D1C8003" w14:textId="194ADA0D" w:rsidR="000E6FF1" w:rsidRPr="00CA0BF8" w:rsidRDefault="000E6FF1" w:rsidP="00CA0BF8">
            <w:pPr>
              <w:pStyle w:val="Table-Text"/>
              <w:tabs>
                <w:tab w:val="clear" w:pos="174"/>
              </w:tabs>
              <w:jc w:val="right"/>
            </w:pPr>
            <w:r w:rsidRPr="00CA0BF8">
              <w:t>8.7%</w:t>
            </w:r>
          </w:p>
        </w:tc>
        <w:tc>
          <w:tcPr>
            <w:tcW w:w="1063" w:type="dxa"/>
            <w:shd w:val="clear" w:color="auto" w:fill="auto"/>
            <w:vAlign w:val="center"/>
          </w:tcPr>
          <w:p w14:paraId="19679D6D" w14:textId="7BA1F98D" w:rsidR="000E6FF1" w:rsidRPr="00CA0BF8" w:rsidRDefault="001D63BE" w:rsidP="00CA0BF8">
            <w:pPr>
              <w:pStyle w:val="Table-Text"/>
              <w:tabs>
                <w:tab w:val="clear" w:pos="174"/>
              </w:tabs>
              <w:jc w:val="right"/>
            </w:pPr>
            <w:r w:rsidRPr="00CA0BF8">
              <w:t>12.842</w:t>
            </w:r>
          </w:p>
        </w:tc>
        <w:tc>
          <w:tcPr>
            <w:tcW w:w="1064" w:type="dxa"/>
            <w:shd w:val="clear" w:color="auto" w:fill="auto"/>
          </w:tcPr>
          <w:p w14:paraId="370F2A20" w14:textId="1A66C736" w:rsidR="000E6FF1" w:rsidRPr="00CA0BF8" w:rsidRDefault="001D63BE" w:rsidP="00CA0BF8">
            <w:pPr>
              <w:pStyle w:val="Table-Text"/>
              <w:tabs>
                <w:tab w:val="clear" w:pos="174"/>
              </w:tabs>
              <w:jc w:val="right"/>
            </w:pPr>
            <w:r w:rsidRPr="00CA0BF8">
              <w:t>14.0</w:t>
            </w:r>
            <w:r w:rsidR="000E6FF1" w:rsidRPr="00CA0BF8">
              <w:t>%</w:t>
            </w:r>
          </w:p>
        </w:tc>
      </w:tr>
      <w:tr w:rsidR="00BE760E" w:rsidRPr="00CA0BF8" w14:paraId="30FE71C5" w14:textId="77777777" w:rsidTr="006066A2">
        <w:tc>
          <w:tcPr>
            <w:tcW w:w="1063" w:type="dxa"/>
          </w:tcPr>
          <w:p w14:paraId="726BEE6B" w14:textId="62BB2054" w:rsidR="000E6FF1" w:rsidRPr="00CA0BF8" w:rsidRDefault="001D63BE" w:rsidP="000E6FF1">
            <w:pPr>
              <w:pStyle w:val="Table-Text"/>
              <w:rPr>
                <w:rStyle w:val="Strong"/>
              </w:rPr>
            </w:pPr>
            <w:r w:rsidRPr="00CA0BF8">
              <w:rPr>
                <w:rStyle w:val="Strong"/>
              </w:rPr>
              <w:t>to</w:t>
            </w:r>
            <w:r w:rsidR="000E6FF1" w:rsidRPr="00CA0BF8">
              <w:rPr>
                <w:rStyle w:val="Strong"/>
              </w:rPr>
              <w:t xml:space="preserve"> 80%</w:t>
            </w:r>
          </w:p>
        </w:tc>
        <w:tc>
          <w:tcPr>
            <w:tcW w:w="1063" w:type="dxa"/>
            <w:shd w:val="clear" w:color="auto" w:fill="auto"/>
            <w:vAlign w:val="bottom"/>
          </w:tcPr>
          <w:p w14:paraId="31A66C0B" w14:textId="48816C0E" w:rsidR="000E6FF1" w:rsidRPr="00CA0BF8" w:rsidRDefault="000E6FF1" w:rsidP="00CA0BF8">
            <w:pPr>
              <w:pStyle w:val="Table-Text"/>
              <w:tabs>
                <w:tab w:val="clear" w:pos="174"/>
              </w:tabs>
              <w:jc w:val="right"/>
              <w:rPr>
                <w:rStyle w:val="Strong"/>
                <w:b w:val="0"/>
                <w:bCs w:val="0"/>
              </w:rPr>
            </w:pPr>
            <w:r w:rsidRPr="00CA0BF8">
              <w:rPr>
                <w:rStyle w:val="Strong"/>
                <w:b w:val="0"/>
                <w:bCs w:val="0"/>
              </w:rPr>
              <w:t>19</w:t>
            </w:r>
          </w:p>
        </w:tc>
        <w:tc>
          <w:tcPr>
            <w:tcW w:w="1064" w:type="dxa"/>
            <w:shd w:val="clear" w:color="auto" w:fill="auto"/>
          </w:tcPr>
          <w:p w14:paraId="588BAE7F" w14:textId="5AECAB68" w:rsidR="000E6FF1" w:rsidRPr="00CA0BF8" w:rsidRDefault="000E6FF1" w:rsidP="00CA0BF8">
            <w:pPr>
              <w:pStyle w:val="Table-Text"/>
              <w:tabs>
                <w:tab w:val="clear" w:pos="174"/>
              </w:tabs>
              <w:jc w:val="right"/>
            </w:pPr>
            <w:r w:rsidRPr="00CA0BF8">
              <w:t>3.2%</w:t>
            </w:r>
          </w:p>
        </w:tc>
        <w:tc>
          <w:tcPr>
            <w:tcW w:w="1063" w:type="dxa"/>
            <w:shd w:val="clear" w:color="auto" w:fill="auto"/>
            <w:vAlign w:val="center"/>
          </w:tcPr>
          <w:p w14:paraId="01B22970" w14:textId="0240DE99" w:rsidR="000E6FF1" w:rsidRPr="00CA0BF8" w:rsidRDefault="000E6FF1" w:rsidP="00CA0BF8">
            <w:pPr>
              <w:pStyle w:val="Table-Text"/>
              <w:tabs>
                <w:tab w:val="clear" w:pos="174"/>
              </w:tabs>
              <w:jc w:val="right"/>
            </w:pPr>
            <w:r w:rsidRPr="00CA0BF8">
              <w:t>1.835</w:t>
            </w:r>
          </w:p>
        </w:tc>
        <w:tc>
          <w:tcPr>
            <w:tcW w:w="1063" w:type="dxa"/>
            <w:shd w:val="clear" w:color="auto" w:fill="auto"/>
          </w:tcPr>
          <w:p w14:paraId="2AEC655C" w14:textId="18CACEDC" w:rsidR="000E6FF1" w:rsidRPr="00CA0BF8" w:rsidRDefault="000E6FF1" w:rsidP="00CA0BF8">
            <w:pPr>
              <w:pStyle w:val="Table-Text"/>
              <w:tabs>
                <w:tab w:val="clear" w:pos="174"/>
              </w:tabs>
              <w:jc w:val="right"/>
            </w:pPr>
            <w:r w:rsidRPr="00CA0BF8">
              <w:t>4.6%</w:t>
            </w:r>
          </w:p>
        </w:tc>
        <w:tc>
          <w:tcPr>
            <w:tcW w:w="1064" w:type="dxa"/>
            <w:shd w:val="clear" w:color="auto" w:fill="auto"/>
            <w:vAlign w:val="center"/>
          </w:tcPr>
          <w:p w14:paraId="49F952B1" w14:textId="55C57A67" w:rsidR="000E6FF1" w:rsidRPr="00CA0BF8" w:rsidRDefault="000E6FF1" w:rsidP="00CA0BF8">
            <w:pPr>
              <w:pStyle w:val="Table-Text"/>
              <w:tabs>
                <w:tab w:val="clear" w:pos="174"/>
              </w:tabs>
              <w:jc w:val="right"/>
            </w:pPr>
            <w:r w:rsidRPr="00CA0BF8">
              <w:t>0.586</w:t>
            </w:r>
          </w:p>
        </w:tc>
        <w:tc>
          <w:tcPr>
            <w:tcW w:w="1063" w:type="dxa"/>
            <w:shd w:val="clear" w:color="auto" w:fill="auto"/>
          </w:tcPr>
          <w:p w14:paraId="7CE619BA" w14:textId="344268E4" w:rsidR="000E6FF1" w:rsidRPr="00CA0BF8" w:rsidRDefault="000E6FF1" w:rsidP="00CA0BF8">
            <w:pPr>
              <w:pStyle w:val="Table-Text"/>
              <w:tabs>
                <w:tab w:val="clear" w:pos="174"/>
              </w:tabs>
              <w:jc w:val="right"/>
            </w:pPr>
            <w:r w:rsidRPr="00CA0BF8">
              <w:t>1.1%</w:t>
            </w:r>
          </w:p>
        </w:tc>
        <w:tc>
          <w:tcPr>
            <w:tcW w:w="1063" w:type="dxa"/>
            <w:shd w:val="clear" w:color="auto" w:fill="auto"/>
            <w:vAlign w:val="center"/>
          </w:tcPr>
          <w:p w14:paraId="2275F513" w14:textId="63873B1E" w:rsidR="000E6FF1" w:rsidRPr="00CA0BF8" w:rsidRDefault="001D63BE" w:rsidP="00CA0BF8">
            <w:pPr>
              <w:pStyle w:val="Table-Text"/>
              <w:tabs>
                <w:tab w:val="clear" w:pos="174"/>
              </w:tabs>
              <w:jc w:val="right"/>
            </w:pPr>
            <w:r w:rsidRPr="00CA0BF8">
              <w:t>2.421</w:t>
            </w:r>
          </w:p>
        </w:tc>
        <w:tc>
          <w:tcPr>
            <w:tcW w:w="1064" w:type="dxa"/>
            <w:shd w:val="clear" w:color="auto" w:fill="auto"/>
          </w:tcPr>
          <w:p w14:paraId="2247A129" w14:textId="2C24C5E9" w:rsidR="000E6FF1" w:rsidRPr="00CA0BF8" w:rsidRDefault="001D63BE" w:rsidP="00CA0BF8">
            <w:pPr>
              <w:pStyle w:val="Table-Text"/>
              <w:tabs>
                <w:tab w:val="clear" w:pos="174"/>
              </w:tabs>
              <w:jc w:val="right"/>
            </w:pPr>
            <w:r w:rsidRPr="00CA0BF8">
              <w:t>2.6</w:t>
            </w:r>
            <w:r w:rsidR="000E6FF1" w:rsidRPr="00CA0BF8">
              <w:t>%</w:t>
            </w:r>
          </w:p>
        </w:tc>
      </w:tr>
      <w:tr w:rsidR="00BE760E" w:rsidRPr="00CA0BF8" w14:paraId="6D70E3CF" w14:textId="77777777" w:rsidTr="006066A2">
        <w:tc>
          <w:tcPr>
            <w:tcW w:w="1063" w:type="dxa"/>
          </w:tcPr>
          <w:p w14:paraId="4F4F19A6" w14:textId="50BC6140" w:rsidR="000E6FF1" w:rsidRPr="00CA0BF8" w:rsidRDefault="001D63BE" w:rsidP="000E6FF1">
            <w:pPr>
              <w:pStyle w:val="Table-Text"/>
              <w:rPr>
                <w:rStyle w:val="Strong"/>
              </w:rPr>
            </w:pPr>
            <w:r w:rsidRPr="00CA0BF8">
              <w:rPr>
                <w:rStyle w:val="Strong"/>
              </w:rPr>
              <w:t>to</w:t>
            </w:r>
            <w:r w:rsidR="000E6FF1" w:rsidRPr="00CA0BF8">
              <w:rPr>
                <w:rStyle w:val="Strong"/>
              </w:rPr>
              <w:t xml:space="preserve"> 90%</w:t>
            </w:r>
          </w:p>
        </w:tc>
        <w:tc>
          <w:tcPr>
            <w:tcW w:w="1063" w:type="dxa"/>
            <w:shd w:val="clear" w:color="auto" w:fill="auto"/>
            <w:vAlign w:val="bottom"/>
          </w:tcPr>
          <w:p w14:paraId="2897CE52" w14:textId="69FDD8FD" w:rsidR="000E6FF1" w:rsidRPr="00CA0BF8" w:rsidRDefault="000E6FF1" w:rsidP="00CA0BF8">
            <w:pPr>
              <w:pStyle w:val="Table-Text"/>
              <w:tabs>
                <w:tab w:val="clear" w:pos="174"/>
              </w:tabs>
              <w:jc w:val="right"/>
              <w:rPr>
                <w:rStyle w:val="Strong"/>
                <w:b w:val="0"/>
                <w:bCs w:val="0"/>
              </w:rPr>
            </w:pPr>
            <w:r w:rsidRPr="00CA0BF8">
              <w:rPr>
                <w:rStyle w:val="Strong"/>
                <w:b w:val="0"/>
                <w:bCs w:val="0"/>
              </w:rPr>
              <w:t>16</w:t>
            </w:r>
          </w:p>
        </w:tc>
        <w:tc>
          <w:tcPr>
            <w:tcW w:w="1064" w:type="dxa"/>
            <w:shd w:val="clear" w:color="auto" w:fill="auto"/>
          </w:tcPr>
          <w:p w14:paraId="62D2F189" w14:textId="4D5F021A" w:rsidR="000E6FF1" w:rsidRPr="00CA0BF8" w:rsidRDefault="000E6FF1" w:rsidP="00CA0BF8">
            <w:pPr>
              <w:pStyle w:val="Table-Text"/>
              <w:tabs>
                <w:tab w:val="clear" w:pos="174"/>
              </w:tabs>
              <w:jc w:val="right"/>
            </w:pPr>
            <w:r w:rsidRPr="00CA0BF8">
              <w:t>2.7%</w:t>
            </w:r>
          </w:p>
        </w:tc>
        <w:tc>
          <w:tcPr>
            <w:tcW w:w="1063" w:type="dxa"/>
            <w:shd w:val="clear" w:color="auto" w:fill="auto"/>
            <w:vAlign w:val="center"/>
          </w:tcPr>
          <w:p w14:paraId="5188F520" w14:textId="34E65E62" w:rsidR="000E6FF1" w:rsidRPr="00CA0BF8" w:rsidRDefault="000E6FF1" w:rsidP="00CA0BF8">
            <w:pPr>
              <w:pStyle w:val="Table-Text"/>
              <w:tabs>
                <w:tab w:val="clear" w:pos="174"/>
              </w:tabs>
              <w:jc w:val="right"/>
            </w:pPr>
            <w:r w:rsidRPr="00CA0BF8">
              <w:t>5.213</w:t>
            </w:r>
          </w:p>
        </w:tc>
        <w:tc>
          <w:tcPr>
            <w:tcW w:w="1063" w:type="dxa"/>
            <w:shd w:val="clear" w:color="auto" w:fill="auto"/>
          </w:tcPr>
          <w:p w14:paraId="0E30BD19" w14:textId="567D6DA0" w:rsidR="000E6FF1" w:rsidRPr="00CA0BF8" w:rsidRDefault="000E6FF1" w:rsidP="00CA0BF8">
            <w:pPr>
              <w:pStyle w:val="Table-Text"/>
              <w:tabs>
                <w:tab w:val="clear" w:pos="174"/>
              </w:tabs>
              <w:jc w:val="right"/>
            </w:pPr>
            <w:r w:rsidRPr="00CA0BF8">
              <w:t>13.2%</w:t>
            </w:r>
          </w:p>
        </w:tc>
        <w:tc>
          <w:tcPr>
            <w:tcW w:w="1064" w:type="dxa"/>
            <w:shd w:val="clear" w:color="auto" w:fill="auto"/>
            <w:vAlign w:val="center"/>
          </w:tcPr>
          <w:p w14:paraId="7ED30DD8" w14:textId="184634A3" w:rsidR="000E6FF1" w:rsidRPr="00CA0BF8" w:rsidRDefault="000E6FF1" w:rsidP="00CA0BF8">
            <w:pPr>
              <w:pStyle w:val="Table-Text"/>
              <w:tabs>
                <w:tab w:val="clear" w:pos="174"/>
              </w:tabs>
              <w:jc w:val="right"/>
            </w:pPr>
            <w:r w:rsidRPr="00CA0BF8">
              <w:t>0.976</w:t>
            </w:r>
          </w:p>
        </w:tc>
        <w:tc>
          <w:tcPr>
            <w:tcW w:w="1063" w:type="dxa"/>
            <w:shd w:val="clear" w:color="auto" w:fill="auto"/>
          </w:tcPr>
          <w:p w14:paraId="01C7064B" w14:textId="3FE86F5A" w:rsidR="000E6FF1" w:rsidRPr="00CA0BF8" w:rsidRDefault="000E6FF1" w:rsidP="00CA0BF8">
            <w:pPr>
              <w:pStyle w:val="Table-Text"/>
              <w:tabs>
                <w:tab w:val="clear" w:pos="174"/>
              </w:tabs>
              <w:jc w:val="right"/>
            </w:pPr>
            <w:r w:rsidRPr="00CA0BF8">
              <w:t>1.9%</w:t>
            </w:r>
          </w:p>
        </w:tc>
        <w:tc>
          <w:tcPr>
            <w:tcW w:w="1063" w:type="dxa"/>
            <w:shd w:val="clear" w:color="auto" w:fill="auto"/>
            <w:vAlign w:val="center"/>
          </w:tcPr>
          <w:p w14:paraId="4B49113C" w14:textId="4556B0F2" w:rsidR="000E6FF1" w:rsidRPr="00CA0BF8" w:rsidRDefault="001D63BE" w:rsidP="00CA0BF8">
            <w:pPr>
              <w:pStyle w:val="Table-Text"/>
              <w:tabs>
                <w:tab w:val="clear" w:pos="174"/>
              </w:tabs>
              <w:jc w:val="right"/>
            </w:pPr>
            <w:r w:rsidRPr="00CA0BF8">
              <w:t>6.189</w:t>
            </w:r>
          </w:p>
        </w:tc>
        <w:tc>
          <w:tcPr>
            <w:tcW w:w="1064" w:type="dxa"/>
            <w:shd w:val="clear" w:color="auto" w:fill="auto"/>
          </w:tcPr>
          <w:p w14:paraId="4D270829" w14:textId="3D3A4D7F" w:rsidR="000E6FF1" w:rsidRPr="00CA0BF8" w:rsidRDefault="001D63BE" w:rsidP="00CA0BF8">
            <w:pPr>
              <w:pStyle w:val="Table-Text"/>
              <w:tabs>
                <w:tab w:val="clear" w:pos="174"/>
              </w:tabs>
              <w:jc w:val="right"/>
            </w:pPr>
            <w:r w:rsidRPr="00CA0BF8">
              <w:t>6.7</w:t>
            </w:r>
            <w:r w:rsidR="000E6FF1" w:rsidRPr="00CA0BF8">
              <w:t>%</w:t>
            </w:r>
          </w:p>
        </w:tc>
      </w:tr>
      <w:tr w:rsidR="00BE760E" w:rsidRPr="00CA0BF8" w14:paraId="7788BB0A" w14:textId="77777777" w:rsidTr="006066A2">
        <w:tc>
          <w:tcPr>
            <w:tcW w:w="1063" w:type="dxa"/>
          </w:tcPr>
          <w:p w14:paraId="6E23985F" w14:textId="7C44587F" w:rsidR="000E6FF1" w:rsidRPr="00CA0BF8" w:rsidRDefault="001D63BE" w:rsidP="000E6FF1">
            <w:pPr>
              <w:pStyle w:val="Table-Text"/>
              <w:rPr>
                <w:rStyle w:val="Strong"/>
              </w:rPr>
            </w:pPr>
            <w:r w:rsidRPr="00CA0BF8">
              <w:rPr>
                <w:rStyle w:val="Strong"/>
              </w:rPr>
              <w:t>to</w:t>
            </w:r>
            <w:r w:rsidR="000E6FF1" w:rsidRPr="00CA0BF8">
              <w:rPr>
                <w:rStyle w:val="Strong"/>
              </w:rPr>
              <w:t xml:space="preserve"> 100%</w:t>
            </w:r>
          </w:p>
        </w:tc>
        <w:tc>
          <w:tcPr>
            <w:tcW w:w="1063" w:type="dxa"/>
            <w:shd w:val="clear" w:color="auto" w:fill="auto"/>
            <w:vAlign w:val="bottom"/>
          </w:tcPr>
          <w:p w14:paraId="66997383" w14:textId="34EC8DDE" w:rsidR="000E6FF1" w:rsidRPr="00CA0BF8" w:rsidRDefault="000E6FF1" w:rsidP="00CA0BF8">
            <w:pPr>
              <w:pStyle w:val="Table-Text"/>
              <w:tabs>
                <w:tab w:val="clear" w:pos="174"/>
              </w:tabs>
              <w:jc w:val="right"/>
              <w:rPr>
                <w:rStyle w:val="Strong"/>
                <w:b w:val="0"/>
                <w:bCs w:val="0"/>
              </w:rPr>
            </w:pPr>
            <w:r w:rsidRPr="00CA0BF8">
              <w:rPr>
                <w:rStyle w:val="Strong"/>
                <w:b w:val="0"/>
                <w:bCs w:val="0"/>
              </w:rPr>
              <w:t>24</w:t>
            </w:r>
          </w:p>
        </w:tc>
        <w:tc>
          <w:tcPr>
            <w:tcW w:w="1064" w:type="dxa"/>
            <w:shd w:val="clear" w:color="auto" w:fill="auto"/>
          </w:tcPr>
          <w:p w14:paraId="27F1644C" w14:textId="2536CC57" w:rsidR="000E6FF1" w:rsidRPr="00CA0BF8" w:rsidRDefault="000E6FF1" w:rsidP="00CA0BF8">
            <w:pPr>
              <w:pStyle w:val="Table-Text"/>
              <w:tabs>
                <w:tab w:val="clear" w:pos="174"/>
              </w:tabs>
              <w:jc w:val="right"/>
            </w:pPr>
            <w:r w:rsidRPr="00CA0BF8">
              <w:t>4.1%</w:t>
            </w:r>
          </w:p>
        </w:tc>
        <w:tc>
          <w:tcPr>
            <w:tcW w:w="1063" w:type="dxa"/>
            <w:shd w:val="clear" w:color="auto" w:fill="auto"/>
            <w:vAlign w:val="center"/>
          </w:tcPr>
          <w:p w14:paraId="72A18D2D" w14:textId="2FE36626" w:rsidR="000E6FF1" w:rsidRPr="00CA0BF8" w:rsidRDefault="000E6FF1" w:rsidP="00CA0BF8">
            <w:pPr>
              <w:pStyle w:val="Table-Text"/>
              <w:tabs>
                <w:tab w:val="clear" w:pos="174"/>
              </w:tabs>
              <w:jc w:val="right"/>
            </w:pPr>
            <w:r w:rsidRPr="00CA0BF8">
              <w:t>5.947</w:t>
            </w:r>
          </w:p>
        </w:tc>
        <w:tc>
          <w:tcPr>
            <w:tcW w:w="1063" w:type="dxa"/>
            <w:shd w:val="clear" w:color="auto" w:fill="auto"/>
          </w:tcPr>
          <w:p w14:paraId="3AB1E1D2" w14:textId="20D92F3D" w:rsidR="000E6FF1" w:rsidRPr="00CA0BF8" w:rsidRDefault="000E6FF1" w:rsidP="00CA0BF8">
            <w:pPr>
              <w:pStyle w:val="Table-Text"/>
              <w:tabs>
                <w:tab w:val="clear" w:pos="174"/>
              </w:tabs>
              <w:jc w:val="right"/>
            </w:pPr>
            <w:r w:rsidRPr="00CA0BF8">
              <w:t>15.1%</w:t>
            </w:r>
          </w:p>
        </w:tc>
        <w:tc>
          <w:tcPr>
            <w:tcW w:w="1064" w:type="dxa"/>
            <w:shd w:val="clear" w:color="auto" w:fill="auto"/>
            <w:vAlign w:val="center"/>
          </w:tcPr>
          <w:p w14:paraId="55311379" w14:textId="681E6801" w:rsidR="000E6FF1" w:rsidRPr="00CA0BF8" w:rsidRDefault="000E6FF1" w:rsidP="00CA0BF8">
            <w:pPr>
              <w:pStyle w:val="Table-Text"/>
              <w:tabs>
                <w:tab w:val="clear" w:pos="174"/>
              </w:tabs>
              <w:jc w:val="right"/>
            </w:pPr>
            <w:r w:rsidRPr="00CA0BF8">
              <w:t>0.310</w:t>
            </w:r>
          </w:p>
        </w:tc>
        <w:tc>
          <w:tcPr>
            <w:tcW w:w="1063" w:type="dxa"/>
            <w:shd w:val="clear" w:color="auto" w:fill="auto"/>
          </w:tcPr>
          <w:p w14:paraId="56C4EF28" w14:textId="009C6905" w:rsidR="000E6FF1" w:rsidRPr="00CA0BF8" w:rsidRDefault="000E6FF1" w:rsidP="00CA0BF8">
            <w:pPr>
              <w:pStyle w:val="Table-Text"/>
              <w:tabs>
                <w:tab w:val="clear" w:pos="174"/>
              </w:tabs>
              <w:jc w:val="right"/>
            </w:pPr>
            <w:r w:rsidRPr="00CA0BF8">
              <w:t>0.6%</w:t>
            </w:r>
          </w:p>
        </w:tc>
        <w:tc>
          <w:tcPr>
            <w:tcW w:w="1063" w:type="dxa"/>
            <w:shd w:val="clear" w:color="auto" w:fill="auto"/>
            <w:vAlign w:val="center"/>
          </w:tcPr>
          <w:p w14:paraId="5C17C871" w14:textId="7BEF83D1" w:rsidR="000E6FF1" w:rsidRPr="00CA0BF8" w:rsidRDefault="001D63BE" w:rsidP="00CA0BF8">
            <w:pPr>
              <w:pStyle w:val="Table-Text"/>
              <w:tabs>
                <w:tab w:val="clear" w:pos="174"/>
              </w:tabs>
              <w:jc w:val="right"/>
            </w:pPr>
            <w:r w:rsidRPr="00CA0BF8">
              <w:t>6.257</w:t>
            </w:r>
          </w:p>
        </w:tc>
        <w:tc>
          <w:tcPr>
            <w:tcW w:w="1064" w:type="dxa"/>
            <w:shd w:val="clear" w:color="auto" w:fill="auto"/>
          </w:tcPr>
          <w:p w14:paraId="17717B02" w14:textId="1987B9F5" w:rsidR="000E6FF1" w:rsidRPr="00CA0BF8" w:rsidRDefault="001D63BE" w:rsidP="00CA0BF8">
            <w:pPr>
              <w:pStyle w:val="Table-Text"/>
              <w:tabs>
                <w:tab w:val="clear" w:pos="174"/>
              </w:tabs>
              <w:jc w:val="right"/>
            </w:pPr>
            <w:r w:rsidRPr="00CA0BF8">
              <w:t>6.8</w:t>
            </w:r>
            <w:r w:rsidR="000E6FF1" w:rsidRPr="00CA0BF8">
              <w:t>%</w:t>
            </w:r>
          </w:p>
        </w:tc>
      </w:tr>
      <w:tr w:rsidR="00BE760E" w:rsidRPr="00CA0BF8" w14:paraId="7B814E68" w14:textId="77777777" w:rsidTr="006066A2">
        <w:tc>
          <w:tcPr>
            <w:tcW w:w="1063" w:type="dxa"/>
          </w:tcPr>
          <w:p w14:paraId="06927224" w14:textId="425F0B57" w:rsidR="000E6FF1" w:rsidRPr="00CA0BF8" w:rsidRDefault="000E6FF1" w:rsidP="000E6FF1">
            <w:pPr>
              <w:pStyle w:val="Table-Text"/>
              <w:rPr>
                <w:rStyle w:val="Strong"/>
              </w:rPr>
            </w:pPr>
            <w:r w:rsidRPr="00CA0BF8">
              <w:rPr>
                <w:rStyle w:val="Strong"/>
              </w:rPr>
              <w:t>Total</w:t>
            </w:r>
          </w:p>
        </w:tc>
        <w:tc>
          <w:tcPr>
            <w:tcW w:w="1063" w:type="dxa"/>
            <w:shd w:val="clear" w:color="auto" w:fill="auto"/>
            <w:vAlign w:val="bottom"/>
          </w:tcPr>
          <w:p w14:paraId="3B3171FF" w14:textId="16B826E7" w:rsidR="000E6FF1" w:rsidRPr="00CA0BF8" w:rsidRDefault="000E6FF1" w:rsidP="00CA0BF8">
            <w:pPr>
              <w:pStyle w:val="Table-Text"/>
              <w:tabs>
                <w:tab w:val="clear" w:pos="174"/>
              </w:tabs>
              <w:jc w:val="right"/>
              <w:rPr>
                <w:rStyle w:val="Strong"/>
              </w:rPr>
            </w:pPr>
            <w:r w:rsidRPr="00CA0BF8">
              <w:rPr>
                <w:rStyle w:val="Strong"/>
              </w:rPr>
              <w:t>587</w:t>
            </w:r>
          </w:p>
        </w:tc>
        <w:tc>
          <w:tcPr>
            <w:tcW w:w="1064" w:type="dxa"/>
            <w:shd w:val="clear" w:color="auto" w:fill="auto"/>
            <w:vAlign w:val="center"/>
          </w:tcPr>
          <w:p w14:paraId="72EF0FD6" w14:textId="7FA20BE9" w:rsidR="000E6FF1" w:rsidRPr="00CA0BF8" w:rsidRDefault="000E6FF1" w:rsidP="00CA0BF8">
            <w:pPr>
              <w:pStyle w:val="Table-Text"/>
              <w:tabs>
                <w:tab w:val="clear" w:pos="174"/>
              </w:tabs>
              <w:jc w:val="right"/>
              <w:rPr>
                <w:b/>
                <w:bCs/>
              </w:rPr>
            </w:pPr>
            <w:r w:rsidRPr="00CA0BF8">
              <w:rPr>
                <w:b/>
                <w:bCs/>
              </w:rPr>
              <w:t>100</w:t>
            </w:r>
            <w:r w:rsidR="006B6CE6">
              <w:rPr>
                <w:b/>
                <w:bCs/>
              </w:rPr>
              <w:t>.0</w:t>
            </w:r>
            <w:r w:rsidRPr="00CA0BF8">
              <w:rPr>
                <w:b/>
                <w:bCs/>
              </w:rPr>
              <w:t>%</w:t>
            </w:r>
          </w:p>
        </w:tc>
        <w:tc>
          <w:tcPr>
            <w:tcW w:w="1063" w:type="dxa"/>
            <w:shd w:val="clear" w:color="auto" w:fill="auto"/>
            <w:vAlign w:val="center"/>
          </w:tcPr>
          <w:p w14:paraId="583F7A87" w14:textId="4A045998" w:rsidR="000E6FF1" w:rsidRPr="00CA0BF8" w:rsidRDefault="000E6FF1" w:rsidP="00CA0BF8">
            <w:pPr>
              <w:pStyle w:val="Table-Text"/>
              <w:tabs>
                <w:tab w:val="clear" w:pos="174"/>
              </w:tabs>
              <w:jc w:val="right"/>
              <w:rPr>
                <w:b/>
                <w:bCs/>
              </w:rPr>
            </w:pPr>
            <w:r w:rsidRPr="00CA0BF8">
              <w:rPr>
                <w:b/>
                <w:bCs/>
              </w:rPr>
              <w:t>39.501</w:t>
            </w:r>
          </w:p>
        </w:tc>
        <w:tc>
          <w:tcPr>
            <w:tcW w:w="1063" w:type="dxa"/>
            <w:shd w:val="clear" w:color="auto" w:fill="auto"/>
          </w:tcPr>
          <w:p w14:paraId="164C7B91" w14:textId="4B125961" w:rsidR="000E6FF1" w:rsidRPr="00CA0BF8" w:rsidRDefault="000E6FF1" w:rsidP="00CA0BF8">
            <w:pPr>
              <w:pStyle w:val="Table-Text"/>
              <w:tabs>
                <w:tab w:val="clear" w:pos="174"/>
              </w:tabs>
              <w:jc w:val="right"/>
              <w:rPr>
                <w:b/>
                <w:bCs/>
              </w:rPr>
            </w:pPr>
            <w:r w:rsidRPr="00CA0BF8">
              <w:rPr>
                <w:b/>
                <w:bCs/>
              </w:rPr>
              <w:t>100</w:t>
            </w:r>
            <w:r w:rsidR="006B6CE6">
              <w:rPr>
                <w:b/>
                <w:bCs/>
              </w:rPr>
              <w:t>.0</w:t>
            </w:r>
            <w:r w:rsidRPr="00CA0BF8">
              <w:rPr>
                <w:b/>
                <w:bCs/>
              </w:rPr>
              <w:t>%</w:t>
            </w:r>
          </w:p>
        </w:tc>
        <w:tc>
          <w:tcPr>
            <w:tcW w:w="1064" w:type="dxa"/>
            <w:shd w:val="clear" w:color="auto" w:fill="auto"/>
            <w:vAlign w:val="center"/>
          </w:tcPr>
          <w:p w14:paraId="0F2D1A15" w14:textId="38AE83BF" w:rsidR="000E6FF1" w:rsidRPr="00CA0BF8" w:rsidRDefault="000E6FF1" w:rsidP="00CA0BF8">
            <w:pPr>
              <w:pStyle w:val="Table-Text"/>
              <w:tabs>
                <w:tab w:val="clear" w:pos="174"/>
              </w:tabs>
              <w:jc w:val="right"/>
              <w:rPr>
                <w:b/>
                <w:bCs/>
              </w:rPr>
            </w:pPr>
            <w:r w:rsidRPr="00CA0BF8">
              <w:rPr>
                <w:b/>
                <w:bCs/>
              </w:rPr>
              <w:t>52.191</w:t>
            </w:r>
          </w:p>
        </w:tc>
        <w:tc>
          <w:tcPr>
            <w:tcW w:w="1063" w:type="dxa"/>
            <w:shd w:val="clear" w:color="auto" w:fill="auto"/>
          </w:tcPr>
          <w:p w14:paraId="504E5824" w14:textId="50AC4E10" w:rsidR="000E6FF1" w:rsidRPr="00CA0BF8" w:rsidRDefault="000E6FF1" w:rsidP="00CA0BF8">
            <w:pPr>
              <w:pStyle w:val="Table-Text"/>
              <w:tabs>
                <w:tab w:val="clear" w:pos="174"/>
              </w:tabs>
              <w:jc w:val="right"/>
              <w:rPr>
                <w:b/>
                <w:bCs/>
              </w:rPr>
            </w:pPr>
            <w:r w:rsidRPr="00CA0BF8">
              <w:rPr>
                <w:b/>
                <w:bCs/>
              </w:rPr>
              <w:t>100</w:t>
            </w:r>
            <w:r w:rsidR="006B6CE6">
              <w:rPr>
                <w:b/>
                <w:bCs/>
              </w:rPr>
              <w:t>.0</w:t>
            </w:r>
            <w:r w:rsidRPr="00CA0BF8">
              <w:rPr>
                <w:b/>
                <w:bCs/>
              </w:rPr>
              <w:t>%</w:t>
            </w:r>
          </w:p>
        </w:tc>
        <w:tc>
          <w:tcPr>
            <w:tcW w:w="1063" w:type="dxa"/>
            <w:shd w:val="clear" w:color="auto" w:fill="auto"/>
            <w:vAlign w:val="center"/>
          </w:tcPr>
          <w:p w14:paraId="689845FA" w14:textId="703426C7" w:rsidR="000E6FF1" w:rsidRPr="00CA0BF8" w:rsidRDefault="001D63BE" w:rsidP="00CA0BF8">
            <w:pPr>
              <w:pStyle w:val="Table-Text"/>
              <w:tabs>
                <w:tab w:val="clear" w:pos="174"/>
              </w:tabs>
              <w:jc w:val="right"/>
              <w:rPr>
                <w:b/>
                <w:bCs/>
              </w:rPr>
            </w:pPr>
            <w:r w:rsidRPr="00CA0BF8">
              <w:rPr>
                <w:b/>
                <w:bCs/>
              </w:rPr>
              <w:t>91.961</w:t>
            </w:r>
          </w:p>
        </w:tc>
        <w:tc>
          <w:tcPr>
            <w:tcW w:w="1064" w:type="dxa"/>
            <w:shd w:val="clear" w:color="auto" w:fill="auto"/>
          </w:tcPr>
          <w:p w14:paraId="34C16D0D" w14:textId="4D802739" w:rsidR="000E6FF1" w:rsidRPr="00CA0BF8" w:rsidRDefault="001D63BE" w:rsidP="00CA0BF8">
            <w:pPr>
              <w:pStyle w:val="Table-Text"/>
              <w:tabs>
                <w:tab w:val="clear" w:pos="174"/>
              </w:tabs>
              <w:jc w:val="right"/>
              <w:rPr>
                <w:b/>
                <w:bCs/>
              </w:rPr>
            </w:pPr>
            <w:r w:rsidRPr="00CA0BF8">
              <w:rPr>
                <w:b/>
                <w:bCs/>
              </w:rPr>
              <w:t>100</w:t>
            </w:r>
            <w:r w:rsidR="006B6CE6">
              <w:rPr>
                <w:b/>
                <w:bCs/>
              </w:rPr>
              <w:t>.0</w:t>
            </w:r>
            <w:r w:rsidR="000E6FF1" w:rsidRPr="00CA0BF8">
              <w:rPr>
                <w:b/>
                <w:bCs/>
              </w:rPr>
              <w:t>%</w:t>
            </w:r>
          </w:p>
        </w:tc>
      </w:tr>
    </w:tbl>
    <w:p w14:paraId="32435F2A" w14:textId="77777777" w:rsidR="00BB0397" w:rsidRPr="005576A0" w:rsidRDefault="00BB0397" w:rsidP="005069D3">
      <w:pPr>
        <w:spacing w:before="0"/>
      </w:pPr>
    </w:p>
    <w:p w14:paraId="6E35C3CB" w14:textId="0424E2AD" w:rsidR="00F52546" w:rsidRPr="00F52546" w:rsidRDefault="00F52546" w:rsidP="00B42762">
      <w:pPr>
        <w:pStyle w:val="NumberedParagraph"/>
      </w:pPr>
      <w:r w:rsidRPr="00F52546">
        <w:t xml:space="preserve">We draw attention to the following points illustrated </w:t>
      </w:r>
      <w:r w:rsidRPr="00E73896">
        <w:t xml:space="preserve">by table </w:t>
      </w:r>
      <w:r w:rsidR="009E4B56" w:rsidRPr="00E73896">
        <w:t>A2</w:t>
      </w:r>
      <w:r w:rsidRPr="00E73896">
        <w:t>.</w:t>
      </w:r>
      <w:r w:rsidR="00EF7F4D">
        <w:t>5</w:t>
      </w:r>
      <w:r w:rsidRPr="00E73896">
        <w:t>:</w:t>
      </w:r>
    </w:p>
    <w:p w14:paraId="1D352483" w14:textId="77777777" w:rsidR="00F52546" w:rsidRPr="00F52546" w:rsidRDefault="00F52546" w:rsidP="008C3DFF">
      <w:pPr>
        <w:pStyle w:val="NumberedParagraph-BulletL1"/>
      </w:pPr>
      <w:r w:rsidRPr="00F52546">
        <w:t>We might have expected high numbers of groups with a debt ratio in the 50–60% range or perhaps the 40–60% range.</w:t>
      </w:r>
    </w:p>
    <w:p w14:paraId="01F8F20D" w14:textId="4D05AD56" w:rsidR="00667ED8" w:rsidRDefault="00AE05B1" w:rsidP="008C3DFF">
      <w:pPr>
        <w:pStyle w:val="NumberedParagraph-BulletL1"/>
      </w:pPr>
      <w:r>
        <w:t>The</w:t>
      </w:r>
      <w:r w:rsidR="005B0737">
        <w:t>re</w:t>
      </w:r>
      <w:r w:rsidR="001A5BD7">
        <w:t xml:space="preserve"> </w:t>
      </w:r>
      <w:r w:rsidR="004C29B9">
        <w:t xml:space="preserve">may be a slightly </w:t>
      </w:r>
      <w:r w:rsidR="005B0737">
        <w:t>eleva</w:t>
      </w:r>
      <w:r w:rsidR="00907F85">
        <w:t>ted</w:t>
      </w:r>
      <w:r w:rsidR="004C29B9">
        <w:t xml:space="preserve"> percentage of groups in the </w:t>
      </w:r>
      <w:r w:rsidR="005B0737">
        <w:t>50-60%</w:t>
      </w:r>
      <w:r w:rsidR="00907F85">
        <w:t xml:space="preserve"> range (</w:t>
      </w:r>
      <w:r w:rsidR="001A5BD7">
        <w:t>9.4%</w:t>
      </w:r>
      <w:r w:rsidR="00907F85">
        <w:t xml:space="preserve"> </w:t>
      </w:r>
      <w:r w:rsidR="001A1E77">
        <w:t xml:space="preserve">of MNEs in this range </w:t>
      </w:r>
      <w:r w:rsidR="00907F85">
        <w:t>is somewhat higher than</w:t>
      </w:r>
      <w:r w:rsidR="00893F73">
        <w:t xml:space="preserve"> </w:t>
      </w:r>
      <w:r w:rsidR="00003596">
        <w:t xml:space="preserve">for </w:t>
      </w:r>
      <w:r w:rsidR="00E2374F">
        <w:t>other deciles</w:t>
      </w:r>
      <w:r w:rsidR="004D7F94">
        <w:t>,</w:t>
      </w:r>
      <w:r w:rsidR="00E2374F">
        <w:t xml:space="preserve"> other than 0</w:t>
      </w:r>
      <w:r w:rsidR="00B84BE0">
        <w:t>% to 10%</w:t>
      </w:r>
      <w:r w:rsidR="00AC3780">
        <w:t xml:space="preserve"> once we add in firms with no debt</w:t>
      </w:r>
      <w:r w:rsidR="008C30D2">
        <w:t>) and 16.6</w:t>
      </w:r>
      <w:r w:rsidR="00667ED8">
        <w:t>% of capital is owned by firms in this range.</w:t>
      </w:r>
    </w:p>
    <w:p w14:paraId="1AC669BE" w14:textId="2CB69879" w:rsidR="00F52546" w:rsidRPr="00F52546" w:rsidRDefault="00F52546" w:rsidP="008C3DFF">
      <w:pPr>
        <w:pStyle w:val="NumberedParagraph-BulletL1"/>
      </w:pPr>
      <w:r w:rsidRPr="00F52546">
        <w:t>Only 14.7% of groups are within th</w:t>
      </w:r>
      <w:r w:rsidR="006A76DE">
        <w:t>e</w:t>
      </w:r>
      <w:r w:rsidRPr="00F52546">
        <w:t xml:space="preserve"> 40–60% range, although they tend to be larger groups and hold 22.5% of debt+equity capital.</w:t>
      </w:r>
    </w:p>
    <w:p w14:paraId="426985DA" w14:textId="0D171781" w:rsidR="001315E2" w:rsidRPr="00F52546" w:rsidRDefault="00F52546" w:rsidP="005B5036">
      <w:pPr>
        <w:pStyle w:val="NumberedParagraph-BulletL1"/>
        <w:spacing w:after="200"/>
      </w:pPr>
      <w:r w:rsidRPr="00F52546">
        <w:t>By contrast, 44.1% of groups (with 15.6% of debt+equity) have no debt and more than two-thirds (68.7% of groups, with 47.3% of debt+equity) have debt ratios below 40%.</w:t>
      </w:r>
    </w:p>
    <w:p w14:paraId="7057513C" w14:textId="681C7DF9" w:rsidR="00F52546" w:rsidRPr="00791A3F" w:rsidRDefault="00F52546" w:rsidP="00791A3F">
      <w:pPr>
        <w:pStyle w:val="NumberedParagraph"/>
      </w:pPr>
      <w:r w:rsidRPr="00791A3F">
        <w:t xml:space="preserve">This suggests that modelling foreign-owned firms as being clustered at safe harbour limits is </w:t>
      </w:r>
      <w:r w:rsidR="00A20BC2">
        <w:t xml:space="preserve">likely to be </w:t>
      </w:r>
      <w:r w:rsidRPr="00791A3F">
        <w:t xml:space="preserve">an oversimplification of what is happening </w:t>
      </w:r>
      <w:r w:rsidR="004737AC">
        <w:t>in practice</w:t>
      </w:r>
      <w:r w:rsidRPr="00791A3F">
        <w:t>. It may also be misleading when thinking about policy changes. For example, relaxing the thin capitalisation safe harbour limit may have no effect on costs of capital for most firms.</w:t>
      </w:r>
    </w:p>
    <w:p w14:paraId="60D462C1" w14:textId="168FB73E" w:rsidR="00F52546" w:rsidRPr="00791A3F" w:rsidRDefault="006A3506" w:rsidP="00791A3F">
      <w:pPr>
        <w:pStyle w:val="NumberedParagraph"/>
      </w:pPr>
      <w:r>
        <w:t>At the same time, it would be good to explore the results further</w:t>
      </w:r>
      <w:r w:rsidR="000E0072">
        <w:t xml:space="preserve"> in future work</w:t>
      </w:r>
      <w:r w:rsidR="003436E8">
        <w:t xml:space="preserve"> to get a better idea of what is driving behaviour</w:t>
      </w:r>
      <w:r>
        <w:t>. Incentives to cluster close to the thin cap</w:t>
      </w:r>
      <w:r w:rsidR="00293B87">
        <w:t>italisation</w:t>
      </w:r>
      <w:r>
        <w:t xml:space="preserve"> threshold are obviously </w:t>
      </w:r>
      <w:r w:rsidR="003B04B6">
        <w:t>relevant for firms that are in a taxpaying position but not for those in a tax loss position. A</w:t>
      </w:r>
      <w:r w:rsidR="003E6E33">
        <w:t>lso</w:t>
      </w:r>
      <w:r w:rsidR="00C94A8E">
        <w:t>,</w:t>
      </w:r>
      <w:r w:rsidR="003E6E33">
        <w:t xml:space="preserve"> s</w:t>
      </w:r>
      <w:r w:rsidR="00F52546" w:rsidRPr="00791A3F">
        <w:t xml:space="preserve">ome firms may be using the worldwide test rather than the thin capitalisation safe harbour test. </w:t>
      </w:r>
      <w:r w:rsidR="00EF5994">
        <w:lastRenderedPageBreak/>
        <w:t>F</w:t>
      </w:r>
      <w:r w:rsidR="00F52546" w:rsidRPr="00791A3F">
        <w:t>or these firms</w:t>
      </w:r>
      <w:r w:rsidR="00030E27">
        <w:t>,</w:t>
      </w:r>
      <w:r w:rsidR="00F52546" w:rsidRPr="00791A3F">
        <w:t xml:space="preserve"> an increase in the safe harbour would </w:t>
      </w:r>
      <w:r w:rsidR="00EF5994">
        <w:t>be likely to</w:t>
      </w:r>
      <w:r w:rsidR="00F52546" w:rsidRPr="00791A3F">
        <w:t xml:space="preserve"> have no effect on costs of capital.</w:t>
      </w:r>
      <w:r w:rsidR="00F52546" w:rsidRPr="00853CA7">
        <w:rPr>
          <w:vertAlign w:val="superscript"/>
        </w:rPr>
        <w:footnoteReference w:id="23"/>
      </w:r>
    </w:p>
    <w:p w14:paraId="4EDD7EF9" w14:textId="54BBD975" w:rsidR="00F52546" w:rsidRPr="00791A3F" w:rsidRDefault="00F52546" w:rsidP="00791A3F">
      <w:pPr>
        <w:pStyle w:val="NumberedParagraph"/>
      </w:pPr>
      <w:r w:rsidRPr="00791A3F">
        <w:t>In our costs of capital estimates, rather than assuming that firms are clustered at thin capitalisation safe harbours, we normally consider firms with average debt levels of around 43% that do not face a binding thin capitalisation constraint. This understate</w:t>
      </w:r>
      <w:r w:rsidR="00266307">
        <w:t>s</w:t>
      </w:r>
      <w:r w:rsidRPr="00791A3F">
        <w:t xml:space="preserve"> the importance of thin capitalisation safe-harbour constraints </w:t>
      </w:r>
      <w:r w:rsidR="0004075F">
        <w:t>that</w:t>
      </w:r>
      <w:r w:rsidRPr="00791A3F">
        <w:t xml:space="preserve"> will be constraining debt levels for some firms. In chapter 9 </w:t>
      </w:r>
      <w:r w:rsidR="00876AA8" w:rsidRPr="00791A3F">
        <w:t>of the LTIB</w:t>
      </w:r>
      <w:r w:rsidR="0004075F">
        <w:t>,</w:t>
      </w:r>
      <w:r w:rsidR="00876AA8" w:rsidRPr="00791A3F">
        <w:t xml:space="preserve"> </w:t>
      </w:r>
      <w:r w:rsidRPr="00791A3F">
        <w:t>we discuss some international empirical evidence suggesting that thin capitalisation rules often do impact on levels of investment and on the sensitivity of investment to the company tax rate. However, we do not see an easy and consistent way of a</w:t>
      </w:r>
      <w:r w:rsidR="001B4EA1" w:rsidRPr="00791A3F">
        <w:t>nalysing the impact of this on costs of capital and EMTRs</w:t>
      </w:r>
      <w:r w:rsidRPr="00791A3F">
        <w:t>.</w:t>
      </w:r>
    </w:p>
    <w:p w14:paraId="20CAFBC2" w14:textId="44B981AA" w:rsidR="00C526EB" w:rsidRPr="00791A3F" w:rsidRDefault="00B2202D" w:rsidP="00791A3F">
      <w:pPr>
        <w:pStyle w:val="NumberedParagraph"/>
      </w:pPr>
      <w:r w:rsidRPr="00791A3F">
        <w:t xml:space="preserve">Different levels of debt can have a significant effect on EMTRs. </w:t>
      </w:r>
      <w:r w:rsidR="009762FF" w:rsidRPr="00791A3F">
        <w:t xml:space="preserve">In </w:t>
      </w:r>
      <w:r w:rsidR="003D41D2">
        <w:t>t</w:t>
      </w:r>
      <w:r w:rsidR="009762FF" w:rsidRPr="00791A3F">
        <w:t xml:space="preserve">able </w:t>
      </w:r>
      <w:r w:rsidR="00DE3CBD" w:rsidRPr="00791A3F">
        <w:t>A2.</w:t>
      </w:r>
      <w:r w:rsidR="006413AB" w:rsidRPr="00791A3F">
        <w:t>6</w:t>
      </w:r>
      <w:r w:rsidR="009E260E">
        <w:t>,</w:t>
      </w:r>
      <w:r w:rsidR="006413AB" w:rsidRPr="00791A3F">
        <w:t xml:space="preserve"> we </w:t>
      </w:r>
      <w:r w:rsidR="003F6641" w:rsidRPr="00791A3F">
        <w:t>estimate E</w:t>
      </w:r>
      <w:r w:rsidR="006413AB" w:rsidRPr="00791A3F">
        <w:t xml:space="preserve">MTRs for </w:t>
      </w:r>
      <w:r w:rsidR="003F6641" w:rsidRPr="00791A3F">
        <w:t xml:space="preserve">a domestic company with marginal foreign </w:t>
      </w:r>
      <w:r w:rsidR="004F7F22">
        <w:t xml:space="preserve">portfolio </w:t>
      </w:r>
      <w:r w:rsidR="003F6641" w:rsidRPr="00791A3F">
        <w:t>shareholders with a</w:t>
      </w:r>
      <w:r w:rsidR="004F4D5C" w:rsidRPr="00791A3F">
        <w:t>n average</w:t>
      </w:r>
      <w:r w:rsidR="0098022C" w:rsidRPr="00791A3F">
        <w:t xml:space="preserve"> debt level of 43%. We compare EMTRs for this firm to those that arise for foreign</w:t>
      </w:r>
      <w:r w:rsidR="002833D5">
        <w:t>-</w:t>
      </w:r>
      <w:r w:rsidR="0098022C" w:rsidRPr="00791A3F">
        <w:t>controlled companies with a set of different possible debt level</w:t>
      </w:r>
      <w:r w:rsidR="00A672F5" w:rsidRPr="00791A3F">
        <w:t>s of 0%, 43%, 60%, 75% and 100%</w:t>
      </w:r>
      <w:r w:rsidR="00C526EB" w:rsidRPr="00791A3F">
        <w:t>.</w:t>
      </w:r>
    </w:p>
    <w:p w14:paraId="31867EA2" w14:textId="3606FE19" w:rsidR="00462A83" w:rsidRDefault="00C526EB" w:rsidP="00791A3F">
      <w:pPr>
        <w:pStyle w:val="NumberedParagraph"/>
      </w:pPr>
      <w:r w:rsidRPr="00791A3F">
        <w:t>In each case</w:t>
      </w:r>
      <w:r w:rsidR="002833D5">
        <w:t>,</w:t>
      </w:r>
      <w:r w:rsidRPr="00791A3F">
        <w:t xml:space="preserve"> we assume that interest expense is fully deductible. This is clearly the appropriate assumption </w:t>
      </w:r>
      <w:proofErr w:type="spellStart"/>
      <w:r w:rsidRPr="00791A3F">
        <w:t>if</w:t>
      </w:r>
      <w:proofErr w:type="spellEnd"/>
      <w:r w:rsidRPr="00791A3F">
        <w:t xml:space="preserve"> debt is </w:t>
      </w:r>
      <w:r w:rsidR="007A00C8" w:rsidRPr="00791A3F">
        <w:t xml:space="preserve">0%, 43% </w:t>
      </w:r>
      <w:r w:rsidR="00676323" w:rsidRPr="00791A3F">
        <w:t>or 60%</w:t>
      </w:r>
      <w:r w:rsidR="006D4469">
        <w:t>,</w:t>
      </w:r>
      <w:r w:rsidR="00676323" w:rsidRPr="00791A3F">
        <w:t xml:space="preserve"> as in these cases companies will be within their thin capitalisation safe-harbour thresholds. </w:t>
      </w:r>
      <w:r w:rsidR="00E55F04" w:rsidRPr="00791A3F">
        <w:t xml:space="preserve">EMTRs for the higher ratios of 75% and 100% </w:t>
      </w:r>
      <w:r w:rsidR="005433F8">
        <w:t xml:space="preserve">are not the EMTRs </w:t>
      </w:r>
      <w:r w:rsidR="00522CAC">
        <w:t xml:space="preserve">that arise under current thresholds. They </w:t>
      </w:r>
      <w:r w:rsidR="00C50D1C">
        <w:t>show</w:t>
      </w:r>
      <w:r w:rsidR="00876057">
        <w:t xml:space="preserve"> </w:t>
      </w:r>
      <w:r w:rsidR="00CD4F5C" w:rsidRPr="00791A3F">
        <w:t xml:space="preserve">the EMTRs </w:t>
      </w:r>
      <w:r w:rsidR="00B67E1C">
        <w:t>that</w:t>
      </w:r>
      <w:r w:rsidR="00CD4F5C" w:rsidRPr="00791A3F">
        <w:t xml:space="preserve"> would arise if the threshold were relaxed to allow interest to be fully deductible for fo</w:t>
      </w:r>
      <w:r w:rsidR="00CD4F5C">
        <w:t xml:space="preserve">reign-controlled companies with these higher levels of debt. </w:t>
      </w:r>
      <w:r w:rsidR="00C45914">
        <w:t>For foreign</w:t>
      </w:r>
      <w:r w:rsidR="00B67E1C">
        <w:t>-</w:t>
      </w:r>
      <w:r w:rsidR="00C45914">
        <w:t>controlled companies</w:t>
      </w:r>
      <w:r w:rsidR="00B67E1C">
        <w:t>,</w:t>
      </w:r>
      <w:r w:rsidR="00C45914">
        <w:t xml:space="preserve"> we assume that 37.3% of debt is associated</w:t>
      </w:r>
      <w:r w:rsidR="00B67E1C">
        <w:t>-</w:t>
      </w:r>
      <w:r w:rsidR="00C45914">
        <w:t xml:space="preserve">party debt. </w:t>
      </w:r>
      <w:r w:rsidR="00361FF7">
        <w:t xml:space="preserve">We </w:t>
      </w:r>
      <w:r w:rsidR="00F263CB">
        <w:t>make</w:t>
      </w:r>
      <w:r w:rsidR="00361FF7">
        <w:t xml:space="preserve"> </w:t>
      </w:r>
      <w:r w:rsidR="00343A16">
        <w:t xml:space="preserve">the </w:t>
      </w:r>
      <w:r w:rsidR="00781CB2">
        <w:t>‘</w:t>
      </w:r>
      <w:r w:rsidR="00343A16">
        <w:t>worst case</w:t>
      </w:r>
      <w:r w:rsidR="00781CB2">
        <w:t>’</w:t>
      </w:r>
      <w:r w:rsidR="00F263CB">
        <w:t xml:space="preserve"> assumption</w:t>
      </w:r>
      <w:r w:rsidR="00361FF7">
        <w:t xml:space="preserve"> </w:t>
      </w:r>
      <w:r w:rsidR="00F263CB">
        <w:t>that</w:t>
      </w:r>
      <w:r w:rsidR="00162130">
        <w:t xml:space="preserve"> NRWT on interest is not</w:t>
      </w:r>
      <w:r w:rsidR="00BC56F5">
        <w:t xml:space="preserve"> creditable abroad. </w:t>
      </w:r>
      <w:r w:rsidR="00B15962">
        <w:t xml:space="preserve">We </w:t>
      </w:r>
      <w:r w:rsidR="0060023C">
        <w:t xml:space="preserve">also </w:t>
      </w:r>
      <w:r w:rsidR="00B15962">
        <w:t>assume a world real interest rate of 3% and inflation of 2% per annum.</w:t>
      </w:r>
    </w:p>
    <w:p w14:paraId="1468F6F7" w14:textId="0C247145" w:rsidR="00444F9D" w:rsidRDefault="00D470B4" w:rsidP="00B1522B">
      <w:pPr>
        <w:pStyle w:val="Caption"/>
      </w:pPr>
      <w:r w:rsidRPr="006E0C97">
        <w:rPr>
          <w:rFonts w:eastAsia="Calibri"/>
        </w:rPr>
        <w:t xml:space="preserve">Table </w:t>
      </w:r>
      <w:r>
        <w:rPr>
          <w:rFonts w:eastAsia="Calibri"/>
        </w:rPr>
        <w:t xml:space="preserve">A2.6: </w:t>
      </w:r>
      <w:r w:rsidRPr="006E0C97">
        <w:rPr>
          <w:rFonts w:eastAsia="Calibri"/>
        </w:rPr>
        <w:t>EMTRs for domestic companies</w:t>
      </w:r>
      <w:r>
        <w:rPr>
          <w:rFonts w:eastAsia="Calibri"/>
        </w:rPr>
        <w:t xml:space="preserve"> with marginal foreign portfolio shareholders</w:t>
      </w:r>
      <w:r w:rsidRPr="006E0C97">
        <w:rPr>
          <w:rFonts w:eastAsia="Calibri"/>
        </w:rPr>
        <w:t xml:space="preserve"> and for foreign-controlled</w:t>
      </w:r>
      <w:r>
        <w:rPr>
          <w:rFonts w:eastAsia="Calibri"/>
        </w:rPr>
        <w:t xml:space="preserve"> </w:t>
      </w:r>
      <w:r w:rsidRPr="006E0C97">
        <w:rPr>
          <w:rFonts w:eastAsia="Calibri"/>
        </w:rPr>
        <w:t xml:space="preserve">companies with </w:t>
      </w:r>
      <w:r>
        <w:rPr>
          <w:rFonts w:eastAsia="Calibri"/>
        </w:rPr>
        <w:t>varying</w:t>
      </w:r>
      <w:r w:rsidRPr="006E0C97">
        <w:rPr>
          <w:rFonts w:eastAsia="Calibri"/>
        </w:rPr>
        <w:t xml:space="preserve"> levels of debt</w:t>
      </w:r>
    </w:p>
    <w:tbl>
      <w:tblPr>
        <w:tblStyle w:val="TableGrid"/>
        <w:tblW w:w="9781" w:type="dxa"/>
        <w:tblInd w:w="-50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28" w:type="dxa"/>
          <w:right w:w="28" w:type="dxa"/>
        </w:tblCellMar>
        <w:tblLook w:val="04A0" w:firstRow="1" w:lastRow="0" w:firstColumn="1" w:lastColumn="0" w:noHBand="0" w:noVBand="1"/>
      </w:tblPr>
      <w:tblGrid>
        <w:gridCol w:w="1347"/>
        <w:gridCol w:w="992"/>
        <w:gridCol w:w="737"/>
        <w:gridCol w:w="681"/>
        <w:gridCol w:w="651"/>
        <w:gridCol w:w="666"/>
        <w:gridCol w:w="667"/>
        <w:gridCol w:w="1134"/>
        <w:gridCol w:w="851"/>
        <w:gridCol w:w="1134"/>
        <w:gridCol w:w="921"/>
      </w:tblGrid>
      <w:tr w:rsidR="001418CA" w:rsidRPr="008F735E" w14:paraId="7DBB82AA" w14:textId="77777777" w:rsidTr="006066A2">
        <w:trPr>
          <w:tblHeader/>
        </w:trPr>
        <w:tc>
          <w:tcPr>
            <w:tcW w:w="1347" w:type="dxa"/>
            <w:shd w:val="clear" w:color="auto" w:fill="232E36"/>
          </w:tcPr>
          <w:p w14:paraId="4587341F" w14:textId="77777777" w:rsidR="001418CA" w:rsidRPr="008F735E" w:rsidRDefault="001418CA" w:rsidP="00447F49">
            <w:pPr>
              <w:keepNext/>
              <w:keepLines/>
              <w:spacing w:before="120" w:after="120"/>
              <w:rPr>
                <w:color w:val="FFFFFF" w:themeColor="background1"/>
                <w:sz w:val="14"/>
                <w:szCs w:val="14"/>
              </w:rPr>
            </w:pPr>
          </w:p>
        </w:tc>
        <w:tc>
          <w:tcPr>
            <w:tcW w:w="992" w:type="dxa"/>
            <w:shd w:val="clear" w:color="auto" w:fill="232E36"/>
          </w:tcPr>
          <w:p w14:paraId="6EE76233" w14:textId="77777777" w:rsidR="001418CA" w:rsidRPr="008F735E" w:rsidRDefault="001418CA" w:rsidP="00447F49">
            <w:pPr>
              <w:keepNext/>
              <w:keepLines/>
              <w:spacing w:before="120" w:after="120"/>
              <w:jc w:val="center"/>
              <w:rPr>
                <w:b/>
                <w:bCs/>
                <w:color w:val="FFFFFF" w:themeColor="background1"/>
                <w:sz w:val="14"/>
                <w:szCs w:val="14"/>
              </w:rPr>
            </w:pPr>
            <w:r w:rsidRPr="008F735E">
              <w:rPr>
                <w:b/>
                <w:bCs/>
                <w:color w:val="FFFFFF" w:themeColor="background1"/>
                <w:sz w:val="14"/>
                <w:szCs w:val="14"/>
              </w:rPr>
              <w:t>Commercial and industrial buildings</w:t>
            </w:r>
          </w:p>
        </w:tc>
        <w:tc>
          <w:tcPr>
            <w:tcW w:w="3402" w:type="dxa"/>
            <w:gridSpan w:val="5"/>
            <w:shd w:val="clear" w:color="auto" w:fill="232E36"/>
          </w:tcPr>
          <w:p w14:paraId="3DAF2FAB" w14:textId="77777777" w:rsidR="001418CA" w:rsidRPr="008F735E" w:rsidRDefault="001418CA" w:rsidP="00447F49">
            <w:pPr>
              <w:keepNext/>
              <w:keepLines/>
              <w:spacing w:before="120" w:after="120"/>
              <w:jc w:val="center"/>
              <w:rPr>
                <w:b/>
                <w:bCs/>
                <w:color w:val="FFFFFF" w:themeColor="background1"/>
                <w:sz w:val="14"/>
                <w:szCs w:val="14"/>
              </w:rPr>
            </w:pPr>
            <w:r w:rsidRPr="008F735E">
              <w:rPr>
                <w:b/>
                <w:bCs/>
                <w:color w:val="FFFFFF" w:themeColor="background1"/>
                <w:sz w:val="14"/>
                <w:szCs w:val="14"/>
              </w:rPr>
              <w:t xml:space="preserve">Plant, </w:t>
            </w:r>
            <w:proofErr w:type="gramStart"/>
            <w:r w:rsidRPr="008F735E">
              <w:rPr>
                <w:b/>
                <w:bCs/>
                <w:color w:val="FFFFFF" w:themeColor="background1"/>
                <w:sz w:val="14"/>
                <w:szCs w:val="14"/>
              </w:rPr>
              <w:t>machinery</w:t>
            </w:r>
            <w:proofErr w:type="gramEnd"/>
            <w:r w:rsidRPr="008F735E">
              <w:rPr>
                <w:b/>
                <w:bCs/>
                <w:color w:val="FFFFFF" w:themeColor="background1"/>
                <w:sz w:val="14"/>
                <w:szCs w:val="14"/>
              </w:rPr>
              <w:t xml:space="preserve"> and equipment</w:t>
            </w:r>
          </w:p>
        </w:tc>
        <w:tc>
          <w:tcPr>
            <w:tcW w:w="1134" w:type="dxa"/>
            <w:shd w:val="clear" w:color="auto" w:fill="232E36"/>
          </w:tcPr>
          <w:p w14:paraId="04C497C1" w14:textId="77777777" w:rsidR="001418CA" w:rsidRPr="008F735E" w:rsidRDefault="001418CA" w:rsidP="00447F49">
            <w:pPr>
              <w:keepNext/>
              <w:keepLines/>
              <w:spacing w:before="120" w:after="120"/>
              <w:jc w:val="center"/>
              <w:rPr>
                <w:b/>
                <w:bCs/>
                <w:color w:val="FFFFFF" w:themeColor="background1"/>
                <w:sz w:val="14"/>
                <w:szCs w:val="14"/>
              </w:rPr>
            </w:pPr>
            <w:r w:rsidRPr="008F735E">
              <w:rPr>
                <w:b/>
                <w:bCs/>
                <w:color w:val="FFFFFF" w:themeColor="background1"/>
                <w:sz w:val="14"/>
                <w:szCs w:val="14"/>
              </w:rPr>
              <w:t>Zero</w:t>
            </w:r>
            <w:r>
              <w:rPr>
                <w:b/>
                <w:bCs/>
                <w:color w:val="FFFFFF" w:themeColor="background1"/>
                <w:sz w:val="14"/>
                <w:szCs w:val="14"/>
              </w:rPr>
              <w:t>-</w:t>
            </w:r>
            <w:r w:rsidRPr="008F735E">
              <w:rPr>
                <w:b/>
                <w:bCs/>
                <w:color w:val="FFFFFF" w:themeColor="background1"/>
                <w:sz w:val="14"/>
                <w:szCs w:val="14"/>
              </w:rPr>
              <w:t>depreciating assets</w:t>
            </w:r>
          </w:p>
        </w:tc>
        <w:tc>
          <w:tcPr>
            <w:tcW w:w="851" w:type="dxa"/>
            <w:shd w:val="clear" w:color="auto" w:fill="232E36"/>
          </w:tcPr>
          <w:p w14:paraId="04FE786C" w14:textId="77777777" w:rsidR="001418CA" w:rsidRPr="008F735E" w:rsidRDefault="001418CA" w:rsidP="00447F49">
            <w:pPr>
              <w:keepNext/>
              <w:keepLines/>
              <w:spacing w:before="120" w:after="120"/>
              <w:jc w:val="center"/>
              <w:rPr>
                <w:b/>
                <w:bCs/>
                <w:color w:val="FFFFFF" w:themeColor="background1"/>
                <w:sz w:val="14"/>
                <w:szCs w:val="14"/>
              </w:rPr>
            </w:pPr>
            <w:r w:rsidRPr="008F735E">
              <w:rPr>
                <w:b/>
                <w:bCs/>
                <w:color w:val="FFFFFF" w:themeColor="background1"/>
                <w:sz w:val="14"/>
                <w:szCs w:val="14"/>
              </w:rPr>
              <w:t>Inventory</w:t>
            </w:r>
          </w:p>
        </w:tc>
        <w:tc>
          <w:tcPr>
            <w:tcW w:w="1134" w:type="dxa"/>
            <w:shd w:val="clear" w:color="auto" w:fill="232E36"/>
          </w:tcPr>
          <w:p w14:paraId="315E6847" w14:textId="77777777" w:rsidR="001418CA" w:rsidRPr="008F735E" w:rsidRDefault="001418CA" w:rsidP="00447F49">
            <w:pPr>
              <w:keepNext/>
              <w:keepLines/>
              <w:spacing w:before="120" w:after="120"/>
              <w:jc w:val="center"/>
              <w:rPr>
                <w:b/>
                <w:bCs/>
                <w:color w:val="FFFFFF" w:themeColor="background1"/>
                <w:sz w:val="14"/>
                <w:szCs w:val="14"/>
              </w:rPr>
            </w:pPr>
            <w:r w:rsidRPr="008F735E">
              <w:rPr>
                <w:b/>
                <w:bCs/>
                <w:color w:val="FFFFFF" w:themeColor="background1"/>
                <w:sz w:val="14"/>
                <w:szCs w:val="14"/>
              </w:rPr>
              <w:t>Appreciating assets</w:t>
            </w:r>
          </w:p>
        </w:tc>
        <w:tc>
          <w:tcPr>
            <w:tcW w:w="921" w:type="dxa"/>
            <w:shd w:val="clear" w:color="auto" w:fill="232E36"/>
          </w:tcPr>
          <w:p w14:paraId="0DD3499B" w14:textId="77777777" w:rsidR="001418CA" w:rsidRPr="008F735E" w:rsidRDefault="001418CA" w:rsidP="00447F49">
            <w:pPr>
              <w:keepNext/>
              <w:keepLines/>
              <w:spacing w:before="120" w:after="120"/>
              <w:jc w:val="center"/>
              <w:rPr>
                <w:b/>
                <w:bCs/>
                <w:color w:val="FFFFFF" w:themeColor="background1"/>
                <w:sz w:val="14"/>
                <w:szCs w:val="14"/>
              </w:rPr>
            </w:pPr>
            <w:r w:rsidRPr="008F735E">
              <w:rPr>
                <w:b/>
                <w:bCs/>
                <w:color w:val="FFFFFF" w:themeColor="background1"/>
                <w:sz w:val="14"/>
                <w:szCs w:val="14"/>
              </w:rPr>
              <w:t>Expensing</w:t>
            </w:r>
          </w:p>
        </w:tc>
      </w:tr>
      <w:tr w:rsidR="001418CA" w:rsidRPr="008F735E" w14:paraId="7CB3CDBF" w14:textId="77777777" w:rsidTr="006066A2">
        <w:tc>
          <w:tcPr>
            <w:tcW w:w="1347" w:type="dxa"/>
            <w:shd w:val="clear" w:color="auto" w:fill="auto"/>
            <w:vAlign w:val="bottom"/>
          </w:tcPr>
          <w:p w14:paraId="1D90BF47" w14:textId="77777777" w:rsidR="001418CA" w:rsidRPr="00EE531B" w:rsidRDefault="001418CA" w:rsidP="00447F49">
            <w:pPr>
              <w:keepNext/>
              <w:keepLines/>
              <w:tabs>
                <w:tab w:val="left" w:pos="106"/>
              </w:tabs>
              <w:spacing w:before="60" w:after="60"/>
              <w:rPr>
                <w:rStyle w:val="Strong"/>
                <w:b w:val="0"/>
                <w:bCs w:val="0"/>
                <w:sz w:val="14"/>
                <w:szCs w:val="14"/>
              </w:rPr>
            </w:pPr>
            <w:r>
              <w:rPr>
                <w:rStyle w:val="Strong"/>
                <w:sz w:val="14"/>
                <w:szCs w:val="14"/>
              </w:rPr>
              <w:t>d</w:t>
            </w:r>
          </w:p>
        </w:tc>
        <w:tc>
          <w:tcPr>
            <w:tcW w:w="992" w:type="dxa"/>
            <w:vAlign w:val="center"/>
          </w:tcPr>
          <w:p w14:paraId="5506C2A9" w14:textId="77777777" w:rsidR="001418CA" w:rsidRPr="008F735E" w:rsidRDefault="001418CA" w:rsidP="00447F49">
            <w:pPr>
              <w:keepNext/>
              <w:keepLines/>
              <w:tabs>
                <w:tab w:val="decimal" w:pos="256"/>
              </w:tabs>
              <w:spacing w:before="60" w:after="60"/>
              <w:jc w:val="center"/>
              <w:rPr>
                <w:sz w:val="14"/>
                <w:szCs w:val="14"/>
              </w:rPr>
            </w:pPr>
            <w:r w:rsidRPr="008F735E">
              <w:rPr>
                <w:sz w:val="14"/>
                <w:szCs w:val="14"/>
              </w:rPr>
              <w:t>2.69%</w:t>
            </w:r>
          </w:p>
        </w:tc>
        <w:tc>
          <w:tcPr>
            <w:tcW w:w="737" w:type="dxa"/>
            <w:vAlign w:val="center"/>
          </w:tcPr>
          <w:p w14:paraId="7F66AC40" w14:textId="77777777" w:rsidR="001418CA" w:rsidRPr="008F735E" w:rsidRDefault="001418CA" w:rsidP="00447F49">
            <w:pPr>
              <w:keepNext/>
              <w:keepLines/>
              <w:tabs>
                <w:tab w:val="decimal" w:pos="256"/>
              </w:tabs>
              <w:spacing w:before="60" w:after="60"/>
              <w:jc w:val="center"/>
              <w:rPr>
                <w:sz w:val="14"/>
                <w:szCs w:val="14"/>
              </w:rPr>
            </w:pPr>
            <w:r w:rsidRPr="008F735E">
              <w:rPr>
                <w:sz w:val="14"/>
                <w:szCs w:val="14"/>
              </w:rPr>
              <w:t>100.00%</w:t>
            </w:r>
          </w:p>
        </w:tc>
        <w:tc>
          <w:tcPr>
            <w:tcW w:w="681" w:type="dxa"/>
            <w:vAlign w:val="center"/>
          </w:tcPr>
          <w:p w14:paraId="20EB11CE" w14:textId="77777777" w:rsidR="001418CA" w:rsidRPr="008F735E" w:rsidRDefault="001418CA" w:rsidP="00447F49">
            <w:pPr>
              <w:keepNext/>
              <w:keepLines/>
              <w:tabs>
                <w:tab w:val="decimal" w:pos="256"/>
              </w:tabs>
              <w:spacing w:before="60" w:after="60"/>
              <w:jc w:val="center"/>
              <w:rPr>
                <w:sz w:val="14"/>
                <w:szCs w:val="14"/>
              </w:rPr>
            </w:pPr>
            <w:r w:rsidRPr="008F735E">
              <w:rPr>
                <w:sz w:val="14"/>
                <w:szCs w:val="14"/>
              </w:rPr>
              <w:t>50.00%</w:t>
            </w:r>
          </w:p>
        </w:tc>
        <w:tc>
          <w:tcPr>
            <w:tcW w:w="651" w:type="dxa"/>
            <w:vAlign w:val="center"/>
          </w:tcPr>
          <w:p w14:paraId="7516DDBB" w14:textId="77777777" w:rsidR="001418CA" w:rsidRPr="008F735E" w:rsidRDefault="001418CA" w:rsidP="00447F49">
            <w:pPr>
              <w:keepNext/>
              <w:keepLines/>
              <w:tabs>
                <w:tab w:val="decimal" w:pos="256"/>
              </w:tabs>
              <w:spacing w:before="60" w:after="60"/>
              <w:jc w:val="center"/>
              <w:rPr>
                <w:sz w:val="14"/>
                <w:szCs w:val="14"/>
              </w:rPr>
            </w:pPr>
            <w:r w:rsidRPr="008F735E">
              <w:rPr>
                <w:sz w:val="14"/>
                <w:szCs w:val="14"/>
              </w:rPr>
              <w:t>10.00%</w:t>
            </w:r>
          </w:p>
        </w:tc>
        <w:tc>
          <w:tcPr>
            <w:tcW w:w="666" w:type="dxa"/>
            <w:vAlign w:val="center"/>
          </w:tcPr>
          <w:p w14:paraId="09453D3B" w14:textId="77777777" w:rsidR="001418CA" w:rsidRPr="008F735E" w:rsidRDefault="001418CA" w:rsidP="00447F49">
            <w:pPr>
              <w:keepNext/>
              <w:keepLines/>
              <w:tabs>
                <w:tab w:val="decimal" w:pos="256"/>
              </w:tabs>
              <w:spacing w:before="60" w:after="60"/>
              <w:jc w:val="center"/>
              <w:rPr>
                <w:sz w:val="14"/>
                <w:szCs w:val="14"/>
              </w:rPr>
            </w:pPr>
            <w:r w:rsidRPr="008F735E">
              <w:rPr>
                <w:sz w:val="14"/>
                <w:szCs w:val="14"/>
              </w:rPr>
              <w:t>4.00%</w:t>
            </w:r>
          </w:p>
        </w:tc>
        <w:tc>
          <w:tcPr>
            <w:tcW w:w="667" w:type="dxa"/>
            <w:vAlign w:val="center"/>
          </w:tcPr>
          <w:p w14:paraId="404AC24C" w14:textId="77777777" w:rsidR="001418CA" w:rsidRPr="008F735E" w:rsidRDefault="001418CA" w:rsidP="00447F49">
            <w:pPr>
              <w:keepNext/>
              <w:keepLines/>
              <w:tabs>
                <w:tab w:val="decimal" w:pos="256"/>
              </w:tabs>
              <w:spacing w:before="60" w:after="60"/>
              <w:jc w:val="center"/>
              <w:rPr>
                <w:sz w:val="14"/>
                <w:szCs w:val="14"/>
              </w:rPr>
            </w:pPr>
            <w:r w:rsidRPr="008F735E">
              <w:rPr>
                <w:sz w:val="14"/>
                <w:szCs w:val="14"/>
              </w:rPr>
              <w:t>2.00%</w:t>
            </w:r>
          </w:p>
        </w:tc>
        <w:tc>
          <w:tcPr>
            <w:tcW w:w="1134" w:type="dxa"/>
            <w:vAlign w:val="center"/>
          </w:tcPr>
          <w:p w14:paraId="0F0CAA7D" w14:textId="77777777" w:rsidR="001418CA" w:rsidRPr="008F735E" w:rsidRDefault="001418CA" w:rsidP="00447F49">
            <w:pPr>
              <w:keepNext/>
              <w:keepLines/>
              <w:tabs>
                <w:tab w:val="decimal" w:pos="256"/>
              </w:tabs>
              <w:spacing w:before="60" w:after="60"/>
              <w:jc w:val="center"/>
              <w:rPr>
                <w:sz w:val="14"/>
                <w:szCs w:val="14"/>
              </w:rPr>
            </w:pPr>
            <w:r w:rsidRPr="008F735E">
              <w:rPr>
                <w:sz w:val="14"/>
                <w:szCs w:val="14"/>
              </w:rPr>
              <w:t>0.00%</w:t>
            </w:r>
          </w:p>
        </w:tc>
        <w:tc>
          <w:tcPr>
            <w:tcW w:w="851" w:type="dxa"/>
            <w:vAlign w:val="center"/>
          </w:tcPr>
          <w:p w14:paraId="73F53ED2" w14:textId="77777777" w:rsidR="001418CA" w:rsidRPr="008F735E" w:rsidRDefault="001418CA" w:rsidP="00447F49">
            <w:pPr>
              <w:keepNext/>
              <w:keepLines/>
              <w:tabs>
                <w:tab w:val="decimal" w:pos="256"/>
              </w:tabs>
              <w:spacing w:before="60" w:after="60"/>
              <w:jc w:val="center"/>
              <w:rPr>
                <w:sz w:val="14"/>
                <w:szCs w:val="14"/>
              </w:rPr>
            </w:pPr>
          </w:p>
        </w:tc>
        <w:tc>
          <w:tcPr>
            <w:tcW w:w="1134" w:type="dxa"/>
            <w:vAlign w:val="center"/>
          </w:tcPr>
          <w:p w14:paraId="2277EE16" w14:textId="77777777" w:rsidR="001418CA" w:rsidRPr="008F735E" w:rsidRDefault="001418CA" w:rsidP="00447F49">
            <w:pPr>
              <w:keepNext/>
              <w:keepLines/>
              <w:tabs>
                <w:tab w:val="decimal" w:pos="256"/>
              </w:tabs>
              <w:spacing w:before="60" w:after="60"/>
              <w:jc w:val="center"/>
              <w:rPr>
                <w:sz w:val="14"/>
                <w:szCs w:val="14"/>
              </w:rPr>
            </w:pPr>
            <w:r w:rsidRPr="008F735E">
              <w:rPr>
                <w:sz w:val="14"/>
                <w:szCs w:val="14"/>
              </w:rPr>
              <w:t>-1.00%</w:t>
            </w:r>
          </w:p>
        </w:tc>
        <w:tc>
          <w:tcPr>
            <w:tcW w:w="921" w:type="dxa"/>
            <w:vAlign w:val="center"/>
          </w:tcPr>
          <w:p w14:paraId="6DF575C4" w14:textId="77777777" w:rsidR="001418CA" w:rsidRPr="008F735E" w:rsidRDefault="001418CA" w:rsidP="00447F49">
            <w:pPr>
              <w:keepNext/>
              <w:keepLines/>
              <w:tabs>
                <w:tab w:val="decimal" w:pos="256"/>
              </w:tabs>
              <w:spacing w:before="60" w:after="60"/>
              <w:jc w:val="center"/>
              <w:rPr>
                <w:sz w:val="14"/>
                <w:szCs w:val="14"/>
              </w:rPr>
            </w:pPr>
          </w:p>
        </w:tc>
      </w:tr>
      <w:tr w:rsidR="001418CA" w:rsidRPr="008F735E" w14:paraId="452DB206" w14:textId="77777777" w:rsidTr="006066A2">
        <w:tc>
          <w:tcPr>
            <w:tcW w:w="1347" w:type="dxa"/>
            <w:shd w:val="clear" w:color="auto" w:fill="auto"/>
            <w:vAlign w:val="bottom"/>
          </w:tcPr>
          <w:p w14:paraId="18E907CF" w14:textId="77777777" w:rsidR="001418CA" w:rsidRPr="00EE531B" w:rsidRDefault="001418CA" w:rsidP="00447F49">
            <w:pPr>
              <w:keepNext/>
              <w:keepLines/>
              <w:tabs>
                <w:tab w:val="left" w:pos="106"/>
              </w:tabs>
              <w:spacing w:before="60" w:after="60"/>
              <w:rPr>
                <w:rStyle w:val="Strong"/>
                <w:b w:val="0"/>
                <w:bCs w:val="0"/>
                <w:sz w:val="14"/>
                <w:szCs w:val="14"/>
              </w:rPr>
            </w:pPr>
            <w:r>
              <w:rPr>
                <w:rStyle w:val="Strong"/>
                <w:sz w:val="14"/>
                <w:szCs w:val="14"/>
              </w:rPr>
              <w:t>d*</w:t>
            </w:r>
          </w:p>
        </w:tc>
        <w:tc>
          <w:tcPr>
            <w:tcW w:w="992" w:type="dxa"/>
            <w:vAlign w:val="center"/>
          </w:tcPr>
          <w:p w14:paraId="3EDD4792" w14:textId="77777777" w:rsidR="001418CA" w:rsidRPr="008F735E" w:rsidRDefault="001418CA" w:rsidP="00447F49">
            <w:pPr>
              <w:keepNext/>
              <w:keepLines/>
              <w:tabs>
                <w:tab w:val="decimal" w:pos="256"/>
              </w:tabs>
              <w:spacing w:before="60" w:after="60"/>
              <w:jc w:val="center"/>
              <w:rPr>
                <w:sz w:val="14"/>
                <w:szCs w:val="14"/>
              </w:rPr>
            </w:pPr>
            <w:r w:rsidRPr="008F735E">
              <w:rPr>
                <w:sz w:val="14"/>
                <w:szCs w:val="14"/>
              </w:rPr>
              <w:t>2.00%</w:t>
            </w:r>
          </w:p>
        </w:tc>
        <w:tc>
          <w:tcPr>
            <w:tcW w:w="737" w:type="dxa"/>
            <w:vAlign w:val="center"/>
          </w:tcPr>
          <w:p w14:paraId="4A0F8ECB" w14:textId="77777777" w:rsidR="001418CA" w:rsidRPr="008F735E" w:rsidRDefault="001418CA" w:rsidP="00447F49">
            <w:pPr>
              <w:keepNext/>
              <w:keepLines/>
              <w:tabs>
                <w:tab w:val="decimal" w:pos="256"/>
              </w:tabs>
              <w:spacing w:before="60" w:after="60"/>
              <w:jc w:val="center"/>
              <w:rPr>
                <w:sz w:val="14"/>
                <w:szCs w:val="14"/>
              </w:rPr>
            </w:pPr>
            <w:r w:rsidRPr="008F735E">
              <w:rPr>
                <w:sz w:val="14"/>
                <w:szCs w:val="14"/>
              </w:rPr>
              <w:t>100.00%</w:t>
            </w:r>
          </w:p>
        </w:tc>
        <w:tc>
          <w:tcPr>
            <w:tcW w:w="681" w:type="dxa"/>
            <w:vAlign w:val="center"/>
          </w:tcPr>
          <w:p w14:paraId="51E5EB05" w14:textId="77777777" w:rsidR="001418CA" w:rsidRPr="008F735E" w:rsidRDefault="001418CA" w:rsidP="00447F49">
            <w:pPr>
              <w:keepNext/>
              <w:keepLines/>
              <w:tabs>
                <w:tab w:val="decimal" w:pos="256"/>
              </w:tabs>
              <w:spacing w:before="60" w:after="60"/>
              <w:jc w:val="center"/>
              <w:rPr>
                <w:sz w:val="14"/>
                <w:szCs w:val="14"/>
              </w:rPr>
            </w:pPr>
            <w:r w:rsidRPr="008F735E">
              <w:rPr>
                <w:sz w:val="14"/>
                <w:szCs w:val="14"/>
              </w:rPr>
              <w:t>50.00%</w:t>
            </w:r>
          </w:p>
        </w:tc>
        <w:tc>
          <w:tcPr>
            <w:tcW w:w="651" w:type="dxa"/>
            <w:vAlign w:val="center"/>
          </w:tcPr>
          <w:p w14:paraId="7C760085" w14:textId="77777777" w:rsidR="001418CA" w:rsidRPr="008F735E" w:rsidRDefault="001418CA" w:rsidP="00447F49">
            <w:pPr>
              <w:keepNext/>
              <w:keepLines/>
              <w:tabs>
                <w:tab w:val="decimal" w:pos="256"/>
              </w:tabs>
              <w:spacing w:before="60" w:after="60"/>
              <w:jc w:val="center"/>
              <w:rPr>
                <w:sz w:val="14"/>
                <w:szCs w:val="14"/>
              </w:rPr>
            </w:pPr>
            <w:r w:rsidRPr="008F735E">
              <w:rPr>
                <w:sz w:val="14"/>
                <w:szCs w:val="14"/>
              </w:rPr>
              <w:t>10.00%</w:t>
            </w:r>
          </w:p>
        </w:tc>
        <w:tc>
          <w:tcPr>
            <w:tcW w:w="666" w:type="dxa"/>
            <w:vAlign w:val="center"/>
          </w:tcPr>
          <w:p w14:paraId="55FEE91F" w14:textId="77777777" w:rsidR="001418CA" w:rsidRPr="008F735E" w:rsidRDefault="001418CA" w:rsidP="00447F49">
            <w:pPr>
              <w:keepNext/>
              <w:keepLines/>
              <w:tabs>
                <w:tab w:val="decimal" w:pos="256"/>
              </w:tabs>
              <w:spacing w:before="60" w:after="60"/>
              <w:jc w:val="center"/>
              <w:rPr>
                <w:sz w:val="14"/>
                <w:szCs w:val="14"/>
              </w:rPr>
            </w:pPr>
            <w:r w:rsidRPr="008F735E">
              <w:rPr>
                <w:sz w:val="14"/>
                <w:szCs w:val="14"/>
              </w:rPr>
              <w:t>4.00%</w:t>
            </w:r>
          </w:p>
        </w:tc>
        <w:tc>
          <w:tcPr>
            <w:tcW w:w="667" w:type="dxa"/>
            <w:vAlign w:val="center"/>
          </w:tcPr>
          <w:p w14:paraId="2F423F60" w14:textId="77777777" w:rsidR="001418CA" w:rsidRPr="008F735E" w:rsidRDefault="001418CA" w:rsidP="00447F49">
            <w:pPr>
              <w:keepNext/>
              <w:keepLines/>
              <w:tabs>
                <w:tab w:val="decimal" w:pos="256"/>
              </w:tabs>
              <w:spacing w:before="60" w:after="60"/>
              <w:jc w:val="center"/>
              <w:rPr>
                <w:sz w:val="14"/>
                <w:szCs w:val="14"/>
              </w:rPr>
            </w:pPr>
            <w:r w:rsidRPr="008F735E">
              <w:rPr>
                <w:sz w:val="14"/>
                <w:szCs w:val="14"/>
              </w:rPr>
              <w:t>2.00%</w:t>
            </w:r>
          </w:p>
        </w:tc>
        <w:tc>
          <w:tcPr>
            <w:tcW w:w="1134" w:type="dxa"/>
            <w:vAlign w:val="center"/>
          </w:tcPr>
          <w:p w14:paraId="1B861C0C" w14:textId="77777777" w:rsidR="001418CA" w:rsidRPr="008F735E" w:rsidRDefault="001418CA" w:rsidP="00447F49">
            <w:pPr>
              <w:keepNext/>
              <w:keepLines/>
              <w:tabs>
                <w:tab w:val="decimal" w:pos="256"/>
              </w:tabs>
              <w:spacing w:before="60" w:after="60"/>
              <w:jc w:val="center"/>
              <w:rPr>
                <w:sz w:val="14"/>
                <w:szCs w:val="14"/>
              </w:rPr>
            </w:pPr>
            <w:r w:rsidRPr="008F735E">
              <w:rPr>
                <w:sz w:val="14"/>
                <w:szCs w:val="14"/>
              </w:rPr>
              <w:t>0.00%</w:t>
            </w:r>
          </w:p>
        </w:tc>
        <w:tc>
          <w:tcPr>
            <w:tcW w:w="851" w:type="dxa"/>
            <w:vAlign w:val="center"/>
          </w:tcPr>
          <w:p w14:paraId="02EEA77E" w14:textId="77777777" w:rsidR="001418CA" w:rsidRPr="008F735E" w:rsidRDefault="001418CA" w:rsidP="00447F49">
            <w:pPr>
              <w:keepNext/>
              <w:keepLines/>
              <w:tabs>
                <w:tab w:val="decimal" w:pos="256"/>
              </w:tabs>
              <w:spacing w:before="60" w:after="60"/>
              <w:jc w:val="center"/>
              <w:rPr>
                <w:sz w:val="14"/>
                <w:szCs w:val="14"/>
              </w:rPr>
            </w:pPr>
          </w:p>
        </w:tc>
        <w:tc>
          <w:tcPr>
            <w:tcW w:w="1134" w:type="dxa"/>
            <w:vAlign w:val="center"/>
          </w:tcPr>
          <w:p w14:paraId="189C49EB" w14:textId="77777777" w:rsidR="001418CA" w:rsidRPr="008F735E" w:rsidRDefault="001418CA" w:rsidP="00447F49">
            <w:pPr>
              <w:keepNext/>
              <w:keepLines/>
              <w:tabs>
                <w:tab w:val="decimal" w:pos="256"/>
              </w:tabs>
              <w:spacing w:before="60" w:after="60"/>
              <w:jc w:val="center"/>
              <w:rPr>
                <w:sz w:val="14"/>
                <w:szCs w:val="14"/>
              </w:rPr>
            </w:pPr>
            <w:r w:rsidRPr="008F735E">
              <w:rPr>
                <w:sz w:val="14"/>
                <w:szCs w:val="14"/>
              </w:rPr>
              <w:t>0.00%</w:t>
            </w:r>
          </w:p>
        </w:tc>
        <w:tc>
          <w:tcPr>
            <w:tcW w:w="921" w:type="dxa"/>
            <w:vAlign w:val="center"/>
          </w:tcPr>
          <w:p w14:paraId="3ECC783E" w14:textId="77777777" w:rsidR="001418CA" w:rsidRPr="008F735E" w:rsidRDefault="001418CA" w:rsidP="00447F49">
            <w:pPr>
              <w:keepNext/>
              <w:keepLines/>
              <w:tabs>
                <w:tab w:val="decimal" w:pos="256"/>
              </w:tabs>
              <w:spacing w:before="60" w:after="60"/>
              <w:jc w:val="center"/>
              <w:rPr>
                <w:sz w:val="14"/>
                <w:szCs w:val="14"/>
              </w:rPr>
            </w:pPr>
          </w:p>
        </w:tc>
      </w:tr>
      <w:tr w:rsidR="001418CA" w:rsidRPr="008F735E" w14:paraId="4B3D08B4" w14:textId="77777777" w:rsidTr="006066A2">
        <w:tc>
          <w:tcPr>
            <w:tcW w:w="1347" w:type="dxa"/>
            <w:shd w:val="clear" w:color="auto" w:fill="auto"/>
            <w:vAlign w:val="bottom"/>
          </w:tcPr>
          <w:p w14:paraId="05135F4F" w14:textId="77777777" w:rsidR="001418CA" w:rsidRPr="008F735E" w:rsidRDefault="001418CA" w:rsidP="00447F49">
            <w:pPr>
              <w:keepNext/>
              <w:keepLines/>
              <w:tabs>
                <w:tab w:val="left" w:pos="106"/>
              </w:tabs>
              <w:spacing w:before="60" w:after="60"/>
              <w:rPr>
                <w:b/>
                <w:bCs/>
                <w:sz w:val="14"/>
                <w:szCs w:val="14"/>
              </w:rPr>
            </w:pPr>
            <w:r>
              <w:rPr>
                <w:b/>
                <w:bCs/>
                <w:sz w:val="14"/>
                <w:szCs w:val="14"/>
              </w:rPr>
              <w:t>Domestic companies</w:t>
            </w:r>
          </w:p>
        </w:tc>
        <w:tc>
          <w:tcPr>
            <w:tcW w:w="992" w:type="dxa"/>
            <w:vAlign w:val="center"/>
          </w:tcPr>
          <w:p w14:paraId="533C05FB" w14:textId="77777777" w:rsidR="001418CA" w:rsidRPr="008F735E" w:rsidRDefault="001418CA" w:rsidP="00447F49">
            <w:pPr>
              <w:keepNext/>
              <w:keepLines/>
              <w:tabs>
                <w:tab w:val="decimal" w:pos="256"/>
              </w:tabs>
              <w:spacing w:before="60" w:after="60"/>
              <w:jc w:val="center"/>
              <w:rPr>
                <w:sz w:val="14"/>
                <w:szCs w:val="14"/>
              </w:rPr>
            </w:pPr>
          </w:p>
        </w:tc>
        <w:tc>
          <w:tcPr>
            <w:tcW w:w="737" w:type="dxa"/>
            <w:vAlign w:val="center"/>
          </w:tcPr>
          <w:p w14:paraId="40BE556F" w14:textId="77777777" w:rsidR="001418CA" w:rsidRPr="008F735E" w:rsidRDefault="001418CA" w:rsidP="00447F49">
            <w:pPr>
              <w:keepNext/>
              <w:keepLines/>
              <w:tabs>
                <w:tab w:val="decimal" w:pos="256"/>
              </w:tabs>
              <w:spacing w:before="60" w:after="60"/>
              <w:jc w:val="center"/>
              <w:rPr>
                <w:sz w:val="14"/>
                <w:szCs w:val="14"/>
              </w:rPr>
            </w:pPr>
          </w:p>
        </w:tc>
        <w:tc>
          <w:tcPr>
            <w:tcW w:w="681" w:type="dxa"/>
            <w:vAlign w:val="center"/>
          </w:tcPr>
          <w:p w14:paraId="60E068B3" w14:textId="77777777" w:rsidR="001418CA" w:rsidRPr="008F735E" w:rsidRDefault="001418CA" w:rsidP="00447F49">
            <w:pPr>
              <w:keepNext/>
              <w:keepLines/>
              <w:tabs>
                <w:tab w:val="decimal" w:pos="256"/>
              </w:tabs>
              <w:spacing w:before="60" w:after="60"/>
              <w:jc w:val="center"/>
              <w:rPr>
                <w:sz w:val="14"/>
                <w:szCs w:val="14"/>
              </w:rPr>
            </w:pPr>
          </w:p>
        </w:tc>
        <w:tc>
          <w:tcPr>
            <w:tcW w:w="651" w:type="dxa"/>
            <w:vAlign w:val="center"/>
          </w:tcPr>
          <w:p w14:paraId="1C1D9204" w14:textId="77777777" w:rsidR="001418CA" w:rsidRPr="008F735E" w:rsidRDefault="001418CA" w:rsidP="00447F49">
            <w:pPr>
              <w:keepNext/>
              <w:keepLines/>
              <w:tabs>
                <w:tab w:val="decimal" w:pos="256"/>
              </w:tabs>
              <w:spacing w:before="60" w:after="60"/>
              <w:jc w:val="center"/>
              <w:rPr>
                <w:sz w:val="14"/>
                <w:szCs w:val="14"/>
              </w:rPr>
            </w:pPr>
          </w:p>
        </w:tc>
        <w:tc>
          <w:tcPr>
            <w:tcW w:w="666" w:type="dxa"/>
            <w:vAlign w:val="center"/>
          </w:tcPr>
          <w:p w14:paraId="35776803" w14:textId="77777777" w:rsidR="001418CA" w:rsidRPr="008F735E" w:rsidRDefault="001418CA" w:rsidP="00447F49">
            <w:pPr>
              <w:keepNext/>
              <w:keepLines/>
              <w:tabs>
                <w:tab w:val="decimal" w:pos="256"/>
              </w:tabs>
              <w:spacing w:before="60" w:after="60"/>
              <w:jc w:val="center"/>
              <w:rPr>
                <w:sz w:val="14"/>
                <w:szCs w:val="14"/>
              </w:rPr>
            </w:pPr>
          </w:p>
        </w:tc>
        <w:tc>
          <w:tcPr>
            <w:tcW w:w="667" w:type="dxa"/>
            <w:vAlign w:val="center"/>
          </w:tcPr>
          <w:p w14:paraId="40DE1CA6" w14:textId="77777777" w:rsidR="001418CA" w:rsidRPr="008F735E" w:rsidRDefault="001418CA" w:rsidP="00447F49">
            <w:pPr>
              <w:keepNext/>
              <w:keepLines/>
              <w:tabs>
                <w:tab w:val="decimal" w:pos="256"/>
              </w:tabs>
              <w:spacing w:before="60" w:after="60"/>
              <w:jc w:val="center"/>
              <w:rPr>
                <w:sz w:val="14"/>
                <w:szCs w:val="14"/>
              </w:rPr>
            </w:pPr>
          </w:p>
        </w:tc>
        <w:tc>
          <w:tcPr>
            <w:tcW w:w="1134" w:type="dxa"/>
            <w:vAlign w:val="center"/>
          </w:tcPr>
          <w:p w14:paraId="23FDD2D0" w14:textId="77777777" w:rsidR="001418CA" w:rsidRPr="008F735E" w:rsidRDefault="001418CA" w:rsidP="00447F49">
            <w:pPr>
              <w:keepNext/>
              <w:keepLines/>
              <w:tabs>
                <w:tab w:val="decimal" w:pos="256"/>
              </w:tabs>
              <w:spacing w:before="60" w:after="60"/>
              <w:jc w:val="center"/>
              <w:rPr>
                <w:sz w:val="14"/>
                <w:szCs w:val="14"/>
              </w:rPr>
            </w:pPr>
          </w:p>
        </w:tc>
        <w:tc>
          <w:tcPr>
            <w:tcW w:w="851" w:type="dxa"/>
            <w:vAlign w:val="center"/>
          </w:tcPr>
          <w:p w14:paraId="5B8D4C7A" w14:textId="77777777" w:rsidR="001418CA" w:rsidRPr="008F735E" w:rsidRDefault="001418CA" w:rsidP="00447F49">
            <w:pPr>
              <w:keepNext/>
              <w:keepLines/>
              <w:tabs>
                <w:tab w:val="decimal" w:pos="256"/>
              </w:tabs>
              <w:spacing w:before="60" w:after="60"/>
              <w:jc w:val="center"/>
              <w:rPr>
                <w:sz w:val="14"/>
                <w:szCs w:val="14"/>
              </w:rPr>
            </w:pPr>
          </w:p>
        </w:tc>
        <w:tc>
          <w:tcPr>
            <w:tcW w:w="1134" w:type="dxa"/>
            <w:vAlign w:val="center"/>
          </w:tcPr>
          <w:p w14:paraId="56BBD922" w14:textId="77777777" w:rsidR="001418CA" w:rsidRPr="008F735E" w:rsidRDefault="001418CA" w:rsidP="00447F49">
            <w:pPr>
              <w:keepNext/>
              <w:keepLines/>
              <w:tabs>
                <w:tab w:val="decimal" w:pos="256"/>
              </w:tabs>
              <w:spacing w:before="60" w:after="60"/>
              <w:jc w:val="center"/>
              <w:rPr>
                <w:sz w:val="14"/>
                <w:szCs w:val="14"/>
              </w:rPr>
            </w:pPr>
          </w:p>
        </w:tc>
        <w:tc>
          <w:tcPr>
            <w:tcW w:w="921" w:type="dxa"/>
            <w:vAlign w:val="center"/>
          </w:tcPr>
          <w:p w14:paraId="7F85CE01" w14:textId="77777777" w:rsidR="001418CA" w:rsidRPr="008F735E" w:rsidRDefault="001418CA" w:rsidP="00447F49">
            <w:pPr>
              <w:keepNext/>
              <w:keepLines/>
              <w:tabs>
                <w:tab w:val="decimal" w:pos="256"/>
              </w:tabs>
              <w:spacing w:before="60" w:after="60"/>
              <w:jc w:val="center"/>
              <w:rPr>
                <w:sz w:val="14"/>
                <w:szCs w:val="14"/>
              </w:rPr>
            </w:pPr>
          </w:p>
        </w:tc>
      </w:tr>
      <w:tr w:rsidR="001418CA" w:rsidRPr="008F735E" w14:paraId="7AFE6EDD" w14:textId="77777777" w:rsidTr="006066A2">
        <w:tc>
          <w:tcPr>
            <w:tcW w:w="1347" w:type="dxa"/>
            <w:shd w:val="clear" w:color="auto" w:fill="auto"/>
            <w:vAlign w:val="bottom"/>
          </w:tcPr>
          <w:p w14:paraId="7F83C378" w14:textId="77777777" w:rsidR="001418CA" w:rsidRPr="008F735E" w:rsidRDefault="001418CA" w:rsidP="00447F49">
            <w:pPr>
              <w:keepNext/>
              <w:keepLines/>
              <w:tabs>
                <w:tab w:val="left" w:pos="106"/>
              </w:tabs>
              <w:spacing w:before="60" w:after="60"/>
              <w:rPr>
                <w:sz w:val="14"/>
                <w:szCs w:val="14"/>
              </w:rPr>
            </w:pPr>
            <w:r w:rsidRPr="008F735E">
              <w:rPr>
                <w:sz w:val="14"/>
                <w:szCs w:val="14"/>
              </w:rPr>
              <w:tab/>
            </w:r>
            <w:r>
              <w:rPr>
                <w:sz w:val="14"/>
                <w:szCs w:val="14"/>
              </w:rPr>
              <w:t>b= 43%</w:t>
            </w:r>
          </w:p>
        </w:tc>
        <w:tc>
          <w:tcPr>
            <w:tcW w:w="992" w:type="dxa"/>
            <w:shd w:val="clear" w:color="auto" w:fill="auto"/>
            <w:vAlign w:val="bottom"/>
          </w:tcPr>
          <w:p w14:paraId="7CEEC9E0"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21.3%</w:t>
            </w:r>
          </w:p>
        </w:tc>
        <w:tc>
          <w:tcPr>
            <w:tcW w:w="737" w:type="dxa"/>
            <w:shd w:val="clear" w:color="auto" w:fill="auto"/>
            <w:vAlign w:val="bottom"/>
          </w:tcPr>
          <w:p w14:paraId="6FC39D2B"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27.6%</w:t>
            </w:r>
          </w:p>
        </w:tc>
        <w:tc>
          <w:tcPr>
            <w:tcW w:w="681" w:type="dxa"/>
            <w:shd w:val="clear" w:color="auto" w:fill="auto"/>
            <w:vAlign w:val="bottom"/>
          </w:tcPr>
          <w:p w14:paraId="3E717222"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27.0%</w:t>
            </w:r>
          </w:p>
        </w:tc>
        <w:tc>
          <w:tcPr>
            <w:tcW w:w="651" w:type="dxa"/>
            <w:shd w:val="clear" w:color="auto" w:fill="auto"/>
            <w:vAlign w:val="bottom"/>
          </w:tcPr>
          <w:p w14:paraId="21345167"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23.7%</w:t>
            </w:r>
          </w:p>
        </w:tc>
        <w:tc>
          <w:tcPr>
            <w:tcW w:w="666" w:type="dxa"/>
            <w:shd w:val="clear" w:color="auto" w:fill="auto"/>
            <w:vAlign w:val="bottom"/>
          </w:tcPr>
          <w:p w14:paraId="6F23A818"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20.1%</w:t>
            </w:r>
          </w:p>
        </w:tc>
        <w:tc>
          <w:tcPr>
            <w:tcW w:w="667" w:type="dxa"/>
            <w:shd w:val="clear" w:color="auto" w:fill="auto"/>
            <w:vAlign w:val="bottom"/>
          </w:tcPr>
          <w:p w14:paraId="45F48C17"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17.3%</w:t>
            </w:r>
          </w:p>
        </w:tc>
        <w:tc>
          <w:tcPr>
            <w:tcW w:w="1134" w:type="dxa"/>
            <w:shd w:val="clear" w:color="auto" w:fill="auto"/>
            <w:vAlign w:val="bottom"/>
          </w:tcPr>
          <w:p w14:paraId="51AF336F"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11.2%</w:t>
            </w:r>
          </w:p>
        </w:tc>
        <w:tc>
          <w:tcPr>
            <w:tcW w:w="851" w:type="dxa"/>
            <w:shd w:val="clear" w:color="auto" w:fill="auto"/>
            <w:vAlign w:val="bottom"/>
          </w:tcPr>
          <w:p w14:paraId="49550470"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27.6%</w:t>
            </w:r>
          </w:p>
        </w:tc>
        <w:tc>
          <w:tcPr>
            <w:tcW w:w="1134" w:type="dxa"/>
            <w:shd w:val="clear" w:color="auto" w:fill="auto"/>
            <w:vAlign w:val="bottom"/>
          </w:tcPr>
          <w:p w14:paraId="5D9811BB"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-0.3%</w:t>
            </w:r>
          </w:p>
        </w:tc>
        <w:tc>
          <w:tcPr>
            <w:tcW w:w="921" w:type="dxa"/>
            <w:shd w:val="clear" w:color="auto" w:fill="auto"/>
            <w:vAlign w:val="bottom"/>
          </w:tcPr>
          <w:p w14:paraId="2DED12FE"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-23.3%</w:t>
            </w:r>
          </w:p>
        </w:tc>
      </w:tr>
      <w:tr w:rsidR="001418CA" w:rsidRPr="008F735E" w14:paraId="4C5B4128" w14:textId="77777777" w:rsidTr="006066A2">
        <w:tc>
          <w:tcPr>
            <w:tcW w:w="1347" w:type="dxa"/>
            <w:shd w:val="clear" w:color="auto" w:fill="auto"/>
            <w:vAlign w:val="bottom"/>
          </w:tcPr>
          <w:p w14:paraId="0DF01743" w14:textId="77777777" w:rsidR="001418CA" w:rsidRPr="008F735E" w:rsidRDefault="001418CA" w:rsidP="00447F49">
            <w:pPr>
              <w:keepNext/>
              <w:keepLines/>
              <w:tabs>
                <w:tab w:val="left" w:pos="106"/>
              </w:tabs>
              <w:spacing w:before="60" w:after="60"/>
              <w:rPr>
                <w:b/>
                <w:bCs/>
                <w:sz w:val="14"/>
                <w:szCs w:val="14"/>
              </w:rPr>
            </w:pPr>
            <w:r>
              <w:rPr>
                <w:b/>
                <w:bCs/>
                <w:sz w:val="14"/>
                <w:szCs w:val="14"/>
              </w:rPr>
              <w:t>Foreign-controlled companies</w:t>
            </w:r>
          </w:p>
        </w:tc>
        <w:tc>
          <w:tcPr>
            <w:tcW w:w="992" w:type="dxa"/>
            <w:shd w:val="clear" w:color="auto" w:fill="auto"/>
            <w:vAlign w:val="bottom"/>
          </w:tcPr>
          <w:p w14:paraId="4EB92C4C"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 </w:t>
            </w:r>
          </w:p>
        </w:tc>
        <w:tc>
          <w:tcPr>
            <w:tcW w:w="737" w:type="dxa"/>
            <w:shd w:val="clear" w:color="auto" w:fill="auto"/>
            <w:vAlign w:val="bottom"/>
          </w:tcPr>
          <w:p w14:paraId="30E539F9"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 </w:t>
            </w:r>
          </w:p>
        </w:tc>
        <w:tc>
          <w:tcPr>
            <w:tcW w:w="681" w:type="dxa"/>
            <w:shd w:val="clear" w:color="auto" w:fill="auto"/>
            <w:vAlign w:val="bottom"/>
          </w:tcPr>
          <w:p w14:paraId="64EDE18B"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 </w:t>
            </w:r>
          </w:p>
        </w:tc>
        <w:tc>
          <w:tcPr>
            <w:tcW w:w="651" w:type="dxa"/>
            <w:shd w:val="clear" w:color="auto" w:fill="auto"/>
            <w:vAlign w:val="bottom"/>
          </w:tcPr>
          <w:p w14:paraId="14F27468"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 </w:t>
            </w:r>
          </w:p>
        </w:tc>
        <w:tc>
          <w:tcPr>
            <w:tcW w:w="666" w:type="dxa"/>
            <w:shd w:val="clear" w:color="auto" w:fill="auto"/>
            <w:vAlign w:val="bottom"/>
          </w:tcPr>
          <w:p w14:paraId="34686444"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 </w:t>
            </w:r>
          </w:p>
        </w:tc>
        <w:tc>
          <w:tcPr>
            <w:tcW w:w="667" w:type="dxa"/>
            <w:shd w:val="clear" w:color="auto" w:fill="auto"/>
            <w:vAlign w:val="bottom"/>
          </w:tcPr>
          <w:p w14:paraId="23DB5E2B"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 </w:t>
            </w:r>
          </w:p>
        </w:tc>
        <w:tc>
          <w:tcPr>
            <w:tcW w:w="1134" w:type="dxa"/>
            <w:shd w:val="clear" w:color="auto" w:fill="auto"/>
            <w:vAlign w:val="bottom"/>
          </w:tcPr>
          <w:p w14:paraId="31B86CD1"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 </w:t>
            </w:r>
          </w:p>
        </w:tc>
        <w:tc>
          <w:tcPr>
            <w:tcW w:w="851" w:type="dxa"/>
            <w:shd w:val="clear" w:color="auto" w:fill="auto"/>
            <w:vAlign w:val="bottom"/>
          </w:tcPr>
          <w:p w14:paraId="0B335590"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 </w:t>
            </w:r>
          </w:p>
        </w:tc>
        <w:tc>
          <w:tcPr>
            <w:tcW w:w="1134" w:type="dxa"/>
            <w:shd w:val="clear" w:color="auto" w:fill="auto"/>
            <w:vAlign w:val="bottom"/>
          </w:tcPr>
          <w:p w14:paraId="4B661B4D"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 </w:t>
            </w:r>
          </w:p>
        </w:tc>
        <w:tc>
          <w:tcPr>
            <w:tcW w:w="921" w:type="dxa"/>
            <w:shd w:val="clear" w:color="auto" w:fill="auto"/>
            <w:vAlign w:val="bottom"/>
          </w:tcPr>
          <w:p w14:paraId="27323656"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 </w:t>
            </w:r>
          </w:p>
        </w:tc>
      </w:tr>
      <w:tr w:rsidR="001418CA" w:rsidRPr="008F735E" w14:paraId="44604E3F" w14:textId="77777777" w:rsidTr="006066A2">
        <w:tc>
          <w:tcPr>
            <w:tcW w:w="1347" w:type="dxa"/>
            <w:shd w:val="clear" w:color="auto" w:fill="auto"/>
          </w:tcPr>
          <w:p w14:paraId="63DF730C" w14:textId="77777777" w:rsidR="001418CA" w:rsidRPr="008F735E" w:rsidRDefault="001418CA" w:rsidP="00447F49">
            <w:pPr>
              <w:keepNext/>
              <w:keepLines/>
              <w:tabs>
                <w:tab w:val="left" w:pos="106"/>
              </w:tabs>
              <w:spacing w:before="60" w:after="60"/>
              <w:rPr>
                <w:sz w:val="14"/>
                <w:szCs w:val="14"/>
              </w:rPr>
            </w:pPr>
            <w:r w:rsidRPr="008F735E">
              <w:rPr>
                <w:sz w:val="14"/>
                <w:szCs w:val="14"/>
              </w:rPr>
              <w:tab/>
            </w:r>
            <w:r>
              <w:rPr>
                <w:sz w:val="14"/>
                <w:szCs w:val="14"/>
              </w:rPr>
              <w:t>b= 0%</w:t>
            </w:r>
          </w:p>
        </w:tc>
        <w:tc>
          <w:tcPr>
            <w:tcW w:w="992" w:type="dxa"/>
            <w:shd w:val="clear" w:color="auto" w:fill="auto"/>
            <w:vAlign w:val="bottom"/>
          </w:tcPr>
          <w:p w14:paraId="0E4D7332"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34.6%</w:t>
            </w:r>
          </w:p>
        </w:tc>
        <w:tc>
          <w:tcPr>
            <w:tcW w:w="737" w:type="dxa"/>
            <w:shd w:val="clear" w:color="auto" w:fill="auto"/>
            <w:vAlign w:val="bottom"/>
          </w:tcPr>
          <w:p w14:paraId="4C4904DA"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39.1%</w:t>
            </w:r>
          </w:p>
        </w:tc>
        <w:tc>
          <w:tcPr>
            <w:tcW w:w="681" w:type="dxa"/>
            <w:shd w:val="clear" w:color="auto" w:fill="auto"/>
            <w:vAlign w:val="bottom"/>
          </w:tcPr>
          <w:p w14:paraId="284C082C"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38.7%</w:t>
            </w:r>
          </w:p>
        </w:tc>
        <w:tc>
          <w:tcPr>
            <w:tcW w:w="651" w:type="dxa"/>
            <w:shd w:val="clear" w:color="auto" w:fill="auto"/>
            <w:vAlign w:val="bottom"/>
          </w:tcPr>
          <w:p w14:paraId="07E245D2"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36.2%</w:t>
            </w:r>
          </w:p>
        </w:tc>
        <w:tc>
          <w:tcPr>
            <w:tcW w:w="666" w:type="dxa"/>
            <w:shd w:val="clear" w:color="auto" w:fill="auto"/>
            <w:vAlign w:val="bottom"/>
          </w:tcPr>
          <w:p w14:paraId="0E9D47DC"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33.6%</w:t>
            </w:r>
          </w:p>
        </w:tc>
        <w:tc>
          <w:tcPr>
            <w:tcW w:w="667" w:type="dxa"/>
            <w:shd w:val="clear" w:color="auto" w:fill="auto"/>
            <w:vAlign w:val="bottom"/>
          </w:tcPr>
          <w:p w14:paraId="42DA69BC"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31.7%</w:t>
            </w:r>
          </w:p>
        </w:tc>
        <w:tc>
          <w:tcPr>
            <w:tcW w:w="1134" w:type="dxa"/>
            <w:shd w:val="clear" w:color="auto" w:fill="auto"/>
            <w:vAlign w:val="bottom"/>
          </w:tcPr>
          <w:p w14:paraId="50172E95"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28.0%</w:t>
            </w:r>
          </w:p>
        </w:tc>
        <w:tc>
          <w:tcPr>
            <w:tcW w:w="851" w:type="dxa"/>
            <w:shd w:val="clear" w:color="auto" w:fill="auto"/>
            <w:vAlign w:val="bottom"/>
          </w:tcPr>
          <w:p w14:paraId="2462E971"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39.1%</w:t>
            </w:r>
          </w:p>
        </w:tc>
        <w:tc>
          <w:tcPr>
            <w:tcW w:w="1134" w:type="dxa"/>
            <w:shd w:val="clear" w:color="auto" w:fill="auto"/>
            <w:vAlign w:val="bottom"/>
          </w:tcPr>
          <w:p w14:paraId="01A24954"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20.6%</w:t>
            </w:r>
          </w:p>
        </w:tc>
        <w:tc>
          <w:tcPr>
            <w:tcW w:w="921" w:type="dxa"/>
            <w:shd w:val="clear" w:color="auto" w:fill="auto"/>
            <w:vAlign w:val="bottom"/>
          </w:tcPr>
          <w:p w14:paraId="49E3D49C"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0.0%</w:t>
            </w:r>
          </w:p>
        </w:tc>
      </w:tr>
      <w:tr w:rsidR="001418CA" w:rsidRPr="008F735E" w14:paraId="4ED4B307" w14:textId="77777777" w:rsidTr="006066A2">
        <w:tc>
          <w:tcPr>
            <w:tcW w:w="1347" w:type="dxa"/>
            <w:shd w:val="clear" w:color="auto" w:fill="auto"/>
          </w:tcPr>
          <w:p w14:paraId="3DA6A991" w14:textId="77777777" w:rsidR="001418CA" w:rsidRPr="008F735E" w:rsidRDefault="001418CA" w:rsidP="00447F49">
            <w:pPr>
              <w:keepNext/>
              <w:keepLines/>
              <w:tabs>
                <w:tab w:val="left" w:pos="106"/>
              </w:tabs>
              <w:spacing w:before="60" w:after="60"/>
              <w:rPr>
                <w:sz w:val="14"/>
                <w:szCs w:val="14"/>
              </w:rPr>
            </w:pPr>
            <w:r w:rsidRPr="008F735E">
              <w:rPr>
                <w:sz w:val="14"/>
                <w:szCs w:val="14"/>
              </w:rPr>
              <w:tab/>
            </w:r>
            <w:r>
              <w:rPr>
                <w:sz w:val="14"/>
                <w:szCs w:val="14"/>
              </w:rPr>
              <w:t>b= 43%</w:t>
            </w:r>
          </w:p>
        </w:tc>
        <w:tc>
          <w:tcPr>
            <w:tcW w:w="992" w:type="dxa"/>
            <w:shd w:val="clear" w:color="auto" w:fill="auto"/>
            <w:vAlign w:val="bottom"/>
          </w:tcPr>
          <w:p w14:paraId="3DC401FB"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22.7%</w:t>
            </w:r>
          </w:p>
        </w:tc>
        <w:tc>
          <w:tcPr>
            <w:tcW w:w="737" w:type="dxa"/>
            <w:shd w:val="clear" w:color="auto" w:fill="auto"/>
            <w:vAlign w:val="bottom"/>
          </w:tcPr>
          <w:p w14:paraId="238CE003"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28.8%</w:t>
            </w:r>
          </w:p>
        </w:tc>
        <w:tc>
          <w:tcPr>
            <w:tcW w:w="681" w:type="dxa"/>
            <w:shd w:val="clear" w:color="auto" w:fill="auto"/>
            <w:vAlign w:val="bottom"/>
          </w:tcPr>
          <w:p w14:paraId="6E7AA728"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28.3%</w:t>
            </w:r>
          </w:p>
        </w:tc>
        <w:tc>
          <w:tcPr>
            <w:tcW w:w="651" w:type="dxa"/>
            <w:shd w:val="clear" w:color="auto" w:fill="auto"/>
            <w:vAlign w:val="bottom"/>
          </w:tcPr>
          <w:p w14:paraId="726BA217"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25.0%</w:t>
            </w:r>
          </w:p>
        </w:tc>
        <w:tc>
          <w:tcPr>
            <w:tcW w:w="666" w:type="dxa"/>
            <w:shd w:val="clear" w:color="auto" w:fill="auto"/>
            <w:vAlign w:val="bottom"/>
          </w:tcPr>
          <w:p w14:paraId="2636303D"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21.6%</w:t>
            </w:r>
          </w:p>
        </w:tc>
        <w:tc>
          <w:tcPr>
            <w:tcW w:w="667" w:type="dxa"/>
            <w:shd w:val="clear" w:color="auto" w:fill="auto"/>
            <w:vAlign w:val="bottom"/>
          </w:tcPr>
          <w:p w14:paraId="07E54C96"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18.8%</w:t>
            </w:r>
          </w:p>
        </w:tc>
        <w:tc>
          <w:tcPr>
            <w:tcW w:w="1134" w:type="dxa"/>
            <w:shd w:val="clear" w:color="auto" w:fill="auto"/>
            <w:vAlign w:val="bottom"/>
          </w:tcPr>
          <w:p w14:paraId="02B7C15B"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13.1%</w:t>
            </w:r>
          </w:p>
        </w:tc>
        <w:tc>
          <w:tcPr>
            <w:tcW w:w="851" w:type="dxa"/>
            <w:shd w:val="clear" w:color="auto" w:fill="auto"/>
            <w:vAlign w:val="bottom"/>
          </w:tcPr>
          <w:p w14:paraId="5E816FA3"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28.8%</w:t>
            </w:r>
          </w:p>
        </w:tc>
        <w:tc>
          <w:tcPr>
            <w:tcW w:w="1134" w:type="dxa"/>
            <w:shd w:val="clear" w:color="auto" w:fill="auto"/>
            <w:vAlign w:val="bottom"/>
          </w:tcPr>
          <w:p w14:paraId="26A4A72C"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2.1%</w:t>
            </w:r>
          </w:p>
        </w:tc>
        <w:tc>
          <w:tcPr>
            <w:tcW w:w="921" w:type="dxa"/>
            <w:shd w:val="clear" w:color="auto" w:fill="auto"/>
            <w:vAlign w:val="bottom"/>
          </w:tcPr>
          <w:p w14:paraId="15ADFD22"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-20.7%</w:t>
            </w:r>
          </w:p>
        </w:tc>
      </w:tr>
      <w:tr w:rsidR="001418CA" w:rsidRPr="008F735E" w14:paraId="336EDBE7" w14:textId="77777777" w:rsidTr="006066A2">
        <w:tc>
          <w:tcPr>
            <w:tcW w:w="1347" w:type="dxa"/>
            <w:shd w:val="clear" w:color="auto" w:fill="auto"/>
          </w:tcPr>
          <w:p w14:paraId="50E4FDCA" w14:textId="77777777" w:rsidR="001418CA" w:rsidRPr="008F735E" w:rsidRDefault="001418CA" w:rsidP="00447F49">
            <w:pPr>
              <w:keepNext/>
              <w:keepLines/>
              <w:tabs>
                <w:tab w:val="left" w:pos="106"/>
              </w:tabs>
              <w:spacing w:before="60" w:after="60"/>
              <w:ind w:left="108" w:hanging="108"/>
              <w:rPr>
                <w:sz w:val="14"/>
                <w:szCs w:val="14"/>
              </w:rPr>
            </w:pPr>
            <w:r w:rsidRPr="008F735E">
              <w:rPr>
                <w:sz w:val="14"/>
                <w:szCs w:val="14"/>
              </w:rPr>
              <w:tab/>
            </w:r>
            <w:r>
              <w:rPr>
                <w:sz w:val="14"/>
                <w:szCs w:val="14"/>
              </w:rPr>
              <w:t>b= 60%</w:t>
            </w:r>
          </w:p>
        </w:tc>
        <w:tc>
          <w:tcPr>
            <w:tcW w:w="992" w:type="dxa"/>
            <w:shd w:val="clear" w:color="auto" w:fill="auto"/>
            <w:vAlign w:val="bottom"/>
          </w:tcPr>
          <w:p w14:paraId="7BE91DF3"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16.8%</w:t>
            </w:r>
          </w:p>
        </w:tc>
        <w:tc>
          <w:tcPr>
            <w:tcW w:w="737" w:type="dxa"/>
            <w:shd w:val="clear" w:color="auto" w:fill="auto"/>
            <w:vAlign w:val="bottom"/>
          </w:tcPr>
          <w:p w14:paraId="392EDEE0"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23.7%</w:t>
            </w:r>
          </w:p>
        </w:tc>
        <w:tc>
          <w:tcPr>
            <w:tcW w:w="681" w:type="dxa"/>
            <w:shd w:val="clear" w:color="auto" w:fill="auto"/>
            <w:vAlign w:val="bottom"/>
          </w:tcPr>
          <w:p w14:paraId="56290AEB"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23.1%</w:t>
            </w:r>
          </w:p>
        </w:tc>
        <w:tc>
          <w:tcPr>
            <w:tcW w:w="651" w:type="dxa"/>
            <w:shd w:val="clear" w:color="auto" w:fill="auto"/>
            <w:vAlign w:val="bottom"/>
          </w:tcPr>
          <w:p w14:paraId="7F94C783"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19.5%</w:t>
            </w:r>
          </w:p>
        </w:tc>
        <w:tc>
          <w:tcPr>
            <w:tcW w:w="666" w:type="dxa"/>
            <w:shd w:val="clear" w:color="auto" w:fill="auto"/>
            <w:vAlign w:val="bottom"/>
          </w:tcPr>
          <w:p w14:paraId="09B6ED3F"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15.5%</w:t>
            </w:r>
          </w:p>
        </w:tc>
        <w:tc>
          <w:tcPr>
            <w:tcW w:w="667" w:type="dxa"/>
            <w:shd w:val="clear" w:color="auto" w:fill="auto"/>
            <w:vAlign w:val="bottom"/>
          </w:tcPr>
          <w:p w14:paraId="49B838B7"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12.3%</w:t>
            </w:r>
          </w:p>
        </w:tc>
        <w:tc>
          <w:tcPr>
            <w:tcW w:w="1134" w:type="dxa"/>
            <w:shd w:val="clear" w:color="auto" w:fill="auto"/>
            <w:vAlign w:val="bottom"/>
          </w:tcPr>
          <w:p w14:paraId="3B64B27A"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5.4%</w:t>
            </w:r>
          </w:p>
        </w:tc>
        <w:tc>
          <w:tcPr>
            <w:tcW w:w="851" w:type="dxa"/>
            <w:shd w:val="clear" w:color="auto" w:fill="auto"/>
            <w:vAlign w:val="bottom"/>
          </w:tcPr>
          <w:p w14:paraId="211FBEAD"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23.7%</w:t>
            </w:r>
          </w:p>
        </w:tc>
        <w:tc>
          <w:tcPr>
            <w:tcW w:w="1134" w:type="dxa"/>
            <w:shd w:val="clear" w:color="auto" w:fill="auto"/>
            <w:vAlign w:val="bottom"/>
          </w:tcPr>
          <w:p w14:paraId="59E2A9D8"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-7.9%</w:t>
            </w:r>
          </w:p>
        </w:tc>
        <w:tc>
          <w:tcPr>
            <w:tcW w:w="921" w:type="dxa"/>
            <w:shd w:val="clear" w:color="auto" w:fill="auto"/>
            <w:vAlign w:val="bottom"/>
          </w:tcPr>
          <w:p w14:paraId="679AA9BE"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-31.4%</w:t>
            </w:r>
          </w:p>
        </w:tc>
      </w:tr>
      <w:tr w:rsidR="001418CA" w:rsidRPr="008F735E" w14:paraId="02647CC6" w14:textId="77777777" w:rsidTr="006066A2">
        <w:tc>
          <w:tcPr>
            <w:tcW w:w="1347" w:type="dxa"/>
            <w:shd w:val="clear" w:color="auto" w:fill="auto"/>
          </w:tcPr>
          <w:p w14:paraId="3EF70CC0" w14:textId="77777777" w:rsidR="001418CA" w:rsidRPr="008F735E" w:rsidRDefault="001418CA" w:rsidP="00447F49">
            <w:pPr>
              <w:keepNext/>
              <w:keepLines/>
              <w:tabs>
                <w:tab w:val="left" w:pos="106"/>
              </w:tabs>
              <w:spacing w:before="60" w:after="60"/>
              <w:ind w:left="108" w:hanging="108"/>
              <w:rPr>
                <w:sz w:val="14"/>
                <w:szCs w:val="14"/>
              </w:rPr>
            </w:pPr>
            <w:r w:rsidRPr="008F735E">
              <w:rPr>
                <w:sz w:val="14"/>
                <w:szCs w:val="14"/>
              </w:rPr>
              <w:tab/>
            </w:r>
            <w:r>
              <w:rPr>
                <w:sz w:val="14"/>
                <w:szCs w:val="14"/>
              </w:rPr>
              <w:t>b= 75%</w:t>
            </w:r>
          </w:p>
        </w:tc>
        <w:tc>
          <w:tcPr>
            <w:tcW w:w="992" w:type="dxa"/>
            <w:shd w:val="clear" w:color="auto" w:fill="auto"/>
            <w:vAlign w:val="bottom"/>
          </w:tcPr>
          <w:p w14:paraId="26B107CE"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6.5%</w:t>
            </w:r>
          </w:p>
        </w:tc>
        <w:tc>
          <w:tcPr>
            <w:tcW w:w="737" w:type="dxa"/>
            <w:shd w:val="clear" w:color="auto" w:fill="auto"/>
            <w:vAlign w:val="bottom"/>
          </w:tcPr>
          <w:p w14:paraId="70852C72"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15.0%</w:t>
            </w:r>
          </w:p>
        </w:tc>
        <w:tc>
          <w:tcPr>
            <w:tcW w:w="681" w:type="dxa"/>
            <w:shd w:val="clear" w:color="auto" w:fill="auto"/>
            <w:vAlign w:val="bottom"/>
          </w:tcPr>
          <w:p w14:paraId="4006FD9C"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14.3%</w:t>
            </w:r>
          </w:p>
        </w:tc>
        <w:tc>
          <w:tcPr>
            <w:tcW w:w="651" w:type="dxa"/>
            <w:shd w:val="clear" w:color="auto" w:fill="auto"/>
            <w:vAlign w:val="bottom"/>
          </w:tcPr>
          <w:p w14:paraId="673C2E99"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10.0%</w:t>
            </w:r>
          </w:p>
        </w:tc>
        <w:tc>
          <w:tcPr>
            <w:tcW w:w="666" w:type="dxa"/>
            <w:shd w:val="clear" w:color="auto" w:fill="auto"/>
            <w:vAlign w:val="bottom"/>
          </w:tcPr>
          <w:p w14:paraId="0AD49720"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5.1%</w:t>
            </w:r>
          </w:p>
        </w:tc>
        <w:tc>
          <w:tcPr>
            <w:tcW w:w="667" w:type="dxa"/>
            <w:shd w:val="clear" w:color="auto" w:fill="auto"/>
            <w:vAlign w:val="bottom"/>
          </w:tcPr>
          <w:p w14:paraId="18B65D8D"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1.0%</w:t>
            </w:r>
          </w:p>
        </w:tc>
        <w:tc>
          <w:tcPr>
            <w:tcW w:w="1134" w:type="dxa"/>
            <w:shd w:val="clear" w:color="auto" w:fill="auto"/>
            <w:vAlign w:val="bottom"/>
          </w:tcPr>
          <w:p w14:paraId="272FA32C"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-8.4%</w:t>
            </w:r>
          </w:p>
        </w:tc>
        <w:tc>
          <w:tcPr>
            <w:tcW w:w="851" w:type="dxa"/>
            <w:shd w:val="clear" w:color="auto" w:fill="auto"/>
            <w:vAlign w:val="bottom"/>
          </w:tcPr>
          <w:p w14:paraId="69938442"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15.0%</w:t>
            </w:r>
          </w:p>
        </w:tc>
        <w:tc>
          <w:tcPr>
            <w:tcW w:w="1134" w:type="dxa"/>
            <w:shd w:val="clear" w:color="auto" w:fill="auto"/>
            <w:vAlign w:val="bottom"/>
          </w:tcPr>
          <w:p w14:paraId="5B45B76F"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-26.2%</w:t>
            </w:r>
          </w:p>
        </w:tc>
        <w:tc>
          <w:tcPr>
            <w:tcW w:w="921" w:type="dxa"/>
            <w:shd w:val="clear" w:color="auto" w:fill="auto"/>
            <w:vAlign w:val="bottom"/>
          </w:tcPr>
          <w:p w14:paraId="1C9B06E7"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-50.6%</w:t>
            </w:r>
          </w:p>
        </w:tc>
      </w:tr>
      <w:tr w:rsidR="001418CA" w:rsidRPr="008F735E" w14:paraId="6640EC09" w14:textId="77777777" w:rsidTr="006066A2">
        <w:tc>
          <w:tcPr>
            <w:tcW w:w="1347" w:type="dxa"/>
            <w:shd w:val="clear" w:color="auto" w:fill="auto"/>
          </w:tcPr>
          <w:p w14:paraId="64137BE3" w14:textId="77777777" w:rsidR="001418CA" w:rsidRPr="008F735E" w:rsidRDefault="001418CA" w:rsidP="00447F49">
            <w:pPr>
              <w:keepNext/>
              <w:keepLines/>
              <w:tabs>
                <w:tab w:val="left" w:pos="106"/>
              </w:tabs>
              <w:spacing w:before="60" w:after="60"/>
              <w:ind w:left="108" w:hanging="108"/>
              <w:rPr>
                <w:sz w:val="14"/>
                <w:szCs w:val="14"/>
              </w:rPr>
            </w:pPr>
            <w:r w:rsidRPr="008F735E">
              <w:rPr>
                <w:sz w:val="14"/>
                <w:szCs w:val="14"/>
              </w:rPr>
              <w:tab/>
            </w:r>
            <w:r>
              <w:rPr>
                <w:sz w:val="14"/>
                <w:szCs w:val="14"/>
              </w:rPr>
              <w:t>b= 100%</w:t>
            </w:r>
          </w:p>
        </w:tc>
        <w:tc>
          <w:tcPr>
            <w:tcW w:w="992" w:type="dxa"/>
            <w:shd w:val="clear" w:color="auto" w:fill="auto"/>
            <w:vAlign w:val="bottom"/>
          </w:tcPr>
          <w:p w14:paraId="5A84AA01"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-9.0%</w:t>
            </w:r>
          </w:p>
        </w:tc>
        <w:tc>
          <w:tcPr>
            <w:tcW w:w="737" w:type="dxa"/>
            <w:shd w:val="clear" w:color="auto" w:fill="auto"/>
            <w:vAlign w:val="bottom"/>
          </w:tcPr>
          <w:p w14:paraId="2E7AC07B"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2.0%</w:t>
            </w:r>
          </w:p>
        </w:tc>
        <w:tc>
          <w:tcPr>
            <w:tcW w:w="681" w:type="dxa"/>
            <w:shd w:val="clear" w:color="auto" w:fill="auto"/>
            <w:vAlign w:val="bottom"/>
          </w:tcPr>
          <w:p w14:paraId="3636F98A"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1.2%</w:t>
            </w:r>
          </w:p>
        </w:tc>
        <w:tc>
          <w:tcPr>
            <w:tcW w:w="651" w:type="dxa"/>
            <w:shd w:val="clear" w:color="auto" w:fill="auto"/>
            <w:vAlign w:val="bottom"/>
          </w:tcPr>
          <w:p w14:paraId="760FE837"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-4.3%</w:t>
            </w:r>
          </w:p>
        </w:tc>
        <w:tc>
          <w:tcPr>
            <w:tcW w:w="666" w:type="dxa"/>
            <w:shd w:val="clear" w:color="auto" w:fill="auto"/>
            <w:vAlign w:val="bottom"/>
          </w:tcPr>
          <w:p w14:paraId="5B4C71F3"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-10.7%</w:t>
            </w:r>
          </w:p>
        </w:tc>
        <w:tc>
          <w:tcPr>
            <w:tcW w:w="667" w:type="dxa"/>
            <w:shd w:val="clear" w:color="auto" w:fill="auto"/>
            <w:vAlign w:val="bottom"/>
          </w:tcPr>
          <w:p w14:paraId="1EBC6DBE"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-16.4%</w:t>
            </w:r>
          </w:p>
        </w:tc>
        <w:tc>
          <w:tcPr>
            <w:tcW w:w="1134" w:type="dxa"/>
            <w:shd w:val="clear" w:color="auto" w:fill="auto"/>
            <w:vAlign w:val="bottom"/>
          </w:tcPr>
          <w:p w14:paraId="3DCACC2B"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-30.5%</w:t>
            </w:r>
          </w:p>
        </w:tc>
        <w:tc>
          <w:tcPr>
            <w:tcW w:w="851" w:type="dxa"/>
            <w:shd w:val="clear" w:color="auto" w:fill="auto"/>
            <w:vAlign w:val="bottom"/>
          </w:tcPr>
          <w:p w14:paraId="280765AA"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2.0%</w:t>
            </w:r>
          </w:p>
        </w:tc>
        <w:tc>
          <w:tcPr>
            <w:tcW w:w="1134" w:type="dxa"/>
            <w:shd w:val="clear" w:color="auto" w:fill="auto"/>
            <w:vAlign w:val="bottom"/>
          </w:tcPr>
          <w:p w14:paraId="3ED3EEA5"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-57.0%</w:t>
            </w:r>
          </w:p>
        </w:tc>
        <w:tc>
          <w:tcPr>
            <w:tcW w:w="921" w:type="dxa"/>
            <w:shd w:val="clear" w:color="auto" w:fill="auto"/>
            <w:vAlign w:val="bottom"/>
          </w:tcPr>
          <w:p w14:paraId="6376F925" w14:textId="77777777" w:rsidR="001418CA" w:rsidRPr="00B7061B" w:rsidRDefault="001418CA" w:rsidP="00447F49">
            <w:pPr>
              <w:keepNext/>
              <w:keepLines/>
              <w:tabs>
                <w:tab w:val="decimal" w:pos="256"/>
              </w:tabs>
              <w:spacing w:before="60" w:after="60"/>
              <w:jc w:val="center"/>
              <w:rPr>
                <w:sz w:val="14"/>
                <w:szCs w:val="14"/>
              </w:rPr>
            </w:pPr>
            <w:r w:rsidRPr="00B7061B">
              <w:rPr>
                <w:rFonts w:cs="Calibri"/>
                <w:color w:val="000000"/>
                <w:sz w:val="14"/>
                <w:szCs w:val="14"/>
              </w:rPr>
              <w:t>-81.2%</w:t>
            </w:r>
          </w:p>
        </w:tc>
      </w:tr>
    </w:tbl>
    <w:p w14:paraId="6EFA846F" w14:textId="77777777" w:rsidR="00B1522B" w:rsidRDefault="00B1522B" w:rsidP="001418CA">
      <w:pPr>
        <w:pStyle w:val="NumberedParagraph"/>
        <w:numPr>
          <w:ilvl w:val="0"/>
          <w:numId w:val="0"/>
        </w:numPr>
        <w:spacing w:after="0"/>
        <w:ind w:left="851" w:hanging="851"/>
      </w:pPr>
    </w:p>
    <w:p w14:paraId="1B2A8A49" w14:textId="428477F3" w:rsidR="00545740" w:rsidRPr="00F52546" w:rsidRDefault="00545740" w:rsidP="006165BB">
      <w:pPr>
        <w:pStyle w:val="NumberedParagraph"/>
      </w:pPr>
      <w:r w:rsidRPr="00F52546">
        <w:lastRenderedPageBreak/>
        <w:t xml:space="preserve">We draw attention to the following points illustrated </w:t>
      </w:r>
      <w:r w:rsidRPr="00E73896">
        <w:t>by table A2.</w:t>
      </w:r>
      <w:r w:rsidR="001B69AB">
        <w:t>6</w:t>
      </w:r>
      <w:r w:rsidRPr="00E73896">
        <w:t>:</w:t>
      </w:r>
    </w:p>
    <w:p w14:paraId="773E5BB0" w14:textId="6D1DADED" w:rsidR="00F4750F" w:rsidRDefault="00EF7F4D" w:rsidP="008C3DFF">
      <w:pPr>
        <w:pStyle w:val="NumberedParagraph-BulletL1"/>
      </w:pPr>
      <w:r>
        <w:t xml:space="preserve">For domestic companies with marginal </w:t>
      </w:r>
      <w:r w:rsidR="00FA37D8">
        <w:t xml:space="preserve">foreign </w:t>
      </w:r>
      <w:r w:rsidR="00D6096F">
        <w:t xml:space="preserve">portfolio </w:t>
      </w:r>
      <w:r w:rsidR="00FA37D8">
        <w:t xml:space="preserve">shareholders and an average level of debt </w:t>
      </w:r>
      <w:r w:rsidR="00002857">
        <w:t>of b = 43%</w:t>
      </w:r>
      <w:r w:rsidR="00743450">
        <w:t>,</w:t>
      </w:r>
      <w:r w:rsidR="00002857">
        <w:t xml:space="preserve"> </w:t>
      </w:r>
      <w:r w:rsidR="00FA37D8">
        <w:t xml:space="preserve">EMTRs vary between </w:t>
      </w:r>
      <w:r w:rsidR="0062033E">
        <w:t>27.6</w:t>
      </w:r>
      <w:r w:rsidR="00FA37D8">
        <w:t>%</w:t>
      </w:r>
      <w:r w:rsidR="001C4B26">
        <w:t xml:space="preserve"> </w:t>
      </w:r>
      <w:r w:rsidR="00837747">
        <w:br/>
      </w:r>
      <w:r w:rsidR="00FA37D8">
        <w:t>and</w:t>
      </w:r>
      <w:r w:rsidR="0043567E">
        <w:t xml:space="preserve"> </w:t>
      </w:r>
      <w:r w:rsidR="00FA37D8">
        <w:t>-2</w:t>
      </w:r>
      <w:r w:rsidR="0062033E">
        <w:t>3.3</w:t>
      </w:r>
      <w:r w:rsidR="00FA37D8">
        <w:t>%</w:t>
      </w:r>
      <w:r w:rsidR="004C02C3">
        <w:t>.</w:t>
      </w:r>
    </w:p>
    <w:p w14:paraId="5ABCFA09" w14:textId="554AFC41" w:rsidR="00122271" w:rsidRDefault="00D374F8" w:rsidP="008C3DFF">
      <w:pPr>
        <w:pStyle w:val="NumberedParagraph-BulletL1"/>
      </w:pPr>
      <w:r>
        <w:t>For foreign</w:t>
      </w:r>
      <w:r w:rsidR="00B04564">
        <w:t>-</w:t>
      </w:r>
      <w:r>
        <w:t>controlled companies with the</w:t>
      </w:r>
      <w:r w:rsidR="00002857">
        <w:t xml:space="preserve"> same level of debt</w:t>
      </w:r>
      <w:r w:rsidR="00743450">
        <w:t>,</w:t>
      </w:r>
      <w:r w:rsidR="00002857">
        <w:t xml:space="preserve"> </w:t>
      </w:r>
      <w:r w:rsidR="00F4750F">
        <w:t xml:space="preserve">EMTRs </w:t>
      </w:r>
      <w:r w:rsidR="00002857">
        <w:t>are slightly higher and vary between</w:t>
      </w:r>
      <w:r w:rsidR="00122271">
        <w:t xml:space="preserve"> 2</w:t>
      </w:r>
      <w:r w:rsidR="0062033E">
        <w:t>8.8</w:t>
      </w:r>
      <w:r w:rsidR="00122271">
        <w:t>% and -</w:t>
      </w:r>
      <w:r w:rsidR="0062033E">
        <w:t>20.7</w:t>
      </w:r>
      <w:r w:rsidR="00122271">
        <w:t>%.</w:t>
      </w:r>
      <w:r w:rsidR="003764A0">
        <w:t xml:space="preserve"> The slightly higher EMTRs </w:t>
      </w:r>
      <w:r w:rsidR="00551B8D">
        <w:t>are the consequen</w:t>
      </w:r>
      <w:r w:rsidR="00743450">
        <w:t>ce</w:t>
      </w:r>
      <w:r w:rsidR="00551B8D">
        <w:t xml:space="preserve"> of the higher tax rate </w:t>
      </w:r>
      <w:r w:rsidR="00694725">
        <w:t>for</w:t>
      </w:r>
      <w:r w:rsidR="00551B8D">
        <w:t xml:space="preserve"> NRWT </w:t>
      </w:r>
      <w:r w:rsidR="00084171">
        <w:t>compared with</w:t>
      </w:r>
      <w:r w:rsidR="00551B8D">
        <w:t xml:space="preserve"> AIL.</w:t>
      </w:r>
    </w:p>
    <w:p w14:paraId="5A3B03B2" w14:textId="75D347BD" w:rsidR="003A3BE5" w:rsidRDefault="00B04564" w:rsidP="008C3DFF">
      <w:pPr>
        <w:pStyle w:val="NumberedParagraph-BulletL1"/>
      </w:pPr>
      <w:r>
        <w:t>For foreign-controlled companies sitting on the thin capitalisation threshold of 60%</w:t>
      </w:r>
      <w:r w:rsidR="003A3BE5">
        <w:t>, EMTRs would vary between 2</w:t>
      </w:r>
      <w:r w:rsidR="0062033E">
        <w:t>3.7</w:t>
      </w:r>
      <w:r w:rsidR="003A3BE5">
        <w:t>% and -</w:t>
      </w:r>
      <w:r w:rsidR="0062033E">
        <w:t>31.4</w:t>
      </w:r>
      <w:r w:rsidR="003A3BE5">
        <w:t>%. They would be slightly lower than for domestic companies with average levels of debt.</w:t>
      </w:r>
    </w:p>
    <w:p w14:paraId="4A07D79A" w14:textId="3EC5A8A3" w:rsidR="00545740" w:rsidRPr="00F52546" w:rsidRDefault="006630B4" w:rsidP="008C3DFF">
      <w:pPr>
        <w:pStyle w:val="NumberedParagraph-BulletL1"/>
      </w:pPr>
      <w:r>
        <w:t>Allowing higher thin</w:t>
      </w:r>
      <w:r w:rsidR="00BC14B7">
        <w:t xml:space="preserve"> </w:t>
      </w:r>
      <w:r>
        <w:t>capitalis</w:t>
      </w:r>
      <w:r w:rsidR="005C0DA1">
        <w:t>a</w:t>
      </w:r>
      <w:r>
        <w:t>tion thresholds of 75% or 100% would lower EMTRs further</w:t>
      </w:r>
      <w:r w:rsidR="00DB6B74">
        <w:t xml:space="preserve"> for firms </w:t>
      </w:r>
      <w:r w:rsidR="00BC14B7">
        <w:t>that</w:t>
      </w:r>
      <w:r w:rsidR="00DB6B74">
        <w:t xml:space="preserve"> avail themselves of these higher debt levels</w:t>
      </w:r>
      <w:r>
        <w:t>.</w:t>
      </w:r>
      <w:r w:rsidR="00DB6B74">
        <w:t xml:space="preserve"> </w:t>
      </w:r>
      <w:r w:rsidR="00291A1B">
        <w:t xml:space="preserve">This would be </w:t>
      </w:r>
      <w:r w:rsidR="00721108">
        <w:t xml:space="preserve">providing an </w:t>
      </w:r>
      <w:r w:rsidR="00291A1B">
        <w:t>advantag</w:t>
      </w:r>
      <w:r w:rsidR="00721108">
        <w:t>e</w:t>
      </w:r>
      <w:r w:rsidR="00291A1B">
        <w:t xml:space="preserve"> </w:t>
      </w:r>
      <w:r w:rsidR="00721108">
        <w:t xml:space="preserve">to </w:t>
      </w:r>
      <w:r w:rsidR="00291A1B">
        <w:t>foreign</w:t>
      </w:r>
      <w:r w:rsidR="00721108">
        <w:t>-</w:t>
      </w:r>
      <w:r w:rsidR="00291A1B">
        <w:t>controlled companies that are currently likely to be clustered close to the 60% safe harbour.</w:t>
      </w:r>
      <w:r w:rsidR="00F3232D">
        <w:t xml:space="preserve"> </w:t>
      </w:r>
      <w:r w:rsidR="00790CDF">
        <w:t>T</w:t>
      </w:r>
      <w:r w:rsidR="004E66BC">
        <w:t>his would</w:t>
      </w:r>
      <w:r w:rsidR="00F3232D">
        <w:t xml:space="preserve"> not be </w:t>
      </w:r>
      <w:r w:rsidR="00182AA4">
        <w:t xml:space="preserve">reducing EMTRs for </w:t>
      </w:r>
      <w:r w:rsidR="00F3232D">
        <w:t>firms facing the highest EMTRs at present.</w:t>
      </w:r>
    </w:p>
    <w:p w14:paraId="3981BBB8" w14:textId="4168B095" w:rsidR="00AC6F7A" w:rsidRPr="004C02C3" w:rsidRDefault="003E03E0" w:rsidP="004C02C3">
      <w:pPr>
        <w:pStyle w:val="Heading2"/>
      </w:pPr>
      <w:bookmarkStart w:id="17" w:name="_Toc108451955"/>
      <w:r>
        <w:t>Different real interest rate</w:t>
      </w:r>
      <w:r w:rsidR="00165575">
        <w:t xml:space="preserve"> assumption</w:t>
      </w:r>
      <w:r>
        <w:t>s</w:t>
      </w:r>
      <w:bookmarkEnd w:id="17"/>
    </w:p>
    <w:p w14:paraId="27744F08" w14:textId="2AAAC758" w:rsidR="00165575" w:rsidRPr="004C02C3" w:rsidRDefault="00AF06AB" w:rsidP="004C02C3">
      <w:pPr>
        <w:pStyle w:val="NumberedParagraph"/>
      </w:pPr>
      <w:r w:rsidRPr="00F52546">
        <w:t>W</w:t>
      </w:r>
      <w:r w:rsidR="00B92AD8">
        <w:t>e have seen h</w:t>
      </w:r>
      <w:r w:rsidR="00B92AD8" w:rsidRPr="004C02C3">
        <w:t>ow small amounts of inflation can</w:t>
      </w:r>
      <w:r w:rsidR="00C02BA4" w:rsidRPr="004C02C3">
        <w:t xml:space="preserve"> create biases between different types of investment. However, throughout our analysis</w:t>
      </w:r>
      <w:r w:rsidR="00770886">
        <w:t>,</w:t>
      </w:r>
      <w:r w:rsidR="00C02BA4" w:rsidRPr="004C02C3">
        <w:t xml:space="preserve"> we have used the OECD</w:t>
      </w:r>
      <w:r w:rsidR="00E40919">
        <w:t>’s assumption of a 3% required real return on both debt and equity finance</w:t>
      </w:r>
      <w:r w:rsidR="006F5996" w:rsidRPr="004C02C3">
        <w:t xml:space="preserve">. As is discussed </w:t>
      </w:r>
      <w:r w:rsidR="006F5996" w:rsidRPr="00997B06">
        <w:t xml:space="preserve">in </w:t>
      </w:r>
      <w:r w:rsidR="005A7A0A" w:rsidRPr="00997B06">
        <w:t>a</w:t>
      </w:r>
      <w:r w:rsidR="006F5996" w:rsidRPr="00997B06">
        <w:t>ppendix</w:t>
      </w:r>
      <w:r w:rsidR="00D974A2" w:rsidRPr="00997B06">
        <w:t xml:space="preserve"> </w:t>
      </w:r>
      <w:r w:rsidR="003C6E6A" w:rsidRPr="00997B06">
        <w:t>4</w:t>
      </w:r>
      <w:r w:rsidR="00A53CF5" w:rsidRPr="00997B06">
        <w:t>,</w:t>
      </w:r>
      <w:r w:rsidR="00A53CF5" w:rsidRPr="004C02C3">
        <w:t xml:space="preserve"> there is some uncertainty as to the most appropriate real interest rate to assume. </w:t>
      </w:r>
      <w:r w:rsidR="0045221C">
        <w:t>H</w:t>
      </w:r>
      <w:r w:rsidR="00E47F9E" w:rsidRPr="004C02C3">
        <w:t xml:space="preserve">igher real interest rates have been used in </w:t>
      </w:r>
      <w:r w:rsidR="00410E04">
        <w:t xml:space="preserve">some </w:t>
      </w:r>
      <w:r w:rsidR="00E47F9E" w:rsidRPr="004C02C3">
        <w:t>other studies</w:t>
      </w:r>
      <w:r w:rsidR="00165575" w:rsidRPr="004C02C3">
        <w:t>.</w:t>
      </w:r>
      <w:r w:rsidR="00D17240" w:rsidRPr="004C02C3">
        <w:t xml:space="preserve"> In this section</w:t>
      </w:r>
      <w:r w:rsidR="005A7A0A">
        <w:t>,</w:t>
      </w:r>
      <w:r w:rsidR="00D17240" w:rsidRPr="004C02C3">
        <w:t xml:space="preserve"> we compare EMTRs </w:t>
      </w:r>
      <w:r w:rsidR="002D1DD7" w:rsidRPr="004C02C3">
        <w:t>for our set of assets with real interest rates of both 3% and 5%</w:t>
      </w:r>
      <w:r w:rsidR="000F3D90" w:rsidRPr="004C02C3">
        <w:t>.</w:t>
      </w:r>
    </w:p>
    <w:p w14:paraId="59727F5C" w14:textId="2139A936" w:rsidR="00802372" w:rsidRPr="004C02C3" w:rsidRDefault="00817142" w:rsidP="004C02C3">
      <w:pPr>
        <w:pStyle w:val="NumberedParagraph"/>
      </w:pPr>
      <w:r>
        <w:t>A</w:t>
      </w:r>
      <w:r w:rsidR="00A61107" w:rsidRPr="004C02C3">
        <w:t xml:space="preserve"> higher real interest rate will tend to reduce the biases caused by inflation. The biases caused by inflation will tend to be large when inflation rates are high relative to real interest rates.</w:t>
      </w:r>
    </w:p>
    <w:p w14:paraId="781A3739" w14:textId="74AE4AFD" w:rsidR="00721F01" w:rsidRDefault="00651E52" w:rsidP="00CA7C42">
      <w:pPr>
        <w:pStyle w:val="Caption"/>
      </w:pPr>
      <w:r w:rsidRPr="005558BB">
        <w:t xml:space="preserve">Table A2.7: EMTRs for domestic companies with foreign marginal </w:t>
      </w:r>
      <w:r>
        <w:t xml:space="preserve">portfolio </w:t>
      </w:r>
      <w:r w:rsidRPr="005558BB">
        <w:t>shareholders</w:t>
      </w:r>
      <w:r>
        <w:t>,</w:t>
      </w:r>
      <w:r w:rsidRPr="005558BB">
        <w:t xml:space="preserve"> t = 28%, debt = 43%, different values of r</w:t>
      </w:r>
      <w:r>
        <w:t>*</w:t>
      </w:r>
      <w:r w:rsidRPr="005558BB">
        <w:t xml:space="preserve"> and inflation</w:t>
      </w:r>
    </w:p>
    <w:tbl>
      <w:tblPr>
        <w:tblStyle w:val="TableGrid"/>
        <w:tblW w:w="9781" w:type="dxa"/>
        <w:tblInd w:w="-50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28" w:type="dxa"/>
          <w:right w:w="28" w:type="dxa"/>
        </w:tblCellMar>
        <w:tblLook w:val="04A0" w:firstRow="1" w:lastRow="0" w:firstColumn="1" w:lastColumn="0" w:noHBand="0" w:noVBand="1"/>
      </w:tblPr>
      <w:tblGrid>
        <w:gridCol w:w="1347"/>
        <w:gridCol w:w="992"/>
        <w:gridCol w:w="737"/>
        <w:gridCol w:w="681"/>
        <w:gridCol w:w="651"/>
        <w:gridCol w:w="666"/>
        <w:gridCol w:w="667"/>
        <w:gridCol w:w="1134"/>
        <w:gridCol w:w="851"/>
        <w:gridCol w:w="1134"/>
        <w:gridCol w:w="921"/>
      </w:tblGrid>
      <w:tr w:rsidR="00782EFE" w:rsidRPr="008F735E" w14:paraId="330FBC07" w14:textId="77777777" w:rsidTr="006066A2">
        <w:trPr>
          <w:tblHeader/>
        </w:trPr>
        <w:tc>
          <w:tcPr>
            <w:tcW w:w="1347" w:type="dxa"/>
            <w:shd w:val="clear" w:color="auto" w:fill="232E36"/>
          </w:tcPr>
          <w:p w14:paraId="031C9BA9" w14:textId="77777777" w:rsidR="00782EFE" w:rsidRPr="008F735E" w:rsidRDefault="00782EFE" w:rsidP="00447F49">
            <w:pPr>
              <w:keepNext/>
              <w:keepLines/>
              <w:spacing w:before="120" w:after="120"/>
              <w:rPr>
                <w:color w:val="FFFFFF" w:themeColor="background1"/>
                <w:sz w:val="14"/>
                <w:szCs w:val="14"/>
              </w:rPr>
            </w:pPr>
          </w:p>
        </w:tc>
        <w:tc>
          <w:tcPr>
            <w:tcW w:w="992" w:type="dxa"/>
            <w:shd w:val="clear" w:color="auto" w:fill="232E36"/>
          </w:tcPr>
          <w:p w14:paraId="7B8C62D4" w14:textId="77777777" w:rsidR="00782EFE" w:rsidRPr="008F735E" w:rsidRDefault="00782EFE" w:rsidP="00447F49">
            <w:pPr>
              <w:keepNext/>
              <w:keepLines/>
              <w:spacing w:before="120" w:after="120"/>
              <w:jc w:val="center"/>
              <w:rPr>
                <w:b/>
                <w:bCs/>
                <w:color w:val="FFFFFF" w:themeColor="background1"/>
                <w:sz w:val="14"/>
                <w:szCs w:val="14"/>
              </w:rPr>
            </w:pPr>
            <w:r w:rsidRPr="008F735E">
              <w:rPr>
                <w:b/>
                <w:bCs/>
                <w:color w:val="FFFFFF" w:themeColor="background1"/>
                <w:sz w:val="14"/>
                <w:szCs w:val="14"/>
              </w:rPr>
              <w:t>Commercial and industrial buildings</w:t>
            </w:r>
          </w:p>
        </w:tc>
        <w:tc>
          <w:tcPr>
            <w:tcW w:w="3402" w:type="dxa"/>
            <w:gridSpan w:val="5"/>
            <w:shd w:val="clear" w:color="auto" w:fill="232E36"/>
          </w:tcPr>
          <w:p w14:paraId="53B86750" w14:textId="77777777" w:rsidR="00782EFE" w:rsidRPr="008F735E" w:rsidRDefault="00782EFE" w:rsidP="00447F49">
            <w:pPr>
              <w:keepNext/>
              <w:keepLines/>
              <w:spacing w:before="120" w:after="120"/>
              <w:jc w:val="center"/>
              <w:rPr>
                <w:b/>
                <w:bCs/>
                <w:color w:val="FFFFFF" w:themeColor="background1"/>
                <w:sz w:val="14"/>
                <w:szCs w:val="14"/>
              </w:rPr>
            </w:pPr>
            <w:r w:rsidRPr="008F735E">
              <w:rPr>
                <w:b/>
                <w:bCs/>
                <w:color w:val="FFFFFF" w:themeColor="background1"/>
                <w:sz w:val="14"/>
                <w:szCs w:val="14"/>
              </w:rPr>
              <w:t xml:space="preserve">Plant, </w:t>
            </w:r>
            <w:proofErr w:type="gramStart"/>
            <w:r w:rsidRPr="008F735E">
              <w:rPr>
                <w:b/>
                <w:bCs/>
                <w:color w:val="FFFFFF" w:themeColor="background1"/>
                <w:sz w:val="14"/>
                <w:szCs w:val="14"/>
              </w:rPr>
              <w:t>machinery</w:t>
            </w:r>
            <w:proofErr w:type="gramEnd"/>
            <w:r w:rsidRPr="008F735E">
              <w:rPr>
                <w:b/>
                <w:bCs/>
                <w:color w:val="FFFFFF" w:themeColor="background1"/>
                <w:sz w:val="14"/>
                <w:szCs w:val="14"/>
              </w:rPr>
              <w:t xml:space="preserve"> and equipment</w:t>
            </w:r>
          </w:p>
        </w:tc>
        <w:tc>
          <w:tcPr>
            <w:tcW w:w="1134" w:type="dxa"/>
            <w:shd w:val="clear" w:color="auto" w:fill="232E36"/>
          </w:tcPr>
          <w:p w14:paraId="6460420D" w14:textId="77777777" w:rsidR="00782EFE" w:rsidRPr="008F735E" w:rsidRDefault="00782EFE" w:rsidP="00447F49">
            <w:pPr>
              <w:keepNext/>
              <w:keepLines/>
              <w:spacing w:before="120" w:after="120"/>
              <w:jc w:val="center"/>
              <w:rPr>
                <w:b/>
                <w:bCs/>
                <w:color w:val="FFFFFF" w:themeColor="background1"/>
                <w:sz w:val="14"/>
                <w:szCs w:val="14"/>
              </w:rPr>
            </w:pPr>
            <w:r w:rsidRPr="008F735E">
              <w:rPr>
                <w:b/>
                <w:bCs/>
                <w:color w:val="FFFFFF" w:themeColor="background1"/>
                <w:sz w:val="14"/>
                <w:szCs w:val="14"/>
              </w:rPr>
              <w:t>Zero</w:t>
            </w:r>
            <w:r>
              <w:rPr>
                <w:b/>
                <w:bCs/>
                <w:color w:val="FFFFFF" w:themeColor="background1"/>
                <w:sz w:val="14"/>
                <w:szCs w:val="14"/>
              </w:rPr>
              <w:t>-</w:t>
            </w:r>
            <w:r w:rsidRPr="008F735E">
              <w:rPr>
                <w:b/>
                <w:bCs/>
                <w:color w:val="FFFFFF" w:themeColor="background1"/>
                <w:sz w:val="14"/>
                <w:szCs w:val="14"/>
              </w:rPr>
              <w:t>depreciating assets</w:t>
            </w:r>
          </w:p>
        </w:tc>
        <w:tc>
          <w:tcPr>
            <w:tcW w:w="851" w:type="dxa"/>
            <w:shd w:val="clear" w:color="auto" w:fill="232E36"/>
          </w:tcPr>
          <w:p w14:paraId="5BD2CC54" w14:textId="77777777" w:rsidR="00782EFE" w:rsidRPr="008F735E" w:rsidRDefault="00782EFE" w:rsidP="00447F49">
            <w:pPr>
              <w:keepNext/>
              <w:keepLines/>
              <w:spacing w:before="120" w:after="120"/>
              <w:jc w:val="center"/>
              <w:rPr>
                <w:b/>
                <w:bCs/>
                <w:color w:val="FFFFFF" w:themeColor="background1"/>
                <w:sz w:val="14"/>
                <w:szCs w:val="14"/>
              </w:rPr>
            </w:pPr>
            <w:r w:rsidRPr="008F735E">
              <w:rPr>
                <w:b/>
                <w:bCs/>
                <w:color w:val="FFFFFF" w:themeColor="background1"/>
                <w:sz w:val="14"/>
                <w:szCs w:val="14"/>
              </w:rPr>
              <w:t>Inventory</w:t>
            </w:r>
          </w:p>
        </w:tc>
        <w:tc>
          <w:tcPr>
            <w:tcW w:w="1134" w:type="dxa"/>
            <w:shd w:val="clear" w:color="auto" w:fill="232E36"/>
          </w:tcPr>
          <w:p w14:paraId="40F5AA07" w14:textId="77777777" w:rsidR="00782EFE" w:rsidRPr="008F735E" w:rsidRDefault="00782EFE" w:rsidP="00447F49">
            <w:pPr>
              <w:keepNext/>
              <w:keepLines/>
              <w:spacing w:before="120" w:after="120"/>
              <w:jc w:val="center"/>
              <w:rPr>
                <w:b/>
                <w:bCs/>
                <w:color w:val="FFFFFF" w:themeColor="background1"/>
                <w:sz w:val="14"/>
                <w:szCs w:val="14"/>
              </w:rPr>
            </w:pPr>
            <w:r w:rsidRPr="008F735E">
              <w:rPr>
                <w:b/>
                <w:bCs/>
                <w:color w:val="FFFFFF" w:themeColor="background1"/>
                <w:sz w:val="14"/>
                <w:szCs w:val="14"/>
              </w:rPr>
              <w:t>Appreciating assets</w:t>
            </w:r>
          </w:p>
        </w:tc>
        <w:tc>
          <w:tcPr>
            <w:tcW w:w="921" w:type="dxa"/>
            <w:shd w:val="clear" w:color="auto" w:fill="232E36"/>
          </w:tcPr>
          <w:p w14:paraId="2B889D85" w14:textId="77777777" w:rsidR="00782EFE" w:rsidRPr="008F735E" w:rsidRDefault="00782EFE" w:rsidP="00447F49">
            <w:pPr>
              <w:keepNext/>
              <w:keepLines/>
              <w:spacing w:before="120" w:after="120"/>
              <w:jc w:val="center"/>
              <w:rPr>
                <w:b/>
                <w:bCs/>
                <w:color w:val="FFFFFF" w:themeColor="background1"/>
                <w:sz w:val="14"/>
                <w:szCs w:val="14"/>
              </w:rPr>
            </w:pPr>
            <w:r w:rsidRPr="008F735E">
              <w:rPr>
                <w:b/>
                <w:bCs/>
                <w:color w:val="FFFFFF" w:themeColor="background1"/>
                <w:sz w:val="14"/>
                <w:szCs w:val="14"/>
              </w:rPr>
              <w:t>Expensing</w:t>
            </w:r>
          </w:p>
        </w:tc>
      </w:tr>
      <w:tr w:rsidR="00782EFE" w:rsidRPr="008F735E" w14:paraId="790231D1" w14:textId="77777777" w:rsidTr="006066A2">
        <w:tc>
          <w:tcPr>
            <w:tcW w:w="1347" w:type="dxa"/>
            <w:shd w:val="clear" w:color="auto" w:fill="auto"/>
            <w:vAlign w:val="bottom"/>
          </w:tcPr>
          <w:p w14:paraId="7DAD21AB" w14:textId="77777777" w:rsidR="00782EFE" w:rsidRPr="00CF778C" w:rsidRDefault="00782EFE" w:rsidP="00447F49">
            <w:pPr>
              <w:keepNext/>
              <w:keepLines/>
              <w:tabs>
                <w:tab w:val="left" w:pos="106"/>
              </w:tabs>
              <w:spacing w:before="60" w:after="60"/>
              <w:rPr>
                <w:rStyle w:val="Strong"/>
                <w:b w:val="0"/>
                <w:bCs w:val="0"/>
                <w:sz w:val="14"/>
                <w:szCs w:val="14"/>
              </w:rPr>
            </w:pPr>
            <w:r>
              <w:rPr>
                <w:rStyle w:val="Strong"/>
                <w:sz w:val="14"/>
                <w:szCs w:val="14"/>
              </w:rPr>
              <w:t>d</w:t>
            </w:r>
          </w:p>
        </w:tc>
        <w:tc>
          <w:tcPr>
            <w:tcW w:w="992" w:type="dxa"/>
            <w:vAlign w:val="center"/>
          </w:tcPr>
          <w:p w14:paraId="75F1A81C" w14:textId="77777777" w:rsidR="00782EFE" w:rsidRPr="008F735E" w:rsidRDefault="00782EFE" w:rsidP="00447F49">
            <w:pPr>
              <w:keepNext/>
              <w:keepLines/>
              <w:tabs>
                <w:tab w:val="decimal" w:pos="256"/>
              </w:tabs>
              <w:spacing w:before="60" w:after="60"/>
              <w:jc w:val="center"/>
              <w:rPr>
                <w:sz w:val="14"/>
                <w:szCs w:val="14"/>
              </w:rPr>
            </w:pPr>
            <w:r w:rsidRPr="008F735E">
              <w:rPr>
                <w:sz w:val="14"/>
                <w:szCs w:val="14"/>
              </w:rPr>
              <w:t>2.69%</w:t>
            </w:r>
          </w:p>
        </w:tc>
        <w:tc>
          <w:tcPr>
            <w:tcW w:w="737" w:type="dxa"/>
            <w:vAlign w:val="center"/>
          </w:tcPr>
          <w:p w14:paraId="52CB3846" w14:textId="77777777" w:rsidR="00782EFE" w:rsidRPr="008F735E" w:rsidRDefault="00782EFE" w:rsidP="00447F49">
            <w:pPr>
              <w:keepNext/>
              <w:keepLines/>
              <w:tabs>
                <w:tab w:val="decimal" w:pos="256"/>
              </w:tabs>
              <w:spacing w:before="60" w:after="60"/>
              <w:jc w:val="center"/>
              <w:rPr>
                <w:sz w:val="14"/>
                <w:szCs w:val="14"/>
              </w:rPr>
            </w:pPr>
            <w:r w:rsidRPr="008F735E">
              <w:rPr>
                <w:sz w:val="14"/>
                <w:szCs w:val="14"/>
              </w:rPr>
              <w:t>100.00%</w:t>
            </w:r>
          </w:p>
        </w:tc>
        <w:tc>
          <w:tcPr>
            <w:tcW w:w="681" w:type="dxa"/>
            <w:vAlign w:val="center"/>
          </w:tcPr>
          <w:p w14:paraId="593ACA3E" w14:textId="77777777" w:rsidR="00782EFE" w:rsidRPr="008F735E" w:rsidRDefault="00782EFE" w:rsidP="00447F49">
            <w:pPr>
              <w:keepNext/>
              <w:keepLines/>
              <w:tabs>
                <w:tab w:val="decimal" w:pos="256"/>
              </w:tabs>
              <w:spacing w:before="60" w:after="60"/>
              <w:jc w:val="center"/>
              <w:rPr>
                <w:sz w:val="14"/>
                <w:szCs w:val="14"/>
              </w:rPr>
            </w:pPr>
            <w:r w:rsidRPr="008F735E">
              <w:rPr>
                <w:sz w:val="14"/>
                <w:szCs w:val="14"/>
              </w:rPr>
              <w:t>50.00%</w:t>
            </w:r>
          </w:p>
        </w:tc>
        <w:tc>
          <w:tcPr>
            <w:tcW w:w="651" w:type="dxa"/>
            <w:vAlign w:val="center"/>
          </w:tcPr>
          <w:p w14:paraId="3F6D8D2E" w14:textId="77777777" w:rsidR="00782EFE" w:rsidRPr="008F735E" w:rsidRDefault="00782EFE" w:rsidP="00447F49">
            <w:pPr>
              <w:keepNext/>
              <w:keepLines/>
              <w:tabs>
                <w:tab w:val="decimal" w:pos="256"/>
              </w:tabs>
              <w:spacing w:before="60" w:after="60"/>
              <w:jc w:val="center"/>
              <w:rPr>
                <w:sz w:val="14"/>
                <w:szCs w:val="14"/>
              </w:rPr>
            </w:pPr>
            <w:r w:rsidRPr="008F735E">
              <w:rPr>
                <w:sz w:val="14"/>
                <w:szCs w:val="14"/>
              </w:rPr>
              <w:t>10.00%</w:t>
            </w:r>
          </w:p>
        </w:tc>
        <w:tc>
          <w:tcPr>
            <w:tcW w:w="666" w:type="dxa"/>
            <w:vAlign w:val="center"/>
          </w:tcPr>
          <w:p w14:paraId="68CE03B0" w14:textId="77777777" w:rsidR="00782EFE" w:rsidRPr="008F735E" w:rsidRDefault="00782EFE" w:rsidP="00447F49">
            <w:pPr>
              <w:keepNext/>
              <w:keepLines/>
              <w:tabs>
                <w:tab w:val="decimal" w:pos="256"/>
              </w:tabs>
              <w:spacing w:before="60" w:after="60"/>
              <w:jc w:val="center"/>
              <w:rPr>
                <w:sz w:val="14"/>
                <w:szCs w:val="14"/>
              </w:rPr>
            </w:pPr>
            <w:r w:rsidRPr="008F735E">
              <w:rPr>
                <w:sz w:val="14"/>
                <w:szCs w:val="14"/>
              </w:rPr>
              <w:t>4.00%</w:t>
            </w:r>
          </w:p>
        </w:tc>
        <w:tc>
          <w:tcPr>
            <w:tcW w:w="667" w:type="dxa"/>
            <w:vAlign w:val="center"/>
          </w:tcPr>
          <w:p w14:paraId="427058F2" w14:textId="77777777" w:rsidR="00782EFE" w:rsidRPr="008F735E" w:rsidRDefault="00782EFE" w:rsidP="00447F49">
            <w:pPr>
              <w:keepNext/>
              <w:keepLines/>
              <w:tabs>
                <w:tab w:val="decimal" w:pos="256"/>
              </w:tabs>
              <w:spacing w:before="60" w:after="60"/>
              <w:jc w:val="center"/>
              <w:rPr>
                <w:sz w:val="14"/>
                <w:szCs w:val="14"/>
              </w:rPr>
            </w:pPr>
            <w:r w:rsidRPr="008F735E">
              <w:rPr>
                <w:sz w:val="14"/>
                <w:szCs w:val="14"/>
              </w:rPr>
              <w:t>2.00%</w:t>
            </w:r>
          </w:p>
        </w:tc>
        <w:tc>
          <w:tcPr>
            <w:tcW w:w="1134" w:type="dxa"/>
            <w:vAlign w:val="center"/>
          </w:tcPr>
          <w:p w14:paraId="6B1105DE" w14:textId="77777777" w:rsidR="00782EFE" w:rsidRPr="008F735E" w:rsidRDefault="00782EFE" w:rsidP="00447F49">
            <w:pPr>
              <w:keepNext/>
              <w:keepLines/>
              <w:tabs>
                <w:tab w:val="decimal" w:pos="256"/>
              </w:tabs>
              <w:spacing w:before="60" w:after="60"/>
              <w:jc w:val="center"/>
              <w:rPr>
                <w:sz w:val="14"/>
                <w:szCs w:val="14"/>
              </w:rPr>
            </w:pPr>
            <w:r w:rsidRPr="008F735E">
              <w:rPr>
                <w:sz w:val="14"/>
                <w:szCs w:val="14"/>
              </w:rPr>
              <w:t>0.00%</w:t>
            </w:r>
          </w:p>
        </w:tc>
        <w:tc>
          <w:tcPr>
            <w:tcW w:w="851" w:type="dxa"/>
            <w:vAlign w:val="center"/>
          </w:tcPr>
          <w:p w14:paraId="071AFA35" w14:textId="77777777" w:rsidR="00782EFE" w:rsidRPr="008F735E" w:rsidRDefault="00782EFE" w:rsidP="00447F49">
            <w:pPr>
              <w:keepNext/>
              <w:keepLines/>
              <w:tabs>
                <w:tab w:val="decimal" w:pos="256"/>
              </w:tabs>
              <w:spacing w:before="60" w:after="60"/>
              <w:jc w:val="center"/>
              <w:rPr>
                <w:sz w:val="14"/>
                <w:szCs w:val="14"/>
              </w:rPr>
            </w:pPr>
          </w:p>
        </w:tc>
        <w:tc>
          <w:tcPr>
            <w:tcW w:w="1134" w:type="dxa"/>
            <w:vAlign w:val="center"/>
          </w:tcPr>
          <w:p w14:paraId="30FD6DBD" w14:textId="77777777" w:rsidR="00782EFE" w:rsidRPr="008F735E" w:rsidRDefault="00782EFE" w:rsidP="00447F49">
            <w:pPr>
              <w:keepNext/>
              <w:keepLines/>
              <w:tabs>
                <w:tab w:val="decimal" w:pos="256"/>
              </w:tabs>
              <w:spacing w:before="60" w:after="60"/>
              <w:jc w:val="center"/>
              <w:rPr>
                <w:sz w:val="14"/>
                <w:szCs w:val="14"/>
              </w:rPr>
            </w:pPr>
            <w:r w:rsidRPr="008F735E">
              <w:rPr>
                <w:sz w:val="14"/>
                <w:szCs w:val="14"/>
              </w:rPr>
              <w:t>-1.00%</w:t>
            </w:r>
          </w:p>
        </w:tc>
        <w:tc>
          <w:tcPr>
            <w:tcW w:w="921" w:type="dxa"/>
            <w:vAlign w:val="center"/>
          </w:tcPr>
          <w:p w14:paraId="0567C521" w14:textId="77777777" w:rsidR="00782EFE" w:rsidRPr="008F735E" w:rsidRDefault="00782EFE" w:rsidP="00447F49">
            <w:pPr>
              <w:keepNext/>
              <w:keepLines/>
              <w:tabs>
                <w:tab w:val="decimal" w:pos="256"/>
              </w:tabs>
              <w:spacing w:before="60" w:after="60"/>
              <w:jc w:val="center"/>
              <w:rPr>
                <w:sz w:val="14"/>
                <w:szCs w:val="14"/>
              </w:rPr>
            </w:pPr>
          </w:p>
        </w:tc>
      </w:tr>
      <w:tr w:rsidR="00782EFE" w:rsidRPr="008F735E" w14:paraId="5B73C606" w14:textId="77777777" w:rsidTr="006066A2">
        <w:tc>
          <w:tcPr>
            <w:tcW w:w="1347" w:type="dxa"/>
            <w:shd w:val="clear" w:color="auto" w:fill="auto"/>
            <w:vAlign w:val="bottom"/>
          </w:tcPr>
          <w:p w14:paraId="643E0CEB" w14:textId="77777777" w:rsidR="00782EFE" w:rsidRPr="00CF778C" w:rsidRDefault="00782EFE" w:rsidP="00447F49">
            <w:pPr>
              <w:keepNext/>
              <w:keepLines/>
              <w:tabs>
                <w:tab w:val="left" w:pos="106"/>
              </w:tabs>
              <w:spacing w:before="60" w:after="60"/>
              <w:rPr>
                <w:rStyle w:val="Strong"/>
                <w:b w:val="0"/>
                <w:bCs w:val="0"/>
                <w:sz w:val="14"/>
                <w:szCs w:val="14"/>
              </w:rPr>
            </w:pPr>
            <w:r>
              <w:rPr>
                <w:rStyle w:val="Strong"/>
                <w:sz w:val="14"/>
                <w:szCs w:val="14"/>
              </w:rPr>
              <w:t>d*</w:t>
            </w:r>
          </w:p>
        </w:tc>
        <w:tc>
          <w:tcPr>
            <w:tcW w:w="992" w:type="dxa"/>
            <w:vAlign w:val="center"/>
          </w:tcPr>
          <w:p w14:paraId="3B828616" w14:textId="77777777" w:rsidR="00782EFE" w:rsidRPr="008F735E" w:rsidRDefault="00782EFE" w:rsidP="00447F49">
            <w:pPr>
              <w:keepNext/>
              <w:keepLines/>
              <w:tabs>
                <w:tab w:val="decimal" w:pos="256"/>
              </w:tabs>
              <w:spacing w:before="60" w:after="60"/>
              <w:jc w:val="center"/>
              <w:rPr>
                <w:sz w:val="14"/>
                <w:szCs w:val="14"/>
              </w:rPr>
            </w:pPr>
            <w:r w:rsidRPr="008F735E">
              <w:rPr>
                <w:sz w:val="14"/>
                <w:szCs w:val="14"/>
              </w:rPr>
              <w:t>2.00%</w:t>
            </w:r>
          </w:p>
        </w:tc>
        <w:tc>
          <w:tcPr>
            <w:tcW w:w="737" w:type="dxa"/>
            <w:vAlign w:val="center"/>
          </w:tcPr>
          <w:p w14:paraId="195ED75B" w14:textId="77777777" w:rsidR="00782EFE" w:rsidRPr="008F735E" w:rsidRDefault="00782EFE" w:rsidP="00447F49">
            <w:pPr>
              <w:keepNext/>
              <w:keepLines/>
              <w:tabs>
                <w:tab w:val="decimal" w:pos="256"/>
              </w:tabs>
              <w:spacing w:before="60" w:after="60"/>
              <w:jc w:val="center"/>
              <w:rPr>
                <w:sz w:val="14"/>
                <w:szCs w:val="14"/>
              </w:rPr>
            </w:pPr>
            <w:r w:rsidRPr="008F735E">
              <w:rPr>
                <w:sz w:val="14"/>
                <w:szCs w:val="14"/>
              </w:rPr>
              <w:t>100.00%</w:t>
            </w:r>
          </w:p>
        </w:tc>
        <w:tc>
          <w:tcPr>
            <w:tcW w:w="681" w:type="dxa"/>
            <w:vAlign w:val="center"/>
          </w:tcPr>
          <w:p w14:paraId="66787DF8" w14:textId="77777777" w:rsidR="00782EFE" w:rsidRPr="008F735E" w:rsidRDefault="00782EFE" w:rsidP="00447F49">
            <w:pPr>
              <w:keepNext/>
              <w:keepLines/>
              <w:tabs>
                <w:tab w:val="decimal" w:pos="256"/>
              </w:tabs>
              <w:spacing w:before="60" w:after="60"/>
              <w:jc w:val="center"/>
              <w:rPr>
                <w:sz w:val="14"/>
                <w:szCs w:val="14"/>
              </w:rPr>
            </w:pPr>
            <w:r w:rsidRPr="008F735E">
              <w:rPr>
                <w:sz w:val="14"/>
                <w:szCs w:val="14"/>
              </w:rPr>
              <w:t>50.00%</w:t>
            </w:r>
          </w:p>
        </w:tc>
        <w:tc>
          <w:tcPr>
            <w:tcW w:w="651" w:type="dxa"/>
            <w:vAlign w:val="center"/>
          </w:tcPr>
          <w:p w14:paraId="378590F9" w14:textId="77777777" w:rsidR="00782EFE" w:rsidRPr="008F735E" w:rsidRDefault="00782EFE" w:rsidP="00447F49">
            <w:pPr>
              <w:keepNext/>
              <w:keepLines/>
              <w:tabs>
                <w:tab w:val="decimal" w:pos="256"/>
              </w:tabs>
              <w:spacing w:before="60" w:after="60"/>
              <w:jc w:val="center"/>
              <w:rPr>
                <w:sz w:val="14"/>
                <w:szCs w:val="14"/>
              </w:rPr>
            </w:pPr>
            <w:r w:rsidRPr="008F735E">
              <w:rPr>
                <w:sz w:val="14"/>
                <w:szCs w:val="14"/>
              </w:rPr>
              <w:t>10.00%</w:t>
            </w:r>
          </w:p>
        </w:tc>
        <w:tc>
          <w:tcPr>
            <w:tcW w:w="666" w:type="dxa"/>
            <w:vAlign w:val="center"/>
          </w:tcPr>
          <w:p w14:paraId="1A17804B" w14:textId="77777777" w:rsidR="00782EFE" w:rsidRPr="008F735E" w:rsidRDefault="00782EFE" w:rsidP="00447F49">
            <w:pPr>
              <w:keepNext/>
              <w:keepLines/>
              <w:tabs>
                <w:tab w:val="decimal" w:pos="256"/>
              </w:tabs>
              <w:spacing w:before="60" w:after="60"/>
              <w:jc w:val="center"/>
              <w:rPr>
                <w:sz w:val="14"/>
                <w:szCs w:val="14"/>
              </w:rPr>
            </w:pPr>
            <w:r w:rsidRPr="008F735E">
              <w:rPr>
                <w:sz w:val="14"/>
                <w:szCs w:val="14"/>
              </w:rPr>
              <w:t>4.00%</w:t>
            </w:r>
          </w:p>
        </w:tc>
        <w:tc>
          <w:tcPr>
            <w:tcW w:w="667" w:type="dxa"/>
            <w:vAlign w:val="center"/>
          </w:tcPr>
          <w:p w14:paraId="12A17CF0" w14:textId="77777777" w:rsidR="00782EFE" w:rsidRPr="008F735E" w:rsidRDefault="00782EFE" w:rsidP="00447F49">
            <w:pPr>
              <w:keepNext/>
              <w:keepLines/>
              <w:tabs>
                <w:tab w:val="decimal" w:pos="256"/>
              </w:tabs>
              <w:spacing w:before="60" w:after="60"/>
              <w:jc w:val="center"/>
              <w:rPr>
                <w:sz w:val="14"/>
                <w:szCs w:val="14"/>
              </w:rPr>
            </w:pPr>
            <w:r w:rsidRPr="008F735E">
              <w:rPr>
                <w:sz w:val="14"/>
                <w:szCs w:val="14"/>
              </w:rPr>
              <w:t>2.00%</w:t>
            </w:r>
          </w:p>
        </w:tc>
        <w:tc>
          <w:tcPr>
            <w:tcW w:w="1134" w:type="dxa"/>
            <w:vAlign w:val="center"/>
          </w:tcPr>
          <w:p w14:paraId="5842C5CC" w14:textId="77777777" w:rsidR="00782EFE" w:rsidRPr="008F735E" w:rsidRDefault="00782EFE" w:rsidP="00447F49">
            <w:pPr>
              <w:keepNext/>
              <w:keepLines/>
              <w:tabs>
                <w:tab w:val="decimal" w:pos="256"/>
              </w:tabs>
              <w:spacing w:before="60" w:after="60"/>
              <w:jc w:val="center"/>
              <w:rPr>
                <w:sz w:val="14"/>
                <w:szCs w:val="14"/>
              </w:rPr>
            </w:pPr>
            <w:r w:rsidRPr="008F735E">
              <w:rPr>
                <w:sz w:val="14"/>
                <w:szCs w:val="14"/>
              </w:rPr>
              <w:t>0.00%</w:t>
            </w:r>
          </w:p>
        </w:tc>
        <w:tc>
          <w:tcPr>
            <w:tcW w:w="851" w:type="dxa"/>
            <w:vAlign w:val="center"/>
          </w:tcPr>
          <w:p w14:paraId="14AB0F4F" w14:textId="77777777" w:rsidR="00782EFE" w:rsidRPr="008F735E" w:rsidRDefault="00782EFE" w:rsidP="00447F49">
            <w:pPr>
              <w:keepNext/>
              <w:keepLines/>
              <w:tabs>
                <w:tab w:val="decimal" w:pos="256"/>
              </w:tabs>
              <w:spacing w:before="60" w:after="60"/>
              <w:jc w:val="center"/>
              <w:rPr>
                <w:sz w:val="14"/>
                <w:szCs w:val="14"/>
              </w:rPr>
            </w:pPr>
          </w:p>
        </w:tc>
        <w:tc>
          <w:tcPr>
            <w:tcW w:w="1134" w:type="dxa"/>
            <w:vAlign w:val="center"/>
          </w:tcPr>
          <w:p w14:paraId="01770845" w14:textId="77777777" w:rsidR="00782EFE" w:rsidRPr="008F735E" w:rsidRDefault="00782EFE" w:rsidP="00447F49">
            <w:pPr>
              <w:keepNext/>
              <w:keepLines/>
              <w:tabs>
                <w:tab w:val="decimal" w:pos="256"/>
              </w:tabs>
              <w:spacing w:before="60" w:after="60"/>
              <w:jc w:val="center"/>
              <w:rPr>
                <w:sz w:val="14"/>
                <w:szCs w:val="14"/>
              </w:rPr>
            </w:pPr>
            <w:r w:rsidRPr="008F735E">
              <w:rPr>
                <w:sz w:val="14"/>
                <w:szCs w:val="14"/>
              </w:rPr>
              <w:t>0.00%</w:t>
            </w:r>
          </w:p>
        </w:tc>
        <w:tc>
          <w:tcPr>
            <w:tcW w:w="921" w:type="dxa"/>
            <w:vAlign w:val="center"/>
          </w:tcPr>
          <w:p w14:paraId="4E84E5E1" w14:textId="77777777" w:rsidR="00782EFE" w:rsidRPr="008F735E" w:rsidRDefault="00782EFE" w:rsidP="00447F49">
            <w:pPr>
              <w:keepNext/>
              <w:keepLines/>
              <w:tabs>
                <w:tab w:val="decimal" w:pos="256"/>
              </w:tabs>
              <w:spacing w:before="60" w:after="60"/>
              <w:jc w:val="center"/>
              <w:rPr>
                <w:sz w:val="14"/>
                <w:szCs w:val="14"/>
              </w:rPr>
            </w:pPr>
          </w:p>
        </w:tc>
      </w:tr>
      <w:tr w:rsidR="00782EFE" w:rsidRPr="008F735E" w14:paraId="4EB405AC" w14:textId="77777777" w:rsidTr="006066A2">
        <w:tc>
          <w:tcPr>
            <w:tcW w:w="1347" w:type="dxa"/>
            <w:shd w:val="clear" w:color="auto" w:fill="auto"/>
            <w:vAlign w:val="bottom"/>
          </w:tcPr>
          <w:p w14:paraId="0380BEF5" w14:textId="5D7FCBD0" w:rsidR="00782EFE" w:rsidRPr="008F735E" w:rsidRDefault="00815783" w:rsidP="00447F49">
            <w:pPr>
              <w:keepNext/>
              <w:keepLines/>
              <w:tabs>
                <w:tab w:val="left" w:pos="106"/>
              </w:tabs>
              <w:spacing w:before="60" w:after="60"/>
              <w:rPr>
                <w:b/>
                <w:bCs/>
                <w:sz w:val="14"/>
                <w:szCs w:val="14"/>
              </w:rPr>
            </w:pPr>
            <w:r>
              <w:rPr>
                <w:sz w:val="14"/>
                <w:szCs w:val="14"/>
              </w:rPr>
              <w:t>r = 3%</w:t>
            </w:r>
          </w:p>
        </w:tc>
        <w:tc>
          <w:tcPr>
            <w:tcW w:w="992" w:type="dxa"/>
            <w:vAlign w:val="center"/>
          </w:tcPr>
          <w:p w14:paraId="7D2A6A42" w14:textId="77777777" w:rsidR="00782EFE" w:rsidRPr="008F735E" w:rsidRDefault="00782EFE" w:rsidP="00447F49">
            <w:pPr>
              <w:keepNext/>
              <w:keepLines/>
              <w:tabs>
                <w:tab w:val="decimal" w:pos="256"/>
              </w:tabs>
              <w:spacing w:before="60" w:after="60"/>
              <w:jc w:val="center"/>
              <w:rPr>
                <w:sz w:val="14"/>
                <w:szCs w:val="14"/>
              </w:rPr>
            </w:pPr>
          </w:p>
        </w:tc>
        <w:tc>
          <w:tcPr>
            <w:tcW w:w="737" w:type="dxa"/>
            <w:vAlign w:val="center"/>
          </w:tcPr>
          <w:p w14:paraId="5F3B5B17" w14:textId="77777777" w:rsidR="00782EFE" w:rsidRPr="008F735E" w:rsidRDefault="00782EFE" w:rsidP="00447F49">
            <w:pPr>
              <w:keepNext/>
              <w:keepLines/>
              <w:tabs>
                <w:tab w:val="decimal" w:pos="256"/>
              </w:tabs>
              <w:spacing w:before="60" w:after="60"/>
              <w:jc w:val="center"/>
              <w:rPr>
                <w:sz w:val="14"/>
                <w:szCs w:val="14"/>
              </w:rPr>
            </w:pPr>
          </w:p>
        </w:tc>
        <w:tc>
          <w:tcPr>
            <w:tcW w:w="681" w:type="dxa"/>
            <w:vAlign w:val="center"/>
          </w:tcPr>
          <w:p w14:paraId="0322579A" w14:textId="77777777" w:rsidR="00782EFE" w:rsidRPr="008F735E" w:rsidRDefault="00782EFE" w:rsidP="00447F49">
            <w:pPr>
              <w:keepNext/>
              <w:keepLines/>
              <w:tabs>
                <w:tab w:val="decimal" w:pos="256"/>
              </w:tabs>
              <w:spacing w:before="60" w:after="60"/>
              <w:jc w:val="center"/>
              <w:rPr>
                <w:sz w:val="14"/>
                <w:szCs w:val="14"/>
              </w:rPr>
            </w:pPr>
          </w:p>
        </w:tc>
        <w:tc>
          <w:tcPr>
            <w:tcW w:w="651" w:type="dxa"/>
            <w:vAlign w:val="center"/>
          </w:tcPr>
          <w:p w14:paraId="5787650B" w14:textId="77777777" w:rsidR="00782EFE" w:rsidRPr="008F735E" w:rsidRDefault="00782EFE" w:rsidP="00447F49">
            <w:pPr>
              <w:keepNext/>
              <w:keepLines/>
              <w:tabs>
                <w:tab w:val="decimal" w:pos="256"/>
              </w:tabs>
              <w:spacing w:before="60" w:after="60"/>
              <w:jc w:val="center"/>
              <w:rPr>
                <w:sz w:val="14"/>
                <w:szCs w:val="14"/>
              </w:rPr>
            </w:pPr>
          </w:p>
        </w:tc>
        <w:tc>
          <w:tcPr>
            <w:tcW w:w="666" w:type="dxa"/>
            <w:vAlign w:val="center"/>
          </w:tcPr>
          <w:p w14:paraId="003C3663" w14:textId="77777777" w:rsidR="00782EFE" w:rsidRPr="008F735E" w:rsidRDefault="00782EFE" w:rsidP="00447F49">
            <w:pPr>
              <w:keepNext/>
              <w:keepLines/>
              <w:tabs>
                <w:tab w:val="decimal" w:pos="256"/>
              </w:tabs>
              <w:spacing w:before="60" w:after="60"/>
              <w:jc w:val="center"/>
              <w:rPr>
                <w:sz w:val="14"/>
                <w:szCs w:val="14"/>
              </w:rPr>
            </w:pPr>
          </w:p>
        </w:tc>
        <w:tc>
          <w:tcPr>
            <w:tcW w:w="667" w:type="dxa"/>
            <w:vAlign w:val="center"/>
          </w:tcPr>
          <w:p w14:paraId="20FF20D9" w14:textId="77777777" w:rsidR="00782EFE" w:rsidRPr="008F735E" w:rsidRDefault="00782EFE" w:rsidP="00447F49">
            <w:pPr>
              <w:keepNext/>
              <w:keepLines/>
              <w:tabs>
                <w:tab w:val="decimal" w:pos="256"/>
              </w:tabs>
              <w:spacing w:before="60" w:after="60"/>
              <w:jc w:val="center"/>
              <w:rPr>
                <w:sz w:val="14"/>
                <w:szCs w:val="14"/>
              </w:rPr>
            </w:pPr>
          </w:p>
        </w:tc>
        <w:tc>
          <w:tcPr>
            <w:tcW w:w="1134" w:type="dxa"/>
            <w:vAlign w:val="center"/>
          </w:tcPr>
          <w:p w14:paraId="769BF71A" w14:textId="77777777" w:rsidR="00782EFE" w:rsidRPr="008F735E" w:rsidRDefault="00782EFE" w:rsidP="00447F49">
            <w:pPr>
              <w:keepNext/>
              <w:keepLines/>
              <w:tabs>
                <w:tab w:val="decimal" w:pos="256"/>
              </w:tabs>
              <w:spacing w:before="60" w:after="60"/>
              <w:jc w:val="center"/>
              <w:rPr>
                <w:sz w:val="14"/>
                <w:szCs w:val="14"/>
              </w:rPr>
            </w:pPr>
          </w:p>
        </w:tc>
        <w:tc>
          <w:tcPr>
            <w:tcW w:w="851" w:type="dxa"/>
            <w:vAlign w:val="center"/>
          </w:tcPr>
          <w:p w14:paraId="5863999A" w14:textId="77777777" w:rsidR="00782EFE" w:rsidRPr="008F735E" w:rsidRDefault="00782EFE" w:rsidP="00447F49">
            <w:pPr>
              <w:keepNext/>
              <w:keepLines/>
              <w:tabs>
                <w:tab w:val="decimal" w:pos="256"/>
              </w:tabs>
              <w:spacing w:before="60" w:after="60"/>
              <w:jc w:val="center"/>
              <w:rPr>
                <w:sz w:val="14"/>
                <w:szCs w:val="14"/>
              </w:rPr>
            </w:pPr>
          </w:p>
        </w:tc>
        <w:tc>
          <w:tcPr>
            <w:tcW w:w="1134" w:type="dxa"/>
            <w:vAlign w:val="center"/>
          </w:tcPr>
          <w:p w14:paraId="00089E36" w14:textId="77777777" w:rsidR="00782EFE" w:rsidRPr="008F735E" w:rsidRDefault="00782EFE" w:rsidP="00447F49">
            <w:pPr>
              <w:keepNext/>
              <w:keepLines/>
              <w:tabs>
                <w:tab w:val="decimal" w:pos="256"/>
              </w:tabs>
              <w:spacing w:before="60" w:after="60"/>
              <w:jc w:val="center"/>
              <w:rPr>
                <w:sz w:val="14"/>
                <w:szCs w:val="14"/>
              </w:rPr>
            </w:pPr>
          </w:p>
        </w:tc>
        <w:tc>
          <w:tcPr>
            <w:tcW w:w="921" w:type="dxa"/>
            <w:vAlign w:val="center"/>
          </w:tcPr>
          <w:p w14:paraId="65AA3B5B" w14:textId="77777777" w:rsidR="00782EFE" w:rsidRPr="008F735E" w:rsidRDefault="00782EFE" w:rsidP="00447F49">
            <w:pPr>
              <w:keepNext/>
              <w:keepLines/>
              <w:tabs>
                <w:tab w:val="decimal" w:pos="256"/>
              </w:tabs>
              <w:spacing w:before="60" w:after="60"/>
              <w:jc w:val="center"/>
              <w:rPr>
                <w:sz w:val="14"/>
                <w:szCs w:val="14"/>
              </w:rPr>
            </w:pPr>
          </w:p>
        </w:tc>
      </w:tr>
      <w:tr w:rsidR="00782EFE" w:rsidRPr="008F735E" w14:paraId="6D8802CE" w14:textId="77777777" w:rsidTr="006066A2">
        <w:tc>
          <w:tcPr>
            <w:tcW w:w="1347" w:type="dxa"/>
            <w:shd w:val="clear" w:color="auto" w:fill="auto"/>
            <w:vAlign w:val="bottom"/>
          </w:tcPr>
          <w:p w14:paraId="6B4A8960" w14:textId="77777777" w:rsidR="00782EFE" w:rsidRPr="008F735E" w:rsidRDefault="00782EFE" w:rsidP="00447F49">
            <w:pPr>
              <w:keepNext/>
              <w:keepLines/>
              <w:tabs>
                <w:tab w:val="left" w:pos="106"/>
              </w:tabs>
              <w:spacing w:before="60" w:after="60"/>
              <w:rPr>
                <w:sz w:val="14"/>
                <w:szCs w:val="14"/>
              </w:rPr>
            </w:pPr>
            <w:r w:rsidRPr="008F735E">
              <w:rPr>
                <w:sz w:val="14"/>
                <w:szCs w:val="14"/>
              </w:rPr>
              <w:tab/>
            </w:r>
            <w:r>
              <w:rPr>
                <w:sz w:val="14"/>
                <w:szCs w:val="14"/>
              </w:rPr>
              <w:t>Inflation = 0%</w:t>
            </w:r>
          </w:p>
        </w:tc>
        <w:tc>
          <w:tcPr>
            <w:tcW w:w="992" w:type="dxa"/>
          </w:tcPr>
          <w:p w14:paraId="25850550" w14:textId="77777777" w:rsidR="00782EFE" w:rsidRPr="008F735E" w:rsidRDefault="00782EFE" w:rsidP="00447F49">
            <w:pPr>
              <w:keepNext/>
              <w:keepLines/>
              <w:tabs>
                <w:tab w:val="decimal" w:pos="256"/>
              </w:tabs>
              <w:spacing w:before="60" w:after="60"/>
              <w:jc w:val="center"/>
              <w:rPr>
                <w:sz w:val="14"/>
                <w:szCs w:val="14"/>
              </w:rPr>
            </w:pPr>
            <w:r>
              <w:rPr>
                <w:sz w:val="14"/>
                <w:szCs w:val="14"/>
              </w:rPr>
              <w:t>22.0%</w:t>
            </w:r>
          </w:p>
        </w:tc>
        <w:tc>
          <w:tcPr>
            <w:tcW w:w="737" w:type="dxa"/>
          </w:tcPr>
          <w:p w14:paraId="7B299504" w14:textId="77777777" w:rsidR="00782EFE" w:rsidRPr="008F735E" w:rsidRDefault="00782EFE" w:rsidP="00447F49">
            <w:pPr>
              <w:keepNext/>
              <w:keepLines/>
              <w:tabs>
                <w:tab w:val="decimal" w:pos="256"/>
              </w:tabs>
              <w:spacing w:before="60" w:after="60"/>
              <w:jc w:val="center"/>
              <w:rPr>
                <w:sz w:val="14"/>
                <w:szCs w:val="14"/>
              </w:rPr>
            </w:pPr>
            <w:r>
              <w:rPr>
                <w:sz w:val="14"/>
                <w:szCs w:val="14"/>
              </w:rPr>
              <w:t>18.7</w:t>
            </w:r>
            <w:r w:rsidRPr="003A7326">
              <w:rPr>
                <w:sz w:val="14"/>
                <w:szCs w:val="14"/>
              </w:rPr>
              <w:t>%</w:t>
            </w:r>
          </w:p>
        </w:tc>
        <w:tc>
          <w:tcPr>
            <w:tcW w:w="681" w:type="dxa"/>
          </w:tcPr>
          <w:p w14:paraId="0546BB2F" w14:textId="77777777" w:rsidR="00782EFE" w:rsidRPr="008F735E" w:rsidRDefault="00782EFE" w:rsidP="00447F49">
            <w:pPr>
              <w:keepNext/>
              <w:keepLines/>
              <w:tabs>
                <w:tab w:val="decimal" w:pos="256"/>
              </w:tabs>
              <w:spacing w:before="60" w:after="60"/>
              <w:jc w:val="center"/>
              <w:rPr>
                <w:sz w:val="14"/>
                <w:szCs w:val="14"/>
              </w:rPr>
            </w:pPr>
            <w:r>
              <w:rPr>
                <w:sz w:val="14"/>
                <w:szCs w:val="14"/>
              </w:rPr>
              <w:t>18.7</w:t>
            </w:r>
            <w:r w:rsidRPr="003A7326">
              <w:rPr>
                <w:sz w:val="14"/>
                <w:szCs w:val="14"/>
              </w:rPr>
              <w:t>%</w:t>
            </w:r>
          </w:p>
        </w:tc>
        <w:tc>
          <w:tcPr>
            <w:tcW w:w="651" w:type="dxa"/>
          </w:tcPr>
          <w:p w14:paraId="0587AFF4" w14:textId="77777777" w:rsidR="00782EFE" w:rsidRPr="008F735E" w:rsidRDefault="00782EFE" w:rsidP="00447F49">
            <w:pPr>
              <w:keepNext/>
              <w:keepLines/>
              <w:tabs>
                <w:tab w:val="decimal" w:pos="256"/>
              </w:tabs>
              <w:spacing w:before="60" w:after="60"/>
              <w:jc w:val="center"/>
              <w:rPr>
                <w:sz w:val="14"/>
                <w:szCs w:val="14"/>
              </w:rPr>
            </w:pPr>
            <w:r>
              <w:rPr>
                <w:sz w:val="14"/>
                <w:szCs w:val="14"/>
              </w:rPr>
              <w:t>18.7</w:t>
            </w:r>
            <w:r w:rsidRPr="003A7326">
              <w:rPr>
                <w:sz w:val="14"/>
                <w:szCs w:val="14"/>
              </w:rPr>
              <w:t>%</w:t>
            </w:r>
          </w:p>
        </w:tc>
        <w:tc>
          <w:tcPr>
            <w:tcW w:w="666" w:type="dxa"/>
          </w:tcPr>
          <w:p w14:paraId="4175C7C2" w14:textId="77777777" w:rsidR="00782EFE" w:rsidRPr="008F735E" w:rsidRDefault="00782EFE" w:rsidP="00447F49">
            <w:pPr>
              <w:keepNext/>
              <w:keepLines/>
              <w:tabs>
                <w:tab w:val="decimal" w:pos="256"/>
              </w:tabs>
              <w:spacing w:before="60" w:after="60"/>
              <w:jc w:val="center"/>
              <w:rPr>
                <w:sz w:val="14"/>
                <w:szCs w:val="14"/>
              </w:rPr>
            </w:pPr>
            <w:r>
              <w:rPr>
                <w:sz w:val="14"/>
                <w:szCs w:val="14"/>
              </w:rPr>
              <w:t>18.7</w:t>
            </w:r>
            <w:r w:rsidRPr="003A7326">
              <w:rPr>
                <w:sz w:val="14"/>
                <w:szCs w:val="14"/>
              </w:rPr>
              <w:t>%</w:t>
            </w:r>
          </w:p>
        </w:tc>
        <w:tc>
          <w:tcPr>
            <w:tcW w:w="667" w:type="dxa"/>
          </w:tcPr>
          <w:p w14:paraId="5E7D2615" w14:textId="77777777" w:rsidR="00782EFE" w:rsidRPr="008F735E" w:rsidRDefault="00782EFE" w:rsidP="00447F49">
            <w:pPr>
              <w:keepNext/>
              <w:keepLines/>
              <w:tabs>
                <w:tab w:val="decimal" w:pos="256"/>
              </w:tabs>
              <w:spacing w:before="60" w:after="60"/>
              <w:jc w:val="center"/>
              <w:rPr>
                <w:sz w:val="14"/>
                <w:szCs w:val="14"/>
              </w:rPr>
            </w:pPr>
            <w:r>
              <w:rPr>
                <w:sz w:val="14"/>
                <w:szCs w:val="14"/>
              </w:rPr>
              <w:t>18.7</w:t>
            </w:r>
            <w:r w:rsidRPr="003A7326">
              <w:rPr>
                <w:sz w:val="14"/>
                <w:szCs w:val="14"/>
              </w:rPr>
              <w:t>%</w:t>
            </w:r>
          </w:p>
        </w:tc>
        <w:tc>
          <w:tcPr>
            <w:tcW w:w="1134" w:type="dxa"/>
          </w:tcPr>
          <w:p w14:paraId="022ACDD9" w14:textId="77777777" w:rsidR="00782EFE" w:rsidRPr="008F735E" w:rsidRDefault="00782EFE" w:rsidP="00447F49">
            <w:pPr>
              <w:keepNext/>
              <w:keepLines/>
              <w:tabs>
                <w:tab w:val="decimal" w:pos="256"/>
              </w:tabs>
              <w:spacing w:before="60" w:after="60"/>
              <w:jc w:val="center"/>
              <w:rPr>
                <w:sz w:val="14"/>
                <w:szCs w:val="14"/>
              </w:rPr>
            </w:pPr>
            <w:r>
              <w:rPr>
                <w:sz w:val="14"/>
                <w:szCs w:val="14"/>
              </w:rPr>
              <w:t>18.7</w:t>
            </w:r>
            <w:r w:rsidRPr="003A7326">
              <w:rPr>
                <w:sz w:val="14"/>
                <w:szCs w:val="14"/>
              </w:rPr>
              <w:t>%</w:t>
            </w:r>
          </w:p>
        </w:tc>
        <w:tc>
          <w:tcPr>
            <w:tcW w:w="851" w:type="dxa"/>
          </w:tcPr>
          <w:p w14:paraId="3F27A59F" w14:textId="77777777" w:rsidR="00782EFE" w:rsidRPr="008F735E" w:rsidRDefault="00782EFE" w:rsidP="00447F49">
            <w:pPr>
              <w:keepNext/>
              <w:keepLines/>
              <w:tabs>
                <w:tab w:val="decimal" w:pos="256"/>
              </w:tabs>
              <w:spacing w:before="60" w:after="60"/>
              <w:jc w:val="center"/>
              <w:rPr>
                <w:sz w:val="14"/>
                <w:szCs w:val="14"/>
              </w:rPr>
            </w:pPr>
            <w:r>
              <w:rPr>
                <w:sz w:val="14"/>
                <w:szCs w:val="14"/>
              </w:rPr>
              <w:t>18.7</w:t>
            </w:r>
            <w:r w:rsidRPr="003A7326">
              <w:rPr>
                <w:sz w:val="14"/>
                <w:szCs w:val="14"/>
              </w:rPr>
              <w:t>%</w:t>
            </w:r>
          </w:p>
        </w:tc>
        <w:tc>
          <w:tcPr>
            <w:tcW w:w="1134" w:type="dxa"/>
          </w:tcPr>
          <w:p w14:paraId="6F09898C" w14:textId="77777777" w:rsidR="00782EFE" w:rsidRPr="008F735E" w:rsidRDefault="00782EFE" w:rsidP="00447F49">
            <w:pPr>
              <w:keepNext/>
              <w:keepLines/>
              <w:tabs>
                <w:tab w:val="decimal" w:pos="256"/>
              </w:tabs>
              <w:spacing w:before="60" w:after="60"/>
              <w:jc w:val="center"/>
              <w:rPr>
                <w:sz w:val="14"/>
                <w:szCs w:val="14"/>
              </w:rPr>
            </w:pPr>
            <w:r>
              <w:rPr>
                <w:sz w:val="14"/>
                <w:szCs w:val="14"/>
              </w:rPr>
              <w:t>9.1%</w:t>
            </w:r>
          </w:p>
        </w:tc>
        <w:tc>
          <w:tcPr>
            <w:tcW w:w="921" w:type="dxa"/>
          </w:tcPr>
          <w:p w14:paraId="5BEEA6F6" w14:textId="77777777" w:rsidR="00782EFE" w:rsidRPr="008F735E" w:rsidRDefault="00782EFE" w:rsidP="00447F49">
            <w:pPr>
              <w:keepNext/>
              <w:keepLines/>
              <w:tabs>
                <w:tab w:val="decimal" w:pos="256"/>
              </w:tabs>
              <w:spacing w:before="60" w:after="60"/>
              <w:jc w:val="center"/>
              <w:rPr>
                <w:sz w:val="14"/>
                <w:szCs w:val="14"/>
              </w:rPr>
            </w:pPr>
            <w:r>
              <w:rPr>
                <w:sz w:val="14"/>
                <w:szCs w:val="14"/>
              </w:rPr>
              <w:t>-12.9</w:t>
            </w:r>
            <w:r w:rsidRPr="003A7326">
              <w:rPr>
                <w:sz w:val="14"/>
                <w:szCs w:val="14"/>
              </w:rPr>
              <w:t>%</w:t>
            </w:r>
          </w:p>
        </w:tc>
      </w:tr>
      <w:tr w:rsidR="00782EFE" w:rsidRPr="008F735E" w14:paraId="541AEF4B" w14:textId="77777777" w:rsidTr="006066A2">
        <w:tc>
          <w:tcPr>
            <w:tcW w:w="1347" w:type="dxa"/>
            <w:shd w:val="clear" w:color="auto" w:fill="auto"/>
            <w:vAlign w:val="bottom"/>
          </w:tcPr>
          <w:p w14:paraId="15E09811" w14:textId="77777777" w:rsidR="00782EFE" w:rsidRPr="008F735E" w:rsidRDefault="00782EFE" w:rsidP="00447F49">
            <w:pPr>
              <w:keepNext/>
              <w:keepLines/>
              <w:tabs>
                <w:tab w:val="left" w:pos="106"/>
              </w:tabs>
              <w:spacing w:before="60" w:after="60"/>
              <w:rPr>
                <w:sz w:val="14"/>
                <w:szCs w:val="14"/>
              </w:rPr>
            </w:pPr>
            <w:r w:rsidRPr="008F735E">
              <w:rPr>
                <w:sz w:val="14"/>
                <w:szCs w:val="14"/>
              </w:rPr>
              <w:tab/>
            </w:r>
            <w:r>
              <w:rPr>
                <w:sz w:val="14"/>
                <w:szCs w:val="14"/>
              </w:rPr>
              <w:t>Inflation = 2%</w:t>
            </w:r>
          </w:p>
        </w:tc>
        <w:tc>
          <w:tcPr>
            <w:tcW w:w="992" w:type="dxa"/>
          </w:tcPr>
          <w:p w14:paraId="64368822" w14:textId="77777777" w:rsidR="00782EFE" w:rsidRPr="008F735E" w:rsidRDefault="00782EFE" w:rsidP="00447F49">
            <w:pPr>
              <w:keepNext/>
              <w:keepLines/>
              <w:tabs>
                <w:tab w:val="decimal" w:pos="256"/>
              </w:tabs>
              <w:spacing w:before="60" w:after="60"/>
              <w:jc w:val="center"/>
              <w:rPr>
                <w:sz w:val="14"/>
                <w:szCs w:val="14"/>
              </w:rPr>
            </w:pPr>
            <w:r>
              <w:rPr>
                <w:sz w:val="14"/>
                <w:szCs w:val="14"/>
              </w:rPr>
              <w:t>21.3</w:t>
            </w:r>
            <w:r w:rsidRPr="008A3106">
              <w:rPr>
                <w:sz w:val="14"/>
                <w:szCs w:val="14"/>
              </w:rPr>
              <w:t>%</w:t>
            </w:r>
          </w:p>
        </w:tc>
        <w:tc>
          <w:tcPr>
            <w:tcW w:w="737" w:type="dxa"/>
          </w:tcPr>
          <w:p w14:paraId="1B1176E4" w14:textId="77777777" w:rsidR="00782EFE" w:rsidRPr="008F735E" w:rsidRDefault="00782EFE" w:rsidP="00447F49">
            <w:pPr>
              <w:keepNext/>
              <w:keepLines/>
              <w:tabs>
                <w:tab w:val="decimal" w:pos="256"/>
              </w:tabs>
              <w:spacing w:before="60" w:after="60"/>
              <w:jc w:val="center"/>
              <w:rPr>
                <w:sz w:val="14"/>
                <w:szCs w:val="14"/>
              </w:rPr>
            </w:pPr>
            <w:r>
              <w:rPr>
                <w:sz w:val="14"/>
                <w:szCs w:val="14"/>
              </w:rPr>
              <w:t>27.6</w:t>
            </w:r>
            <w:r w:rsidRPr="008A3106">
              <w:rPr>
                <w:sz w:val="14"/>
                <w:szCs w:val="14"/>
              </w:rPr>
              <w:t>%</w:t>
            </w:r>
          </w:p>
        </w:tc>
        <w:tc>
          <w:tcPr>
            <w:tcW w:w="681" w:type="dxa"/>
          </w:tcPr>
          <w:p w14:paraId="080AC9F2" w14:textId="77777777" w:rsidR="00782EFE" w:rsidRPr="008F735E" w:rsidRDefault="00782EFE" w:rsidP="00447F49">
            <w:pPr>
              <w:keepNext/>
              <w:keepLines/>
              <w:tabs>
                <w:tab w:val="decimal" w:pos="256"/>
              </w:tabs>
              <w:spacing w:before="60" w:after="60"/>
              <w:jc w:val="center"/>
              <w:rPr>
                <w:sz w:val="14"/>
                <w:szCs w:val="14"/>
              </w:rPr>
            </w:pPr>
            <w:r>
              <w:rPr>
                <w:sz w:val="14"/>
                <w:szCs w:val="14"/>
              </w:rPr>
              <w:t>27.0</w:t>
            </w:r>
            <w:r w:rsidRPr="008A3106">
              <w:rPr>
                <w:sz w:val="14"/>
                <w:szCs w:val="14"/>
              </w:rPr>
              <w:t>%</w:t>
            </w:r>
          </w:p>
        </w:tc>
        <w:tc>
          <w:tcPr>
            <w:tcW w:w="651" w:type="dxa"/>
          </w:tcPr>
          <w:p w14:paraId="20F1F679" w14:textId="77777777" w:rsidR="00782EFE" w:rsidRPr="008F735E" w:rsidRDefault="00782EFE" w:rsidP="00447F49">
            <w:pPr>
              <w:keepNext/>
              <w:keepLines/>
              <w:tabs>
                <w:tab w:val="decimal" w:pos="256"/>
              </w:tabs>
              <w:spacing w:before="60" w:after="60"/>
              <w:jc w:val="center"/>
              <w:rPr>
                <w:sz w:val="14"/>
                <w:szCs w:val="14"/>
              </w:rPr>
            </w:pPr>
            <w:r>
              <w:rPr>
                <w:sz w:val="14"/>
                <w:szCs w:val="14"/>
              </w:rPr>
              <w:t>23.7</w:t>
            </w:r>
            <w:r w:rsidRPr="008A3106">
              <w:rPr>
                <w:sz w:val="14"/>
                <w:szCs w:val="14"/>
              </w:rPr>
              <w:t>%</w:t>
            </w:r>
          </w:p>
        </w:tc>
        <w:tc>
          <w:tcPr>
            <w:tcW w:w="666" w:type="dxa"/>
          </w:tcPr>
          <w:p w14:paraId="7D894437" w14:textId="77777777" w:rsidR="00782EFE" w:rsidRPr="008F735E" w:rsidRDefault="00782EFE" w:rsidP="00447F49">
            <w:pPr>
              <w:keepNext/>
              <w:keepLines/>
              <w:tabs>
                <w:tab w:val="decimal" w:pos="256"/>
              </w:tabs>
              <w:spacing w:before="60" w:after="60"/>
              <w:jc w:val="center"/>
              <w:rPr>
                <w:sz w:val="14"/>
                <w:szCs w:val="14"/>
              </w:rPr>
            </w:pPr>
            <w:r>
              <w:rPr>
                <w:sz w:val="14"/>
                <w:szCs w:val="14"/>
              </w:rPr>
              <w:t>20.1</w:t>
            </w:r>
            <w:r w:rsidRPr="008A3106">
              <w:rPr>
                <w:sz w:val="14"/>
                <w:szCs w:val="14"/>
              </w:rPr>
              <w:t>%</w:t>
            </w:r>
          </w:p>
        </w:tc>
        <w:tc>
          <w:tcPr>
            <w:tcW w:w="667" w:type="dxa"/>
          </w:tcPr>
          <w:p w14:paraId="160ADE08" w14:textId="77777777" w:rsidR="00782EFE" w:rsidRPr="008F735E" w:rsidRDefault="00782EFE" w:rsidP="00447F49">
            <w:pPr>
              <w:keepNext/>
              <w:keepLines/>
              <w:tabs>
                <w:tab w:val="decimal" w:pos="256"/>
              </w:tabs>
              <w:spacing w:before="60" w:after="60"/>
              <w:jc w:val="center"/>
              <w:rPr>
                <w:sz w:val="14"/>
                <w:szCs w:val="14"/>
              </w:rPr>
            </w:pPr>
            <w:r>
              <w:rPr>
                <w:sz w:val="14"/>
                <w:szCs w:val="14"/>
              </w:rPr>
              <w:t>17.3</w:t>
            </w:r>
            <w:r w:rsidRPr="008A3106">
              <w:rPr>
                <w:sz w:val="14"/>
                <w:szCs w:val="14"/>
              </w:rPr>
              <w:t>%</w:t>
            </w:r>
          </w:p>
        </w:tc>
        <w:tc>
          <w:tcPr>
            <w:tcW w:w="1134" w:type="dxa"/>
          </w:tcPr>
          <w:p w14:paraId="39F489AF" w14:textId="77777777" w:rsidR="00782EFE" w:rsidRPr="008F735E" w:rsidRDefault="00782EFE" w:rsidP="00447F49">
            <w:pPr>
              <w:keepNext/>
              <w:keepLines/>
              <w:tabs>
                <w:tab w:val="decimal" w:pos="256"/>
              </w:tabs>
              <w:spacing w:before="60" w:after="60"/>
              <w:jc w:val="center"/>
              <w:rPr>
                <w:sz w:val="14"/>
                <w:szCs w:val="14"/>
              </w:rPr>
            </w:pPr>
            <w:r>
              <w:rPr>
                <w:sz w:val="14"/>
                <w:szCs w:val="14"/>
              </w:rPr>
              <w:t>11.2</w:t>
            </w:r>
            <w:r w:rsidRPr="008A3106">
              <w:rPr>
                <w:sz w:val="14"/>
                <w:szCs w:val="14"/>
              </w:rPr>
              <w:t>%</w:t>
            </w:r>
          </w:p>
        </w:tc>
        <w:tc>
          <w:tcPr>
            <w:tcW w:w="851" w:type="dxa"/>
          </w:tcPr>
          <w:p w14:paraId="7552E1ED" w14:textId="77777777" w:rsidR="00782EFE" w:rsidRPr="008F735E" w:rsidRDefault="00782EFE" w:rsidP="00447F49">
            <w:pPr>
              <w:keepNext/>
              <w:keepLines/>
              <w:tabs>
                <w:tab w:val="decimal" w:pos="256"/>
              </w:tabs>
              <w:spacing w:before="60" w:after="60"/>
              <w:jc w:val="center"/>
              <w:rPr>
                <w:sz w:val="14"/>
                <w:szCs w:val="14"/>
              </w:rPr>
            </w:pPr>
            <w:r>
              <w:rPr>
                <w:sz w:val="14"/>
                <w:szCs w:val="14"/>
              </w:rPr>
              <w:t>27.6</w:t>
            </w:r>
            <w:r w:rsidRPr="008A3106">
              <w:rPr>
                <w:sz w:val="14"/>
                <w:szCs w:val="14"/>
              </w:rPr>
              <w:t>%</w:t>
            </w:r>
          </w:p>
        </w:tc>
        <w:tc>
          <w:tcPr>
            <w:tcW w:w="1134" w:type="dxa"/>
          </w:tcPr>
          <w:p w14:paraId="07B23BC2" w14:textId="77777777" w:rsidR="00782EFE" w:rsidRPr="008F735E" w:rsidRDefault="00782EFE" w:rsidP="00447F49">
            <w:pPr>
              <w:keepNext/>
              <w:keepLines/>
              <w:tabs>
                <w:tab w:val="decimal" w:pos="256"/>
              </w:tabs>
              <w:spacing w:before="60" w:after="60"/>
              <w:jc w:val="center"/>
              <w:rPr>
                <w:sz w:val="14"/>
                <w:szCs w:val="14"/>
              </w:rPr>
            </w:pPr>
            <w:r>
              <w:rPr>
                <w:sz w:val="14"/>
                <w:szCs w:val="14"/>
              </w:rPr>
              <w:t>-0.3</w:t>
            </w:r>
            <w:r w:rsidRPr="008A3106">
              <w:rPr>
                <w:sz w:val="14"/>
                <w:szCs w:val="14"/>
              </w:rPr>
              <w:t>%</w:t>
            </w:r>
          </w:p>
        </w:tc>
        <w:tc>
          <w:tcPr>
            <w:tcW w:w="921" w:type="dxa"/>
          </w:tcPr>
          <w:p w14:paraId="5BAB424A" w14:textId="77777777" w:rsidR="00782EFE" w:rsidRPr="008F735E" w:rsidRDefault="00782EFE" w:rsidP="00447F49">
            <w:pPr>
              <w:keepNext/>
              <w:keepLines/>
              <w:tabs>
                <w:tab w:val="decimal" w:pos="256"/>
              </w:tabs>
              <w:spacing w:before="60" w:after="60"/>
              <w:jc w:val="center"/>
              <w:rPr>
                <w:sz w:val="14"/>
                <w:szCs w:val="14"/>
              </w:rPr>
            </w:pPr>
            <w:r>
              <w:rPr>
                <w:sz w:val="14"/>
                <w:szCs w:val="14"/>
              </w:rPr>
              <w:t>-23.3</w:t>
            </w:r>
            <w:r w:rsidRPr="008A3106">
              <w:rPr>
                <w:sz w:val="14"/>
                <w:szCs w:val="14"/>
              </w:rPr>
              <w:t>%</w:t>
            </w:r>
          </w:p>
        </w:tc>
      </w:tr>
      <w:tr w:rsidR="00782EFE" w:rsidRPr="008F735E" w14:paraId="4BBB7887" w14:textId="77777777" w:rsidTr="006066A2">
        <w:tc>
          <w:tcPr>
            <w:tcW w:w="1347" w:type="dxa"/>
            <w:shd w:val="clear" w:color="auto" w:fill="auto"/>
            <w:vAlign w:val="bottom"/>
          </w:tcPr>
          <w:p w14:paraId="285AE4FE" w14:textId="0ABAC6CE" w:rsidR="00782EFE" w:rsidRPr="00881B58" w:rsidRDefault="00815783" w:rsidP="00447F49">
            <w:pPr>
              <w:keepNext/>
              <w:keepLines/>
              <w:tabs>
                <w:tab w:val="left" w:pos="106"/>
              </w:tabs>
              <w:spacing w:before="60" w:after="60"/>
              <w:rPr>
                <w:b/>
                <w:bCs/>
                <w:sz w:val="14"/>
                <w:szCs w:val="14"/>
              </w:rPr>
            </w:pPr>
            <w:r>
              <w:rPr>
                <w:sz w:val="14"/>
                <w:szCs w:val="14"/>
              </w:rPr>
              <w:t>r = 5%</w:t>
            </w:r>
          </w:p>
        </w:tc>
        <w:tc>
          <w:tcPr>
            <w:tcW w:w="992" w:type="dxa"/>
          </w:tcPr>
          <w:p w14:paraId="420FA875" w14:textId="77777777" w:rsidR="00782EFE" w:rsidRPr="008F735E" w:rsidRDefault="00782EFE" w:rsidP="00447F49">
            <w:pPr>
              <w:keepNext/>
              <w:keepLines/>
              <w:tabs>
                <w:tab w:val="decimal" w:pos="256"/>
              </w:tabs>
              <w:spacing w:before="60" w:after="60"/>
              <w:jc w:val="center"/>
              <w:rPr>
                <w:sz w:val="14"/>
                <w:szCs w:val="14"/>
              </w:rPr>
            </w:pPr>
          </w:p>
        </w:tc>
        <w:tc>
          <w:tcPr>
            <w:tcW w:w="737" w:type="dxa"/>
          </w:tcPr>
          <w:p w14:paraId="6DBE7594" w14:textId="77777777" w:rsidR="00782EFE" w:rsidRPr="008F735E" w:rsidRDefault="00782EFE" w:rsidP="00447F49">
            <w:pPr>
              <w:keepNext/>
              <w:keepLines/>
              <w:tabs>
                <w:tab w:val="decimal" w:pos="256"/>
              </w:tabs>
              <w:spacing w:before="60" w:after="60"/>
              <w:jc w:val="center"/>
              <w:rPr>
                <w:sz w:val="14"/>
                <w:szCs w:val="14"/>
              </w:rPr>
            </w:pPr>
          </w:p>
        </w:tc>
        <w:tc>
          <w:tcPr>
            <w:tcW w:w="681" w:type="dxa"/>
          </w:tcPr>
          <w:p w14:paraId="3EB1B03E" w14:textId="77777777" w:rsidR="00782EFE" w:rsidRPr="008F735E" w:rsidRDefault="00782EFE" w:rsidP="00447F49">
            <w:pPr>
              <w:keepNext/>
              <w:keepLines/>
              <w:tabs>
                <w:tab w:val="decimal" w:pos="256"/>
              </w:tabs>
              <w:spacing w:before="60" w:after="60"/>
              <w:jc w:val="center"/>
              <w:rPr>
                <w:sz w:val="14"/>
                <w:szCs w:val="14"/>
              </w:rPr>
            </w:pPr>
          </w:p>
        </w:tc>
        <w:tc>
          <w:tcPr>
            <w:tcW w:w="651" w:type="dxa"/>
          </w:tcPr>
          <w:p w14:paraId="41C30F91" w14:textId="77777777" w:rsidR="00782EFE" w:rsidRPr="008F735E" w:rsidRDefault="00782EFE" w:rsidP="00447F49">
            <w:pPr>
              <w:keepNext/>
              <w:keepLines/>
              <w:tabs>
                <w:tab w:val="decimal" w:pos="256"/>
              </w:tabs>
              <w:spacing w:before="60" w:after="60"/>
              <w:jc w:val="center"/>
              <w:rPr>
                <w:sz w:val="14"/>
                <w:szCs w:val="14"/>
              </w:rPr>
            </w:pPr>
          </w:p>
        </w:tc>
        <w:tc>
          <w:tcPr>
            <w:tcW w:w="666" w:type="dxa"/>
          </w:tcPr>
          <w:p w14:paraId="73390DBB" w14:textId="77777777" w:rsidR="00782EFE" w:rsidRPr="008F735E" w:rsidRDefault="00782EFE" w:rsidP="00447F49">
            <w:pPr>
              <w:keepNext/>
              <w:keepLines/>
              <w:tabs>
                <w:tab w:val="decimal" w:pos="256"/>
              </w:tabs>
              <w:spacing w:before="60" w:after="60"/>
              <w:jc w:val="center"/>
              <w:rPr>
                <w:sz w:val="14"/>
                <w:szCs w:val="14"/>
              </w:rPr>
            </w:pPr>
          </w:p>
        </w:tc>
        <w:tc>
          <w:tcPr>
            <w:tcW w:w="667" w:type="dxa"/>
          </w:tcPr>
          <w:p w14:paraId="6ED0B9E3" w14:textId="77777777" w:rsidR="00782EFE" w:rsidRPr="008F735E" w:rsidRDefault="00782EFE" w:rsidP="00447F49">
            <w:pPr>
              <w:keepNext/>
              <w:keepLines/>
              <w:tabs>
                <w:tab w:val="decimal" w:pos="256"/>
              </w:tabs>
              <w:spacing w:before="60" w:after="60"/>
              <w:jc w:val="center"/>
              <w:rPr>
                <w:sz w:val="14"/>
                <w:szCs w:val="14"/>
              </w:rPr>
            </w:pPr>
          </w:p>
        </w:tc>
        <w:tc>
          <w:tcPr>
            <w:tcW w:w="1134" w:type="dxa"/>
          </w:tcPr>
          <w:p w14:paraId="58783C83" w14:textId="77777777" w:rsidR="00782EFE" w:rsidRPr="008F735E" w:rsidRDefault="00782EFE" w:rsidP="00447F49">
            <w:pPr>
              <w:keepNext/>
              <w:keepLines/>
              <w:tabs>
                <w:tab w:val="decimal" w:pos="256"/>
              </w:tabs>
              <w:spacing w:before="60" w:after="60"/>
              <w:jc w:val="center"/>
              <w:rPr>
                <w:sz w:val="14"/>
                <w:szCs w:val="14"/>
              </w:rPr>
            </w:pPr>
          </w:p>
        </w:tc>
        <w:tc>
          <w:tcPr>
            <w:tcW w:w="851" w:type="dxa"/>
          </w:tcPr>
          <w:p w14:paraId="17B661F5" w14:textId="77777777" w:rsidR="00782EFE" w:rsidRPr="008F735E" w:rsidRDefault="00782EFE" w:rsidP="00447F49">
            <w:pPr>
              <w:keepNext/>
              <w:keepLines/>
              <w:tabs>
                <w:tab w:val="decimal" w:pos="256"/>
              </w:tabs>
              <w:spacing w:before="60" w:after="60"/>
              <w:jc w:val="center"/>
              <w:rPr>
                <w:sz w:val="14"/>
                <w:szCs w:val="14"/>
              </w:rPr>
            </w:pPr>
          </w:p>
        </w:tc>
        <w:tc>
          <w:tcPr>
            <w:tcW w:w="1134" w:type="dxa"/>
          </w:tcPr>
          <w:p w14:paraId="4AD8AADA" w14:textId="77777777" w:rsidR="00782EFE" w:rsidRPr="008F735E" w:rsidRDefault="00782EFE" w:rsidP="00447F49">
            <w:pPr>
              <w:keepNext/>
              <w:keepLines/>
              <w:tabs>
                <w:tab w:val="decimal" w:pos="256"/>
              </w:tabs>
              <w:spacing w:before="60" w:after="60"/>
              <w:jc w:val="center"/>
              <w:rPr>
                <w:sz w:val="14"/>
                <w:szCs w:val="14"/>
              </w:rPr>
            </w:pPr>
          </w:p>
        </w:tc>
        <w:tc>
          <w:tcPr>
            <w:tcW w:w="921" w:type="dxa"/>
          </w:tcPr>
          <w:p w14:paraId="751F4588" w14:textId="77777777" w:rsidR="00782EFE" w:rsidRPr="008F735E" w:rsidRDefault="00782EFE" w:rsidP="00447F49">
            <w:pPr>
              <w:keepNext/>
              <w:keepLines/>
              <w:tabs>
                <w:tab w:val="decimal" w:pos="256"/>
              </w:tabs>
              <w:spacing w:before="60" w:after="60"/>
              <w:jc w:val="center"/>
              <w:rPr>
                <w:sz w:val="14"/>
                <w:szCs w:val="14"/>
              </w:rPr>
            </w:pPr>
          </w:p>
        </w:tc>
      </w:tr>
      <w:tr w:rsidR="00782EFE" w:rsidRPr="006B6DF2" w14:paraId="455DEDCF" w14:textId="77777777" w:rsidTr="006066A2">
        <w:tc>
          <w:tcPr>
            <w:tcW w:w="1347" w:type="dxa"/>
            <w:shd w:val="clear" w:color="auto" w:fill="auto"/>
            <w:vAlign w:val="bottom"/>
          </w:tcPr>
          <w:p w14:paraId="720BB246" w14:textId="77777777" w:rsidR="00782EFE" w:rsidRPr="008F735E" w:rsidRDefault="00782EFE" w:rsidP="00447F49">
            <w:pPr>
              <w:keepNext/>
              <w:keepLines/>
              <w:tabs>
                <w:tab w:val="left" w:pos="106"/>
              </w:tabs>
              <w:spacing w:before="60" w:after="60"/>
              <w:rPr>
                <w:b/>
                <w:bCs/>
                <w:sz w:val="14"/>
                <w:szCs w:val="14"/>
              </w:rPr>
            </w:pPr>
            <w:r w:rsidRPr="008F735E">
              <w:rPr>
                <w:sz w:val="14"/>
                <w:szCs w:val="14"/>
              </w:rPr>
              <w:tab/>
            </w:r>
            <w:r>
              <w:rPr>
                <w:sz w:val="14"/>
                <w:szCs w:val="14"/>
              </w:rPr>
              <w:t>Inflation = 0%</w:t>
            </w:r>
          </w:p>
        </w:tc>
        <w:tc>
          <w:tcPr>
            <w:tcW w:w="992" w:type="dxa"/>
            <w:shd w:val="clear" w:color="auto" w:fill="auto"/>
            <w:vAlign w:val="bottom"/>
          </w:tcPr>
          <w:p w14:paraId="45C32276" w14:textId="77777777" w:rsidR="00782EFE" w:rsidRPr="006B6DF2" w:rsidRDefault="00782EFE" w:rsidP="00447F49">
            <w:pPr>
              <w:keepNext/>
              <w:keepLines/>
              <w:tabs>
                <w:tab w:val="decimal" w:pos="256"/>
              </w:tabs>
              <w:spacing w:before="60" w:after="60"/>
              <w:jc w:val="center"/>
              <w:rPr>
                <w:sz w:val="14"/>
                <w:szCs w:val="14"/>
              </w:rPr>
            </w:pPr>
            <w:r w:rsidRPr="006B6DF2">
              <w:rPr>
                <w:rFonts w:cs="Calibri"/>
                <w:color w:val="000000"/>
                <w:sz w:val="14"/>
                <w:szCs w:val="14"/>
              </w:rPr>
              <w:t>21.1%</w:t>
            </w:r>
          </w:p>
        </w:tc>
        <w:tc>
          <w:tcPr>
            <w:tcW w:w="737" w:type="dxa"/>
            <w:shd w:val="clear" w:color="auto" w:fill="auto"/>
            <w:vAlign w:val="bottom"/>
          </w:tcPr>
          <w:p w14:paraId="6A0DEC98" w14:textId="77777777" w:rsidR="00782EFE" w:rsidRPr="006B6DF2" w:rsidRDefault="00782EFE" w:rsidP="00447F49">
            <w:pPr>
              <w:keepNext/>
              <w:keepLines/>
              <w:tabs>
                <w:tab w:val="decimal" w:pos="256"/>
              </w:tabs>
              <w:spacing w:before="60" w:after="60"/>
              <w:jc w:val="center"/>
              <w:rPr>
                <w:sz w:val="14"/>
                <w:szCs w:val="14"/>
              </w:rPr>
            </w:pPr>
            <w:r w:rsidRPr="006B6DF2">
              <w:rPr>
                <w:rFonts w:cs="Calibri"/>
                <w:color w:val="000000"/>
                <w:sz w:val="14"/>
                <w:szCs w:val="14"/>
              </w:rPr>
              <w:t>18.7%</w:t>
            </w:r>
          </w:p>
        </w:tc>
        <w:tc>
          <w:tcPr>
            <w:tcW w:w="681" w:type="dxa"/>
            <w:shd w:val="clear" w:color="auto" w:fill="auto"/>
            <w:vAlign w:val="bottom"/>
          </w:tcPr>
          <w:p w14:paraId="333A7A5B" w14:textId="77777777" w:rsidR="00782EFE" w:rsidRPr="006B6DF2" w:rsidRDefault="00782EFE" w:rsidP="00447F49">
            <w:pPr>
              <w:keepNext/>
              <w:keepLines/>
              <w:tabs>
                <w:tab w:val="decimal" w:pos="256"/>
              </w:tabs>
              <w:spacing w:before="60" w:after="60"/>
              <w:jc w:val="center"/>
              <w:rPr>
                <w:sz w:val="14"/>
                <w:szCs w:val="14"/>
              </w:rPr>
            </w:pPr>
            <w:r w:rsidRPr="006B6DF2">
              <w:rPr>
                <w:rFonts w:cs="Calibri"/>
                <w:color w:val="000000"/>
                <w:sz w:val="14"/>
                <w:szCs w:val="14"/>
              </w:rPr>
              <w:t>18.7%</w:t>
            </w:r>
          </w:p>
        </w:tc>
        <w:tc>
          <w:tcPr>
            <w:tcW w:w="651" w:type="dxa"/>
            <w:shd w:val="clear" w:color="auto" w:fill="auto"/>
            <w:vAlign w:val="bottom"/>
          </w:tcPr>
          <w:p w14:paraId="6574C78D" w14:textId="77777777" w:rsidR="00782EFE" w:rsidRPr="006B6DF2" w:rsidRDefault="00782EFE" w:rsidP="00447F49">
            <w:pPr>
              <w:keepNext/>
              <w:keepLines/>
              <w:tabs>
                <w:tab w:val="decimal" w:pos="256"/>
              </w:tabs>
              <w:spacing w:before="60" w:after="60"/>
              <w:jc w:val="center"/>
              <w:rPr>
                <w:sz w:val="14"/>
                <w:szCs w:val="14"/>
              </w:rPr>
            </w:pPr>
            <w:r w:rsidRPr="006B6DF2">
              <w:rPr>
                <w:rFonts w:cs="Calibri"/>
                <w:color w:val="000000"/>
                <w:sz w:val="14"/>
                <w:szCs w:val="14"/>
              </w:rPr>
              <w:t>18.7%</w:t>
            </w:r>
          </w:p>
        </w:tc>
        <w:tc>
          <w:tcPr>
            <w:tcW w:w="666" w:type="dxa"/>
            <w:shd w:val="clear" w:color="auto" w:fill="auto"/>
            <w:vAlign w:val="bottom"/>
          </w:tcPr>
          <w:p w14:paraId="4C186BE6" w14:textId="77777777" w:rsidR="00782EFE" w:rsidRPr="006B6DF2" w:rsidRDefault="00782EFE" w:rsidP="00447F49">
            <w:pPr>
              <w:keepNext/>
              <w:keepLines/>
              <w:tabs>
                <w:tab w:val="decimal" w:pos="256"/>
              </w:tabs>
              <w:spacing w:before="60" w:after="60"/>
              <w:jc w:val="center"/>
              <w:rPr>
                <w:sz w:val="14"/>
                <w:szCs w:val="14"/>
              </w:rPr>
            </w:pPr>
            <w:r w:rsidRPr="006B6DF2">
              <w:rPr>
                <w:rFonts w:cs="Calibri"/>
                <w:color w:val="000000"/>
                <w:sz w:val="14"/>
                <w:szCs w:val="14"/>
              </w:rPr>
              <w:t>18.7%</w:t>
            </w:r>
          </w:p>
        </w:tc>
        <w:tc>
          <w:tcPr>
            <w:tcW w:w="667" w:type="dxa"/>
            <w:shd w:val="clear" w:color="auto" w:fill="auto"/>
            <w:vAlign w:val="bottom"/>
          </w:tcPr>
          <w:p w14:paraId="5FF0442C" w14:textId="77777777" w:rsidR="00782EFE" w:rsidRPr="006B6DF2" w:rsidRDefault="00782EFE" w:rsidP="00447F49">
            <w:pPr>
              <w:keepNext/>
              <w:keepLines/>
              <w:tabs>
                <w:tab w:val="decimal" w:pos="256"/>
              </w:tabs>
              <w:spacing w:before="60" w:after="60"/>
              <w:jc w:val="center"/>
              <w:rPr>
                <w:sz w:val="14"/>
                <w:szCs w:val="14"/>
              </w:rPr>
            </w:pPr>
            <w:r w:rsidRPr="006B6DF2">
              <w:rPr>
                <w:rFonts w:cs="Calibri"/>
                <w:color w:val="000000"/>
                <w:sz w:val="14"/>
                <w:szCs w:val="14"/>
              </w:rPr>
              <w:t>18.7%</w:t>
            </w:r>
          </w:p>
        </w:tc>
        <w:tc>
          <w:tcPr>
            <w:tcW w:w="1134" w:type="dxa"/>
            <w:shd w:val="clear" w:color="auto" w:fill="auto"/>
            <w:vAlign w:val="bottom"/>
          </w:tcPr>
          <w:p w14:paraId="1F744239" w14:textId="77777777" w:rsidR="00782EFE" w:rsidRPr="006B6DF2" w:rsidRDefault="00782EFE" w:rsidP="00447F49">
            <w:pPr>
              <w:keepNext/>
              <w:keepLines/>
              <w:tabs>
                <w:tab w:val="decimal" w:pos="256"/>
              </w:tabs>
              <w:spacing w:before="60" w:after="60"/>
              <w:jc w:val="center"/>
              <w:rPr>
                <w:sz w:val="14"/>
                <w:szCs w:val="14"/>
              </w:rPr>
            </w:pPr>
            <w:r w:rsidRPr="006B6DF2">
              <w:rPr>
                <w:rFonts w:cs="Calibri"/>
                <w:color w:val="000000"/>
                <w:sz w:val="14"/>
                <w:szCs w:val="14"/>
              </w:rPr>
              <w:t>18.7%</w:t>
            </w:r>
          </w:p>
        </w:tc>
        <w:tc>
          <w:tcPr>
            <w:tcW w:w="851" w:type="dxa"/>
            <w:shd w:val="clear" w:color="auto" w:fill="auto"/>
            <w:vAlign w:val="bottom"/>
          </w:tcPr>
          <w:p w14:paraId="4A1D504F" w14:textId="77777777" w:rsidR="00782EFE" w:rsidRPr="006B6DF2" w:rsidRDefault="00782EFE" w:rsidP="00447F49">
            <w:pPr>
              <w:keepNext/>
              <w:keepLines/>
              <w:tabs>
                <w:tab w:val="decimal" w:pos="256"/>
              </w:tabs>
              <w:spacing w:before="60" w:after="60"/>
              <w:jc w:val="center"/>
              <w:rPr>
                <w:sz w:val="14"/>
                <w:szCs w:val="14"/>
              </w:rPr>
            </w:pPr>
            <w:r w:rsidRPr="006B6DF2">
              <w:rPr>
                <w:rFonts w:cs="Calibri"/>
                <w:color w:val="000000"/>
                <w:sz w:val="14"/>
                <w:szCs w:val="14"/>
              </w:rPr>
              <w:t>18.7%</w:t>
            </w:r>
          </w:p>
        </w:tc>
        <w:tc>
          <w:tcPr>
            <w:tcW w:w="1134" w:type="dxa"/>
            <w:shd w:val="clear" w:color="auto" w:fill="auto"/>
            <w:vAlign w:val="bottom"/>
          </w:tcPr>
          <w:p w14:paraId="619ECB1A" w14:textId="77777777" w:rsidR="00782EFE" w:rsidRPr="006B6DF2" w:rsidRDefault="00782EFE" w:rsidP="00447F49">
            <w:pPr>
              <w:keepNext/>
              <w:keepLines/>
              <w:tabs>
                <w:tab w:val="decimal" w:pos="256"/>
              </w:tabs>
              <w:spacing w:before="60" w:after="60"/>
              <w:jc w:val="center"/>
              <w:rPr>
                <w:sz w:val="14"/>
                <w:szCs w:val="14"/>
              </w:rPr>
            </w:pPr>
            <w:r w:rsidRPr="006B6DF2">
              <w:rPr>
                <w:rFonts w:cs="Calibri"/>
                <w:color w:val="000000"/>
                <w:sz w:val="14"/>
                <w:szCs w:val="14"/>
              </w:rPr>
              <w:t>13.2%</w:t>
            </w:r>
          </w:p>
        </w:tc>
        <w:tc>
          <w:tcPr>
            <w:tcW w:w="921" w:type="dxa"/>
            <w:shd w:val="clear" w:color="auto" w:fill="auto"/>
            <w:vAlign w:val="bottom"/>
          </w:tcPr>
          <w:p w14:paraId="23E28D92" w14:textId="77777777" w:rsidR="00782EFE" w:rsidRPr="006B6DF2" w:rsidRDefault="00782EFE" w:rsidP="00447F49">
            <w:pPr>
              <w:keepNext/>
              <w:keepLines/>
              <w:tabs>
                <w:tab w:val="decimal" w:pos="256"/>
              </w:tabs>
              <w:spacing w:before="60" w:after="60"/>
              <w:jc w:val="center"/>
              <w:rPr>
                <w:sz w:val="14"/>
                <w:szCs w:val="14"/>
              </w:rPr>
            </w:pPr>
            <w:r w:rsidRPr="006B6DF2">
              <w:rPr>
                <w:rFonts w:cs="Calibri"/>
                <w:color w:val="000000"/>
                <w:sz w:val="14"/>
                <w:szCs w:val="14"/>
              </w:rPr>
              <w:t>-12.9%</w:t>
            </w:r>
          </w:p>
        </w:tc>
      </w:tr>
      <w:tr w:rsidR="00782EFE" w:rsidRPr="006B6DF2" w14:paraId="4DCDFCE0" w14:textId="77777777" w:rsidTr="006066A2">
        <w:tc>
          <w:tcPr>
            <w:tcW w:w="1347" w:type="dxa"/>
            <w:shd w:val="clear" w:color="auto" w:fill="auto"/>
            <w:vAlign w:val="bottom"/>
          </w:tcPr>
          <w:p w14:paraId="3F78FAE3" w14:textId="77777777" w:rsidR="00782EFE" w:rsidRPr="008F735E" w:rsidRDefault="00782EFE" w:rsidP="00447F49">
            <w:pPr>
              <w:keepNext/>
              <w:keepLines/>
              <w:tabs>
                <w:tab w:val="left" w:pos="106"/>
              </w:tabs>
              <w:spacing w:before="60" w:after="60"/>
              <w:rPr>
                <w:sz w:val="14"/>
                <w:szCs w:val="14"/>
              </w:rPr>
            </w:pPr>
            <w:r w:rsidRPr="008F735E">
              <w:rPr>
                <w:sz w:val="14"/>
                <w:szCs w:val="14"/>
              </w:rPr>
              <w:tab/>
            </w:r>
            <w:r>
              <w:rPr>
                <w:sz w:val="14"/>
                <w:szCs w:val="14"/>
              </w:rPr>
              <w:t>Inflation = 2%</w:t>
            </w:r>
          </w:p>
        </w:tc>
        <w:tc>
          <w:tcPr>
            <w:tcW w:w="992" w:type="dxa"/>
            <w:shd w:val="clear" w:color="auto" w:fill="auto"/>
            <w:vAlign w:val="bottom"/>
          </w:tcPr>
          <w:p w14:paraId="1F3DA465" w14:textId="77777777" w:rsidR="00782EFE" w:rsidRPr="006B6DF2" w:rsidRDefault="00782EFE" w:rsidP="00447F49">
            <w:pPr>
              <w:keepNext/>
              <w:keepLines/>
              <w:tabs>
                <w:tab w:val="decimal" w:pos="256"/>
              </w:tabs>
              <w:spacing w:before="60" w:after="60"/>
              <w:jc w:val="center"/>
              <w:rPr>
                <w:sz w:val="14"/>
                <w:szCs w:val="14"/>
              </w:rPr>
            </w:pPr>
            <w:r w:rsidRPr="006B6DF2">
              <w:rPr>
                <w:rFonts w:cs="Calibri"/>
                <w:color w:val="000000"/>
                <w:sz w:val="14"/>
                <w:szCs w:val="14"/>
              </w:rPr>
              <w:t>19.9%</w:t>
            </w:r>
          </w:p>
        </w:tc>
        <w:tc>
          <w:tcPr>
            <w:tcW w:w="737" w:type="dxa"/>
            <w:shd w:val="clear" w:color="auto" w:fill="auto"/>
            <w:vAlign w:val="bottom"/>
          </w:tcPr>
          <w:p w14:paraId="1AD86693" w14:textId="77777777" w:rsidR="00782EFE" w:rsidRPr="006B6DF2" w:rsidRDefault="00782EFE" w:rsidP="00447F49">
            <w:pPr>
              <w:keepNext/>
              <w:keepLines/>
              <w:tabs>
                <w:tab w:val="decimal" w:pos="256"/>
              </w:tabs>
              <w:spacing w:before="60" w:after="60"/>
              <w:jc w:val="center"/>
              <w:rPr>
                <w:sz w:val="14"/>
                <w:szCs w:val="14"/>
              </w:rPr>
            </w:pPr>
            <w:r w:rsidRPr="006B6DF2">
              <w:rPr>
                <w:rFonts w:cs="Calibri"/>
                <w:color w:val="000000"/>
                <w:sz w:val="14"/>
                <w:szCs w:val="14"/>
              </w:rPr>
              <w:t>24.3%</w:t>
            </w:r>
          </w:p>
        </w:tc>
        <w:tc>
          <w:tcPr>
            <w:tcW w:w="681" w:type="dxa"/>
            <w:shd w:val="clear" w:color="auto" w:fill="auto"/>
            <w:vAlign w:val="bottom"/>
          </w:tcPr>
          <w:p w14:paraId="7AE3CB7F" w14:textId="77777777" w:rsidR="00782EFE" w:rsidRPr="006B6DF2" w:rsidRDefault="00782EFE" w:rsidP="00447F49">
            <w:pPr>
              <w:keepNext/>
              <w:keepLines/>
              <w:tabs>
                <w:tab w:val="decimal" w:pos="256"/>
              </w:tabs>
              <w:spacing w:before="60" w:after="60"/>
              <w:jc w:val="center"/>
              <w:rPr>
                <w:sz w:val="14"/>
                <w:szCs w:val="14"/>
              </w:rPr>
            </w:pPr>
            <w:r w:rsidRPr="006B6DF2">
              <w:rPr>
                <w:rFonts w:cs="Calibri"/>
                <w:color w:val="000000"/>
                <w:sz w:val="14"/>
                <w:szCs w:val="14"/>
              </w:rPr>
              <w:t>23.8%</w:t>
            </w:r>
          </w:p>
        </w:tc>
        <w:tc>
          <w:tcPr>
            <w:tcW w:w="651" w:type="dxa"/>
            <w:shd w:val="clear" w:color="auto" w:fill="auto"/>
            <w:vAlign w:val="bottom"/>
          </w:tcPr>
          <w:p w14:paraId="1002CCE3" w14:textId="77777777" w:rsidR="00782EFE" w:rsidRPr="006B6DF2" w:rsidRDefault="00782EFE" w:rsidP="00447F49">
            <w:pPr>
              <w:keepNext/>
              <w:keepLines/>
              <w:tabs>
                <w:tab w:val="decimal" w:pos="256"/>
              </w:tabs>
              <w:spacing w:before="60" w:after="60"/>
              <w:jc w:val="center"/>
              <w:rPr>
                <w:sz w:val="14"/>
                <w:szCs w:val="14"/>
              </w:rPr>
            </w:pPr>
            <w:r w:rsidRPr="006B6DF2">
              <w:rPr>
                <w:rFonts w:cs="Calibri"/>
                <w:color w:val="000000"/>
                <w:sz w:val="14"/>
                <w:szCs w:val="14"/>
              </w:rPr>
              <w:t>21.1%</w:t>
            </w:r>
          </w:p>
        </w:tc>
        <w:tc>
          <w:tcPr>
            <w:tcW w:w="666" w:type="dxa"/>
            <w:shd w:val="clear" w:color="auto" w:fill="auto"/>
            <w:vAlign w:val="bottom"/>
          </w:tcPr>
          <w:p w14:paraId="567ADCC8" w14:textId="77777777" w:rsidR="00782EFE" w:rsidRPr="006B6DF2" w:rsidRDefault="00782EFE" w:rsidP="00447F49">
            <w:pPr>
              <w:keepNext/>
              <w:keepLines/>
              <w:tabs>
                <w:tab w:val="decimal" w:pos="256"/>
              </w:tabs>
              <w:spacing w:before="60" w:after="60"/>
              <w:jc w:val="center"/>
              <w:rPr>
                <w:sz w:val="14"/>
                <w:szCs w:val="14"/>
              </w:rPr>
            </w:pPr>
            <w:r w:rsidRPr="006B6DF2">
              <w:rPr>
                <w:rFonts w:cs="Calibri"/>
                <w:color w:val="000000"/>
                <w:sz w:val="14"/>
                <w:szCs w:val="14"/>
              </w:rPr>
              <w:t>18.8%</w:t>
            </w:r>
          </w:p>
        </w:tc>
        <w:tc>
          <w:tcPr>
            <w:tcW w:w="667" w:type="dxa"/>
            <w:shd w:val="clear" w:color="auto" w:fill="auto"/>
            <w:vAlign w:val="bottom"/>
          </w:tcPr>
          <w:p w14:paraId="4274C6F6" w14:textId="77777777" w:rsidR="00782EFE" w:rsidRPr="006B6DF2" w:rsidRDefault="00782EFE" w:rsidP="00447F49">
            <w:pPr>
              <w:keepNext/>
              <w:keepLines/>
              <w:tabs>
                <w:tab w:val="decimal" w:pos="256"/>
              </w:tabs>
              <w:spacing w:before="60" w:after="60"/>
              <w:jc w:val="center"/>
              <w:rPr>
                <w:sz w:val="14"/>
                <w:szCs w:val="14"/>
              </w:rPr>
            </w:pPr>
            <w:r w:rsidRPr="006B6DF2">
              <w:rPr>
                <w:rFonts w:cs="Calibri"/>
                <w:color w:val="000000"/>
                <w:sz w:val="14"/>
                <w:szCs w:val="14"/>
              </w:rPr>
              <w:t>17.2%</w:t>
            </w:r>
          </w:p>
        </w:tc>
        <w:tc>
          <w:tcPr>
            <w:tcW w:w="1134" w:type="dxa"/>
            <w:shd w:val="clear" w:color="auto" w:fill="auto"/>
            <w:vAlign w:val="bottom"/>
          </w:tcPr>
          <w:p w14:paraId="1501B133" w14:textId="77777777" w:rsidR="00782EFE" w:rsidRPr="006B6DF2" w:rsidRDefault="00782EFE" w:rsidP="00447F49">
            <w:pPr>
              <w:keepNext/>
              <w:keepLines/>
              <w:tabs>
                <w:tab w:val="decimal" w:pos="256"/>
              </w:tabs>
              <w:spacing w:before="60" w:after="60"/>
              <w:jc w:val="center"/>
              <w:rPr>
                <w:sz w:val="14"/>
                <w:szCs w:val="14"/>
              </w:rPr>
            </w:pPr>
            <w:r w:rsidRPr="006B6DF2">
              <w:rPr>
                <w:rFonts w:cs="Calibri"/>
                <w:color w:val="000000"/>
                <w:sz w:val="14"/>
                <w:szCs w:val="14"/>
              </w:rPr>
              <w:t>14.4%</w:t>
            </w:r>
          </w:p>
        </w:tc>
        <w:tc>
          <w:tcPr>
            <w:tcW w:w="851" w:type="dxa"/>
            <w:shd w:val="clear" w:color="auto" w:fill="auto"/>
            <w:vAlign w:val="bottom"/>
          </w:tcPr>
          <w:p w14:paraId="7CF79F3B" w14:textId="77777777" w:rsidR="00782EFE" w:rsidRPr="006B6DF2" w:rsidRDefault="00782EFE" w:rsidP="00447F49">
            <w:pPr>
              <w:keepNext/>
              <w:keepLines/>
              <w:tabs>
                <w:tab w:val="decimal" w:pos="256"/>
              </w:tabs>
              <w:spacing w:before="60" w:after="60"/>
              <w:jc w:val="center"/>
              <w:rPr>
                <w:sz w:val="14"/>
                <w:szCs w:val="14"/>
              </w:rPr>
            </w:pPr>
            <w:r w:rsidRPr="006B6DF2">
              <w:rPr>
                <w:rFonts w:cs="Calibri"/>
                <w:color w:val="000000"/>
                <w:sz w:val="14"/>
                <w:szCs w:val="14"/>
              </w:rPr>
              <w:t>24.3%</w:t>
            </w:r>
          </w:p>
        </w:tc>
        <w:tc>
          <w:tcPr>
            <w:tcW w:w="1134" w:type="dxa"/>
            <w:shd w:val="clear" w:color="auto" w:fill="auto"/>
            <w:vAlign w:val="bottom"/>
          </w:tcPr>
          <w:p w14:paraId="42A492FE" w14:textId="77777777" w:rsidR="00782EFE" w:rsidRPr="006B6DF2" w:rsidRDefault="00782EFE" w:rsidP="00447F49">
            <w:pPr>
              <w:keepNext/>
              <w:keepLines/>
              <w:tabs>
                <w:tab w:val="decimal" w:pos="256"/>
              </w:tabs>
              <w:spacing w:before="60" w:after="60"/>
              <w:jc w:val="center"/>
              <w:rPr>
                <w:sz w:val="14"/>
                <w:szCs w:val="14"/>
              </w:rPr>
            </w:pPr>
            <w:r w:rsidRPr="006B6DF2">
              <w:rPr>
                <w:rFonts w:cs="Calibri"/>
                <w:color w:val="000000"/>
                <w:sz w:val="14"/>
                <w:szCs w:val="14"/>
              </w:rPr>
              <w:t>8.3%</w:t>
            </w:r>
          </w:p>
        </w:tc>
        <w:tc>
          <w:tcPr>
            <w:tcW w:w="921" w:type="dxa"/>
            <w:shd w:val="clear" w:color="auto" w:fill="auto"/>
            <w:vAlign w:val="bottom"/>
          </w:tcPr>
          <w:p w14:paraId="3EA7FE27" w14:textId="77777777" w:rsidR="00782EFE" w:rsidRPr="006B6DF2" w:rsidRDefault="00782EFE" w:rsidP="00447F49">
            <w:pPr>
              <w:keepNext/>
              <w:keepLines/>
              <w:tabs>
                <w:tab w:val="decimal" w:pos="256"/>
              </w:tabs>
              <w:spacing w:before="60" w:after="60"/>
              <w:jc w:val="center"/>
              <w:rPr>
                <w:sz w:val="14"/>
                <w:szCs w:val="14"/>
              </w:rPr>
            </w:pPr>
            <w:r w:rsidRPr="006B6DF2">
              <w:rPr>
                <w:rFonts w:cs="Calibri"/>
                <w:color w:val="000000"/>
                <w:sz w:val="14"/>
                <w:szCs w:val="14"/>
              </w:rPr>
              <w:t>-18.9%</w:t>
            </w:r>
          </w:p>
        </w:tc>
      </w:tr>
    </w:tbl>
    <w:p w14:paraId="46C0CA0C" w14:textId="77777777" w:rsidR="00CA7C42" w:rsidRDefault="00CA7C42" w:rsidP="00782EFE">
      <w:pPr>
        <w:spacing w:before="0"/>
      </w:pPr>
    </w:p>
    <w:p w14:paraId="1C0B0FDE" w14:textId="3B3954C8" w:rsidR="00F9674C" w:rsidRDefault="00071BCF" w:rsidP="005558BB">
      <w:pPr>
        <w:pStyle w:val="NumberedParagraph"/>
      </w:pPr>
      <w:r>
        <w:t xml:space="preserve">We draw attention to the following points illustrated by </w:t>
      </w:r>
      <w:r w:rsidR="003D41D2">
        <w:t>t</w:t>
      </w:r>
      <w:r w:rsidR="00F9674C">
        <w:t>able A2.7</w:t>
      </w:r>
    </w:p>
    <w:p w14:paraId="5BAB81F0" w14:textId="08E3AF15" w:rsidR="00BD0BC7" w:rsidRDefault="00BD0BC7" w:rsidP="008C3DFF">
      <w:pPr>
        <w:pStyle w:val="NumberedParagraph-BulletL1"/>
      </w:pPr>
      <w:r>
        <w:t>In the absence of inflation</w:t>
      </w:r>
      <w:r w:rsidR="00314711">
        <w:t>,</w:t>
      </w:r>
      <w:r>
        <w:t xml:space="preserve"> EMTRs would be 18.7% for PME where tax depreciation is assumed to be equal to economic depreciation, zero</w:t>
      </w:r>
      <w:r w:rsidR="00CC280D">
        <w:t>-</w:t>
      </w:r>
      <w:r>
        <w:lastRenderedPageBreak/>
        <w:t xml:space="preserve">depreciation </w:t>
      </w:r>
      <w:proofErr w:type="gramStart"/>
      <w:r>
        <w:t>assets</w:t>
      </w:r>
      <w:proofErr w:type="gramEnd"/>
      <w:r>
        <w:t xml:space="preserve"> and inventory. This would be true irrespective of whether the real interest rate demanded by non-residents was 3% or 5%.</w:t>
      </w:r>
    </w:p>
    <w:p w14:paraId="627FECB1" w14:textId="77BEEB3E" w:rsidR="00CB2329" w:rsidRDefault="000221C9" w:rsidP="008C3DFF">
      <w:pPr>
        <w:pStyle w:val="NumberedParagraph-BulletL1"/>
      </w:pPr>
      <w:r>
        <w:t>A higher real interest rate assumption does not affect qualitative conclusions much. It is still the case that minor amounts of inflation can reduce the neutrality of investment decisions</w:t>
      </w:r>
      <w:r w:rsidR="00E7543F">
        <w:t xml:space="preserve">. </w:t>
      </w:r>
      <w:r w:rsidR="00905E68">
        <w:t>It</w:t>
      </w:r>
      <w:r>
        <w:t xml:space="preserve"> lead</w:t>
      </w:r>
      <w:r w:rsidR="00905E68">
        <w:t>s</w:t>
      </w:r>
      <w:r>
        <w:t xml:space="preserve"> to increasing EMTRs on short-lived PME and inventories</w:t>
      </w:r>
      <w:r w:rsidR="00473A39">
        <w:t xml:space="preserve"> </w:t>
      </w:r>
      <w:r w:rsidR="00DD6855">
        <w:t xml:space="preserve">as well as </w:t>
      </w:r>
      <w:r>
        <w:t>increas</w:t>
      </w:r>
      <w:r w:rsidR="00DD6855">
        <w:t>ing</w:t>
      </w:r>
      <w:r>
        <w:t xml:space="preserve"> tax subsidies for investment in assets that can be expensed.</w:t>
      </w:r>
    </w:p>
    <w:p w14:paraId="3BB8D2C0" w14:textId="1B656B4D" w:rsidR="00F9674C" w:rsidRDefault="00DD4D8F" w:rsidP="008C3DFF">
      <w:pPr>
        <w:pStyle w:val="NumberedParagraph-BulletL1"/>
      </w:pPr>
      <w:r>
        <w:t>However, with a lower real i</w:t>
      </w:r>
      <w:r w:rsidR="000F1DBF">
        <w:t>nterest rate of 3%</w:t>
      </w:r>
      <w:r>
        <w:t>, the biases caused by inflation tend to be larger.</w:t>
      </w:r>
      <w:r w:rsidR="00734F8D">
        <w:t xml:space="preserve"> For example, both the increases in EMTRs for short-lived PME and inventory</w:t>
      </w:r>
      <w:r w:rsidR="00C545D9">
        <w:t xml:space="preserve"> and the decreases in EMTRs for assets where capital expenditure can be expensed are larger than is true when the real interest rate is 5%.</w:t>
      </w:r>
    </w:p>
    <w:p w14:paraId="465E2D5B" w14:textId="014CEDD1" w:rsidR="0055182B" w:rsidRPr="0055182B" w:rsidRDefault="0055182B" w:rsidP="00462E33">
      <w:pPr>
        <w:pStyle w:val="Heading2"/>
        <w:rPr>
          <w:rFonts w:eastAsia="Calibri"/>
          <w:lang w:eastAsia="en-US"/>
        </w:rPr>
      </w:pPr>
      <w:bookmarkStart w:id="18" w:name="_Toc108451956"/>
      <w:r w:rsidRPr="0055182B">
        <w:rPr>
          <w:rFonts w:eastAsia="Calibri"/>
          <w:lang w:eastAsia="en-US"/>
        </w:rPr>
        <w:t>SMEs where there may be little or no shareholding by non-residents</w:t>
      </w:r>
      <w:bookmarkEnd w:id="18"/>
    </w:p>
    <w:p w14:paraId="25FECFD5" w14:textId="21C072B3" w:rsidR="0055182B" w:rsidRPr="008D2E63" w:rsidRDefault="0055182B" w:rsidP="008D2E63">
      <w:pPr>
        <w:pStyle w:val="NumberedParagraph"/>
      </w:pPr>
      <w:r w:rsidRPr="008D2E63">
        <w:t xml:space="preserve">The OECD analysis assumes that non-resident shareholders are the marginal investors into companies in New Zealand. </w:t>
      </w:r>
      <w:r w:rsidR="002A3DD8" w:rsidRPr="008D2E63">
        <w:t>This assumption is a key reason for the high costs of capital and EMTRs for New Zealand reported in the OECD study</w:t>
      </w:r>
      <w:r w:rsidR="00926534">
        <w:t>,</w:t>
      </w:r>
      <w:r w:rsidR="00290A02" w:rsidRPr="008D2E63">
        <w:t xml:space="preserve"> as well as those reported earlier</w:t>
      </w:r>
      <w:r w:rsidR="00637804" w:rsidRPr="008D2E63">
        <w:t xml:space="preserve"> in this appendix</w:t>
      </w:r>
      <w:r w:rsidR="002A3DD8" w:rsidRPr="008D2E63">
        <w:t xml:space="preserve">. </w:t>
      </w:r>
      <w:r w:rsidRPr="008D2E63">
        <w:t>However, for SMEs</w:t>
      </w:r>
      <w:r w:rsidR="006B7062">
        <w:t>,</w:t>
      </w:r>
      <w:r w:rsidRPr="008D2E63">
        <w:t xml:space="preserve"> there is often little or no investment by non-resident shareholders.</w:t>
      </w:r>
      <w:r w:rsidR="005C0418" w:rsidRPr="008D2E63">
        <w:t xml:space="preserve"> The company tax rate may have much less of an effect i</w:t>
      </w:r>
      <w:r w:rsidR="003674AC" w:rsidRPr="008D2E63">
        <w:t>n driving up costs of capital for these firms than for companies where non-residents are likely to be marginal shareholders.</w:t>
      </w:r>
    </w:p>
    <w:p w14:paraId="3B77D4B4" w14:textId="645942CA" w:rsidR="0055182B" w:rsidRPr="008D2E63" w:rsidRDefault="0055182B" w:rsidP="008D2E63">
      <w:pPr>
        <w:pStyle w:val="NumberedParagraph"/>
      </w:pPr>
      <w:r w:rsidRPr="008D2E63">
        <w:t xml:space="preserve">To analyse this case, we make use of the domestic SME model </w:t>
      </w:r>
      <w:r w:rsidR="002A3DD8" w:rsidRPr="008D2E63">
        <w:t xml:space="preserve">variants </w:t>
      </w:r>
      <w:r w:rsidRPr="008D2E63">
        <w:t>outlined in appendix 1. Th</w:t>
      </w:r>
      <w:r w:rsidR="002A3DD8" w:rsidRPr="008D2E63">
        <w:t>ese</w:t>
      </w:r>
      <w:r w:rsidRPr="008D2E63">
        <w:t xml:space="preserve"> consider incentives to invest by a domestic SME where domestic residents, rather than non-residents, are marginal shareholders. Domestic residents can invest in either interest-bearing securities or domestic SMEs</w:t>
      </w:r>
      <w:r w:rsidR="00F75FAE">
        <w:t>,</w:t>
      </w:r>
      <w:r w:rsidR="00C57877" w:rsidRPr="008D2E63">
        <w:t xml:space="preserve"> so the opportunity</w:t>
      </w:r>
      <w:r w:rsidR="000820B2" w:rsidRPr="008D2E63">
        <w:t xml:space="preserve"> cost of equity investment is the after-tax interest rate that could otherwise have been earned</w:t>
      </w:r>
      <w:r w:rsidRPr="008D2E63">
        <w:t>. The domestic interest rate is being raised by AIL so that, if inflation is 2% and the world real interest rate is 3.00%, the domestic real interest rate becomes 3.10%. Domestic residents can borrow or lend at that rate.</w:t>
      </w:r>
    </w:p>
    <w:p w14:paraId="7F27CB50" w14:textId="77777777" w:rsidR="0055182B" w:rsidRDefault="0055182B" w:rsidP="008D2E63">
      <w:pPr>
        <w:pStyle w:val="NumberedParagraph"/>
      </w:pPr>
      <w:r w:rsidRPr="008D2E63">
        <w:t>We consider two possible variants. In the first, we assume that income is taxed each year at the marginal tax rates of shareholders. This would be the case if the company fully distributed its taxable profits each year while paying no unimputed dividends. It is assumed that the shareholder face</w:t>
      </w:r>
      <w:r w:rsidRPr="0055182B">
        <w:t>s a marginal tax rate of 33%. We refer to this as the ‘full distribution case’.</w:t>
      </w:r>
    </w:p>
    <w:p w14:paraId="4A7D9EB3" w14:textId="6C9CB178" w:rsidR="0035500B" w:rsidRDefault="0035500B" w:rsidP="008D2E63">
      <w:pPr>
        <w:pStyle w:val="NumberedParagraph"/>
      </w:pPr>
      <w:r>
        <w:t xml:space="preserve">Costs of capital and EMTRs are </w:t>
      </w:r>
      <w:r w:rsidR="000A5816">
        <w:t xml:space="preserve">provided for this case in </w:t>
      </w:r>
      <w:r w:rsidR="003D41D2">
        <w:t>t</w:t>
      </w:r>
      <w:r w:rsidR="000A5816">
        <w:t>able A2.8</w:t>
      </w:r>
      <w:r w:rsidR="001D08C3">
        <w:t>.</w:t>
      </w:r>
      <w:r w:rsidR="00103EAE">
        <w:t xml:space="preserve"> We consider two possible real interest rates and two possible inflation rates.</w:t>
      </w:r>
      <w:r w:rsidR="00752CF5">
        <w:t xml:space="preserve"> As AIL is increasing the domestic real interest rate, costs of capital and EMTRs do not depend on debt levels because</w:t>
      </w:r>
      <w:r w:rsidR="00D2655C">
        <w:t>,</w:t>
      </w:r>
      <w:r w:rsidR="00725229">
        <w:t xml:space="preserve"> whether investment is debt</w:t>
      </w:r>
      <w:r w:rsidR="00E76949">
        <w:t>-</w:t>
      </w:r>
      <w:r w:rsidR="00725229">
        <w:t xml:space="preserve"> or equity</w:t>
      </w:r>
      <w:r w:rsidR="00E76949">
        <w:t>-</w:t>
      </w:r>
      <w:r w:rsidR="00725229">
        <w:t xml:space="preserve">financed, the opportunity cost of </w:t>
      </w:r>
      <w:r w:rsidR="003011DD">
        <w:t>capital is the after-tax real interest rate.</w:t>
      </w:r>
    </w:p>
    <w:p w14:paraId="7F467F52" w14:textId="30FF7D51" w:rsidR="00782EFE" w:rsidRDefault="004D0FDA" w:rsidP="00C867CC">
      <w:pPr>
        <w:pStyle w:val="Caption"/>
      </w:pPr>
      <w:r w:rsidRPr="008D2E63">
        <w:lastRenderedPageBreak/>
        <w:t xml:space="preserve">Table A2.8: Costs of capital and EMTRs for domestic SMEs </w:t>
      </w:r>
      <w:r>
        <w:t xml:space="preserve">without foreign marginal shareholders, </w:t>
      </w:r>
      <w:r w:rsidRPr="008D2E63">
        <w:t>full distribution, m = 33%, AIL = 2%</w:t>
      </w:r>
    </w:p>
    <w:tbl>
      <w:tblPr>
        <w:tblStyle w:val="TableGrid"/>
        <w:tblW w:w="9781" w:type="dxa"/>
        <w:tblInd w:w="-50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28" w:type="dxa"/>
          <w:right w:w="28" w:type="dxa"/>
        </w:tblCellMar>
        <w:tblLook w:val="04A0" w:firstRow="1" w:lastRow="0" w:firstColumn="1" w:lastColumn="0" w:noHBand="0" w:noVBand="1"/>
      </w:tblPr>
      <w:tblGrid>
        <w:gridCol w:w="1347"/>
        <w:gridCol w:w="992"/>
        <w:gridCol w:w="737"/>
        <w:gridCol w:w="681"/>
        <w:gridCol w:w="651"/>
        <w:gridCol w:w="666"/>
        <w:gridCol w:w="667"/>
        <w:gridCol w:w="1134"/>
        <w:gridCol w:w="851"/>
        <w:gridCol w:w="1134"/>
        <w:gridCol w:w="921"/>
      </w:tblGrid>
      <w:tr w:rsidR="00C867CC" w:rsidRPr="008F735E" w14:paraId="317D5E7B" w14:textId="77777777" w:rsidTr="0067450B">
        <w:trPr>
          <w:tblHeader/>
        </w:trPr>
        <w:tc>
          <w:tcPr>
            <w:tcW w:w="1347" w:type="dxa"/>
            <w:shd w:val="clear" w:color="auto" w:fill="232E36"/>
          </w:tcPr>
          <w:p w14:paraId="56E8E897" w14:textId="77777777" w:rsidR="00C867CC" w:rsidRPr="008F735E" w:rsidRDefault="00C867CC" w:rsidP="00447F49">
            <w:pPr>
              <w:keepNext/>
              <w:keepLines/>
              <w:spacing w:before="120" w:after="120"/>
              <w:rPr>
                <w:color w:val="FFFFFF" w:themeColor="background1"/>
                <w:sz w:val="14"/>
                <w:szCs w:val="14"/>
              </w:rPr>
            </w:pPr>
          </w:p>
        </w:tc>
        <w:tc>
          <w:tcPr>
            <w:tcW w:w="992" w:type="dxa"/>
            <w:shd w:val="clear" w:color="auto" w:fill="232E36"/>
          </w:tcPr>
          <w:p w14:paraId="402FBDF9" w14:textId="77777777" w:rsidR="00C867CC" w:rsidRPr="008F735E" w:rsidRDefault="00C867CC" w:rsidP="00447F49">
            <w:pPr>
              <w:keepNext/>
              <w:keepLines/>
              <w:spacing w:before="120" w:after="120"/>
              <w:jc w:val="center"/>
              <w:rPr>
                <w:b/>
                <w:bCs/>
                <w:color w:val="FFFFFF" w:themeColor="background1"/>
                <w:sz w:val="14"/>
                <w:szCs w:val="14"/>
              </w:rPr>
            </w:pPr>
            <w:r w:rsidRPr="008F735E">
              <w:rPr>
                <w:b/>
                <w:bCs/>
                <w:color w:val="FFFFFF" w:themeColor="background1"/>
                <w:sz w:val="14"/>
                <w:szCs w:val="14"/>
              </w:rPr>
              <w:t>Commercial and industrial buildings</w:t>
            </w:r>
          </w:p>
        </w:tc>
        <w:tc>
          <w:tcPr>
            <w:tcW w:w="3402" w:type="dxa"/>
            <w:gridSpan w:val="5"/>
            <w:shd w:val="clear" w:color="auto" w:fill="232E36"/>
          </w:tcPr>
          <w:p w14:paraId="0297E07D" w14:textId="77777777" w:rsidR="00C867CC" w:rsidRPr="008F735E" w:rsidRDefault="00C867CC" w:rsidP="00447F49">
            <w:pPr>
              <w:keepNext/>
              <w:keepLines/>
              <w:spacing w:before="120" w:after="120"/>
              <w:jc w:val="center"/>
              <w:rPr>
                <w:b/>
                <w:bCs/>
                <w:color w:val="FFFFFF" w:themeColor="background1"/>
                <w:sz w:val="14"/>
                <w:szCs w:val="14"/>
              </w:rPr>
            </w:pPr>
            <w:r w:rsidRPr="008F735E">
              <w:rPr>
                <w:b/>
                <w:bCs/>
                <w:color w:val="FFFFFF" w:themeColor="background1"/>
                <w:sz w:val="14"/>
                <w:szCs w:val="14"/>
              </w:rPr>
              <w:t xml:space="preserve">Plant, </w:t>
            </w:r>
            <w:proofErr w:type="gramStart"/>
            <w:r w:rsidRPr="008F735E">
              <w:rPr>
                <w:b/>
                <w:bCs/>
                <w:color w:val="FFFFFF" w:themeColor="background1"/>
                <w:sz w:val="14"/>
                <w:szCs w:val="14"/>
              </w:rPr>
              <w:t>machinery</w:t>
            </w:r>
            <w:proofErr w:type="gramEnd"/>
            <w:r w:rsidRPr="008F735E">
              <w:rPr>
                <w:b/>
                <w:bCs/>
                <w:color w:val="FFFFFF" w:themeColor="background1"/>
                <w:sz w:val="14"/>
                <w:szCs w:val="14"/>
              </w:rPr>
              <w:t xml:space="preserve"> and equipment</w:t>
            </w:r>
          </w:p>
        </w:tc>
        <w:tc>
          <w:tcPr>
            <w:tcW w:w="1134" w:type="dxa"/>
            <w:shd w:val="clear" w:color="auto" w:fill="232E36"/>
          </w:tcPr>
          <w:p w14:paraId="178BC586" w14:textId="77777777" w:rsidR="00C867CC" w:rsidRPr="008F735E" w:rsidRDefault="00C867CC" w:rsidP="00447F49">
            <w:pPr>
              <w:keepNext/>
              <w:keepLines/>
              <w:spacing w:before="120" w:after="120"/>
              <w:jc w:val="center"/>
              <w:rPr>
                <w:b/>
                <w:bCs/>
                <w:color w:val="FFFFFF" w:themeColor="background1"/>
                <w:sz w:val="14"/>
                <w:szCs w:val="14"/>
              </w:rPr>
            </w:pPr>
            <w:r w:rsidRPr="008F735E">
              <w:rPr>
                <w:b/>
                <w:bCs/>
                <w:color w:val="FFFFFF" w:themeColor="background1"/>
                <w:sz w:val="14"/>
                <w:szCs w:val="14"/>
              </w:rPr>
              <w:t>Zero</w:t>
            </w:r>
            <w:r>
              <w:rPr>
                <w:b/>
                <w:bCs/>
                <w:color w:val="FFFFFF" w:themeColor="background1"/>
                <w:sz w:val="14"/>
                <w:szCs w:val="14"/>
              </w:rPr>
              <w:t>-</w:t>
            </w:r>
            <w:r w:rsidRPr="008F735E">
              <w:rPr>
                <w:b/>
                <w:bCs/>
                <w:color w:val="FFFFFF" w:themeColor="background1"/>
                <w:sz w:val="14"/>
                <w:szCs w:val="14"/>
              </w:rPr>
              <w:t>depreciating assets</w:t>
            </w:r>
          </w:p>
        </w:tc>
        <w:tc>
          <w:tcPr>
            <w:tcW w:w="851" w:type="dxa"/>
            <w:shd w:val="clear" w:color="auto" w:fill="232E36"/>
          </w:tcPr>
          <w:p w14:paraId="68255C4D" w14:textId="77777777" w:rsidR="00C867CC" w:rsidRPr="008F735E" w:rsidRDefault="00C867CC" w:rsidP="00447F49">
            <w:pPr>
              <w:keepNext/>
              <w:keepLines/>
              <w:spacing w:before="120" w:after="120"/>
              <w:jc w:val="center"/>
              <w:rPr>
                <w:b/>
                <w:bCs/>
                <w:color w:val="FFFFFF" w:themeColor="background1"/>
                <w:sz w:val="14"/>
                <w:szCs w:val="14"/>
              </w:rPr>
            </w:pPr>
            <w:r w:rsidRPr="008F735E">
              <w:rPr>
                <w:b/>
                <w:bCs/>
                <w:color w:val="FFFFFF" w:themeColor="background1"/>
                <w:sz w:val="14"/>
                <w:szCs w:val="14"/>
              </w:rPr>
              <w:t>Inventory</w:t>
            </w:r>
          </w:p>
        </w:tc>
        <w:tc>
          <w:tcPr>
            <w:tcW w:w="1134" w:type="dxa"/>
            <w:shd w:val="clear" w:color="auto" w:fill="232E36"/>
          </w:tcPr>
          <w:p w14:paraId="7C52F6C5" w14:textId="77777777" w:rsidR="00C867CC" w:rsidRPr="008F735E" w:rsidRDefault="00C867CC" w:rsidP="00447F49">
            <w:pPr>
              <w:keepNext/>
              <w:keepLines/>
              <w:spacing w:before="120" w:after="120"/>
              <w:jc w:val="center"/>
              <w:rPr>
                <w:b/>
                <w:bCs/>
                <w:color w:val="FFFFFF" w:themeColor="background1"/>
                <w:sz w:val="14"/>
                <w:szCs w:val="14"/>
              </w:rPr>
            </w:pPr>
            <w:r w:rsidRPr="008F735E">
              <w:rPr>
                <w:b/>
                <w:bCs/>
                <w:color w:val="FFFFFF" w:themeColor="background1"/>
                <w:sz w:val="14"/>
                <w:szCs w:val="14"/>
              </w:rPr>
              <w:t>Appreciating assets</w:t>
            </w:r>
          </w:p>
        </w:tc>
        <w:tc>
          <w:tcPr>
            <w:tcW w:w="921" w:type="dxa"/>
            <w:shd w:val="clear" w:color="auto" w:fill="232E36"/>
          </w:tcPr>
          <w:p w14:paraId="15D1ECFD" w14:textId="77777777" w:rsidR="00C867CC" w:rsidRPr="008F735E" w:rsidRDefault="00C867CC" w:rsidP="00447F49">
            <w:pPr>
              <w:keepNext/>
              <w:keepLines/>
              <w:spacing w:before="120" w:after="120"/>
              <w:jc w:val="center"/>
              <w:rPr>
                <w:b/>
                <w:bCs/>
                <w:color w:val="FFFFFF" w:themeColor="background1"/>
                <w:sz w:val="14"/>
                <w:szCs w:val="14"/>
              </w:rPr>
            </w:pPr>
            <w:r w:rsidRPr="008F735E">
              <w:rPr>
                <w:b/>
                <w:bCs/>
                <w:color w:val="FFFFFF" w:themeColor="background1"/>
                <w:sz w:val="14"/>
                <w:szCs w:val="14"/>
              </w:rPr>
              <w:t>Expensing</w:t>
            </w:r>
          </w:p>
        </w:tc>
      </w:tr>
      <w:tr w:rsidR="00C867CC" w:rsidRPr="008F735E" w14:paraId="0ECC559B" w14:textId="77777777" w:rsidTr="0067450B">
        <w:tc>
          <w:tcPr>
            <w:tcW w:w="1347" w:type="dxa"/>
            <w:shd w:val="clear" w:color="auto" w:fill="auto"/>
            <w:vAlign w:val="bottom"/>
          </w:tcPr>
          <w:p w14:paraId="319E73D8" w14:textId="77777777" w:rsidR="00C867CC" w:rsidRPr="00CF778C" w:rsidRDefault="00C867CC" w:rsidP="00447F49">
            <w:pPr>
              <w:keepNext/>
              <w:keepLines/>
              <w:tabs>
                <w:tab w:val="left" w:pos="106"/>
              </w:tabs>
              <w:spacing w:before="60" w:after="60"/>
              <w:rPr>
                <w:rStyle w:val="Strong"/>
                <w:b w:val="0"/>
                <w:bCs w:val="0"/>
                <w:sz w:val="14"/>
                <w:szCs w:val="14"/>
              </w:rPr>
            </w:pPr>
            <w:r>
              <w:rPr>
                <w:rStyle w:val="Strong"/>
                <w:sz w:val="14"/>
                <w:szCs w:val="14"/>
              </w:rPr>
              <w:t>d</w:t>
            </w:r>
          </w:p>
        </w:tc>
        <w:tc>
          <w:tcPr>
            <w:tcW w:w="992" w:type="dxa"/>
            <w:vAlign w:val="center"/>
          </w:tcPr>
          <w:p w14:paraId="26CEF32C" w14:textId="77777777" w:rsidR="00C867CC" w:rsidRPr="008F735E" w:rsidRDefault="00C867CC" w:rsidP="00447F49">
            <w:pPr>
              <w:keepNext/>
              <w:keepLines/>
              <w:tabs>
                <w:tab w:val="decimal" w:pos="256"/>
              </w:tabs>
              <w:spacing w:before="60" w:after="60"/>
              <w:jc w:val="center"/>
              <w:rPr>
                <w:sz w:val="14"/>
                <w:szCs w:val="14"/>
              </w:rPr>
            </w:pPr>
            <w:r w:rsidRPr="008F735E">
              <w:rPr>
                <w:sz w:val="14"/>
                <w:szCs w:val="14"/>
              </w:rPr>
              <w:t>2.69%</w:t>
            </w:r>
          </w:p>
        </w:tc>
        <w:tc>
          <w:tcPr>
            <w:tcW w:w="737" w:type="dxa"/>
            <w:vAlign w:val="center"/>
          </w:tcPr>
          <w:p w14:paraId="6C53A052" w14:textId="77777777" w:rsidR="00C867CC" w:rsidRPr="008F735E" w:rsidRDefault="00C867CC" w:rsidP="00447F49">
            <w:pPr>
              <w:keepNext/>
              <w:keepLines/>
              <w:tabs>
                <w:tab w:val="decimal" w:pos="256"/>
              </w:tabs>
              <w:spacing w:before="60" w:after="60"/>
              <w:jc w:val="center"/>
              <w:rPr>
                <w:sz w:val="14"/>
                <w:szCs w:val="14"/>
              </w:rPr>
            </w:pPr>
            <w:r w:rsidRPr="008F735E">
              <w:rPr>
                <w:sz w:val="14"/>
                <w:szCs w:val="14"/>
              </w:rPr>
              <w:t>100.00%</w:t>
            </w:r>
          </w:p>
        </w:tc>
        <w:tc>
          <w:tcPr>
            <w:tcW w:w="681" w:type="dxa"/>
            <w:vAlign w:val="center"/>
          </w:tcPr>
          <w:p w14:paraId="5F3A529D" w14:textId="77777777" w:rsidR="00C867CC" w:rsidRPr="008F735E" w:rsidRDefault="00C867CC" w:rsidP="00447F49">
            <w:pPr>
              <w:keepNext/>
              <w:keepLines/>
              <w:tabs>
                <w:tab w:val="decimal" w:pos="256"/>
              </w:tabs>
              <w:spacing w:before="60" w:after="60"/>
              <w:jc w:val="center"/>
              <w:rPr>
                <w:sz w:val="14"/>
                <w:szCs w:val="14"/>
              </w:rPr>
            </w:pPr>
            <w:r w:rsidRPr="008F735E">
              <w:rPr>
                <w:sz w:val="14"/>
                <w:szCs w:val="14"/>
              </w:rPr>
              <w:t>50.00%</w:t>
            </w:r>
          </w:p>
        </w:tc>
        <w:tc>
          <w:tcPr>
            <w:tcW w:w="651" w:type="dxa"/>
            <w:vAlign w:val="center"/>
          </w:tcPr>
          <w:p w14:paraId="5B802F5E" w14:textId="77777777" w:rsidR="00C867CC" w:rsidRPr="008F735E" w:rsidRDefault="00C867CC" w:rsidP="00447F49">
            <w:pPr>
              <w:keepNext/>
              <w:keepLines/>
              <w:tabs>
                <w:tab w:val="decimal" w:pos="256"/>
              </w:tabs>
              <w:spacing w:before="60" w:after="60"/>
              <w:jc w:val="center"/>
              <w:rPr>
                <w:sz w:val="14"/>
                <w:szCs w:val="14"/>
              </w:rPr>
            </w:pPr>
            <w:r w:rsidRPr="008F735E">
              <w:rPr>
                <w:sz w:val="14"/>
                <w:szCs w:val="14"/>
              </w:rPr>
              <w:t>10.00%</w:t>
            </w:r>
          </w:p>
        </w:tc>
        <w:tc>
          <w:tcPr>
            <w:tcW w:w="666" w:type="dxa"/>
            <w:vAlign w:val="center"/>
          </w:tcPr>
          <w:p w14:paraId="5FA61D49" w14:textId="77777777" w:rsidR="00C867CC" w:rsidRPr="008F735E" w:rsidRDefault="00C867CC" w:rsidP="00447F49">
            <w:pPr>
              <w:keepNext/>
              <w:keepLines/>
              <w:tabs>
                <w:tab w:val="decimal" w:pos="256"/>
              </w:tabs>
              <w:spacing w:before="60" w:after="60"/>
              <w:jc w:val="center"/>
              <w:rPr>
                <w:sz w:val="14"/>
                <w:szCs w:val="14"/>
              </w:rPr>
            </w:pPr>
            <w:r w:rsidRPr="008F735E">
              <w:rPr>
                <w:sz w:val="14"/>
                <w:szCs w:val="14"/>
              </w:rPr>
              <w:t>4.00%</w:t>
            </w:r>
          </w:p>
        </w:tc>
        <w:tc>
          <w:tcPr>
            <w:tcW w:w="667" w:type="dxa"/>
            <w:vAlign w:val="center"/>
          </w:tcPr>
          <w:p w14:paraId="02BE6831" w14:textId="77777777" w:rsidR="00C867CC" w:rsidRPr="008F735E" w:rsidRDefault="00C867CC" w:rsidP="00447F49">
            <w:pPr>
              <w:keepNext/>
              <w:keepLines/>
              <w:tabs>
                <w:tab w:val="decimal" w:pos="256"/>
              </w:tabs>
              <w:spacing w:before="60" w:after="60"/>
              <w:jc w:val="center"/>
              <w:rPr>
                <w:sz w:val="14"/>
                <w:szCs w:val="14"/>
              </w:rPr>
            </w:pPr>
            <w:r w:rsidRPr="008F735E">
              <w:rPr>
                <w:sz w:val="14"/>
                <w:szCs w:val="14"/>
              </w:rPr>
              <w:t>2.00%</w:t>
            </w:r>
          </w:p>
        </w:tc>
        <w:tc>
          <w:tcPr>
            <w:tcW w:w="1134" w:type="dxa"/>
            <w:vAlign w:val="center"/>
          </w:tcPr>
          <w:p w14:paraId="5DAFDE24" w14:textId="77777777" w:rsidR="00C867CC" w:rsidRPr="008F735E" w:rsidRDefault="00C867CC" w:rsidP="00447F49">
            <w:pPr>
              <w:keepNext/>
              <w:keepLines/>
              <w:tabs>
                <w:tab w:val="decimal" w:pos="256"/>
              </w:tabs>
              <w:spacing w:before="60" w:after="60"/>
              <w:jc w:val="center"/>
              <w:rPr>
                <w:sz w:val="14"/>
                <w:szCs w:val="14"/>
              </w:rPr>
            </w:pPr>
            <w:r w:rsidRPr="008F735E">
              <w:rPr>
                <w:sz w:val="14"/>
                <w:szCs w:val="14"/>
              </w:rPr>
              <w:t>0.00%</w:t>
            </w:r>
          </w:p>
        </w:tc>
        <w:tc>
          <w:tcPr>
            <w:tcW w:w="851" w:type="dxa"/>
            <w:vAlign w:val="center"/>
          </w:tcPr>
          <w:p w14:paraId="3EE9E9B7" w14:textId="77777777" w:rsidR="00C867CC" w:rsidRPr="008F735E" w:rsidRDefault="00C867CC" w:rsidP="00447F49">
            <w:pPr>
              <w:keepNext/>
              <w:keepLines/>
              <w:tabs>
                <w:tab w:val="decimal" w:pos="256"/>
              </w:tabs>
              <w:spacing w:before="60" w:after="60"/>
              <w:jc w:val="center"/>
              <w:rPr>
                <w:sz w:val="14"/>
                <w:szCs w:val="14"/>
              </w:rPr>
            </w:pPr>
          </w:p>
        </w:tc>
        <w:tc>
          <w:tcPr>
            <w:tcW w:w="1134" w:type="dxa"/>
            <w:vAlign w:val="center"/>
          </w:tcPr>
          <w:p w14:paraId="2EB7EBC5" w14:textId="77777777" w:rsidR="00C867CC" w:rsidRPr="008F735E" w:rsidRDefault="00C867CC" w:rsidP="00447F49">
            <w:pPr>
              <w:keepNext/>
              <w:keepLines/>
              <w:tabs>
                <w:tab w:val="decimal" w:pos="256"/>
              </w:tabs>
              <w:spacing w:before="60" w:after="60"/>
              <w:jc w:val="center"/>
              <w:rPr>
                <w:sz w:val="14"/>
                <w:szCs w:val="14"/>
              </w:rPr>
            </w:pPr>
            <w:r w:rsidRPr="008F735E">
              <w:rPr>
                <w:sz w:val="14"/>
                <w:szCs w:val="14"/>
              </w:rPr>
              <w:t>-1.00%</w:t>
            </w:r>
          </w:p>
        </w:tc>
        <w:tc>
          <w:tcPr>
            <w:tcW w:w="921" w:type="dxa"/>
            <w:vAlign w:val="center"/>
          </w:tcPr>
          <w:p w14:paraId="60DCB9AF" w14:textId="77777777" w:rsidR="00C867CC" w:rsidRPr="008F735E" w:rsidRDefault="00C867CC" w:rsidP="00447F49">
            <w:pPr>
              <w:keepNext/>
              <w:keepLines/>
              <w:tabs>
                <w:tab w:val="decimal" w:pos="256"/>
              </w:tabs>
              <w:spacing w:before="60" w:after="60"/>
              <w:jc w:val="center"/>
              <w:rPr>
                <w:sz w:val="14"/>
                <w:szCs w:val="14"/>
              </w:rPr>
            </w:pPr>
          </w:p>
        </w:tc>
      </w:tr>
      <w:tr w:rsidR="00C867CC" w:rsidRPr="008F735E" w14:paraId="53695FA6" w14:textId="77777777" w:rsidTr="0067450B">
        <w:tc>
          <w:tcPr>
            <w:tcW w:w="1347" w:type="dxa"/>
            <w:shd w:val="clear" w:color="auto" w:fill="auto"/>
            <w:vAlign w:val="bottom"/>
          </w:tcPr>
          <w:p w14:paraId="4FFCC56B" w14:textId="77777777" w:rsidR="00C867CC" w:rsidRPr="00CF778C" w:rsidRDefault="00C867CC" w:rsidP="00447F49">
            <w:pPr>
              <w:keepNext/>
              <w:keepLines/>
              <w:tabs>
                <w:tab w:val="left" w:pos="106"/>
              </w:tabs>
              <w:spacing w:before="60" w:after="60"/>
              <w:rPr>
                <w:rStyle w:val="Strong"/>
                <w:b w:val="0"/>
                <w:bCs w:val="0"/>
                <w:sz w:val="14"/>
                <w:szCs w:val="14"/>
              </w:rPr>
            </w:pPr>
            <w:r>
              <w:rPr>
                <w:rStyle w:val="Strong"/>
                <w:sz w:val="14"/>
                <w:szCs w:val="14"/>
              </w:rPr>
              <w:t>d*</w:t>
            </w:r>
          </w:p>
        </w:tc>
        <w:tc>
          <w:tcPr>
            <w:tcW w:w="992" w:type="dxa"/>
            <w:vAlign w:val="center"/>
          </w:tcPr>
          <w:p w14:paraId="2F2E76DC" w14:textId="77777777" w:rsidR="00C867CC" w:rsidRPr="008F735E" w:rsidRDefault="00C867CC" w:rsidP="00447F49">
            <w:pPr>
              <w:keepNext/>
              <w:keepLines/>
              <w:tabs>
                <w:tab w:val="decimal" w:pos="256"/>
              </w:tabs>
              <w:spacing w:before="60" w:after="60"/>
              <w:jc w:val="center"/>
              <w:rPr>
                <w:sz w:val="14"/>
                <w:szCs w:val="14"/>
              </w:rPr>
            </w:pPr>
            <w:r w:rsidRPr="008F735E">
              <w:rPr>
                <w:sz w:val="14"/>
                <w:szCs w:val="14"/>
              </w:rPr>
              <w:t>2.00%</w:t>
            </w:r>
          </w:p>
        </w:tc>
        <w:tc>
          <w:tcPr>
            <w:tcW w:w="737" w:type="dxa"/>
            <w:vAlign w:val="center"/>
          </w:tcPr>
          <w:p w14:paraId="2492995C" w14:textId="77777777" w:rsidR="00C867CC" w:rsidRPr="008F735E" w:rsidRDefault="00C867CC" w:rsidP="00447F49">
            <w:pPr>
              <w:keepNext/>
              <w:keepLines/>
              <w:tabs>
                <w:tab w:val="decimal" w:pos="256"/>
              </w:tabs>
              <w:spacing w:before="60" w:after="60"/>
              <w:jc w:val="center"/>
              <w:rPr>
                <w:sz w:val="14"/>
                <w:szCs w:val="14"/>
              </w:rPr>
            </w:pPr>
            <w:r w:rsidRPr="008F735E">
              <w:rPr>
                <w:sz w:val="14"/>
                <w:szCs w:val="14"/>
              </w:rPr>
              <w:t>100.00%</w:t>
            </w:r>
          </w:p>
        </w:tc>
        <w:tc>
          <w:tcPr>
            <w:tcW w:w="681" w:type="dxa"/>
            <w:vAlign w:val="center"/>
          </w:tcPr>
          <w:p w14:paraId="2712242F" w14:textId="77777777" w:rsidR="00C867CC" w:rsidRPr="008F735E" w:rsidRDefault="00C867CC" w:rsidP="00447F49">
            <w:pPr>
              <w:keepNext/>
              <w:keepLines/>
              <w:tabs>
                <w:tab w:val="decimal" w:pos="256"/>
              </w:tabs>
              <w:spacing w:before="60" w:after="60"/>
              <w:jc w:val="center"/>
              <w:rPr>
                <w:sz w:val="14"/>
                <w:szCs w:val="14"/>
              </w:rPr>
            </w:pPr>
            <w:r w:rsidRPr="008F735E">
              <w:rPr>
                <w:sz w:val="14"/>
                <w:szCs w:val="14"/>
              </w:rPr>
              <w:t>50.00%</w:t>
            </w:r>
          </w:p>
        </w:tc>
        <w:tc>
          <w:tcPr>
            <w:tcW w:w="651" w:type="dxa"/>
            <w:vAlign w:val="center"/>
          </w:tcPr>
          <w:p w14:paraId="7E02D6AB" w14:textId="77777777" w:rsidR="00C867CC" w:rsidRPr="008F735E" w:rsidRDefault="00C867CC" w:rsidP="00447F49">
            <w:pPr>
              <w:keepNext/>
              <w:keepLines/>
              <w:tabs>
                <w:tab w:val="decimal" w:pos="256"/>
              </w:tabs>
              <w:spacing w:before="60" w:after="60"/>
              <w:jc w:val="center"/>
              <w:rPr>
                <w:sz w:val="14"/>
                <w:szCs w:val="14"/>
              </w:rPr>
            </w:pPr>
            <w:r w:rsidRPr="008F735E">
              <w:rPr>
                <w:sz w:val="14"/>
                <w:szCs w:val="14"/>
              </w:rPr>
              <w:t>10.00%</w:t>
            </w:r>
          </w:p>
        </w:tc>
        <w:tc>
          <w:tcPr>
            <w:tcW w:w="666" w:type="dxa"/>
            <w:vAlign w:val="center"/>
          </w:tcPr>
          <w:p w14:paraId="4DF255C8" w14:textId="77777777" w:rsidR="00C867CC" w:rsidRPr="008F735E" w:rsidRDefault="00C867CC" w:rsidP="00447F49">
            <w:pPr>
              <w:keepNext/>
              <w:keepLines/>
              <w:tabs>
                <w:tab w:val="decimal" w:pos="256"/>
              </w:tabs>
              <w:spacing w:before="60" w:after="60"/>
              <w:jc w:val="center"/>
              <w:rPr>
                <w:sz w:val="14"/>
                <w:szCs w:val="14"/>
              </w:rPr>
            </w:pPr>
            <w:r w:rsidRPr="008F735E">
              <w:rPr>
                <w:sz w:val="14"/>
                <w:szCs w:val="14"/>
              </w:rPr>
              <w:t>4.00%</w:t>
            </w:r>
          </w:p>
        </w:tc>
        <w:tc>
          <w:tcPr>
            <w:tcW w:w="667" w:type="dxa"/>
            <w:vAlign w:val="center"/>
          </w:tcPr>
          <w:p w14:paraId="64D1B6A4" w14:textId="77777777" w:rsidR="00C867CC" w:rsidRPr="008F735E" w:rsidRDefault="00C867CC" w:rsidP="00447F49">
            <w:pPr>
              <w:keepNext/>
              <w:keepLines/>
              <w:tabs>
                <w:tab w:val="decimal" w:pos="256"/>
              </w:tabs>
              <w:spacing w:before="60" w:after="60"/>
              <w:jc w:val="center"/>
              <w:rPr>
                <w:sz w:val="14"/>
                <w:szCs w:val="14"/>
              </w:rPr>
            </w:pPr>
            <w:r w:rsidRPr="008F735E">
              <w:rPr>
                <w:sz w:val="14"/>
                <w:szCs w:val="14"/>
              </w:rPr>
              <w:t>2.00%</w:t>
            </w:r>
          </w:p>
        </w:tc>
        <w:tc>
          <w:tcPr>
            <w:tcW w:w="1134" w:type="dxa"/>
            <w:vAlign w:val="center"/>
          </w:tcPr>
          <w:p w14:paraId="5C589B60" w14:textId="77777777" w:rsidR="00C867CC" w:rsidRPr="008F735E" w:rsidRDefault="00C867CC" w:rsidP="00447F49">
            <w:pPr>
              <w:keepNext/>
              <w:keepLines/>
              <w:tabs>
                <w:tab w:val="decimal" w:pos="256"/>
              </w:tabs>
              <w:spacing w:before="60" w:after="60"/>
              <w:jc w:val="center"/>
              <w:rPr>
                <w:sz w:val="14"/>
                <w:szCs w:val="14"/>
              </w:rPr>
            </w:pPr>
            <w:r w:rsidRPr="008F735E">
              <w:rPr>
                <w:sz w:val="14"/>
                <w:szCs w:val="14"/>
              </w:rPr>
              <w:t>0.00%</w:t>
            </w:r>
          </w:p>
        </w:tc>
        <w:tc>
          <w:tcPr>
            <w:tcW w:w="851" w:type="dxa"/>
            <w:vAlign w:val="center"/>
          </w:tcPr>
          <w:p w14:paraId="4E4D9DFF" w14:textId="77777777" w:rsidR="00C867CC" w:rsidRPr="008F735E" w:rsidRDefault="00C867CC" w:rsidP="00447F49">
            <w:pPr>
              <w:keepNext/>
              <w:keepLines/>
              <w:tabs>
                <w:tab w:val="decimal" w:pos="256"/>
              </w:tabs>
              <w:spacing w:before="60" w:after="60"/>
              <w:jc w:val="center"/>
              <w:rPr>
                <w:sz w:val="14"/>
                <w:szCs w:val="14"/>
              </w:rPr>
            </w:pPr>
          </w:p>
        </w:tc>
        <w:tc>
          <w:tcPr>
            <w:tcW w:w="1134" w:type="dxa"/>
            <w:vAlign w:val="center"/>
          </w:tcPr>
          <w:p w14:paraId="12B31D9A" w14:textId="77777777" w:rsidR="00C867CC" w:rsidRPr="008F735E" w:rsidRDefault="00C867CC" w:rsidP="00447F49">
            <w:pPr>
              <w:keepNext/>
              <w:keepLines/>
              <w:tabs>
                <w:tab w:val="decimal" w:pos="256"/>
              </w:tabs>
              <w:spacing w:before="60" w:after="60"/>
              <w:jc w:val="center"/>
              <w:rPr>
                <w:sz w:val="14"/>
                <w:szCs w:val="14"/>
              </w:rPr>
            </w:pPr>
            <w:r w:rsidRPr="008F735E">
              <w:rPr>
                <w:sz w:val="14"/>
                <w:szCs w:val="14"/>
              </w:rPr>
              <w:t>0.00%</w:t>
            </w:r>
          </w:p>
        </w:tc>
        <w:tc>
          <w:tcPr>
            <w:tcW w:w="921" w:type="dxa"/>
            <w:vAlign w:val="center"/>
          </w:tcPr>
          <w:p w14:paraId="7C8347E0" w14:textId="77777777" w:rsidR="00C867CC" w:rsidRPr="008F735E" w:rsidRDefault="00C867CC" w:rsidP="00447F49">
            <w:pPr>
              <w:keepNext/>
              <w:keepLines/>
              <w:tabs>
                <w:tab w:val="decimal" w:pos="256"/>
              </w:tabs>
              <w:spacing w:before="60" w:after="60"/>
              <w:jc w:val="center"/>
              <w:rPr>
                <w:sz w:val="14"/>
                <w:szCs w:val="14"/>
              </w:rPr>
            </w:pPr>
          </w:p>
        </w:tc>
      </w:tr>
      <w:tr w:rsidR="00C867CC" w:rsidRPr="008F735E" w14:paraId="2E5436C6" w14:textId="77777777" w:rsidTr="0067450B">
        <w:tc>
          <w:tcPr>
            <w:tcW w:w="1347" w:type="dxa"/>
            <w:shd w:val="clear" w:color="auto" w:fill="auto"/>
            <w:vAlign w:val="bottom"/>
          </w:tcPr>
          <w:p w14:paraId="0C874623" w14:textId="77777777" w:rsidR="00C867CC" w:rsidRDefault="00C867CC" w:rsidP="00447F49">
            <w:pPr>
              <w:keepNext/>
              <w:keepLines/>
              <w:tabs>
                <w:tab w:val="left" w:pos="106"/>
              </w:tabs>
              <w:spacing w:before="60" w:after="60"/>
              <w:rPr>
                <w:b/>
                <w:bCs/>
                <w:sz w:val="14"/>
                <w:szCs w:val="14"/>
              </w:rPr>
            </w:pPr>
            <w:r>
              <w:rPr>
                <w:b/>
                <w:bCs/>
                <w:sz w:val="14"/>
                <w:szCs w:val="14"/>
              </w:rPr>
              <w:t>Costs of capital</w:t>
            </w:r>
          </w:p>
        </w:tc>
        <w:tc>
          <w:tcPr>
            <w:tcW w:w="992" w:type="dxa"/>
            <w:vAlign w:val="center"/>
          </w:tcPr>
          <w:p w14:paraId="3C9A7698" w14:textId="77777777" w:rsidR="00C867CC" w:rsidRPr="008F735E" w:rsidRDefault="00C867CC" w:rsidP="00447F49">
            <w:pPr>
              <w:keepNext/>
              <w:keepLines/>
              <w:tabs>
                <w:tab w:val="decimal" w:pos="256"/>
              </w:tabs>
              <w:spacing w:before="60" w:after="60"/>
              <w:jc w:val="center"/>
              <w:rPr>
                <w:sz w:val="14"/>
                <w:szCs w:val="14"/>
              </w:rPr>
            </w:pPr>
          </w:p>
        </w:tc>
        <w:tc>
          <w:tcPr>
            <w:tcW w:w="737" w:type="dxa"/>
            <w:vAlign w:val="center"/>
          </w:tcPr>
          <w:p w14:paraId="0CC482CF" w14:textId="77777777" w:rsidR="00C867CC" w:rsidRPr="008F735E" w:rsidRDefault="00C867CC" w:rsidP="00447F49">
            <w:pPr>
              <w:keepNext/>
              <w:keepLines/>
              <w:tabs>
                <w:tab w:val="decimal" w:pos="256"/>
              </w:tabs>
              <w:spacing w:before="60" w:after="60"/>
              <w:jc w:val="center"/>
              <w:rPr>
                <w:sz w:val="14"/>
                <w:szCs w:val="14"/>
              </w:rPr>
            </w:pPr>
          </w:p>
        </w:tc>
        <w:tc>
          <w:tcPr>
            <w:tcW w:w="681" w:type="dxa"/>
            <w:vAlign w:val="center"/>
          </w:tcPr>
          <w:p w14:paraId="69DAEDA7" w14:textId="77777777" w:rsidR="00C867CC" w:rsidRPr="008F735E" w:rsidRDefault="00C867CC" w:rsidP="00447F49">
            <w:pPr>
              <w:keepNext/>
              <w:keepLines/>
              <w:tabs>
                <w:tab w:val="decimal" w:pos="256"/>
              </w:tabs>
              <w:spacing w:before="60" w:after="60"/>
              <w:jc w:val="center"/>
              <w:rPr>
                <w:sz w:val="14"/>
                <w:szCs w:val="14"/>
              </w:rPr>
            </w:pPr>
          </w:p>
        </w:tc>
        <w:tc>
          <w:tcPr>
            <w:tcW w:w="651" w:type="dxa"/>
            <w:vAlign w:val="center"/>
          </w:tcPr>
          <w:p w14:paraId="0EDC1130" w14:textId="77777777" w:rsidR="00C867CC" w:rsidRPr="008F735E" w:rsidRDefault="00C867CC" w:rsidP="00447F49">
            <w:pPr>
              <w:keepNext/>
              <w:keepLines/>
              <w:tabs>
                <w:tab w:val="decimal" w:pos="256"/>
              </w:tabs>
              <w:spacing w:before="60" w:after="60"/>
              <w:jc w:val="center"/>
              <w:rPr>
                <w:sz w:val="14"/>
                <w:szCs w:val="14"/>
              </w:rPr>
            </w:pPr>
          </w:p>
        </w:tc>
        <w:tc>
          <w:tcPr>
            <w:tcW w:w="666" w:type="dxa"/>
            <w:vAlign w:val="center"/>
          </w:tcPr>
          <w:p w14:paraId="2B8C1908" w14:textId="77777777" w:rsidR="00C867CC" w:rsidRPr="008F735E" w:rsidRDefault="00C867CC" w:rsidP="00447F49">
            <w:pPr>
              <w:keepNext/>
              <w:keepLines/>
              <w:tabs>
                <w:tab w:val="decimal" w:pos="256"/>
              </w:tabs>
              <w:spacing w:before="60" w:after="60"/>
              <w:jc w:val="center"/>
              <w:rPr>
                <w:sz w:val="14"/>
                <w:szCs w:val="14"/>
              </w:rPr>
            </w:pPr>
          </w:p>
        </w:tc>
        <w:tc>
          <w:tcPr>
            <w:tcW w:w="667" w:type="dxa"/>
            <w:vAlign w:val="center"/>
          </w:tcPr>
          <w:p w14:paraId="38A92365" w14:textId="77777777" w:rsidR="00C867CC" w:rsidRPr="008F735E" w:rsidRDefault="00C867CC" w:rsidP="00447F49">
            <w:pPr>
              <w:keepNext/>
              <w:keepLines/>
              <w:tabs>
                <w:tab w:val="decimal" w:pos="256"/>
              </w:tabs>
              <w:spacing w:before="60" w:after="60"/>
              <w:jc w:val="center"/>
              <w:rPr>
                <w:sz w:val="14"/>
                <w:szCs w:val="14"/>
              </w:rPr>
            </w:pPr>
          </w:p>
        </w:tc>
        <w:tc>
          <w:tcPr>
            <w:tcW w:w="1134" w:type="dxa"/>
            <w:vAlign w:val="center"/>
          </w:tcPr>
          <w:p w14:paraId="4BBFAB37" w14:textId="77777777" w:rsidR="00C867CC" w:rsidRPr="008F735E" w:rsidRDefault="00C867CC" w:rsidP="00447F49">
            <w:pPr>
              <w:keepNext/>
              <w:keepLines/>
              <w:tabs>
                <w:tab w:val="decimal" w:pos="256"/>
              </w:tabs>
              <w:spacing w:before="60" w:after="60"/>
              <w:jc w:val="center"/>
              <w:rPr>
                <w:sz w:val="14"/>
                <w:szCs w:val="14"/>
              </w:rPr>
            </w:pPr>
          </w:p>
        </w:tc>
        <w:tc>
          <w:tcPr>
            <w:tcW w:w="851" w:type="dxa"/>
            <w:vAlign w:val="center"/>
          </w:tcPr>
          <w:p w14:paraId="13182870" w14:textId="77777777" w:rsidR="00C867CC" w:rsidRPr="008F735E" w:rsidRDefault="00C867CC" w:rsidP="00447F49">
            <w:pPr>
              <w:keepNext/>
              <w:keepLines/>
              <w:tabs>
                <w:tab w:val="decimal" w:pos="256"/>
              </w:tabs>
              <w:spacing w:before="60" w:after="60"/>
              <w:jc w:val="center"/>
              <w:rPr>
                <w:sz w:val="14"/>
                <w:szCs w:val="14"/>
              </w:rPr>
            </w:pPr>
          </w:p>
        </w:tc>
        <w:tc>
          <w:tcPr>
            <w:tcW w:w="1134" w:type="dxa"/>
            <w:vAlign w:val="center"/>
          </w:tcPr>
          <w:p w14:paraId="20D400CB" w14:textId="77777777" w:rsidR="00C867CC" w:rsidRPr="008F735E" w:rsidRDefault="00C867CC" w:rsidP="00447F49">
            <w:pPr>
              <w:keepNext/>
              <w:keepLines/>
              <w:tabs>
                <w:tab w:val="decimal" w:pos="256"/>
              </w:tabs>
              <w:spacing w:before="60" w:after="60"/>
              <w:jc w:val="center"/>
              <w:rPr>
                <w:sz w:val="14"/>
                <w:szCs w:val="14"/>
              </w:rPr>
            </w:pPr>
          </w:p>
        </w:tc>
        <w:tc>
          <w:tcPr>
            <w:tcW w:w="921" w:type="dxa"/>
            <w:vAlign w:val="center"/>
          </w:tcPr>
          <w:p w14:paraId="002F36C1" w14:textId="77777777" w:rsidR="00C867CC" w:rsidRPr="008F735E" w:rsidRDefault="00C867CC" w:rsidP="00447F49">
            <w:pPr>
              <w:keepNext/>
              <w:keepLines/>
              <w:tabs>
                <w:tab w:val="decimal" w:pos="256"/>
              </w:tabs>
              <w:spacing w:before="60" w:after="60"/>
              <w:jc w:val="center"/>
              <w:rPr>
                <w:sz w:val="14"/>
                <w:szCs w:val="14"/>
              </w:rPr>
            </w:pPr>
          </w:p>
        </w:tc>
      </w:tr>
      <w:tr w:rsidR="00C867CC" w:rsidRPr="008F735E" w14:paraId="2BD9F365" w14:textId="77777777" w:rsidTr="0067450B">
        <w:tc>
          <w:tcPr>
            <w:tcW w:w="1347" w:type="dxa"/>
            <w:shd w:val="clear" w:color="auto" w:fill="auto"/>
            <w:vAlign w:val="bottom"/>
          </w:tcPr>
          <w:p w14:paraId="6FC6074B" w14:textId="77777777" w:rsidR="00C867CC" w:rsidRPr="00C77C40" w:rsidRDefault="00C867CC" w:rsidP="00447F49">
            <w:pPr>
              <w:keepNext/>
              <w:keepLines/>
              <w:tabs>
                <w:tab w:val="left" w:pos="106"/>
              </w:tabs>
              <w:spacing w:before="60" w:after="60"/>
              <w:rPr>
                <w:sz w:val="14"/>
                <w:szCs w:val="14"/>
              </w:rPr>
            </w:pPr>
            <w:r>
              <w:rPr>
                <w:sz w:val="14"/>
                <w:szCs w:val="14"/>
              </w:rPr>
              <w:t>r* = 3%</w:t>
            </w:r>
          </w:p>
        </w:tc>
        <w:tc>
          <w:tcPr>
            <w:tcW w:w="992" w:type="dxa"/>
            <w:vAlign w:val="center"/>
          </w:tcPr>
          <w:p w14:paraId="1B12CDC5" w14:textId="77777777" w:rsidR="00C867CC" w:rsidRPr="008F735E" w:rsidRDefault="00C867CC" w:rsidP="00447F49">
            <w:pPr>
              <w:keepNext/>
              <w:keepLines/>
              <w:tabs>
                <w:tab w:val="decimal" w:pos="256"/>
              </w:tabs>
              <w:spacing w:before="60" w:after="60"/>
              <w:jc w:val="center"/>
              <w:rPr>
                <w:sz w:val="14"/>
                <w:szCs w:val="14"/>
              </w:rPr>
            </w:pPr>
          </w:p>
        </w:tc>
        <w:tc>
          <w:tcPr>
            <w:tcW w:w="737" w:type="dxa"/>
            <w:vAlign w:val="center"/>
          </w:tcPr>
          <w:p w14:paraId="3B6CCC6B" w14:textId="77777777" w:rsidR="00C867CC" w:rsidRPr="008F735E" w:rsidRDefault="00C867CC" w:rsidP="00447F49">
            <w:pPr>
              <w:keepNext/>
              <w:keepLines/>
              <w:tabs>
                <w:tab w:val="decimal" w:pos="256"/>
              </w:tabs>
              <w:spacing w:before="60" w:after="60"/>
              <w:jc w:val="center"/>
              <w:rPr>
                <w:sz w:val="14"/>
                <w:szCs w:val="14"/>
              </w:rPr>
            </w:pPr>
          </w:p>
        </w:tc>
        <w:tc>
          <w:tcPr>
            <w:tcW w:w="681" w:type="dxa"/>
            <w:vAlign w:val="center"/>
          </w:tcPr>
          <w:p w14:paraId="57EAF425" w14:textId="77777777" w:rsidR="00C867CC" w:rsidRPr="008F735E" w:rsidRDefault="00C867CC" w:rsidP="00447F49">
            <w:pPr>
              <w:keepNext/>
              <w:keepLines/>
              <w:tabs>
                <w:tab w:val="decimal" w:pos="256"/>
              </w:tabs>
              <w:spacing w:before="60" w:after="60"/>
              <w:jc w:val="center"/>
              <w:rPr>
                <w:sz w:val="14"/>
                <w:szCs w:val="14"/>
              </w:rPr>
            </w:pPr>
          </w:p>
        </w:tc>
        <w:tc>
          <w:tcPr>
            <w:tcW w:w="651" w:type="dxa"/>
            <w:vAlign w:val="center"/>
          </w:tcPr>
          <w:p w14:paraId="6BA51006" w14:textId="77777777" w:rsidR="00C867CC" w:rsidRPr="008F735E" w:rsidRDefault="00C867CC" w:rsidP="00447F49">
            <w:pPr>
              <w:keepNext/>
              <w:keepLines/>
              <w:tabs>
                <w:tab w:val="decimal" w:pos="256"/>
              </w:tabs>
              <w:spacing w:before="60" w:after="60"/>
              <w:jc w:val="center"/>
              <w:rPr>
                <w:sz w:val="14"/>
                <w:szCs w:val="14"/>
              </w:rPr>
            </w:pPr>
          </w:p>
        </w:tc>
        <w:tc>
          <w:tcPr>
            <w:tcW w:w="666" w:type="dxa"/>
            <w:vAlign w:val="center"/>
          </w:tcPr>
          <w:p w14:paraId="36649531" w14:textId="77777777" w:rsidR="00C867CC" w:rsidRPr="008F735E" w:rsidRDefault="00C867CC" w:rsidP="00447F49">
            <w:pPr>
              <w:keepNext/>
              <w:keepLines/>
              <w:tabs>
                <w:tab w:val="decimal" w:pos="256"/>
              </w:tabs>
              <w:spacing w:before="60" w:after="60"/>
              <w:jc w:val="center"/>
              <w:rPr>
                <w:sz w:val="14"/>
                <w:szCs w:val="14"/>
              </w:rPr>
            </w:pPr>
          </w:p>
        </w:tc>
        <w:tc>
          <w:tcPr>
            <w:tcW w:w="667" w:type="dxa"/>
            <w:vAlign w:val="center"/>
          </w:tcPr>
          <w:p w14:paraId="4BBC3890" w14:textId="77777777" w:rsidR="00C867CC" w:rsidRPr="008F735E" w:rsidRDefault="00C867CC" w:rsidP="00447F49">
            <w:pPr>
              <w:keepNext/>
              <w:keepLines/>
              <w:tabs>
                <w:tab w:val="decimal" w:pos="256"/>
              </w:tabs>
              <w:spacing w:before="60" w:after="60"/>
              <w:jc w:val="center"/>
              <w:rPr>
                <w:sz w:val="14"/>
                <w:szCs w:val="14"/>
              </w:rPr>
            </w:pPr>
          </w:p>
        </w:tc>
        <w:tc>
          <w:tcPr>
            <w:tcW w:w="1134" w:type="dxa"/>
            <w:vAlign w:val="center"/>
          </w:tcPr>
          <w:p w14:paraId="0ED2DC42" w14:textId="77777777" w:rsidR="00C867CC" w:rsidRPr="008F735E" w:rsidRDefault="00C867CC" w:rsidP="00447F49">
            <w:pPr>
              <w:keepNext/>
              <w:keepLines/>
              <w:tabs>
                <w:tab w:val="decimal" w:pos="256"/>
              </w:tabs>
              <w:spacing w:before="60" w:after="60"/>
              <w:jc w:val="center"/>
              <w:rPr>
                <w:sz w:val="14"/>
                <w:szCs w:val="14"/>
              </w:rPr>
            </w:pPr>
          </w:p>
        </w:tc>
        <w:tc>
          <w:tcPr>
            <w:tcW w:w="851" w:type="dxa"/>
            <w:vAlign w:val="center"/>
          </w:tcPr>
          <w:p w14:paraId="4A5891B0" w14:textId="77777777" w:rsidR="00C867CC" w:rsidRPr="008F735E" w:rsidRDefault="00C867CC" w:rsidP="00447F49">
            <w:pPr>
              <w:keepNext/>
              <w:keepLines/>
              <w:tabs>
                <w:tab w:val="decimal" w:pos="256"/>
              </w:tabs>
              <w:spacing w:before="60" w:after="60"/>
              <w:jc w:val="center"/>
              <w:rPr>
                <w:sz w:val="14"/>
                <w:szCs w:val="14"/>
              </w:rPr>
            </w:pPr>
          </w:p>
        </w:tc>
        <w:tc>
          <w:tcPr>
            <w:tcW w:w="1134" w:type="dxa"/>
            <w:vAlign w:val="center"/>
          </w:tcPr>
          <w:p w14:paraId="42D9F23E" w14:textId="77777777" w:rsidR="00C867CC" w:rsidRPr="008F735E" w:rsidRDefault="00C867CC" w:rsidP="00447F49">
            <w:pPr>
              <w:keepNext/>
              <w:keepLines/>
              <w:tabs>
                <w:tab w:val="decimal" w:pos="256"/>
              </w:tabs>
              <w:spacing w:before="60" w:after="60"/>
              <w:jc w:val="center"/>
              <w:rPr>
                <w:sz w:val="14"/>
                <w:szCs w:val="14"/>
              </w:rPr>
            </w:pPr>
          </w:p>
        </w:tc>
        <w:tc>
          <w:tcPr>
            <w:tcW w:w="921" w:type="dxa"/>
            <w:vAlign w:val="center"/>
          </w:tcPr>
          <w:p w14:paraId="3E2EFE2E" w14:textId="77777777" w:rsidR="00C867CC" w:rsidRPr="008F735E" w:rsidRDefault="00C867CC" w:rsidP="00447F49">
            <w:pPr>
              <w:keepNext/>
              <w:keepLines/>
              <w:tabs>
                <w:tab w:val="decimal" w:pos="256"/>
              </w:tabs>
              <w:spacing w:before="60" w:after="60"/>
              <w:jc w:val="center"/>
              <w:rPr>
                <w:sz w:val="14"/>
                <w:szCs w:val="14"/>
              </w:rPr>
            </w:pPr>
          </w:p>
        </w:tc>
      </w:tr>
      <w:tr w:rsidR="00C867CC" w:rsidRPr="008F735E" w14:paraId="79D48680" w14:textId="77777777" w:rsidTr="0067450B">
        <w:tc>
          <w:tcPr>
            <w:tcW w:w="1347" w:type="dxa"/>
            <w:shd w:val="clear" w:color="auto" w:fill="auto"/>
            <w:vAlign w:val="bottom"/>
          </w:tcPr>
          <w:p w14:paraId="635B2482" w14:textId="77777777" w:rsidR="00C867CC" w:rsidRDefault="00C867CC" w:rsidP="00447F49">
            <w:pPr>
              <w:keepNext/>
              <w:keepLines/>
              <w:tabs>
                <w:tab w:val="left" w:pos="106"/>
              </w:tabs>
              <w:spacing w:before="60" w:after="60"/>
              <w:rPr>
                <w:b/>
                <w:bCs/>
                <w:sz w:val="14"/>
                <w:szCs w:val="14"/>
              </w:rPr>
            </w:pPr>
            <w:r w:rsidRPr="008F735E">
              <w:rPr>
                <w:sz w:val="14"/>
                <w:szCs w:val="14"/>
              </w:rPr>
              <w:tab/>
            </w:r>
            <w:r>
              <w:rPr>
                <w:sz w:val="14"/>
                <w:szCs w:val="14"/>
              </w:rPr>
              <w:t>Inflation = 0%</w:t>
            </w:r>
          </w:p>
        </w:tc>
        <w:tc>
          <w:tcPr>
            <w:tcW w:w="992" w:type="dxa"/>
            <w:shd w:val="clear" w:color="auto" w:fill="auto"/>
            <w:vAlign w:val="bottom"/>
          </w:tcPr>
          <w:p w14:paraId="3A947F9F"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3.23%</w:t>
            </w:r>
          </w:p>
        </w:tc>
        <w:tc>
          <w:tcPr>
            <w:tcW w:w="737" w:type="dxa"/>
            <w:shd w:val="clear" w:color="auto" w:fill="auto"/>
            <w:vAlign w:val="bottom"/>
          </w:tcPr>
          <w:p w14:paraId="6DF0BBEB"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3.06%</w:t>
            </w:r>
          </w:p>
        </w:tc>
        <w:tc>
          <w:tcPr>
            <w:tcW w:w="681" w:type="dxa"/>
            <w:shd w:val="clear" w:color="auto" w:fill="auto"/>
            <w:vAlign w:val="bottom"/>
          </w:tcPr>
          <w:p w14:paraId="47661950"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3.06%</w:t>
            </w:r>
          </w:p>
        </w:tc>
        <w:tc>
          <w:tcPr>
            <w:tcW w:w="651" w:type="dxa"/>
            <w:shd w:val="clear" w:color="auto" w:fill="auto"/>
            <w:vAlign w:val="bottom"/>
          </w:tcPr>
          <w:p w14:paraId="32E5DE1E"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3.06%</w:t>
            </w:r>
          </w:p>
        </w:tc>
        <w:tc>
          <w:tcPr>
            <w:tcW w:w="666" w:type="dxa"/>
            <w:shd w:val="clear" w:color="auto" w:fill="auto"/>
            <w:vAlign w:val="bottom"/>
          </w:tcPr>
          <w:p w14:paraId="3786E663"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3.06%</w:t>
            </w:r>
          </w:p>
        </w:tc>
        <w:tc>
          <w:tcPr>
            <w:tcW w:w="667" w:type="dxa"/>
            <w:shd w:val="clear" w:color="auto" w:fill="auto"/>
            <w:vAlign w:val="bottom"/>
          </w:tcPr>
          <w:p w14:paraId="4D41345D"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3.06%</w:t>
            </w:r>
          </w:p>
        </w:tc>
        <w:tc>
          <w:tcPr>
            <w:tcW w:w="1134" w:type="dxa"/>
            <w:shd w:val="clear" w:color="auto" w:fill="auto"/>
            <w:vAlign w:val="bottom"/>
          </w:tcPr>
          <w:p w14:paraId="5982A9CD"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3.06%</w:t>
            </w:r>
          </w:p>
        </w:tc>
        <w:tc>
          <w:tcPr>
            <w:tcW w:w="851" w:type="dxa"/>
            <w:shd w:val="clear" w:color="auto" w:fill="auto"/>
            <w:vAlign w:val="bottom"/>
          </w:tcPr>
          <w:p w14:paraId="04B90B65"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3.06%</w:t>
            </w:r>
          </w:p>
        </w:tc>
        <w:tc>
          <w:tcPr>
            <w:tcW w:w="1134" w:type="dxa"/>
            <w:shd w:val="clear" w:color="auto" w:fill="auto"/>
            <w:vAlign w:val="bottom"/>
          </w:tcPr>
          <w:p w14:paraId="49F6E713"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2.57%</w:t>
            </w:r>
          </w:p>
        </w:tc>
        <w:tc>
          <w:tcPr>
            <w:tcW w:w="921" w:type="dxa"/>
            <w:shd w:val="clear" w:color="auto" w:fill="auto"/>
            <w:vAlign w:val="bottom"/>
          </w:tcPr>
          <w:p w14:paraId="200BA563"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2.05%</w:t>
            </w:r>
          </w:p>
        </w:tc>
      </w:tr>
      <w:tr w:rsidR="00C867CC" w:rsidRPr="008F735E" w14:paraId="10E41B15" w14:textId="77777777" w:rsidTr="0067450B">
        <w:tc>
          <w:tcPr>
            <w:tcW w:w="1347" w:type="dxa"/>
            <w:shd w:val="clear" w:color="auto" w:fill="auto"/>
            <w:vAlign w:val="bottom"/>
          </w:tcPr>
          <w:p w14:paraId="6938DDE6" w14:textId="77777777" w:rsidR="00C867CC" w:rsidRDefault="00C867CC" w:rsidP="00447F49">
            <w:pPr>
              <w:keepNext/>
              <w:keepLines/>
              <w:tabs>
                <w:tab w:val="left" w:pos="106"/>
              </w:tabs>
              <w:spacing w:before="60" w:after="60"/>
              <w:rPr>
                <w:b/>
                <w:bCs/>
                <w:sz w:val="14"/>
                <w:szCs w:val="14"/>
              </w:rPr>
            </w:pPr>
            <w:r w:rsidRPr="008F735E">
              <w:rPr>
                <w:sz w:val="14"/>
                <w:szCs w:val="14"/>
              </w:rPr>
              <w:tab/>
            </w:r>
            <w:r>
              <w:rPr>
                <w:sz w:val="14"/>
                <w:szCs w:val="14"/>
              </w:rPr>
              <w:t>Inflation = 2%</w:t>
            </w:r>
          </w:p>
        </w:tc>
        <w:tc>
          <w:tcPr>
            <w:tcW w:w="992" w:type="dxa"/>
            <w:shd w:val="clear" w:color="auto" w:fill="auto"/>
            <w:vAlign w:val="bottom"/>
          </w:tcPr>
          <w:p w14:paraId="45A5B511"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2.71%</w:t>
            </w:r>
          </w:p>
        </w:tc>
        <w:tc>
          <w:tcPr>
            <w:tcW w:w="737" w:type="dxa"/>
            <w:shd w:val="clear" w:color="auto" w:fill="auto"/>
            <w:vAlign w:val="bottom"/>
          </w:tcPr>
          <w:p w14:paraId="01203854"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3.10%</w:t>
            </w:r>
          </w:p>
        </w:tc>
        <w:tc>
          <w:tcPr>
            <w:tcW w:w="681" w:type="dxa"/>
            <w:shd w:val="clear" w:color="auto" w:fill="auto"/>
            <w:vAlign w:val="bottom"/>
          </w:tcPr>
          <w:p w14:paraId="4C1D9840"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3.07%</w:t>
            </w:r>
          </w:p>
        </w:tc>
        <w:tc>
          <w:tcPr>
            <w:tcW w:w="651" w:type="dxa"/>
            <w:shd w:val="clear" w:color="auto" w:fill="auto"/>
            <w:vAlign w:val="bottom"/>
          </w:tcPr>
          <w:p w14:paraId="2666AFC3"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2.88%</w:t>
            </w:r>
          </w:p>
        </w:tc>
        <w:tc>
          <w:tcPr>
            <w:tcW w:w="666" w:type="dxa"/>
            <w:shd w:val="clear" w:color="auto" w:fill="auto"/>
            <w:vAlign w:val="bottom"/>
          </w:tcPr>
          <w:p w14:paraId="4C7188FB"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2.67%</w:t>
            </w:r>
          </w:p>
        </w:tc>
        <w:tc>
          <w:tcPr>
            <w:tcW w:w="667" w:type="dxa"/>
            <w:shd w:val="clear" w:color="auto" w:fill="auto"/>
            <w:vAlign w:val="bottom"/>
          </w:tcPr>
          <w:p w14:paraId="3AA0E76A"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2.50%</w:t>
            </w:r>
          </w:p>
        </w:tc>
        <w:tc>
          <w:tcPr>
            <w:tcW w:w="1134" w:type="dxa"/>
            <w:shd w:val="clear" w:color="auto" w:fill="auto"/>
            <w:vAlign w:val="bottom"/>
          </w:tcPr>
          <w:p w14:paraId="49DAAC5E"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2.13%</w:t>
            </w:r>
          </w:p>
        </w:tc>
        <w:tc>
          <w:tcPr>
            <w:tcW w:w="851" w:type="dxa"/>
            <w:shd w:val="clear" w:color="auto" w:fill="auto"/>
            <w:vAlign w:val="bottom"/>
          </w:tcPr>
          <w:p w14:paraId="65136A56"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3.10%</w:t>
            </w:r>
          </w:p>
        </w:tc>
        <w:tc>
          <w:tcPr>
            <w:tcW w:w="1134" w:type="dxa"/>
            <w:shd w:val="clear" w:color="auto" w:fill="auto"/>
            <w:vAlign w:val="bottom"/>
          </w:tcPr>
          <w:p w14:paraId="34E35D6E"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1.64%</w:t>
            </w:r>
          </w:p>
        </w:tc>
        <w:tc>
          <w:tcPr>
            <w:tcW w:w="921" w:type="dxa"/>
            <w:shd w:val="clear" w:color="auto" w:fill="auto"/>
            <w:vAlign w:val="bottom"/>
          </w:tcPr>
          <w:p w14:paraId="118405ED"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1.43%</w:t>
            </w:r>
          </w:p>
        </w:tc>
      </w:tr>
      <w:tr w:rsidR="00C867CC" w:rsidRPr="008F735E" w14:paraId="097CBF41" w14:textId="77777777" w:rsidTr="0067450B">
        <w:tc>
          <w:tcPr>
            <w:tcW w:w="1347" w:type="dxa"/>
            <w:shd w:val="clear" w:color="auto" w:fill="auto"/>
            <w:vAlign w:val="bottom"/>
          </w:tcPr>
          <w:p w14:paraId="19EFC122" w14:textId="77777777" w:rsidR="00C867CC" w:rsidRDefault="00C867CC" w:rsidP="00447F49">
            <w:pPr>
              <w:keepNext/>
              <w:keepLines/>
              <w:tabs>
                <w:tab w:val="left" w:pos="106"/>
              </w:tabs>
              <w:spacing w:before="60" w:after="60"/>
              <w:rPr>
                <w:b/>
                <w:bCs/>
                <w:sz w:val="14"/>
                <w:szCs w:val="14"/>
              </w:rPr>
            </w:pPr>
            <w:r>
              <w:rPr>
                <w:sz w:val="14"/>
                <w:szCs w:val="14"/>
              </w:rPr>
              <w:t>r* = 5%</w:t>
            </w:r>
          </w:p>
        </w:tc>
        <w:tc>
          <w:tcPr>
            <w:tcW w:w="992" w:type="dxa"/>
            <w:shd w:val="clear" w:color="auto" w:fill="auto"/>
            <w:vAlign w:val="bottom"/>
          </w:tcPr>
          <w:p w14:paraId="1DD0FA4A" w14:textId="77777777" w:rsidR="00C867CC" w:rsidRPr="005D1FA9" w:rsidRDefault="00C867CC" w:rsidP="00447F49">
            <w:pPr>
              <w:keepNext/>
              <w:keepLines/>
              <w:tabs>
                <w:tab w:val="decimal" w:pos="256"/>
              </w:tabs>
              <w:spacing w:before="60" w:after="60"/>
              <w:jc w:val="center"/>
              <w:rPr>
                <w:sz w:val="14"/>
                <w:szCs w:val="14"/>
              </w:rPr>
            </w:pPr>
            <w:r w:rsidRPr="005D1FA9">
              <w:rPr>
                <w:rFonts w:ascii="Calibri" w:hAnsi="Calibri" w:cs="Calibri"/>
                <w:color w:val="000000"/>
                <w:sz w:val="14"/>
                <w:szCs w:val="14"/>
              </w:rPr>
              <w:t> </w:t>
            </w:r>
          </w:p>
        </w:tc>
        <w:tc>
          <w:tcPr>
            <w:tcW w:w="737" w:type="dxa"/>
            <w:shd w:val="clear" w:color="auto" w:fill="auto"/>
            <w:vAlign w:val="bottom"/>
          </w:tcPr>
          <w:p w14:paraId="751EA08D" w14:textId="77777777" w:rsidR="00C867CC" w:rsidRPr="005D1FA9" w:rsidRDefault="00C867CC" w:rsidP="00447F49">
            <w:pPr>
              <w:keepNext/>
              <w:keepLines/>
              <w:tabs>
                <w:tab w:val="decimal" w:pos="256"/>
              </w:tabs>
              <w:spacing w:before="60" w:after="60"/>
              <w:jc w:val="center"/>
              <w:rPr>
                <w:sz w:val="14"/>
                <w:szCs w:val="14"/>
              </w:rPr>
            </w:pPr>
            <w:r w:rsidRPr="005D1FA9">
              <w:rPr>
                <w:rFonts w:ascii="Calibri" w:hAnsi="Calibri" w:cs="Calibri"/>
                <w:color w:val="000000"/>
                <w:sz w:val="14"/>
                <w:szCs w:val="14"/>
              </w:rPr>
              <w:t> </w:t>
            </w:r>
          </w:p>
        </w:tc>
        <w:tc>
          <w:tcPr>
            <w:tcW w:w="681" w:type="dxa"/>
            <w:shd w:val="clear" w:color="auto" w:fill="auto"/>
            <w:vAlign w:val="bottom"/>
          </w:tcPr>
          <w:p w14:paraId="33023FDA" w14:textId="77777777" w:rsidR="00C867CC" w:rsidRPr="005D1FA9" w:rsidRDefault="00C867CC" w:rsidP="00447F49">
            <w:pPr>
              <w:keepNext/>
              <w:keepLines/>
              <w:tabs>
                <w:tab w:val="decimal" w:pos="256"/>
              </w:tabs>
              <w:spacing w:before="60" w:after="60"/>
              <w:jc w:val="center"/>
              <w:rPr>
                <w:sz w:val="14"/>
                <w:szCs w:val="14"/>
              </w:rPr>
            </w:pPr>
            <w:r w:rsidRPr="005D1FA9">
              <w:rPr>
                <w:rFonts w:ascii="Calibri" w:hAnsi="Calibri" w:cs="Calibri"/>
                <w:color w:val="000000"/>
                <w:sz w:val="14"/>
                <w:szCs w:val="14"/>
              </w:rPr>
              <w:t> </w:t>
            </w:r>
          </w:p>
        </w:tc>
        <w:tc>
          <w:tcPr>
            <w:tcW w:w="651" w:type="dxa"/>
            <w:shd w:val="clear" w:color="auto" w:fill="auto"/>
            <w:vAlign w:val="bottom"/>
          </w:tcPr>
          <w:p w14:paraId="78586722" w14:textId="77777777" w:rsidR="00C867CC" w:rsidRPr="005D1FA9" w:rsidRDefault="00C867CC" w:rsidP="00447F49">
            <w:pPr>
              <w:keepNext/>
              <w:keepLines/>
              <w:tabs>
                <w:tab w:val="decimal" w:pos="256"/>
              </w:tabs>
              <w:spacing w:before="60" w:after="60"/>
              <w:jc w:val="center"/>
              <w:rPr>
                <w:sz w:val="14"/>
                <w:szCs w:val="14"/>
              </w:rPr>
            </w:pPr>
            <w:r w:rsidRPr="005D1FA9">
              <w:rPr>
                <w:rFonts w:ascii="Calibri" w:hAnsi="Calibri" w:cs="Calibri"/>
                <w:color w:val="000000"/>
                <w:sz w:val="14"/>
                <w:szCs w:val="14"/>
              </w:rPr>
              <w:t> </w:t>
            </w:r>
          </w:p>
        </w:tc>
        <w:tc>
          <w:tcPr>
            <w:tcW w:w="666" w:type="dxa"/>
            <w:shd w:val="clear" w:color="auto" w:fill="auto"/>
            <w:vAlign w:val="bottom"/>
          </w:tcPr>
          <w:p w14:paraId="7279747E" w14:textId="77777777" w:rsidR="00C867CC" w:rsidRPr="005D1FA9" w:rsidRDefault="00C867CC" w:rsidP="00447F49">
            <w:pPr>
              <w:keepNext/>
              <w:keepLines/>
              <w:tabs>
                <w:tab w:val="decimal" w:pos="256"/>
              </w:tabs>
              <w:spacing w:before="60" w:after="60"/>
              <w:jc w:val="center"/>
              <w:rPr>
                <w:sz w:val="14"/>
                <w:szCs w:val="14"/>
              </w:rPr>
            </w:pPr>
            <w:r w:rsidRPr="005D1FA9">
              <w:rPr>
                <w:rFonts w:ascii="Calibri" w:hAnsi="Calibri" w:cs="Calibri"/>
                <w:color w:val="000000"/>
                <w:sz w:val="14"/>
                <w:szCs w:val="14"/>
              </w:rPr>
              <w:t> </w:t>
            </w:r>
          </w:p>
        </w:tc>
        <w:tc>
          <w:tcPr>
            <w:tcW w:w="667" w:type="dxa"/>
            <w:shd w:val="clear" w:color="auto" w:fill="auto"/>
            <w:vAlign w:val="bottom"/>
          </w:tcPr>
          <w:p w14:paraId="3876EA67" w14:textId="77777777" w:rsidR="00C867CC" w:rsidRPr="005D1FA9" w:rsidRDefault="00C867CC" w:rsidP="00447F49">
            <w:pPr>
              <w:keepNext/>
              <w:keepLines/>
              <w:tabs>
                <w:tab w:val="decimal" w:pos="256"/>
              </w:tabs>
              <w:spacing w:before="60" w:after="60"/>
              <w:jc w:val="center"/>
              <w:rPr>
                <w:sz w:val="14"/>
                <w:szCs w:val="14"/>
              </w:rPr>
            </w:pPr>
            <w:r w:rsidRPr="005D1FA9">
              <w:rPr>
                <w:rFonts w:ascii="Calibri" w:hAnsi="Calibri" w:cs="Calibri"/>
                <w:color w:val="000000"/>
                <w:sz w:val="14"/>
                <w:szCs w:val="14"/>
              </w:rPr>
              <w:t> </w:t>
            </w:r>
          </w:p>
        </w:tc>
        <w:tc>
          <w:tcPr>
            <w:tcW w:w="1134" w:type="dxa"/>
            <w:shd w:val="clear" w:color="auto" w:fill="auto"/>
            <w:vAlign w:val="bottom"/>
          </w:tcPr>
          <w:p w14:paraId="450B4929" w14:textId="77777777" w:rsidR="00C867CC" w:rsidRPr="005D1FA9" w:rsidRDefault="00C867CC" w:rsidP="00447F49">
            <w:pPr>
              <w:keepNext/>
              <w:keepLines/>
              <w:tabs>
                <w:tab w:val="decimal" w:pos="256"/>
              </w:tabs>
              <w:spacing w:before="60" w:after="60"/>
              <w:jc w:val="center"/>
              <w:rPr>
                <w:sz w:val="14"/>
                <w:szCs w:val="14"/>
              </w:rPr>
            </w:pPr>
            <w:r w:rsidRPr="005D1FA9">
              <w:rPr>
                <w:rFonts w:ascii="Calibri" w:hAnsi="Calibri" w:cs="Calibri"/>
                <w:color w:val="000000"/>
                <w:sz w:val="14"/>
                <w:szCs w:val="14"/>
              </w:rPr>
              <w:t> </w:t>
            </w:r>
          </w:p>
        </w:tc>
        <w:tc>
          <w:tcPr>
            <w:tcW w:w="851" w:type="dxa"/>
            <w:shd w:val="clear" w:color="auto" w:fill="auto"/>
            <w:vAlign w:val="bottom"/>
          </w:tcPr>
          <w:p w14:paraId="5D027845" w14:textId="77777777" w:rsidR="00C867CC" w:rsidRPr="005D1FA9" w:rsidRDefault="00C867CC" w:rsidP="00447F49">
            <w:pPr>
              <w:keepNext/>
              <w:keepLines/>
              <w:tabs>
                <w:tab w:val="decimal" w:pos="256"/>
              </w:tabs>
              <w:spacing w:before="60" w:after="60"/>
              <w:jc w:val="center"/>
              <w:rPr>
                <w:sz w:val="14"/>
                <w:szCs w:val="14"/>
              </w:rPr>
            </w:pPr>
            <w:r w:rsidRPr="005D1FA9">
              <w:rPr>
                <w:rFonts w:ascii="Calibri" w:hAnsi="Calibri" w:cs="Calibri"/>
                <w:color w:val="000000"/>
                <w:sz w:val="14"/>
                <w:szCs w:val="14"/>
              </w:rPr>
              <w:t> </w:t>
            </w:r>
          </w:p>
        </w:tc>
        <w:tc>
          <w:tcPr>
            <w:tcW w:w="1134" w:type="dxa"/>
            <w:shd w:val="clear" w:color="auto" w:fill="auto"/>
            <w:vAlign w:val="bottom"/>
          </w:tcPr>
          <w:p w14:paraId="42CCC8C1" w14:textId="77777777" w:rsidR="00C867CC" w:rsidRPr="005D1FA9" w:rsidRDefault="00C867CC" w:rsidP="00447F49">
            <w:pPr>
              <w:keepNext/>
              <w:keepLines/>
              <w:tabs>
                <w:tab w:val="decimal" w:pos="256"/>
              </w:tabs>
              <w:spacing w:before="60" w:after="60"/>
              <w:jc w:val="center"/>
              <w:rPr>
                <w:sz w:val="14"/>
                <w:szCs w:val="14"/>
              </w:rPr>
            </w:pPr>
            <w:r w:rsidRPr="005D1FA9">
              <w:rPr>
                <w:rFonts w:ascii="Calibri" w:hAnsi="Calibri" w:cs="Calibri"/>
                <w:color w:val="000000"/>
                <w:sz w:val="14"/>
                <w:szCs w:val="14"/>
              </w:rPr>
              <w:t> </w:t>
            </w:r>
          </w:p>
        </w:tc>
        <w:tc>
          <w:tcPr>
            <w:tcW w:w="921" w:type="dxa"/>
            <w:shd w:val="clear" w:color="auto" w:fill="auto"/>
            <w:vAlign w:val="bottom"/>
          </w:tcPr>
          <w:p w14:paraId="453E7E36" w14:textId="77777777" w:rsidR="00C867CC" w:rsidRPr="005D1FA9" w:rsidRDefault="00C867CC" w:rsidP="00447F49">
            <w:pPr>
              <w:keepNext/>
              <w:keepLines/>
              <w:tabs>
                <w:tab w:val="decimal" w:pos="256"/>
              </w:tabs>
              <w:spacing w:before="60" w:after="60"/>
              <w:jc w:val="center"/>
              <w:rPr>
                <w:sz w:val="14"/>
                <w:szCs w:val="14"/>
              </w:rPr>
            </w:pPr>
            <w:r w:rsidRPr="005D1FA9">
              <w:rPr>
                <w:rFonts w:ascii="Calibri" w:hAnsi="Calibri" w:cs="Calibri"/>
                <w:color w:val="000000"/>
                <w:sz w:val="14"/>
                <w:szCs w:val="14"/>
              </w:rPr>
              <w:t> </w:t>
            </w:r>
          </w:p>
        </w:tc>
      </w:tr>
      <w:tr w:rsidR="00C867CC" w:rsidRPr="008F735E" w14:paraId="1B94E0D1" w14:textId="77777777" w:rsidTr="0067450B">
        <w:tc>
          <w:tcPr>
            <w:tcW w:w="1347" w:type="dxa"/>
            <w:shd w:val="clear" w:color="auto" w:fill="auto"/>
            <w:vAlign w:val="bottom"/>
          </w:tcPr>
          <w:p w14:paraId="11C1C7BB" w14:textId="77777777" w:rsidR="00C867CC" w:rsidRDefault="00C867CC" w:rsidP="00447F49">
            <w:pPr>
              <w:keepNext/>
              <w:keepLines/>
              <w:tabs>
                <w:tab w:val="left" w:pos="106"/>
              </w:tabs>
              <w:spacing w:before="60" w:after="60"/>
              <w:rPr>
                <w:b/>
                <w:bCs/>
                <w:sz w:val="14"/>
                <w:szCs w:val="14"/>
              </w:rPr>
            </w:pPr>
            <w:r w:rsidRPr="008F735E">
              <w:rPr>
                <w:sz w:val="14"/>
                <w:szCs w:val="14"/>
              </w:rPr>
              <w:tab/>
            </w:r>
            <w:r>
              <w:rPr>
                <w:sz w:val="14"/>
                <w:szCs w:val="14"/>
              </w:rPr>
              <w:t>Inflation = 0%</w:t>
            </w:r>
          </w:p>
        </w:tc>
        <w:tc>
          <w:tcPr>
            <w:tcW w:w="992" w:type="dxa"/>
            <w:shd w:val="clear" w:color="auto" w:fill="auto"/>
            <w:vAlign w:val="bottom"/>
          </w:tcPr>
          <w:p w14:paraId="5217FD5E"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5.31%</w:t>
            </w:r>
          </w:p>
        </w:tc>
        <w:tc>
          <w:tcPr>
            <w:tcW w:w="737" w:type="dxa"/>
            <w:shd w:val="clear" w:color="auto" w:fill="auto"/>
            <w:vAlign w:val="bottom"/>
          </w:tcPr>
          <w:p w14:paraId="7D5FCDF8"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5.10%</w:t>
            </w:r>
          </w:p>
        </w:tc>
        <w:tc>
          <w:tcPr>
            <w:tcW w:w="681" w:type="dxa"/>
            <w:shd w:val="clear" w:color="auto" w:fill="auto"/>
            <w:vAlign w:val="bottom"/>
          </w:tcPr>
          <w:p w14:paraId="5F6DA697"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5.10%</w:t>
            </w:r>
          </w:p>
        </w:tc>
        <w:tc>
          <w:tcPr>
            <w:tcW w:w="651" w:type="dxa"/>
            <w:shd w:val="clear" w:color="auto" w:fill="auto"/>
            <w:vAlign w:val="bottom"/>
          </w:tcPr>
          <w:p w14:paraId="0C9CE6AB"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5.10%</w:t>
            </w:r>
          </w:p>
        </w:tc>
        <w:tc>
          <w:tcPr>
            <w:tcW w:w="666" w:type="dxa"/>
            <w:shd w:val="clear" w:color="auto" w:fill="auto"/>
            <w:vAlign w:val="bottom"/>
          </w:tcPr>
          <w:p w14:paraId="7A49F29A"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5.10%</w:t>
            </w:r>
          </w:p>
        </w:tc>
        <w:tc>
          <w:tcPr>
            <w:tcW w:w="667" w:type="dxa"/>
            <w:shd w:val="clear" w:color="auto" w:fill="auto"/>
            <w:vAlign w:val="bottom"/>
          </w:tcPr>
          <w:p w14:paraId="01ECFEE7"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5.10%</w:t>
            </w:r>
          </w:p>
        </w:tc>
        <w:tc>
          <w:tcPr>
            <w:tcW w:w="1134" w:type="dxa"/>
            <w:shd w:val="clear" w:color="auto" w:fill="auto"/>
            <w:vAlign w:val="bottom"/>
          </w:tcPr>
          <w:p w14:paraId="7BFB8841"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5.10%</w:t>
            </w:r>
          </w:p>
        </w:tc>
        <w:tc>
          <w:tcPr>
            <w:tcW w:w="851" w:type="dxa"/>
            <w:shd w:val="clear" w:color="auto" w:fill="auto"/>
            <w:vAlign w:val="bottom"/>
          </w:tcPr>
          <w:p w14:paraId="7BA7297C"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5.10%</w:t>
            </w:r>
          </w:p>
        </w:tc>
        <w:tc>
          <w:tcPr>
            <w:tcW w:w="1134" w:type="dxa"/>
            <w:shd w:val="clear" w:color="auto" w:fill="auto"/>
            <w:vAlign w:val="bottom"/>
          </w:tcPr>
          <w:p w14:paraId="56EF8556"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4.61%</w:t>
            </w:r>
          </w:p>
        </w:tc>
        <w:tc>
          <w:tcPr>
            <w:tcW w:w="921" w:type="dxa"/>
            <w:shd w:val="clear" w:color="auto" w:fill="auto"/>
            <w:vAlign w:val="bottom"/>
          </w:tcPr>
          <w:p w14:paraId="3DDB27DB"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3.42%</w:t>
            </w:r>
          </w:p>
        </w:tc>
      </w:tr>
      <w:tr w:rsidR="00C867CC" w:rsidRPr="008F735E" w14:paraId="7EBB6A41" w14:textId="77777777" w:rsidTr="0067450B">
        <w:tc>
          <w:tcPr>
            <w:tcW w:w="1347" w:type="dxa"/>
            <w:shd w:val="clear" w:color="auto" w:fill="auto"/>
            <w:vAlign w:val="bottom"/>
          </w:tcPr>
          <w:p w14:paraId="398166C0" w14:textId="77777777" w:rsidR="00C867CC" w:rsidRPr="008F735E" w:rsidRDefault="00C867CC" w:rsidP="00447F49">
            <w:pPr>
              <w:keepNext/>
              <w:keepLines/>
              <w:tabs>
                <w:tab w:val="left" w:pos="106"/>
              </w:tabs>
              <w:spacing w:before="60" w:after="60"/>
              <w:rPr>
                <w:b/>
                <w:bCs/>
                <w:sz w:val="14"/>
                <w:szCs w:val="14"/>
              </w:rPr>
            </w:pPr>
            <w:r w:rsidRPr="008F735E">
              <w:rPr>
                <w:sz w:val="14"/>
                <w:szCs w:val="14"/>
              </w:rPr>
              <w:tab/>
            </w:r>
            <w:r>
              <w:rPr>
                <w:sz w:val="14"/>
                <w:szCs w:val="14"/>
              </w:rPr>
              <w:t>Inflation = 2%</w:t>
            </w:r>
          </w:p>
        </w:tc>
        <w:tc>
          <w:tcPr>
            <w:tcW w:w="992" w:type="dxa"/>
            <w:shd w:val="clear" w:color="auto" w:fill="auto"/>
            <w:vAlign w:val="bottom"/>
          </w:tcPr>
          <w:p w14:paraId="344FAFC3"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4.71%</w:t>
            </w:r>
          </w:p>
        </w:tc>
        <w:tc>
          <w:tcPr>
            <w:tcW w:w="737" w:type="dxa"/>
            <w:shd w:val="clear" w:color="auto" w:fill="auto"/>
            <w:vAlign w:val="bottom"/>
          </w:tcPr>
          <w:p w14:paraId="7016A7C6"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5.14%</w:t>
            </w:r>
          </w:p>
        </w:tc>
        <w:tc>
          <w:tcPr>
            <w:tcW w:w="681" w:type="dxa"/>
            <w:shd w:val="clear" w:color="auto" w:fill="auto"/>
            <w:vAlign w:val="bottom"/>
          </w:tcPr>
          <w:p w14:paraId="302F5243"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5.10%</w:t>
            </w:r>
          </w:p>
        </w:tc>
        <w:tc>
          <w:tcPr>
            <w:tcW w:w="651" w:type="dxa"/>
            <w:shd w:val="clear" w:color="auto" w:fill="auto"/>
            <w:vAlign w:val="bottom"/>
          </w:tcPr>
          <w:p w14:paraId="2273AD95"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4.86%</w:t>
            </w:r>
          </w:p>
        </w:tc>
        <w:tc>
          <w:tcPr>
            <w:tcW w:w="666" w:type="dxa"/>
            <w:shd w:val="clear" w:color="auto" w:fill="auto"/>
            <w:vAlign w:val="bottom"/>
          </w:tcPr>
          <w:p w14:paraId="4AD6ED6B"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4.63%</w:t>
            </w:r>
          </w:p>
        </w:tc>
        <w:tc>
          <w:tcPr>
            <w:tcW w:w="667" w:type="dxa"/>
            <w:shd w:val="clear" w:color="auto" w:fill="auto"/>
            <w:vAlign w:val="bottom"/>
          </w:tcPr>
          <w:p w14:paraId="325EF5DE"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4.47%</w:t>
            </w:r>
          </w:p>
        </w:tc>
        <w:tc>
          <w:tcPr>
            <w:tcW w:w="1134" w:type="dxa"/>
            <w:shd w:val="clear" w:color="auto" w:fill="auto"/>
            <w:vAlign w:val="bottom"/>
          </w:tcPr>
          <w:p w14:paraId="000B10E1"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4.17%</w:t>
            </w:r>
          </w:p>
        </w:tc>
        <w:tc>
          <w:tcPr>
            <w:tcW w:w="851" w:type="dxa"/>
            <w:shd w:val="clear" w:color="auto" w:fill="auto"/>
            <w:vAlign w:val="bottom"/>
          </w:tcPr>
          <w:p w14:paraId="4393494D"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5.14%</w:t>
            </w:r>
          </w:p>
        </w:tc>
        <w:tc>
          <w:tcPr>
            <w:tcW w:w="1134" w:type="dxa"/>
            <w:shd w:val="clear" w:color="auto" w:fill="auto"/>
            <w:vAlign w:val="bottom"/>
          </w:tcPr>
          <w:p w14:paraId="046FE658"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3.68%</w:t>
            </w:r>
          </w:p>
        </w:tc>
        <w:tc>
          <w:tcPr>
            <w:tcW w:w="921" w:type="dxa"/>
            <w:shd w:val="clear" w:color="auto" w:fill="auto"/>
            <w:vAlign w:val="bottom"/>
          </w:tcPr>
          <w:p w14:paraId="53E47723"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2.80%</w:t>
            </w:r>
          </w:p>
        </w:tc>
      </w:tr>
      <w:tr w:rsidR="00C867CC" w:rsidRPr="008F735E" w14:paraId="32478E7C" w14:textId="77777777" w:rsidTr="0067450B">
        <w:tc>
          <w:tcPr>
            <w:tcW w:w="1347" w:type="dxa"/>
            <w:shd w:val="clear" w:color="auto" w:fill="auto"/>
            <w:vAlign w:val="bottom"/>
          </w:tcPr>
          <w:p w14:paraId="76E83912" w14:textId="77777777" w:rsidR="00C867CC" w:rsidRPr="008F735E" w:rsidRDefault="00C867CC" w:rsidP="00447F49">
            <w:pPr>
              <w:keepNext/>
              <w:keepLines/>
              <w:tabs>
                <w:tab w:val="left" w:pos="106"/>
              </w:tabs>
              <w:spacing w:before="60" w:after="60"/>
              <w:rPr>
                <w:sz w:val="14"/>
                <w:szCs w:val="14"/>
              </w:rPr>
            </w:pPr>
            <w:r>
              <w:rPr>
                <w:b/>
                <w:bCs/>
                <w:sz w:val="14"/>
                <w:szCs w:val="14"/>
              </w:rPr>
              <w:t>EMTRs</w:t>
            </w:r>
          </w:p>
        </w:tc>
        <w:tc>
          <w:tcPr>
            <w:tcW w:w="992" w:type="dxa"/>
            <w:shd w:val="clear" w:color="auto" w:fill="auto"/>
            <w:vAlign w:val="bottom"/>
          </w:tcPr>
          <w:p w14:paraId="45E25250"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 </w:t>
            </w:r>
          </w:p>
        </w:tc>
        <w:tc>
          <w:tcPr>
            <w:tcW w:w="737" w:type="dxa"/>
            <w:shd w:val="clear" w:color="auto" w:fill="auto"/>
            <w:vAlign w:val="bottom"/>
          </w:tcPr>
          <w:p w14:paraId="167C9AC3"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 </w:t>
            </w:r>
          </w:p>
        </w:tc>
        <w:tc>
          <w:tcPr>
            <w:tcW w:w="681" w:type="dxa"/>
            <w:shd w:val="clear" w:color="auto" w:fill="auto"/>
            <w:vAlign w:val="bottom"/>
          </w:tcPr>
          <w:p w14:paraId="4549DA32"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 </w:t>
            </w:r>
          </w:p>
        </w:tc>
        <w:tc>
          <w:tcPr>
            <w:tcW w:w="651" w:type="dxa"/>
            <w:shd w:val="clear" w:color="auto" w:fill="auto"/>
            <w:vAlign w:val="bottom"/>
          </w:tcPr>
          <w:p w14:paraId="3D448236"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 </w:t>
            </w:r>
          </w:p>
        </w:tc>
        <w:tc>
          <w:tcPr>
            <w:tcW w:w="666" w:type="dxa"/>
            <w:shd w:val="clear" w:color="auto" w:fill="auto"/>
            <w:vAlign w:val="bottom"/>
          </w:tcPr>
          <w:p w14:paraId="0844277D"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 </w:t>
            </w:r>
          </w:p>
        </w:tc>
        <w:tc>
          <w:tcPr>
            <w:tcW w:w="667" w:type="dxa"/>
            <w:shd w:val="clear" w:color="auto" w:fill="auto"/>
            <w:vAlign w:val="bottom"/>
          </w:tcPr>
          <w:p w14:paraId="39ABA008"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 </w:t>
            </w:r>
          </w:p>
        </w:tc>
        <w:tc>
          <w:tcPr>
            <w:tcW w:w="1134" w:type="dxa"/>
            <w:shd w:val="clear" w:color="auto" w:fill="auto"/>
            <w:vAlign w:val="bottom"/>
          </w:tcPr>
          <w:p w14:paraId="08272089"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 </w:t>
            </w:r>
          </w:p>
        </w:tc>
        <w:tc>
          <w:tcPr>
            <w:tcW w:w="851" w:type="dxa"/>
            <w:shd w:val="clear" w:color="auto" w:fill="auto"/>
            <w:vAlign w:val="bottom"/>
          </w:tcPr>
          <w:p w14:paraId="6017E223" w14:textId="77777777" w:rsidR="00C867CC" w:rsidRPr="005D1FA9" w:rsidRDefault="00C867CC" w:rsidP="00447F49">
            <w:pPr>
              <w:keepNext/>
              <w:keepLines/>
              <w:tabs>
                <w:tab w:val="decimal" w:pos="256"/>
              </w:tabs>
              <w:spacing w:before="60" w:after="60"/>
              <w:jc w:val="center"/>
              <w:rPr>
                <w:sz w:val="14"/>
                <w:szCs w:val="14"/>
              </w:rPr>
            </w:pPr>
            <w:r w:rsidRPr="005D1FA9">
              <w:rPr>
                <w:rFonts w:ascii="Calibri" w:hAnsi="Calibri" w:cs="Calibri"/>
                <w:color w:val="000000"/>
                <w:sz w:val="14"/>
                <w:szCs w:val="14"/>
              </w:rPr>
              <w:t> </w:t>
            </w:r>
          </w:p>
        </w:tc>
        <w:tc>
          <w:tcPr>
            <w:tcW w:w="1134" w:type="dxa"/>
            <w:shd w:val="clear" w:color="auto" w:fill="auto"/>
            <w:vAlign w:val="bottom"/>
          </w:tcPr>
          <w:p w14:paraId="0F4B45AA"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 </w:t>
            </w:r>
          </w:p>
        </w:tc>
        <w:tc>
          <w:tcPr>
            <w:tcW w:w="921" w:type="dxa"/>
            <w:shd w:val="clear" w:color="auto" w:fill="auto"/>
            <w:vAlign w:val="bottom"/>
          </w:tcPr>
          <w:p w14:paraId="55BC4247" w14:textId="77777777" w:rsidR="00C867CC" w:rsidRPr="005D1FA9" w:rsidRDefault="00C867CC" w:rsidP="00447F49">
            <w:pPr>
              <w:keepNext/>
              <w:keepLines/>
              <w:tabs>
                <w:tab w:val="decimal" w:pos="256"/>
              </w:tabs>
              <w:spacing w:before="60" w:after="60"/>
              <w:jc w:val="center"/>
              <w:rPr>
                <w:sz w:val="14"/>
                <w:szCs w:val="14"/>
              </w:rPr>
            </w:pPr>
            <w:r w:rsidRPr="005D1FA9">
              <w:rPr>
                <w:rFonts w:ascii="Calibri" w:hAnsi="Calibri" w:cs="Calibri"/>
                <w:color w:val="000000"/>
                <w:sz w:val="14"/>
                <w:szCs w:val="14"/>
              </w:rPr>
              <w:t> </w:t>
            </w:r>
          </w:p>
        </w:tc>
      </w:tr>
      <w:tr w:rsidR="00C867CC" w:rsidRPr="008F735E" w14:paraId="456848A5" w14:textId="77777777" w:rsidTr="0067450B">
        <w:tc>
          <w:tcPr>
            <w:tcW w:w="1347" w:type="dxa"/>
            <w:shd w:val="clear" w:color="auto" w:fill="auto"/>
            <w:vAlign w:val="bottom"/>
          </w:tcPr>
          <w:p w14:paraId="7E320C13" w14:textId="77777777" w:rsidR="00C867CC" w:rsidRPr="008F735E" w:rsidRDefault="00C867CC" w:rsidP="00447F49">
            <w:pPr>
              <w:keepNext/>
              <w:keepLines/>
              <w:tabs>
                <w:tab w:val="left" w:pos="106"/>
              </w:tabs>
              <w:spacing w:before="60" w:after="60"/>
              <w:rPr>
                <w:sz w:val="14"/>
                <w:szCs w:val="14"/>
              </w:rPr>
            </w:pPr>
            <w:r>
              <w:rPr>
                <w:sz w:val="14"/>
                <w:szCs w:val="14"/>
              </w:rPr>
              <w:t>r* = 3%</w:t>
            </w:r>
          </w:p>
        </w:tc>
        <w:tc>
          <w:tcPr>
            <w:tcW w:w="992" w:type="dxa"/>
            <w:shd w:val="clear" w:color="auto" w:fill="auto"/>
            <w:vAlign w:val="bottom"/>
          </w:tcPr>
          <w:p w14:paraId="61063DB8"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 </w:t>
            </w:r>
          </w:p>
        </w:tc>
        <w:tc>
          <w:tcPr>
            <w:tcW w:w="737" w:type="dxa"/>
            <w:shd w:val="clear" w:color="auto" w:fill="auto"/>
            <w:vAlign w:val="bottom"/>
          </w:tcPr>
          <w:p w14:paraId="477AAFC2"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 </w:t>
            </w:r>
          </w:p>
        </w:tc>
        <w:tc>
          <w:tcPr>
            <w:tcW w:w="681" w:type="dxa"/>
            <w:shd w:val="clear" w:color="auto" w:fill="auto"/>
            <w:vAlign w:val="bottom"/>
          </w:tcPr>
          <w:p w14:paraId="48B57F3E"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 </w:t>
            </w:r>
          </w:p>
        </w:tc>
        <w:tc>
          <w:tcPr>
            <w:tcW w:w="651" w:type="dxa"/>
            <w:shd w:val="clear" w:color="auto" w:fill="auto"/>
            <w:vAlign w:val="bottom"/>
          </w:tcPr>
          <w:p w14:paraId="75DF3839"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 </w:t>
            </w:r>
          </w:p>
        </w:tc>
        <w:tc>
          <w:tcPr>
            <w:tcW w:w="666" w:type="dxa"/>
            <w:shd w:val="clear" w:color="auto" w:fill="auto"/>
            <w:vAlign w:val="bottom"/>
          </w:tcPr>
          <w:p w14:paraId="0F7CE696"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 </w:t>
            </w:r>
          </w:p>
        </w:tc>
        <w:tc>
          <w:tcPr>
            <w:tcW w:w="667" w:type="dxa"/>
            <w:shd w:val="clear" w:color="auto" w:fill="auto"/>
            <w:vAlign w:val="bottom"/>
          </w:tcPr>
          <w:p w14:paraId="45A6AFFB"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 </w:t>
            </w:r>
          </w:p>
        </w:tc>
        <w:tc>
          <w:tcPr>
            <w:tcW w:w="1134" w:type="dxa"/>
            <w:shd w:val="clear" w:color="auto" w:fill="auto"/>
            <w:vAlign w:val="bottom"/>
          </w:tcPr>
          <w:p w14:paraId="26B9FF76"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 </w:t>
            </w:r>
          </w:p>
        </w:tc>
        <w:tc>
          <w:tcPr>
            <w:tcW w:w="851" w:type="dxa"/>
            <w:shd w:val="clear" w:color="auto" w:fill="auto"/>
            <w:vAlign w:val="bottom"/>
          </w:tcPr>
          <w:p w14:paraId="488A0C16" w14:textId="77777777" w:rsidR="00C867CC" w:rsidRPr="005D1FA9" w:rsidRDefault="00C867CC" w:rsidP="00447F49">
            <w:pPr>
              <w:keepNext/>
              <w:keepLines/>
              <w:tabs>
                <w:tab w:val="decimal" w:pos="256"/>
              </w:tabs>
              <w:spacing w:before="60" w:after="60"/>
              <w:jc w:val="center"/>
              <w:rPr>
                <w:sz w:val="14"/>
                <w:szCs w:val="14"/>
              </w:rPr>
            </w:pPr>
            <w:r w:rsidRPr="005D1FA9">
              <w:rPr>
                <w:rFonts w:ascii="Calibri" w:hAnsi="Calibri" w:cs="Calibri"/>
                <w:color w:val="000000"/>
                <w:sz w:val="14"/>
                <w:szCs w:val="14"/>
              </w:rPr>
              <w:t> </w:t>
            </w:r>
          </w:p>
        </w:tc>
        <w:tc>
          <w:tcPr>
            <w:tcW w:w="1134" w:type="dxa"/>
            <w:shd w:val="clear" w:color="auto" w:fill="auto"/>
            <w:vAlign w:val="bottom"/>
          </w:tcPr>
          <w:p w14:paraId="72FE8700"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 </w:t>
            </w:r>
          </w:p>
        </w:tc>
        <w:tc>
          <w:tcPr>
            <w:tcW w:w="921" w:type="dxa"/>
            <w:shd w:val="clear" w:color="auto" w:fill="auto"/>
            <w:vAlign w:val="bottom"/>
          </w:tcPr>
          <w:p w14:paraId="298DF121" w14:textId="77777777" w:rsidR="00C867CC" w:rsidRPr="005D1FA9" w:rsidRDefault="00C867CC" w:rsidP="00447F49">
            <w:pPr>
              <w:keepNext/>
              <w:keepLines/>
              <w:tabs>
                <w:tab w:val="decimal" w:pos="256"/>
              </w:tabs>
              <w:spacing w:before="60" w:after="60"/>
              <w:jc w:val="center"/>
              <w:rPr>
                <w:sz w:val="14"/>
                <w:szCs w:val="14"/>
              </w:rPr>
            </w:pPr>
            <w:r w:rsidRPr="005D1FA9">
              <w:rPr>
                <w:rFonts w:ascii="Calibri" w:hAnsi="Calibri" w:cs="Calibri"/>
                <w:color w:val="000000"/>
                <w:sz w:val="14"/>
                <w:szCs w:val="14"/>
              </w:rPr>
              <w:t> </w:t>
            </w:r>
          </w:p>
        </w:tc>
      </w:tr>
      <w:tr w:rsidR="00C867CC" w:rsidRPr="008F735E" w14:paraId="6C19519A" w14:textId="77777777" w:rsidTr="0067450B">
        <w:tc>
          <w:tcPr>
            <w:tcW w:w="1347" w:type="dxa"/>
            <w:shd w:val="clear" w:color="auto" w:fill="auto"/>
            <w:vAlign w:val="bottom"/>
          </w:tcPr>
          <w:p w14:paraId="4CB7AA9F" w14:textId="77777777" w:rsidR="00C867CC" w:rsidRPr="00881B58" w:rsidRDefault="00C867CC" w:rsidP="00447F49">
            <w:pPr>
              <w:keepNext/>
              <w:keepLines/>
              <w:tabs>
                <w:tab w:val="left" w:pos="106"/>
              </w:tabs>
              <w:spacing w:before="60" w:after="60"/>
              <w:rPr>
                <w:b/>
                <w:bCs/>
                <w:sz w:val="14"/>
                <w:szCs w:val="14"/>
              </w:rPr>
            </w:pPr>
            <w:r w:rsidRPr="008F735E">
              <w:rPr>
                <w:sz w:val="14"/>
                <w:szCs w:val="14"/>
              </w:rPr>
              <w:tab/>
            </w:r>
            <w:r>
              <w:rPr>
                <w:sz w:val="14"/>
                <w:szCs w:val="14"/>
              </w:rPr>
              <w:t>Inflation = 0%</w:t>
            </w:r>
          </w:p>
        </w:tc>
        <w:tc>
          <w:tcPr>
            <w:tcW w:w="992" w:type="dxa"/>
            <w:shd w:val="clear" w:color="auto" w:fill="auto"/>
            <w:vAlign w:val="bottom"/>
          </w:tcPr>
          <w:p w14:paraId="3D1976F2"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7.2%</w:t>
            </w:r>
          </w:p>
        </w:tc>
        <w:tc>
          <w:tcPr>
            <w:tcW w:w="737" w:type="dxa"/>
            <w:shd w:val="clear" w:color="auto" w:fill="auto"/>
            <w:vAlign w:val="bottom"/>
          </w:tcPr>
          <w:p w14:paraId="14F4EBF2"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2.0%</w:t>
            </w:r>
          </w:p>
        </w:tc>
        <w:tc>
          <w:tcPr>
            <w:tcW w:w="681" w:type="dxa"/>
            <w:shd w:val="clear" w:color="auto" w:fill="auto"/>
            <w:vAlign w:val="bottom"/>
          </w:tcPr>
          <w:p w14:paraId="130C6813"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2.0%</w:t>
            </w:r>
          </w:p>
        </w:tc>
        <w:tc>
          <w:tcPr>
            <w:tcW w:w="651" w:type="dxa"/>
            <w:shd w:val="clear" w:color="auto" w:fill="auto"/>
            <w:vAlign w:val="bottom"/>
          </w:tcPr>
          <w:p w14:paraId="5E016D7A"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2.0%</w:t>
            </w:r>
          </w:p>
        </w:tc>
        <w:tc>
          <w:tcPr>
            <w:tcW w:w="666" w:type="dxa"/>
            <w:shd w:val="clear" w:color="auto" w:fill="auto"/>
            <w:vAlign w:val="bottom"/>
          </w:tcPr>
          <w:p w14:paraId="77D1D395"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2.0%</w:t>
            </w:r>
          </w:p>
        </w:tc>
        <w:tc>
          <w:tcPr>
            <w:tcW w:w="667" w:type="dxa"/>
            <w:shd w:val="clear" w:color="auto" w:fill="auto"/>
            <w:vAlign w:val="bottom"/>
          </w:tcPr>
          <w:p w14:paraId="47AEFB68"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2.0%</w:t>
            </w:r>
          </w:p>
        </w:tc>
        <w:tc>
          <w:tcPr>
            <w:tcW w:w="1134" w:type="dxa"/>
            <w:shd w:val="clear" w:color="auto" w:fill="auto"/>
            <w:vAlign w:val="bottom"/>
          </w:tcPr>
          <w:p w14:paraId="1EEF9D6C"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2.0%</w:t>
            </w:r>
          </w:p>
        </w:tc>
        <w:tc>
          <w:tcPr>
            <w:tcW w:w="851" w:type="dxa"/>
            <w:shd w:val="clear" w:color="auto" w:fill="auto"/>
            <w:vAlign w:val="bottom"/>
          </w:tcPr>
          <w:p w14:paraId="69770D80"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2.0%</w:t>
            </w:r>
          </w:p>
        </w:tc>
        <w:tc>
          <w:tcPr>
            <w:tcW w:w="1134" w:type="dxa"/>
            <w:shd w:val="clear" w:color="auto" w:fill="auto"/>
            <w:vAlign w:val="bottom"/>
          </w:tcPr>
          <w:p w14:paraId="174DDC77"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-16.8%</w:t>
            </w:r>
          </w:p>
        </w:tc>
        <w:tc>
          <w:tcPr>
            <w:tcW w:w="921" w:type="dxa"/>
            <w:shd w:val="clear" w:color="auto" w:fill="auto"/>
            <w:vAlign w:val="bottom"/>
          </w:tcPr>
          <w:p w14:paraId="210F8977"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-46.3%</w:t>
            </w:r>
          </w:p>
        </w:tc>
      </w:tr>
      <w:tr w:rsidR="00C867CC" w:rsidRPr="006B6DF2" w14:paraId="0CBC1077" w14:textId="77777777" w:rsidTr="0067450B">
        <w:tc>
          <w:tcPr>
            <w:tcW w:w="1347" w:type="dxa"/>
            <w:shd w:val="clear" w:color="auto" w:fill="auto"/>
            <w:vAlign w:val="bottom"/>
          </w:tcPr>
          <w:p w14:paraId="225C63B4" w14:textId="77777777" w:rsidR="00C867CC" w:rsidRPr="008F735E" w:rsidRDefault="00C867CC" w:rsidP="00447F49">
            <w:pPr>
              <w:keepNext/>
              <w:keepLines/>
              <w:tabs>
                <w:tab w:val="left" w:pos="106"/>
              </w:tabs>
              <w:spacing w:before="60" w:after="60"/>
              <w:rPr>
                <w:sz w:val="14"/>
                <w:szCs w:val="14"/>
              </w:rPr>
            </w:pPr>
            <w:r w:rsidRPr="008F735E">
              <w:rPr>
                <w:sz w:val="14"/>
                <w:szCs w:val="14"/>
              </w:rPr>
              <w:tab/>
            </w:r>
            <w:r>
              <w:rPr>
                <w:sz w:val="14"/>
                <w:szCs w:val="14"/>
              </w:rPr>
              <w:t>Inflation = 2%</w:t>
            </w:r>
          </w:p>
        </w:tc>
        <w:tc>
          <w:tcPr>
            <w:tcW w:w="992" w:type="dxa"/>
            <w:shd w:val="clear" w:color="auto" w:fill="auto"/>
            <w:vAlign w:val="bottom"/>
          </w:tcPr>
          <w:p w14:paraId="4D69B373" w14:textId="77777777" w:rsidR="00C867CC" w:rsidRPr="005D1FA9" w:rsidRDefault="00C867CC" w:rsidP="00447F49">
            <w:pPr>
              <w:keepNext/>
              <w:keepLines/>
              <w:tabs>
                <w:tab w:val="decimal" w:pos="256"/>
              </w:tabs>
              <w:spacing w:before="60" w:after="60"/>
              <w:jc w:val="center"/>
              <w:rPr>
                <w:rFonts w:cs="Calibri"/>
                <w:color w:val="000000"/>
                <w:sz w:val="14"/>
                <w:szCs w:val="14"/>
              </w:rPr>
            </w:pPr>
            <w:r w:rsidRPr="005D1FA9">
              <w:rPr>
                <w:rFonts w:cs="Calibri"/>
                <w:color w:val="000000"/>
                <w:sz w:val="14"/>
                <w:szCs w:val="14"/>
              </w:rPr>
              <w:t>-10.5%</w:t>
            </w:r>
          </w:p>
        </w:tc>
        <w:tc>
          <w:tcPr>
            <w:tcW w:w="737" w:type="dxa"/>
            <w:shd w:val="clear" w:color="auto" w:fill="auto"/>
            <w:vAlign w:val="bottom"/>
          </w:tcPr>
          <w:p w14:paraId="6B16326B" w14:textId="77777777" w:rsidR="00C867CC" w:rsidRPr="005D1FA9" w:rsidRDefault="00C867CC" w:rsidP="00447F49">
            <w:pPr>
              <w:keepNext/>
              <w:keepLines/>
              <w:tabs>
                <w:tab w:val="decimal" w:pos="256"/>
              </w:tabs>
              <w:spacing w:before="60" w:after="60"/>
              <w:jc w:val="center"/>
              <w:rPr>
                <w:rFonts w:cs="Calibri"/>
                <w:color w:val="000000"/>
                <w:sz w:val="14"/>
                <w:szCs w:val="14"/>
              </w:rPr>
            </w:pPr>
            <w:r w:rsidRPr="005D1FA9">
              <w:rPr>
                <w:rFonts w:cs="Calibri"/>
                <w:color w:val="000000"/>
                <w:sz w:val="14"/>
                <w:szCs w:val="14"/>
              </w:rPr>
              <w:t>3.2%</w:t>
            </w:r>
          </w:p>
        </w:tc>
        <w:tc>
          <w:tcPr>
            <w:tcW w:w="681" w:type="dxa"/>
            <w:shd w:val="clear" w:color="auto" w:fill="auto"/>
            <w:vAlign w:val="bottom"/>
          </w:tcPr>
          <w:p w14:paraId="4D992570" w14:textId="77777777" w:rsidR="00C867CC" w:rsidRPr="005D1FA9" w:rsidRDefault="00C867CC" w:rsidP="00447F49">
            <w:pPr>
              <w:keepNext/>
              <w:keepLines/>
              <w:tabs>
                <w:tab w:val="decimal" w:pos="256"/>
              </w:tabs>
              <w:spacing w:before="60" w:after="60"/>
              <w:jc w:val="center"/>
              <w:rPr>
                <w:rFonts w:cs="Calibri"/>
                <w:color w:val="000000"/>
                <w:sz w:val="14"/>
                <w:szCs w:val="14"/>
              </w:rPr>
            </w:pPr>
            <w:r w:rsidRPr="005D1FA9">
              <w:rPr>
                <w:rFonts w:cs="Calibri"/>
                <w:color w:val="000000"/>
                <w:sz w:val="14"/>
                <w:szCs w:val="14"/>
              </w:rPr>
              <w:t>2.2%</w:t>
            </w:r>
          </w:p>
        </w:tc>
        <w:tc>
          <w:tcPr>
            <w:tcW w:w="651" w:type="dxa"/>
            <w:shd w:val="clear" w:color="auto" w:fill="auto"/>
            <w:vAlign w:val="bottom"/>
          </w:tcPr>
          <w:p w14:paraId="073E0931" w14:textId="77777777" w:rsidR="00C867CC" w:rsidRPr="005D1FA9" w:rsidRDefault="00C867CC" w:rsidP="00447F49">
            <w:pPr>
              <w:keepNext/>
              <w:keepLines/>
              <w:tabs>
                <w:tab w:val="decimal" w:pos="256"/>
              </w:tabs>
              <w:spacing w:before="60" w:after="60"/>
              <w:jc w:val="center"/>
              <w:rPr>
                <w:rFonts w:cs="Calibri"/>
                <w:color w:val="000000"/>
                <w:sz w:val="14"/>
                <w:szCs w:val="14"/>
              </w:rPr>
            </w:pPr>
            <w:r w:rsidRPr="005D1FA9">
              <w:rPr>
                <w:rFonts w:cs="Calibri"/>
                <w:color w:val="000000"/>
                <w:sz w:val="14"/>
                <w:szCs w:val="14"/>
              </w:rPr>
              <w:t>-4.3%</w:t>
            </w:r>
          </w:p>
        </w:tc>
        <w:tc>
          <w:tcPr>
            <w:tcW w:w="666" w:type="dxa"/>
            <w:shd w:val="clear" w:color="auto" w:fill="auto"/>
            <w:vAlign w:val="bottom"/>
          </w:tcPr>
          <w:p w14:paraId="71F3458F" w14:textId="77777777" w:rsidR="00C867CC" w:rsidRPr="005D1FA9" w:rsidRDefault="00C867CC" w:rsidP="00447F49">
            <w:pPr>
              <w:keepNext/>
              <w:keepLines/>
              <w:tabs>
                <w:tab w:val="decimal" w:pos="256"/>
              </w:tabs>
              <w:spacing w:before="60" w:after="60"/>
              <w:jc w:val="center"/>
              <w:rPr>
                <w:rFonts w:cs="Calibri"/>
                <w:color w:val="000000"/>
                <w:sz w:val="14"/>
                <w:szCs w:val="14"/>
              </w:rPr>
            </w:pPr>
            <w:r w:rsidRPr="005D1FA9">
              <w:rPr>
                <w:rFonts w:cs="Calibri"/>
                <w:color w:val="000000"/>
                <w:sz w:val="14"/>
                <w:szCs w:val="14"/>
              </w:rPr>
              <w:t>-12.4%</w:t>
            </w:r>
          </w:p>
        </w:tc>
        <w:tc>
          <w:tcPr>
            <w:tcW w:w="667" w:type="dxa"/>
            <w:shd w:val="clear" w:color="auto" w:fill="auto"/>
            <w:vAlign w:val="bottom"/>
          </w:tcPr>
          <w:p w14:paraId="1CC077F6" w14:textId="77777777" w:rsidR="00C867CC" w:rsidRPr="005D1FA9" w:rsidRDefault="00C867CC" w:rsidP="00447F49">
            <w:pPr>
              <w:keepNext/>
              <w:keepLines/>
              <w:tabs>
                <w:tab w:val="decimal" w:pos="256"/>
              </w:tabs>
              <w:spacing w:before="60" w:after="60"/>
              <w:jc w:val="center"/>
              <w:rPr>
                <w:rFonts w:cs="Calibri"/>
                <w:color w:val="000000"/>
                <w:sz w:val="14"/>
                <w:szCs w:val="14"/>
              </w:rPr>
            </w:pPr>
            <w:r w:rsidRPr="005D1FA9">
              <w:rPr>
                <w:rFonts w:cs="Calibri"/>
                <w:color w:val="000000"/>
                <w:sz w:val="14"/>
                <w:szCs w:val="14"/>
              </w:rPr>
              <w:t>-20.0%</w:t>
            </w:r>
          </w:p>
        </w:tc>
        <w:tc>
          <w:tcPr>
            <w:tcW w:w="1134" w:type="dxa"/>
            <w:shd w:val="clear" w:color="auto" w:fill="auto"/>
            <w:vAlign w:val="bottom"/>
          </w:tcPr>
          <w:p w14:paraId="1EC6D955" w14:textId="77777777" w:rsidR="00C867CC" w:rsidRPr="005D1FA9" w:rsidRDefault="00C867CC" w:rsidP="00447F49">
            <w:pPr>
              <w:keepNext/>
              <w:keepLines/>
              <w:tabs>
                <w:tab w:val="decimal" w:pos="256"/>
              </w:tabs>
              <w:spacing w:before="60" w:after="60"/>
              <w:jc w:val="center"/>
              <w:rPr>
                <w:rFonts w:cs="Calibri"/>
                <w:color w:val="000000"/>
                <w:sz w:val="14"/>
                <w:szCs w:val="14"/>
              </w:rPr>
            </w:pPr>
            <w:r w:rsidRPr="005D1FA9">
              <w:rPr>
                <w:rFonts w:cs="Calibri"/>
                <w:color w:val="000000"/>
                <w:sz w:val="14"/>
                <w:szCs w:val="14"/>
              </w:rPr>
              <w:t>-40.6%</w:t>
            </w:r>
          </w:p>
        </w:tc>
        <w:tc>
          <w:tcPr>
            <w:tcW w:w="851" w:type="dxa"/>
            <w:shd w:val="clear" w:color="auto" w:fill="auto"/>
            <w:vAlign w:val="bottom"/>
          </w:tcPr>
          <w:p w14:paraId="4D8C57DD" w14:textId="77777777" w:rsidR="00C867CC" w:rsidRPr="005D1FA9" w:rsidRDefault="00C867CC" w:rsidP="00447F49">
            <w:pPr>
              <w:keepNext/>
              <w:keepLines/>
              <w:tabs>
                <w:tab w:val="decimal" w:pos="256"/>
              </w:tabs>
              <w:spacing w:before="60" w:after="60"/>
              <w:jc w:val="center"/>
              <w:rPr>
                <w:rFonts w:cs="Calibri"/>
                <w:color w:val="000000"/>
                <w:sz w:val="14"/>
                <w:szCs w:val="14"/>
              </w:rPr>
            </w:pPr>
            <w:r w:rsidRPr="005D1FA9">
              <w:rPr>
                <w:rFonts w:cs="Calibri"/>
                <w:color w:val="000000"/>
                <w:sz w:val="14"/>
                <w:szCs w:val="14"/>
              </w:rPr>
              <w:t>3.2%</w:t>
            </w:r>
          </w:p>
        </w:tc>
        <w:tc>
          <w:tcPr>
            <w:tcW w:w="1134" w:type="dxa"/>
            <w:shd w:val="clear" w:color="auto" w:fill="auto"/>
            <w:vAlign w:val="bottom"/>
          </w:tcPr>
          <w:p w14:paraId="1C1385CA" w14:textId="77777777" w:rsidR="00C867CC" w:rsidRPr="005D1FA9" w:rsidRDefault="00C867CC" w:rsidP="00447F49">
            <w:pPr>
              <w:keepNext/>
              <w:keepLines/>
              <w:tabs>
                <w:tab w:val="decimal" w:pos="256"/>
              </w:tabs>
              <w:spacing w:before="60" w:after="60"/>
              <w:jc w:val="center"/>
              <w:rPr>
                <w:rFonts w:cs="Calibri"/>
                <w:color w:val="000000"/>
                <w:sz w:val="14"/>
                <w:szCs w:val="14"/>
              </w:rPr>
            </w:pPr>
            <w:r w:rsidRPr="005D1FA9">
              <w:rPr>
                <w:rFonts w:cs="Calibri"/>
                <w:color w:val="000000"/>
                <w:sz w:val="14"/>
                <w:szCs w:val="14"/>
              </w:rPr>
              <w:t>-82.8%</w:t>
            </w:r>
          </w:p>
        </w:tc>
        <w:tc>
          <w:tcPr>
            <w:tcW w:w="921" w:type="dxa"/>
            <w:shd w:val="clear" w:color="auto" w:fill="auto"/>
            <w:vAlign w:val="bottom"/>
          </w:tcPr>
          <w:p w14:paraId="34005B51" w14:textId="77777777" w:rsidR="00C867CC" w:rsidRPr="005D1FA9" w:rsidRDefault="00C867CC" w:rsidP="00447F49">
            <w:pPr>
              <w:keepNext/>
              <w:keepLines/>
              <w:tabs>
                <w:tab w:val="decimal" w:pos="256"/>
              </w:tabs>
              <w:spacing w:before="60" w:after="60"/>
              <w:jc w:val="center"/>
              <w:rPr>
                <w:rFonts w:cs="Calibri"/>
                <w:color w:val="000000"/>
                <w:sz w:val="14"/>
                <w:szCs w:val="14"/>
              </w:rPr>
            </w:pPr>
            <w:r w:rsidRPr="005D1FA9">
              <w:rPr>
                <w:rFonts w:cs="Calibri"/>
                <w:color w:val="000000"/>
                <w:sz w:val="14"/>
                <w:szCs w:val="14"/>
              </w:rPr>
              <w:t>-109.9%</w:t>
            </w:r>
          </w:p>
        </w:tc>
      </w:tr>
      <w:tr w:rsidR="00C867CC" w:rsidRPr="006B6DF2" w14:paraId="71DBACA0" w14:textId="77777777" w:rsidTr="0067450B">
        <w:tc>
          <w:tcPr>
            <w:tcW w:w="1347" w:type="dxa"/>
            <w:shd w:val="clear" w:color="auto" w:fill="auto"/>
            <w:vAlign w:val="bottom"/>
          </w:tcPr>
          <w:p w14:paraId="25D05722" w14:textId="77777777" w:rsidR="00C867CC" w:rsidRPr="008F735E" w:rsidRDefault="00C867CC" w:rsidP="00447F49">
            <w:pPr>
              <w:keepNext/>
              <w:keepLines/>
              <w:tabs>
                <w:tab w:val="left" w:pos="106"/>
              </w:tabs>
              <w:spacing w:before="60" w:after="60"/>
              <w:rPr>
                <w:sz w:val="14"/>
                <w:szCs w:val="14"/>
              </w:rPr>
            </w:pPr>
            <w:r>
              <w:rPr>
                <w:sz w:val="14"/>
                <w:szCs w:val="14"/>
              </w:rPr>
              <w:t>r* = 5%</w:t>
            </w:r>
          </w:p>
        </w:tc>
        <w:tc>
          <w:tcPr>
            <w:tcW w:w="992" w:type="dxa"/>
            <w:shd w:val="clear" w:color="auto" w:fill="auto"/>
            <w:vAlign w:val="bottom"/>
          </w:tcPr>
          <w:p w14:paraId="44AB8C24" w14:textId="77777777" w:rsidR="00C867CC" w:rsidRPr="005D1FA9" w:rsidRDefault="00C867CC" w:rsidP="00447F49">
            <w:pPr>
              <w:keepNext/>
              <w:keepLines/>
              <w:tabs>
                <w:tab w:val="decimal" w:pos="256"/>
              </w:tabs>
              <w:spacing w:before="60" w:after="60"/>
              <w:jc w:val="center"/>
              <w:rPr>
                <w:rFonts w:cs="Calibri"/>
                <w:color w:val="000000"/>
                <w:sz w:val="14"/>
                <w:szCs w:val="14"/>
              </w:rPr>
            </w:pPr>
            <w:r w:rsidRPr="005D1FA9">
              <w:rPr>
                <w:rFonts w:ascii="Calibri" w:hAnsi="Calibri" w:cs="Calibri"/>
                <w:color w:val="000000"/>
                <w:sz w:val="14"/>
                <w:szCs w:val="14"/>
              </w:rPr>
              <w:t> </w:t>
            </w:r>
          </w:p>
        </w:tc>
        <w:tc>
          <w:tcPr>
            <w:tcW w:w="737" w:type="dxa"/>
            <w:shd w:val="clear" w:color="auto" w:fill="auto"/>
            <w:vAlign w:val="bottom"/>
          </w:tcPr>
          <w:p w14:paraId="042C244A" w14:textId="77777777" w:rsidR="00C867CC" w:rsidRPr="005D1FA9" w:rsidRDefault="00C867CC" w:rsidP="00447F49">
            <w:pPr>
              <w:keepNext/>
              <w:keepLines/>
              <w:tabs>
                <w:tab w:val="decimal" w:pos="256"/>
              </w:tabs>
              <w:spacing w:before="60" w:after="60"/>
              <w:jc w:val="center"/>
              <w:rPr>
                <w:rFonts w:cs="Calibri"/>
                <w:color w:val="000000"/>
                <w:sz w:val="14"/>
                <w:szCs w:val="14"/>
              </w:rPr>
            </w:pPr>
            <w:r w:rsidRPr="005D1FA9">
              <w:rPr>
                <w:rFonts w:ascii="Calibri" w:hAnsi="Calibri" w:cs="Calibri"/>
                <w:color w:val="000000"/>
                <w:sz w:val="14"/>
                <w:szCs w:val="14"/>
              </w:rPr>
              <w:t> </w:t>
            </w:r>
          </w:p>
        </w:tc>
        <w:tc>
          <w:tcPr>
            <w:tcW w:w="681" w:type="dxa"/>
            <w:shd w:val="clear" w:color="auto" w:fill="auto"/>
            <w:vAlign w:val="bottom"/>
          </w:tcPr>
          <w:p w14:paraId="2C78CAE1" w14:textId="77777777" w:rsidR="00C867CC" w:rsidRPr="005D1FA9" w:rsidRDefault="00C867CC" w:rsidP="00447F49">
            <w:pPr>
              <w:keepNext/>
              <w:keepLines/>
              <w:tabs>
                <w:tab w:val="decimal" w:pos="256"/>
              </w:tabs>
              <w:spacing w:before="60" w:after="60"/>
              <w:jc w:val="center"/>
              <w:rPr>
                <w:rFonts w:cs="Calibri"/>
                <w:color w:val="000000"/>
                <w:sz w:val="14"/>
                <w:szCs w:val="14"/>
              </w:rPr>
            </w:pPr>
            <w:r w:rsidRPr="005D1FA9">
              <w:rPr>
                <w:rFonts w:ascii="Calibri" w:hAnsi="Calibri" w:cs="Calibri"/>
                <w:color w:val="000000"/>
                <w:sz w:val="14"/>
                <w:szCs w:val="14"/>
              </w:rPr>
              <w:t> </w:t>
            </w:r>
          </w:p>
        </w:tc>
        <w:tc>
          <w:tcPr>
            <w:tcW w:w="651" w:type="dxa"/>
            <w:shd w:val="clear" w:color="auto" w:fill="auto"/>
            <w:vAlign w:val="bottom"/>
          </w:tcPr>
          <w:p w14:paraId="310BE2B8" w14:textId="77777777" w:rsidR="00C867CC" w:rsidRPr="005D1FA9" w:rsidRDefault="00C867CC" w:rsidP="00447F49">
            <w:pPr>
              <w:keepNext/>
              <w:keepLines/>
              <w:tabs>
                <w:tab w:val="decimal" w:pos="256"/>
              </w:tabs>
              <w:spacing w:before="60" w:after="60"/>
              <w:jc w:val="center"/>
              <w:rPr>
                <w:rFonts w:cs="Calibri"/>
                <w:color w:val="000000"/>
                <w:sz w:val="14"/>
                <w:szCs w:val="14"/>
              </w:rPr>
            </w:pPr>
            <w:r w:rsidRPr="005D1FA9">
              <w:rPr>
                <w:rFonts w:ascii="Calibri" w:hAnsi="Calibri" w:cs="Calibri"/>
                <w:color w:val="000000"/>
                <w:sz w:val="14"/>
                <w:szCs w:val="14"/>
              </w:rPr>
              <w:t> </w:t>
            </w:r>
          </w:p>
        </w:tc>
        <w:tc>
          <w:tcPr>
            <w:tcW w:w="666" w:type="dxa"/>
            <w:shd w:val="clear" w:color="auto" w:fill="auto"/>
            <w:vAlign w:val="bottom"/>
          </w:tcPr>
          <w:p w14:paraId="30058389" w14:textId="77777777" w:rsidR="00C867CC" w:rsidRPr="005D1FA9" w:rsidRDefault="00C867CC" w:rsidP="00447F49">
            <w:pPr>
              <w:keepNext/>
              <w:keepLines/>
              <w:tabs>
                <w:tab w:val="decimal" w:pos="256"/>
              </w:tabs>
              <w:spacing w:before="60" w:after="60"/>
              <w:jc w:val="center"/>
              <w:rPr>
                <w:rFonts w:cs="Calibri"/>
                <w:color w:val="000000"/>
                <w:sz w:val="14"/>
                <w:szCs w:val="14"/>
              </w:rPr>
            </w:pPr>
            <w:r w:rsidRPr="005D1FA9">
              <w:rPr>
                <w:rFonts w:ascii="Calibri" w:hAnsi="Calibri" w:cs="Calibri"/>
                <w:color w:val="000000"/>
                <w:sz w:val="14"/>
                <w:szCs w:val="14"/>
              </w:rPr>
              <w:t> </w:t>
            </w:r>
          </w:p>
        </w:tc>
        <w:tc>
          <w:tcPr>
            <w:tcW w:w="667" w:type="dxa"/>
            <w:shd w:val="clear" w:color="auto" w:fill="auto"/>
            <w:vAlign w:val="bottom"/>
          </w:tcPr>
          <w:p w14:paraId="5E93FEAD" w14:textId="77777777" w:rsidR="00C867CC" w:rsidRPr="005D1FA9" w:rsidRDefault="00C867CC" w:rsidP="00447F49">
            <w:pPr>
              <w:keepNext/>
              <w:keepLines/>
              <w:tabs>
                <w:tab w:val="decimal" w:pos="256"/>
              </w:tabs>
              <w:spacing w:before="60" w:after="60"/>
              <w:jc w:val="center"/>
              <w:rPr>
                <w:rFonts w:cs="Calibri"/>
                <w:color w:val="000000"/>
                <w:sz w:val="14"/>
                <w:szCs w:val="14"/>
              </w:rPr>
            </w:pPr>
            <w:r w:rsidRPr="005D1FA9">
              <w:rPr>
                <w:rFonts w:ascii="Calibri" w:hAnsi="Calibri" w:cs="Calibri"/>
                <w:color w:val="000000"/>
                <w:sz w:val="14"/>
                <w:szCs w:val="14"/>
              </w:rPr>
              <w:t> </w:t>
            </w:r>
          </w:p>
        </w:tc>
        <w:tc>
          <w:tcPr>
            <w:tcW w:w="1134" w:type="dxa"/>
            <w:shd w:val="clear" w:color="auto" w:fill="auto"/>
            <w:vAlign w:val="bottom"/>
          </w:tcPr>
          <w:p w14:paraId="6E9E1FDE" w14:textId="77777777" w:rsidR="00C867CC" w:rsidRPr="005D1FA9" w:rsidRDefault="00C867CC" w:rsidP="00447F49">
            <w:pPr>
              <w:keepNext/>
              <w:keepLines/>
              <w:tabs>
                <w:tab w:val="decimal" w:pos="256"/>
              </w:tabs>
              <w:spacing w:before="60" w:after="60"/>
              <w:jc w:val="center"/>
              <w:rPr>
                <w:rFonts w:cs="Calibri"/>
                <w:color w:val="000000"/>
                <w:sz w:val="14"/>
                <w:szCs w:val="14"/>
              </w:rPr>
            </w:pPr>
            <w:r w:rsidRPr="005D1FA9">
              <w:rPr>
                <w:rFonts w:ascii="Calibri" w:hAnsi="Calibri" w:cs="Calibri"/>
                <w:color w:val="000000"/>
                <w:sz w:val="14"/>
                <w:szCs w:val="14"/>
              </w:rPr>
              <w:t> </w:t>
            </w:r>
          </w:p>
        </w:tc>
        <w:tc>
          <w:tcPr>
            <w:tcW w:w="851" w:type="dxa"/>
            <w:shd w:val="clear" w:color="auto" w:fill="auto"/>
            <w:vAlign w:val="bottom"/>
          </w:tcPr>
          <w:p w14:paraId="43396C81" w14:textId="77777777" w:rsidR="00C867CC" w:rsidRPr="005D1FA9" w:rsidRDefault="00C867CC" w:rsidP="00447F49">
            <w:pPr>
              <w:keepNext/>
              <w:keepLines/>
              <w:tabs>
                <w:tab w:val="decimal" w:pos="256"/>
              </w:tabs>
              <w:spacing w:before="60" w:after="60"/>
              <w:jc w:val="center"/>
              <w:rPr>
                <w:rFonts w:cs="Calibri"/>
                <w:color w:val="000000"/>
                <w:sz w:val="14"/>
                <w:szCs w:val="14"/>
              </w:rPr>
            </w:pPr>
            <w:r w:rsidRPr="005D1FA9">
              <w:rPr>
                <w:rFonts w:ascii="Calibri" w:hAnsi="Calibri" w:cs="Calibri"/>
                <w:color w:val="000000"/>
                <w:sz w:val="14"/>
                <w:szCs w:val="14"/>
              </w:rPr>
              <w:t> </w:t>
            </w:r>
          </w:p>
        </w:tc>
        <w:tc>
          <w:tcPr>
            <w:tcW w:w="1134" w:type="dxa"/>
            <w:shd w:val="clear" w:color="auto" w:fill="auto"/>
            <w:vAlign w:val="bottom"/>
          </w:tcPr>
          <w:p w14:paraId="0D045739" w14:textId="77777777" w:rsidR="00C867CC" w:rsidRPr="005D1FA9" w:rsidRDefault="00C867CC" w:rsidP="00447F49">
            <w:pPr>
              <w:keepNext/>
              <w:keepLines/>
              <w:tabs>
                <w:tab w:val="decimal" w:pos="256"/>
              </w:tabs>
              <w:spacing w:before="60" w:after="60"/>
              <w:jc w:val="center"/>
              <w:rPr>
                <w:rFonts w:cs="Calibri"/>
                <w:color w:val="000000"/>
                <w:sz w:val="14"/>
                <w:szCs w:val="14"/>
              </w:rPr>
            </w:pPr>
            <w:r w:rsidRPr="005D1FA9">
              <w:rPr>
                <w:rFonts w:ascii="Calibri" w:hAnsi="Calibri" w:cs="Calibri"/>
                <w:color w:val="000000"/>
                <w:sz w:val="14"/>
                <w:szCs w:val="14"/>
              </w:rPr>
              <w:t> </w:t>
            </w:r>
          </w:p>
        </w:tc>
        <w:tc>
          <w:tcPr>
            <w:tcW w:w="921" w:type="dxa"/>
            <w:shd w:val="clear" w:color="auto" w:fill="auto"/>
            <w:vAlign w:val="bottom"/>
          </w:tcPr>
          <w:p w14:paraId="7A92EEAF" w14:textId="77777777" w:rsidR="00C867CC" w:rsidRPr="005D1FA9" w:rsidRDefault="00C867CC" w:rsidP="00447F49">
            <w:pPr>
              <w:keepNext/>
              <w:keepLines/>
              <w:tabs>
                <w:tab w:val="decimal" w:pos="256"/>
              </w:tabs>
              <w:spacing w:before="60" w:after="60"/>
              <w:jc w:val="center"/>
              <w:rPr>
                <w:rFonts w:cs="Calibri"/>
                <w:color w:val="000000"/>
                <w:sz w:val="14"/>
                <w:szCs w:val="14"/>
              </w:rPr>
            </w:pPr>
            <w:r w:rsidRPr="005D1FA9">
              <w:rPr>
                <w:rFonts w:ascii="Calibri" w:hAnsi="Calibri" w:cs="Calibri"/>
                <w:color w:val="000000"/>
                <w:sz w:val="14"/>
                <w:szCs w:val="14"/>
              </w:rPr>
              <w:t> </w:t>
            </w:r>
          </w:p>
        </w:tc>
      </w:tr>
      <w:tr w:rsidR="00C867CC" w:rsidRPr="006B6DF2" w14:paraId="6424CE83" w14:textId="77777777" w:rsidTr="0067450B">
        <w:tc>
          <w:tcPr>
            <w:tcW w:w="1347" w:type="dxa"/>
            <w:shd w:val="clear" w:color="auto" w:fill="auto"/>
            <w:vAlign w:val="bottom"/>
          </w:tcPr>
          <w:p w14:paraId="137A7C79" w14:textId="77777777" w:rsidR="00C867CC" w:rsidRPr="008F735E" w:rsidRDefault="00C867CC" w:rsidP="00447F49">
            <w:pPr>
              <w:keepNext/>
              <w:keepLines/>
              <w:tabs>
                <w:tab w:val="left" w:pos="106"/>
              </w:tabs>
              <w:spacing w:before="60" w:after="60"/>
              <w:rPr>
                <w:b/>
                <w:bCs/>
                <w:sz w:val="14"/>
                <w:szCs w:val="14"/>
              </w:rPr>
            </w:pPr>
            <w:r w:rsidRPr="008F735E">
              <w:rPr>
                <w:sz w:val="14"/>
                <w:szCs w:val="14"/>
              </w:rPr>
              <w:tab/>
            </w:r>
            <w:r>
              <w:rPr>
                <w:sz w:val="14"/>
                <w:szCs w:val="14"/>
              </w:rPr>
              <w:t>Inflation = 0%</w:t>
            </w:r>
          </w:p>
        </w:tc>
        <w:tc>
          <w:tcPr>
            <w:tcW w:w="992" w:type="dxa"/>
            <w:shd w:val="clear" w:color="auto" w:fill="auto"/>
            <w:vAlign w:val="bottom"/>
          </w:tcPr>
          <w:p w14:paraId="5D05FBA8"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5.9%</w:t>
            </w:r>
          </w:p>
        </w:tc>
        <w:tc>
          <w:tcPr>
            <w:tcW w:w="737" w:type="dxa"/>
            <w:shd w:val="clear" w:color="auto" w:fill="auto"/>
            <w:vAlign w:val="bottom"/>
          </w:tcPr>
          <w:p w14:paraId="499443BB"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2.0%</w:t>
            </w:r>
          </w:p>
        </w:tc>
        <w:tc>
          <w:tcPr>
            <w:tcW w:w="681" w:type="dxa"/>
            <w:shd w:val="clear" w:color="auto" w:fill="auto"/>
            <w:vAlign w:val="bottom"/>
          </w:tcPr>
          <w:p w14:paraId="57F745C2"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2.0%</w:t>
            </w:r>
          </w:p>
        </w:tc>
        <w:tc>
          <w:tcPr>
            <w:tcW w:w="651" w:type="dxa"/>
            <w:shd w:val="clear" w:color="auto" w:fill="auto"/>
            <w:vAlign w:val="bottom"/>
          </w:tcPr>
          <w:p w14:paraId="443C01BD"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2.0%</w:t>
            </w:r>
          </w:p>
        </w:tc>
        <w:tc>
          <w:tcPr>
            <w:tcW w:w="666" w:type="dxa"/>
            <w:shd w:val="clear" w:color="auto" w:fill="auto"/>
            <w:vAlign w:val="bottom"/>
          </w:tcPr>
          <w:p w14:paraId="4D1B7678"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2.0%</w:t>
            </w:r>
          </w:p>
        </w:tc>
        <w:tc>
          <w:tcPr>
            <w:tcW w:w="667" w:type="dxa"/>
            <w:shd w:val="clear" w:color="auto" w:fill="auto"/>
            <w:vAlign w:val="bottom"/>
          </w:tcPr>
          <w:p w14:paraId="319CA606"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2.0%</w:t>
            </w:r>
          </w:p>
        </w:tc>
        <w:tc>
          <w:tcPr>
            <w:tcW w:w="1134" w:type="dxa"/>
            <w:shd w:val="clear" w:color="auto" w:fill="auto"/>
            <w:vAlign w:val="bottom"/>
          </w:tcPr>
          <w:p w14:paraId="6199F225"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2.0%</w:t>
            </w:r>
          </w:p>
        </w:tc>
        <w:tc>
          <w:tcPr>
            <w:tcW w:w="851" w:type="dxa"/>
            <w:shd w:val="clear" w:color="auto" w:fill="auto"/>
            <w:vAlign w:val="bottom"/>
          </w:tcPr>
          <w:p w14:paraId="69EB5798"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2.0%</w:t>
            </w:r>
          </w:p>
        </w:tc>
        <w:tc>
          <w:tcPr>
            <w:tcW w:w="1134" w:type="dxa"/>
            <w:shd w:val="clear" w:color="auto" w:fill="auto"/>
            <w:vAlign w:val="bottom"/>
          </w:tcPr>
          <w:p w14:paraId="048C607A"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-8.5%</w:t>
            </w:r>
          </w:p>
        </w:tc>
        <w:tc>
          <w:tcPr>
            <w:tcW w:w="921" w:type="dxa"/>
            <w:shd w:val="clear" w:color="auto" w:fill="auto"/>
            <w:vAlign w:val="bottom"/>
          </w:tcPr>
          <w:p w14:paraId="185DDE45"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-46.3%</w:t>
            </w:r>
          </w:p>
        </w:tc>
      </w:tr>
      <w:tr w:rsidR="00C867CC" w:rsidRPr="006B6DF2" w14:paraId="384FF3C9" w14:textId="77777777" w:rsidTr="0067450B">
        <w:tc>
          <w:tcPr>
            <w:tcW w:w="1347" w:type="dxa"/>
            <w:shd w:val="clear" w:color="auto" w:fill="auto"/>
            <w:vAlign w:val="bottom"/>
          </w:tcPr>
          <w:p w14:paraId="7313626F" w14:textId="77777777" w:rsidR="00C867CC" w:rsidRPr="008F735E" w:rsidRDefault="00C867CC" w:rsidP="00447F49">
            <w:pPr>
              <w:keepNext/>
              <w:keepLines/>
              <w:tabs>
                <w:tab w:val="left" w:pos="106"/>
              </w:tabs>
              <w:spacing w:before="60" w:after="60"/>
              <w:rPr>
                <w:sz w:val="14"/>
                <w:szCs w:val="14"/>
              </w:rPr>
            </w:pPr>
            <w:r w:rsidRPr="008F735E">
              <w:rPr>
                <w:sz w:val="14"/>
                <w:szCs w:val="14"/>
              </w:rPr>
              <w:tab/>
            </w:r>
            <w:r>
              <w:rPr>
                <w:sz w:val="14"/>
                <w:szCs w:val="14"/>
              </w:rPr>
              <w:t>Inflation = 2%</w:t>
            </w:r>
          </w:p>
        </w:tc>
        <w:tc>
          <w:tcPr>
            <w:tcW w:w="992" w:type="dxa"/>
            <w:shd w:val="clear" w:color="auto" w:fill="auto"/>
            <w:vAlign w:val="bottom"/>
          </w:tcPr>
          <w:p w14:paraId="49B43D47"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-6.2%</w:t>
            </w:r>
          </w:p>
        </w:tc>
        <w:tc>
          <w:tcPr>
            <w:tcW w:w="737" w:type="dxa"/>
            <w:shd w:val="clear" w:color="auto" w:fill="auto"/>
            <w:vAlign w:val="bottom"/>
          </w:tcPr>
          <w:p w14:paraId="229F9780"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2.7%</w:t>
            </w:r>
          </w:p>
        </w:tc>
        <w:tc>
          <w:tcPr>
            <w:tcW w:w="681" w:type="dxa"/>
            <w:shd w:val="clear" w:color="auto" w:fill="auto"/>
            <w:vAlign w:val="bottom"/>
          </w:tcPr>
          <w:p w14:paraId="5F83C0A5"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1.9%</w:t>
            </w:r>
          </w:p>
        </w:tc>
        <w:tc>
          <w:tcPr>
            <w:tcW w:w="651" w:type="dxa"/>
            <w:shd w:val="clear" w:color="auto" w:fill="auto"/>
            <w:vAlign w:val="bottom"/>
          </w:tcPr>
          <w:p w14:paraId="5C826E27"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-3.0%</w:t>
            </w:r>
          </w:p>
        </w:tc>
        <w:tc>
          <w:tcPr>
            <w:tcW w:w="666" w:type="dxa"/>
            <w:shd w:val="clear" w:color="auto" w:fill="auto"/>
            <w:vAlign w:val="bottom"/>
          </w:tcPr>
          <w:p w14:paraId="12C8C3CF"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-8.0%</w:t>
            </w:r>
          </w:p>
        </w:tc>
        <w:tc>
          <w:tcPr>
            <w:tcW w:w="667" w:type="dxa"/>
            <w:shd w:val="clear" w:color="auto" w:fill="auto"/>
            <w:vAlign w:val="bottom"/>
          </w:tcPr>
          <w:p w14:paraId="3B0C966B"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-11.9%</w:t>
            </w:r>
          </w:p>
        </w:tc>
        <w:tc>
          <w:tcPr>
            <w:tcW w:w="1134" w:type="dxa"/>
            <w:shd w:val="clear" w:color="auto" w:fill="auto"/>
            <w:vAlign w:val="bottom"/>
          </w:tcPr>
          <w:p w14:paraId="6CF365E1"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-19.8%</w:t>
            </w:r>
          </w:p>
        </w:tc>
        <w:tc>
          <w:tcPr>
            <w:tcW w:w="851" w:type="dxa"/>
            <w:shd w:val="clear" w:color="auto" w:fill="auto"/>
            <w:vAlign w:val="bottom"/>
          </w:tcPr>
          <w:p w14:paraId="50984EDD"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2.7%</w:t>
            </w:r>
          </w:p>
        </w:tc>
        <w:tc>
          <w:tcPr>
            <w:tcW w:w="1134" w:type="dxa"/>
            <w:shd w:val="clear" w:color="auto" w:fill="auto"/>
            <w:vAlign w:val="bottom"/>
          </w:tcPr>
          <w:p w14:paraId="7E16644D"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-35.8%</w:t>
            </w:r>
          </w:p>
        </w:tc>
        <w:tc>
          <w:tcPr>
            <w:tcW w:w="921" w:type="dxa"/>
            <w:shd w:val="clear" w:color="auto" w:fill="auto"/>
            <w:vAlign w:val="bottom"/>
          </w:tcPr>
          <w:p w14:paraId="3C12CD04" w14:textId="77777777" w:rsidR="00C867CC" w:rsidRPr="005D1FA9" w:rsidRDefault="00C867CC" w:rsidP="00447F49">
            <w:pPr>
              <w:keepNext/>
              <w:keepLines/>
              <w:tabs>
                <w:tab w:val="decimal" w:pos="256"/>
              </w:tabs>
              <w:spacing w:before="60" w:after="60"/>
              <w:jc w:val="center"/>
              <w:rPr>
                <w:sz w:val="14"/>
                <w:szCs w:val="14"/>
              </w:rPr>
            </w:pPr>
            <w:r w:rsidRPr="005D1FA9">
              <w:rPr>
                <w:rFonts w:cs="Calibri"/>
                <w:color w:val="000000"/>
                <w:sz w:val="14"/>
                <w:szCs w:val="14"/>
              </w:rPr>
              <w:t>-78.8%</w:t>
            </w:r>
          </w:p>
        </w:tc>
      </w:tr>
    </w:tbl>
    <w:p w14:paraId="046CC33A" w14:textId="77777777" w:rsidR="00FA25CD" w:rsidRPr="00B52444" w:rsidRDefault="00FA25CD" w:rsidP="00B52444">
      <w:pPr>
        <w:spacing w:before="0"/>
      </w:pPr>
    </w:p>
    <w:p w14:paraId="4C89C998" w14:textId="6F8CB79C" w:rsidR="00911706" w:rsidRPr="0067053F" w:rsidRDefault="00911706" w:rsidP="00923C82">
      <w:pPr>
        <w:pStyle w:val="NumberedParagraph"/>
      </w:pPr>
      <w:r w:rsidRPr="0067053F">
        <w:t>We draw attention to the following points:</w:t>
      </w:r>
    </w:p>
    <w:p w14:paraId="59FC7018" w14:textId="0CFFEB99" w:rsidR="00E26D24" w:rsidRDefault="00BA1F30" w:rsidP="008C3DFF">
      <w:pPr>
        <w:pStyle w:val="NumberedParagraph-BulletL1"/>
      </w:pPr>
      <w:r>
        <w:t>In cases where economic depreciation is deductible or for inventories, EMTRs would be 2.0%</w:t>
      </w:r>
      <w:r w:rsidR="00223290">
        <w:t xml:space="preserve"> in the absence of inflation. This is, of course, the rate of AIL</w:t>
      </w:r>
      <w:r w:rsidR="00F93913">
        <w:t>,</w:t>
      </w:r>
      <w:r w:rsidR="00223290">
        <w:t xml:space="preserve"> which would be</w:t>
      </w:r>
      <w:r w:rsidR="009A2AF4">
        <w:t xml:space="preserve"> pushing up the domestic real (and nominal) interest rate. This would </w:t>
      </w:r>
      <w:r w:rsidR="00697D21">
        <w:t>be true whether the real interest rate w</w:t>
      </w:r>
      <w:r w:rsidR="006E0E70">
        <w:t>as</w:t>
      </w:r>
      <w:r w:rsidR="00697D21">
        <w:t xml:space="preserve"> 3% or 5%. </w:t>
      </w:r>
      <w:r w:rsidR="00CC4F68">
        <w:t>EMTRs would be lower for appreciating assets or assets where capital expenditure can be expensed as these are being taxed concessionally. EMTRs would be somewhat higher</w:t>
      </w:r>
      <w:r w:rsidR="00E26D24">
        <w:t xml:space="preserve"> for commercial and industrial buildings</w:t>
      </w:r>
      <w:r w:rsidR="00616CBF">
        <w:t>,</w:t>
      </w:r>
      <w:r w:rsidR="00E26D24">
        <w:t xml:space="preserve"> where it is being assumed that tax depreciation is slightly lower than economic depreciation.</w:t>
      </w:r>
    </w:p>
    <w:p w14:paraId="40956AF0" w14:textId="50FE053A" w:rsidR="00273995" w:rsidRDefault="00273995" w:rsidP="008C3DFF">
      <w:pPr>
        <w:pStyle w:val="NumberedParagraph-BulletL1"/>
      </w:pPr>
      <w:r>
        <w:t>Unlike the case of companies with marginal foreign share</w:t>
      </w:r>
      <w:r w:rsidR="00C04913">
        <w:t>holders, there would be no cases of very high EMTRs</w:t>
      </w:r>
      <w:r w:rsidR="00565C28">
        <w:t xml:space="preserve">. With a world real interest rate of 3%, the highest EMTR is </w:t>
      </w:r>
      <w:r w:rsidR="003C2C52">
        <w:t>7.2% for commercial and industrial buildings.</w:t>
      </w:r>
    </w:p>
    <w:p w14:paraId="09EA7A15" w14:textId="66C4FFBA" w:rsidR="00911706" w:rsidRDefault="00355ACE" w:rsidP="008C3DFF">
      <w:pPr>
        <w:pStyle w:val="NumberedParagraph-BulletL1"/>
      </w:pPr>
      <w:r>
        <w:t>The impact of small a</w:t>
      </w:r>
      <w:r w:rsidR="007B0084">
        <w:t xml:space="preserve">mounts of inflation is similar to what we found earlier for </w:t>
      </w:r>
      <w:r w:rsidR="008F4C57">
        <w:t xml:space="preserve">100% debt-financed investment by </w:t>
      </w:r>
      <w:r w:rsidR="007B0084">
        <w:t>domestic companies with marginal foreign shareho</w:t>
      </w:r>
      <w:r w:rsidR="00273995">
        <w:t xml:space="preserve">lders. </w:t>
      </w:r>
      <w:r w:rsidR="00460CC0">
        <w:t>This is because</w:t>
      </w:r>
      <w:r w:rsidR="004F1AB4">
        <w:t>,</w:t>
      </w:r>
      <w:r w:rsidR="00460CC0">
        <w:t xml:space="preserve"> whether investment is debt- or equity-financed, the opportunity cost of investing is the after-tax real interest rate. </w:t>
      </w:r>
      <w:r w:rsidR="00185C9C">
        <w:t>Inflation can increase EMTRs slightly for very short-lived PME and for inventories. Its major impact</w:t>
      </w:r>
      <w:r w:rsidR="004F1AB4">
        <w:t>,</w:t>
      </w:r>
      <w:r w:rsidR="00185C9C">
        <w:t xml:space="preserve"> though</w:t>
      </w:r>
      <w:r w:rsidR="004F1AB4">
        <w:t>,</w:t>
      </w:r>
      <w:r w:rsidR="00185C9C">
        <w:t xml:space="preserve"> is to make EMTRs more negative for concessionally taxed assets.</w:t>
      </w:r>
    </w:p>
    <w:p w14:paraId="5B43B955" w14:textId="5F05B72E" w:rsidR="00911706" w:rsidRDefault="00911706" w:rsidP="008C3DFF">
      <w:pPr>
        <w:pStyle w:val="NumberedParagraph-BulletL1"/>
      </w:pPr>
      <w:r w:rsidRPr="0067053F">
        <w:t>The negative EMTRs that arise for many assets are, to a large extent, the consequences of the impacts of inflation and an unindexed tax system</w:t>
      </w:r>
      <w:r w:rsidR="006A415E">
        <w:t xml:space="preserve"> in combination with the fact that some assets (such as those for which capital expenditure can be expensed) are conc</w:t>
      </w:r>
      <w:r w:rsidR="00D6610E">
        <w:t>essionally taxed to start off with</w:t>
      </w:r>
      <w:r w:rsidRPr="0067053F">
        <w:t>.</w:t>
      </w:r>
    </w:p>
    <w:p w14:paraId="5BCED7B6" w14:textId="0EB23272" w:rsidR="00A9468E" w:rsidRDefault="00771780" w:rsidP="00FB0C91">
      <w:pPr>
        <w:pStyle w:val="NumberedParagraph-BulletL1"/>
        <w:spacing w:before="200" w:after="200"/>
      </w:pPr>
      <w:r>
        <w:t xml:space="preserve">It should be noted that the fact that EMTRs are negative is because the (risk adjusted) cost of capital ends up being less than the real interest rate. It does not mean that those who invest their own capital in a </w:t>
      </w:r>
      <w:r>
        <w:lastRenderedPageBreak/>
        <w:t>business will pay negative amounts of tax. All that it is saying is they end up paying less tax than they would if they were earning interest. Another valid question is whether the tax impost on other forms of saving such as interest-bearing securities is appropriate.</w:t>
      </w:r>
      <w:r>
        <w:rPr>
          <w:rStyle w:val="FootnoteReference"/>
        </w:rPr>
        <w:footnoteReference w:id="24"/>
      </w:r>
    </w:p>
    <w:p w14:paraId="4C82C4F6" w14:textId="60859C19" w:rsidR="000E6939" w:rsidRDefault="000E6939" w:rsidP="00AE7891">
      <w:pPr>
        <w:pStyle w:val="NumberedParagraph-BulletL1"/>
        <w:spacing w:after="200"/>
      </w:pPr>
      <w:r>
        <w:t>Standard arguments in favour of</w:t>
      </w:r>
      <w:r w:rsidR="00F50BD2">
        <w:t xml:space="preserve"> reducing high EMTRs look weaker for domestic SMEs without foreign shareholders than for</w:t>
      </w:r>
      <w:r w:rsidR="008A730F">
        <w:t xml:space="preserve"> companies with marginal foreign shareholders. </w:t>
      </w:r>
      <w:r w:rsidR="00435F4C">
        <w:t>This is because EMTRs tend to be much lower for these firms.</w:t>
      </w:r>
    </w:p>
    <w:p w14:paraId="34AFB8AB" w14:textId="7A2DFC85" w:rsidR="0055182B" w:rsidRDefault="0055182B" w:rsidP="00F14576">
      <w:pPr>
        <w:pStyle w:val="NumberedParagraph"/>
      </w:pPr>
      <w:r w:rsidRPr="0055182B">
        <w:t>In the second variant</w:t>
      </w:r>
      <w:r w:rsidR="00AE7891">
        <w:t>,</w:t>
      </w:r>
      <w:r w:rsidRPr="0055182B">
        <w:t xml:space="preserve"> we consider a company taxed at 28% that retains its profits indefinitely. In this case, we assume that profits are being taxed at 28% as a final tax. We refer to this as the ‘full retention case’.</w:t>
      </w:r>
    </w:p>
    <w:p w14:paraId="0A55578E" w14:textId="4ACDECC9" w:rsidR="007A782D" w:rsidRDefault="007856A0" w:rsidP="00456DCF">
      <w:pPr>
        <w:pStyle w:val="Caption"/>
        <w:rPr>
          <w:noProof/>
        </w:rPr>
      </w:pPr>
      <w:r w:rsidRPr="00F14576">
        <w:t>Table A2.9: Costs of capital and EMTRs for domestic SMEs with</w:t>
      </w:r>
      <w:r>
        <w:t>out foreign marginal shareholders,</w:t>
      </w:r>
      <w:r w:rsidRPr="00F14576">
        <w:t xml:space="preserve"> full </w:t>
      </w:r>
      <w:r>
        <w:t>reten</w:t>
      </w:r>
      <w:r w:rsidRPr="00F14576">
        <w:t>tion, t = 28%, AIL = 2%</w:t>
      </w:r>
    </w:p>
    <w:tbl>
      <w:tblPr>
        <w:tblStyle w:val="TableGrid"/>
        <w:tblW w:w="9781" w:type="dxa"/>
        <w:tblInd w:w="-50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28" w:type="dxa"/>
          <w:right w:w="28" w:type="dxa"/>
        </w:tblCellMar>
        <w:tblLook w:val="04A0" w:firstRow="1" w:lastRow="0" w:firstColumn="1" w:lastColumn="0" w:noHBand="0" w:noVBand="1"/>
      </w:tblPr>
      <w:tblGrid>
        <w:gridCol w:w="1347"/>
        <w:gridCol w:w="992"/>
        <w:gridCol w:w="737"/>
        <w:gridCol w:w="681"/>
        <w:gridCol w:w="651"/>
        <w:gridCol w:w="666"/>
        <w:gridCol w:w="667"/>
        <w:gridCol w:w="1134"/>
        <w:gridCol w:w="851"/>
        <w:gridCol w:w="1134"/>
        <w:gridCol w:w="921"/>
      </w:tblGrid>
      <w:tr w:rsidR="00456DCF" w:rsidRPr="008F735E" w14:paraId="13E5408C" w14:textId="77777777" w:rsidTr="0067450B">
        <w:trPr>
          <w:tblHeader/>
        </w:trPr>
        <w:tc>
          <w:tcPr>
            <w:tcW w:w="1347" w:type="dxa"/>
            <w:shd w:val="clear" w:color="auto" w:fill="232E36"/>
          </w:tcPr>
          <w:p w14:paraId="4627012D" w14:textId="77777777" w:rsidR="00456DCF" w:rsidRPr="008F735E" w:rsidRDefault="00456DCF" w:rsidP="00447F49">
            <w:pPr>
              <w:keepNext/>
              <w:keepLines/>
              <w:spacing w:before="120" w:after="120"/>
              <w:rPr>
                <w:color w:val="FFFFFF" w:themeColor="background1"/>
                <w:sz w:val="14"/>
                <w:szCs w:val="14"/>
              </w:rPr>
            </w:pPr>
          </w:p>
        </w:tc>
        <w:tc>
          <w:tcPr>
            <w:tcW w:w="992" w:type="dxa"/>
            <w:shd w:val="clear" w:color="auto" w:fill="232E36"/>
          </w:tcPr>
          <w:p w14:paraId="6164E8AC" w14:textId="77777777" w:rsidR="00456DCF" w:rsidRPr="008F735E" w:rsidRDefault="00456DCF" w:rsidP="00447F49">
            <w:pPr>
              <w:keepNext/>
              <w:keepLines/>
              <w:spacing w:before="120" w:after="120"/>
              <w:jc w:val="center"/>
              <w:rPr>
                <w:b/>
                <w:bCs/>
                <w:color w:val="FFFFFF" w:themeColor="background1"/>
                <w:sz w:val="14"/>
                <w:szCs w:val="14"/>
              </w:rPr>
            </w:pPr>
            <w:r w:rsidRPr="008F735E">
              <w:rPr>
                <w:b/>
                <w:bCs/>
                <w:color w:val="FFFFFF" w:themeColor="background1"/>
                <w:sz w:val="14"/>
                <w:szCs w:val="14"/>
              </w:rPr>
              <w:t>Commercial and industrial buildings</w:t>
            </w:r>
          </w:p>
        </w:tc>
        <w:tc>
          <w:tcPr>
            <w:tcW w:w="3402" w:type="dxa"/>
            <w:gridSpan w:val="5"/>
            <w:shd w:val="clear" w:color="auto" w:fill="232E36"/>
          </w:tcPr>
          <w:p w14:paraId="773EF9B4" w14:textId="77777777" w:rsidR="00456DCF" w:rsidRPr="008F735E" w:rsidRDefault="00456DCF" w:rsidP="00447F49">
            <w:pPr>
              <w:keepNext/>
              <w:keepLines/>
              <w:spacing w:before="120" w:after="120"/>
              <w:jc w:val="center"/>
              <w:rPr>
                <w:b/>
                <w:bCs/>
                <w:color w:val="FFFFFF" w:themeColor="background1"/>
                <w:sz w:val="14"/>
                <w:szCs w:val="14"/>
              </w:rPr>
            </w:pPr>
            <w:r w:rsidRPr="008F735E">
              <w:rPr>
                <w:b/>
                <w:bCs/>
                <w:color w:val="FFFFFF" w:themeColor="background1"/>
                <w:sz w:val="14"/>
                <w:szCs w:val="14"/>
              </w:rPr>
              <w:t xml:space="preserve">Plant, </w:t>
            </w:r>
            <w:proofErr w:type="gramStart"/>
            <w:r w:rsidRPr="008F735E">
              <w:rPr>
                <w:b/>
                <w:bCs/>
                <w:color w:val="FFFFFF" w:themeColor="background1"/>
                <w:sz w:val="14"/>
                <w:szCs w:val="14"/>
              </w:rPr>
              <w:t>machinery</w:t>
            </w:r>
            <w:proofErr w:type="gramEnd"/>
            <w:r w:rsidRPr="008F735E">
              <w:rPr>
                <w:b/>
                <w:bCs/>
                <w:color w:val="FFFFFF" w:themeColor="background1"/>
                <w:sz w:val="14"/>
                <w:szCs w:val="14"/>
              </w:rPr>
              <w:t xml:space="preserve"> and equipment</w:t>
            </w:r>
          </w:p>
        </w:tc>
        <w:tc>
          <w:tcPr>
            <w:tcW w:w="1134" w:type="dxa"/>
            <w:shd w:val="clear" w:color="auto" w:fill="232E36"/>
          </w:tcPr>
          <w:p w14:paraId="45FE6BD2" w14:textId="77777777" w:rsidR="00456DCF" w:rsidRPr="008F735E" w:rsidRDefault="00456DCF" w:rsidP="00447F49">
            <w:pPr>
              <w:keepNext/>
              <w:keepLines/>
              <w:spacing w:before="120" w:after="120"/>
              <w:jc w:val="center"/>
              <w:rPr>
                <w:b/>
                <w:bCs/>
                <w:color w:val="FFFFFF" w:themeColor="background1"/>
                <w:sz w:val="14"/>
                <w:szCs w:val="14"/>
              </w:rPr>
            </w:pPr>
            <w:r w:rsidRPr="008F735E">
              <w:rPr>
                <w:b/>
                <w:bCs/>
                <w:color w:val="FFFFFF" w:themeColor="background1"/>
                <w:sz w:val="14"/>
                <w:szCs w:val="14"/>
              </w:rPr>
              <w:t>Zero</w:t>
            </w:r>
            <w:r>
              <w:rPr>
                <w:b/>
                <w:bCs/>
                <w:color w:val="FFFFFF" w:themeColor="background1"/>
                <w:sz w:val="14"/>
                <w:szCs w:val="14"/>
              </w:rPr>
              <w:t>-</w:t>
            </w:r>
            <w:r w:rsidRPr="008F735E">
              <w:rPr>
                <w:b/>
                <w:bCs/>
                <w:color w:val="FFFFFF" w:themeColor="background1"/>
                <w:sz w:val="14"/>
                <w:szCs w:val="14"/>
              </w:rPr>
              <w:t>depreciating assets</w:t>
            </w:r>
          </w:p>
        </w:tc>
        <w:tc>
          <w:tcPr>
            <w:tcW w:w="851" w:type="dxa"/>
            <w:shd w:val="clear" w:color="auto" w:fill="232E36"/>
          </w:tcPr>
          <w:p w14:paraId="4C7B33D3" w14:textId="77777777" w:rsidR="00456DCF" w:rsidRPr="008F735E" w:rsidRDefault="00456DCF" w:rsidP="00447F49">
            <w:pPr>
              <w:keepNext/>
              <w:keepLines/>
              <w:spacing w:before="120" w:after="120"/>
              <w:jc w:val="center"/>
              <w:rPr>
                <w:b/>
                <w:bCs/>
                <w:color w:val="FFFFFF" w:themeColor="background1"/>
                <w:sz w:val="14"/>
                <w:szCs w:val="14"/>
              </w:rPr>
            </w:pPr>
            <w:r w:rsidRPr="008F735E">
              <w:rPr>
                <w:b/>
                <w:bCs/>
                <w:color w:val="FFFFFF" w:themeColor="background1"/>
                <w:sz w:val="14"/>
                <w:szCs w:val="14"/>
              </w:rPr>
              <w:t>Inventory</w:t>
            </w:r>
          </w:p>
        </w:tc>
        <w:tc>
          <w:tcPr>
            <w:tcW w:w="1134" w:type="dxa"/>
            <w:shd w:val="clear" w:color="auto" w:fill="232E36"/>
          </w:tcPr>
          <w:p w14:paraId="2D800C01" w14:textId="77777777" w:rsidR="00456DCF" w:rsidRPr="008F735E" w:rsidRDefault="00456DCF" w:rsidP="00447F49">
            <w:pPr>
              <w:keepNext/>
              <w:keepLines/>
              <w:spacing w:before="120" w:after="120"/>
              <w:jc w:val="center"/>
              <w:rPr>
                <w:b/>
                <w:bCs/>
                <w:color w:val="FFFFFF" w:themeColor="background1"/>
                <w:sz w:val="14"/>
                <w:szCs w:val="14"/>
              </w:rPr>
            </w:pPr>
            <w:r w:rsidRPr="008F735E">
              <w:rPr>
                <w:b/>
                <w:bCs/>
                <w:color w:val="FFFFFF" w:themeColor="background1"/>
                <w:sz w:val="14"/>
                <w:szCs w:val="14"/>
              </w:rPr>
              <w:t>Appreciating assets</w:t>
            </w:r>
          </w:p>
        </w:tc>
        <w:tc>
          <w:tcPr>
            <w:tcW w:w="921" w:type="dxa"/>
            <w:shd w:val="clear" w:color="auto" w:fill="232E36"/>
          </w:tcPr>
          <w:p w14:paraId="245960DA" w14:textId="77777777" w:rsidR="00456DCF" w:rsidRPr="008F735E" w:rsidRDefault="00456DCF" w:rsidP="00447F49">
            <w:pPr>
              <w:keepNext/>
              <w:keepLines/>
              <w:spacing w:before="120" w:after="120"/>
              <w:jc w:val="center"/>
              <w:rPr>
                <w:b/>
                <w:bCs/>
                <w:color w:val="FFFFFF" w:themeColor="background1"/>
                <w:sz w:val="14"/>
                <w:szCs w:val="14"/>
              </w:rPr>
            </w:pPr>
            <w:r w:rsidRPr="008F735E">
              <w:rPr>
                <w:b/>
                <w:bCs/>
                <w:color w:val="FFFFFF" w:themeColor="background1"/>
                <w:sz w:val="14"/>
                <w:szCs w:val="14"/>
              </w:rPr>
              <w:t>Expensing</w:t>
            </w:r>
          </w:p>
        </w:tc>
      </w:tr>
      <w:tr w:rsidR="00456DCF" w:rsidRPr="008F735E" w14:paraId="2FADCB4D" w14:textId="77777777" w:rsidTr="0067450B">
        <w:tc>
          <w:tcPr>
            <w:tcW w:w="1347" w:type="dxa"/>
            <w:shd w:val="clear" w:color="auto" w:fill="auto"/>
            <w:vAlign w:val="bottom"/>
          </w:tcPr>
          <w:p w14:paraId="5CE9FAEC" w14:textId="77777777" w:rsidR="00456DCF" w:rsidRPr="00CF778C" w:rsidRDefault="00456DCF" w:rsidP="00447F49">
            <w:pPr>
              <w:keepNext/>
              <w:keepLines/>
              <w:tabs>
                <w:tab w:val="left" w:pos="106"/>
              </w:tabs>
              <w:spacing w:before="60" w:after="60"/>
              <w:rPr>
                <w:rStyle w:val="Strong"/>
                <w:b w:val="0"/>
                <w:bCs w:val="0"/>
                <w:sz w:val="14"/>
                <w:szCs w:val="14"/>
              </w:rPr>
            </w:pPr>
            <w:r>
              <w:rPr>
                <w:rStyle w:val="Strong"/>
                <w:sz w:val="14"/>
                <w:szCs w:val="14"/>
              </w:rPr>
              <w:t>d</w:t>
            </w:r>
          </w:p>
        </w:tc>
        <w:tc>
          <w:tcPr>
            <w:tcW w:w="992" w:type="dxa"/>
            <w:vAlign w:val="center"/>
          </w:tcPr>
          <w:p w14:paraId="174C1531" w14:textId="77777777" w:rsidR="00456DCF" w:rsidRPr="008F735E" w:rsidRDefault="00456DCF" w:rsidP="00447F49">
            <w:pPr>
              <w:keepNext/>
              <w:keepLines/>
              <w:tabs>
                <w:tab w:val="decimal" w:pos="256"/>
              </w:tabs>
              <w:spacing w:before="60" w:after="60"/>
              <w:jc w:val="center"/>
              <w:rPr>
                <w:sz w:val="14"/>
                <w:szCs w:val="14"/>
              </w:rPr>
            </w:pPr>
            <w:r w:rsidRPr="008F735E">
              <w:rPr>
                <w:sz w:val="14"/>
                <w:szCs w:val="14"/>
              </w:rPr>
              <w:t>2.69%</w:t>
            </w:r>
          </w:p>
        </w:tc>
        <w:tc>
          <w:tcPr>
            <w:tcW w:w="737" w:type="dxa"/>
            <w:vAlign w:val="center"/>
          </w:tcPr>
          <w:p w14:paraId="5CD5AA07" w14:textId="77777777" w:rsidR="00456DCF" w:rsidRPr="008F735E" w:rsidRDefault="00456DCF" w:rsidP="00447F49">
            <w:pPr>
              <w:keepNext/>
              <w:keepLines/>
              <w:tabs>
                <w:tab w:val="decimal" w:pos="256"/>
              </w:tabs>
              <w:spacing w:before="60" w:after="60"/>
              <w:jc w:val="center"/>
              <w:rPr>
                <w:sz w:val="14"/>
                <w:szCs w:val="14"/>
              </w:rPr>
            </w:pPr>
            <w:r w:rsidRPr="008F735E">
              <w:rPr>
                <w:sz w:val="14"/>
                <w:szCs w:val="14"/>
              </w:rPr>
              <w:t>100.00%</w:t>
            </w:r>
          </w:p>
        </w:tc>
        <w:tc>
          <w:tcPr>
            <w:tcW w:w="681" w:type="dxa"/>
            <w:vAlign w:val="center"/>
          </w:tcPr>
          <w:p w14:paraId="0BE8B559" w14:textId="77777777" w:rsidR="00456DCF" w:rsidRPr="008F735E" w:rsidRDefault="00456DCF" w:rsidP="00447F49">
            <w:pPr>
              <w:keepNext/>
              <w:keepLines/>
              <w:tabs>
                <w:tab w:val="decimal" w:pos="256"/>
              </w:tabs>
              <w:spacing w:before="60" w:after="60"/>
              <w:jc w:val="center"/>
              <w:rPr>
                <w:sz w:val="14"/>
                <w:szCs w:val="14"/>
              </w:rPr>
            </w:pPr>
            <w:r w:rsidRPr="008F735E">
              <w:rPr>
                <w:sz w:val="14"/>
                <w:szCs w:val="14"/>
              </w:rPr>
              <w:t>50.00%</w:t>
            </w:r>
          </w:p>
        </w:tc>
        <w:tc>
          <w:tcPr>
            <w:tcW w:w="651" w:type="dxa"/>
            <w:vAlign w:val="center"/>
          </w:tcPr>
          <w:p w14:paraId="7981D2E6" w14:textId="77777777" w:rsidR="00456DCF" w:rsidRPr="008F735E" w:rsidRDefault="00456DCF" w:rsidP="00447F49">
            <w:pPr>
              <w:keepNext/>
              <w:keepLines/>
              <w:tabs>
                <w:tab w:val="decimal" w:pos="256"/>
              </w:tabs>
              <w:spacing w:before="60" w:after="60"/>
              <w:jc w:val="center"/>
              <w:rPr>
                <w:sz w:val="14"/>
                <w:szCs w:val="14"/>
              </w:rPr>
            </w:pPr>
            <w:r w:rsidRPr="008F735E">
              <w:rPr>
                <w:sz w:val="14"/>
                <w:szCs w:val="14"/>
              </w:rPr>
              <w:t>10.00%</w:t>
            </w:r>
          </w:p>
        </w:tc>
        <w:tc>
          <w:tcPr>
            <w:tcW w:w="666" w:type="dxa"/>
            <w:vAlign w:val="center"/>
          </w:tcPr>
          <w:p w14:paraId="0484AAE8" w14:textId="77777777" w:rsidR="00456DCF" w:rsidRPr="008F735E" w:rsidRDefault="00456DCF" w:rsidP="00447F49">
            <w:pPr>
              <w:keepNext/>
              <w:keepLines/>
              <w:tabs>
                <w:tab w:val="decimal" w:pos="256"/>
              </w:tabs>
              <w:spacing w:before="60" w:after="60"/>
              <w:jc w:val="center"/>
              <w:rPr>
                <w:sz w:val="14"/>
                <w:szCs w:val="14"/>
              </w:rPr>
            </w:pPr>
            <w:r w:rsidRPr="008F735E">
              <w:rPr>
                <w:sz w:val="14"/>
                <w:szCs w:val="14"/>
              </w:rPr>
              <w:t>4.00%</w:t>
            </w:r>
          </w:p>
        </w:tc>
        <w:tc>
          <w:tcPr>
            <w:tcW w:w="667" w:type="dxa"/>
            <w:vAlign w:val="center"/>
          </w:tcPr>
          <w:p w14:paraId="709D48BD" w14:textId="77777777" w:rsidR="00456DCF" w:rsidRPr="008F735E" w:rsidRDefault="00456DCF" w:rsidP="00447F49">
            <w:pPr>
              <w:keepNext/>
              <w:keepLines/>
              <w:tabs>
                <w:tab w:val="decimal" w:pos="256"/>
              </w:tabs>
              <w:spacing w:before="60" w:after="60"/>
              <w:jc w:val="center"/>
              <w:rPr>
                <w:sz w:val="14"/>
                <w:szCs w:val="14"/>
              </w:rPr>
            </w:pPr>
            <w:r w:rsidRPr="008F735E">
              <w:rPr>
                <w:sz w:val="14"/>
                <w:szCs w:val="14"/>
              </w:rPr>
              <w:t>2.00%</w:t>
            </w:r>
          </w:p>
        </w:tc>
        <w:tc>
          <w:tcPr>
            <w:tcW w:w="1134" w:type="dxa"/>
            <w:vAlign w:val="center"/>
          </w:tcPr>
          <w:p w14:paraId="5CFC7F48" w14:textId="77777777" w:rsidR="00456DCF" w:rsidRPr="008F735E" w:rsidRDefault="00456DCF" w:rsidP="00447F49">
            <w:pPr>
              <w:keepNext/>
              <w:keepLines/>
              <w:tabs>
                <w:tab w:val="decimal" w:pos="256"/>
              </w:tabs>
              <w:spacing w:before="60" w:after="60"/>
              <w:jc w:val="center"/>
              <w:rPr>
                <w:sz w:val="14"/>
                <w:szCs w:val="14"/>
              </w:rPr>
            </w:pPr>
            <w:r w:rsidRPr="008F735E">
              <w:rPr>
                <w:sz w:val="14"/>
                <w:szCs w:val="14"/>
              </w:rPr>
              <w:t>0.00%</w:t>
            </w:r>
          </w:p>
        </w:tc>
        <w:tc>
          <w:tcPr>
            <w:tcW w:w="851" w:type="dxa"/>
            <w:vAlign w:val="center"/>
          </w:tcPr>
          <w:p w14:paraId="5DABDA7A" w14:textId="77777777" w:rsidR="00456DCF" w:rsidRPr="008F735E" w:rsidRDefault="00456DCF" w:rsidP="00447F49">
            <w:pPr>
              <w:keepNext/>
              <w:keepLines/>
              <w:tabs>
                <w:tab w:val="decimal" w:pos="256"/>
              </w:tabs>
              <w:spacing w:before="60" w:after="60"/>
              <w:jc w:val="center"/>
              <w:rPr>
                <w:sz w:val="14"/>
                <w:szCs w:val="14"/>
              </w:rPr>
            </w:pPr>
          </w:p>
        </w:tc>
        <w:tc>
          <w:tcPr>
            <w:tcW w:w="1134" w:type="dxa"/>
            <w:vAlign w:val="center"/>
          </w:tcPr>
          <w:p w14:paraId="24E954B0" w14:textId="77777777" w:rsidR="00456DCF" w:rsidRPr="008F735E" w:rsidRDefault="00456DCF" w:rsidP="00447F49">
            <w:pPr>
              <w:keepNext/>
              <w:keepLines/>
              <w:tabs>
                <w:tab w:val="decimal" w:pos="256"/>
              </w:tabs>
              <w:spacing w:before="60" w:after="60"/>
              <w:jc w:val="center"/>
              <w:rPr>
                <w:sz w:val="14"/>
                <w:szCs w:val="14"/>
              </w:rPr>
            </w:pPr>
            <w:r w:rsidRPr="008F735E">
              <w:rPr>
                <w:sz w:val="14"/>
                <w:szCs w:val="14"/>
              </w:rPr>
              <w:t>-1.00%</w:t>
            </w:r>
          </w:p>
        </w:tc>
        <w:tc>
          <w:tcPr>
            <w:tcW w:w="921" w:type="dxa"/>
            <w:vAlign w:val="center"/>
          </w:tcPr>
          <w:p w14:paraId="266299AA" w14:textId="77777777" w:rsidR="00456DCF" w:rsidRPr="008F735E" w:rsidRDefault="00456DCF" w:rsidP="00447F49">
            <w:pPr>
              <w:keepNext/>
              <w:keepLines/>
              <w:tabs>
                <w:tab w:val="decimal" w:pos="256"/>
              </w:tabs>
              <w:spacing w:before="60" w:after="60"/>
              <w:jc w:val="center"/>
              <w:rPr>
                <w:sz w:val="14"/>
                <w:szCs w:val="14"/>
              </w:rPr>
            </w:pPr>
          </w:p>
        </w:tc>
      </w:tr>
      <w:tr w:rsidR="00456DCF" w:rsidRPr="008F735E" w14:paraId="6E22ED14" w14:textId="77777777" w:rsidTr="0067450B">
        <w:tc>
          <w:tcPr>
            <w:tcW w:w="1347" w:type="dxa"/>
            <w:shd w:val="clear" w:color="auto" w:fill="auto"/>
            <w:vAlign w:val="bottom"/>
          </w:tcPr>
          <w:p w14:paraId="395D19D2" w14:textId="77777777" w:rsidR="00456DCF" w:rsidRPr="00CF778C" w:rsidRDefault="00456DCF" w:rsidP="00447F49">
            <w:pPr>
              <w:keepNext/>
              <w:keepLines/>
              <w:tabs>
                <w:tab w:val="left" w:pos="106"/>
              </w:tabs>
              <w:spacing w:before="60" w:after="60"/>
              <w:rPr>
                <w:rStyle w:val="Strong"/>
                <w:b w:val="0"/>
                <w:bCs w:val="0"/>
                <w:sz w:val="14"/>
                <w:szCs w:val="14"/>
              </w:rPr>
            </w:pPr>
            <w:r>
              <w:rPr>
                <w:rStyle w:val="Strong"/>
                <w:sz w:val="14"/>
                <w:szCs w:val="14"/>
              </w:rPr>
              <w:t>d*</w:t>
            </w:r>
          </w:p>
        </w:tc>
        <w:tc>
          <w:tcPr>
            <w:tcW w:w="992" w:type="dxa"/>
            <w:vAlign w:val="center"/>
          </w:tcPr>
          <w:p w14:paraId="43B466C1" w14:textId="77777777" w:rsidR="00456DCF" w:rsidRPr="008F735E" w:rsidRDefault="00456DCF" w:rsidP="00447F49">
            <w:pPr>
              <w:keepNext/>
              <w:keepLines/>
              <w:tabs>
                <w:tab w:val="decimal" w:pos="256"/>
              </w:tabs>
              <w:spacing w:before="60" w:after="60"/>
              <w:jc w:val="center"/>
              <w:rPr>
                <w:sz w:val="14"/>
                <w:szCs w:val="14"/>
              </w:rPr>
            </w:pPr>
            <w:r w:rsidRPr="008F735E">
              <w:rPr>
                <w:sz w:val="14"/>
                <w:szCs w:val="14"/>
              </w:rPr>
              <w:t>2.00%</w:t>
            </w:r>
          </w:p>
        </w:tc>
        <w:tc>
          <w:tcPr>
            <w:tcW w:w="737" w:type="dxa"/>
            <w:vAlign w:val="center"/>
          </w:tcPr>
          <w:p w14:paraId="7AD6CF4E" w14:textId="77777777" w:rsidR="00456DCF" w:rsidRPr="008F735E" w:rsidRDefault="00456DCF" w:rsidP="00447F49">
            <w:pPr>
              <w:keepNext/>
              <w:keepLines/>
              <w:tabs>
                <w:tab w:val="decimal" w:pos="256"/>
              </w:tabs>
              <w:spacing w:before="60" w:after="60"/>
              <w:jc w:val="center"/>
              <w:rPr>
                <w:sz w:val="14"/>
                <w:szCs w:val="14"/>
              </w:rPr>
            </w:pPr>
            <w:r w:rsidRPr="008F735E">
              <w:rPr>
                <w:sz w:val="14"/>
                <w:szCs w:val="14"/>
              </w:rPr>
              <w:t>100.00%</w:t>
            </w:r>
          </w:p>
        </w:tc>
        <w:tc>
          <w:tcPr>
            <w:tcW w:w="681" w:type="dxa"/>
            <w:vAlign w:val="center"/>
          </w:tcPr>
          <w:p w14:paraId="1DDBD155" w14:textId="77777777" w:rsidR="00456DCF" w:rsidRPr="008F735E" w:rsidRDefault="00456DCF" w:rsidP="00447F49">
            <w:pPr>
              <w:keepNext/>
              <w:keepLines/>
              <w:tabs>
                <w:tab w:val="decimal" w:pos="256"/>
              </w:tabs>
              <w:spacing w:before="60" w:after="60"/>
              <w:jc w:val="center"/>
              <w:rPr>
                <w:sz w:val="14"/>
                <w:szCs w:val="14"/>
              </w:rPr>
            </w:pPr>
            <w:r w:rsidRPr="008F735E">
              <w:rPr>
                <w:sz w:val="14"/>
                <w:szCs w:val="14"/>
              </w:rPr>
              <w:t>50.00%</w:t>
            </w:r>
          </w:p>
        </w:tc>
        <w:tc>
          <w:tcPr>
            <w:tcW w:w="651" w:type="dxa"/>
            <w:vAlign w:val="center"/>
          </w:tcPr>
          <w:p w14:paraId="14FA763C" w14:textId="77777777" w:rsidR="00456DCF" w:rsidRPr="008F735E" w:rsidRDefault="00456DCF" w:rsidP="00447F49">
            <w:pPr>
              <w:keepNext/>
              <w:keepLines/>
              <w:tabs>
                <w:tab w:val="decimal" w:pos="256"/>
              </w:tabs>
              <w:spacing w:before="60" w:after="60"/>
              <w:jc w:val="center"/>
              <w:rPr>
                <w:sz w:val="14"/>
                <w:szCs w:val="14"/>
              </w:rPr>
            </w:pPr>
            <w:r w:rsidRPr="008F735E">
              <w:rPr>
                <w:sz w:val="14"/>
                <w:szCs w:val="14"/>
              </w:rPr>
              <w:t>10.00%</w:t>
            </w:r>
          </w:p>
        </w:tc>
        <w:tc>
          <w:tcPr>
            <w:tcW w:w="666" w:type="dxa"/>
            <w:vAlign w:val="center"/>
          </w:tcPr>
          <w:p w14:paraId="679692CB" w14:textId="77777777" w:rsidR="00456DCF" w:rsidRPr="008F735E" w:rsidRDefault="00456DCF" w:rsidP="00447F49">
            <w:pPr>
              <w:keepNext/>
              <w:keepLines/>
              <w:tabs>
                <w:tab w:val="decimal" w:pos="256"/>
              </w:tabs>
              <w:spacing w:before="60" w:after="60"/>
              <w:jc w:val="center"/>
              <w:rPr>
                <w:sz w:val="14"/>
                <w:szCs w:val="14"/>
              </w:rPr>
            </w:pPr>
            <w:r w:rsidRPr="008F735E">
              <w:rPr>
                <w:sz w:val="14"/>
                <w:szCs w:val="14"/>
              </w:rPr>
              <w:t>4.00%</w:t>
            </w:r>
          </w:p>
        </w:tc>
        <w:tc>
          <w:tcPr>
            <w:tcW w:w="667" w:type="dxa"/>
            <w:vAlign w:val="center"/>
          </w:tcPr>
          <w:p w14:paraId="168A5C07" w14:textId="77777777" w:rsidR="00456DCF" w:rsidRPr="008F735E" w:rsidRDefault="00456DCF" w:rsidP="00447F49">
            <w:pPr>
              <w:keepNext/>
              <w:keepLines/>
              <w:tabs>
                <w:tab w:val="decimal" w:pos="256"/>
              </w:tabs>
              <w:spacing w:before="60" w:after="60"/>
              <w:jc w:val="center"/>
              <w:rPr>
                <w:sz w:val="14"/>
                <w:szCs w:val="14"/>
              </w:rPr>
            </w:pPr>
            <w:r w:rsidRPr="008F735E">
              <w:rPr>
                <w:sz w:val="14"/>
                <w:szCs w:val="14"/>
              </w:rPr>
              <w:t>2.00%</w:t>
            </w:r>
          </w:p>
        </w:tc>
        <w:tc>
          <w:tcPr>
            <w:tcW w:w="1134" w:type="dxa"/>
            <w:vAlign w:val="center"/>
          </w:tcPr>
          <w:p w14:paraId="54F929B2" w14:textId="77777777" w:rsidR="00456DCF" w:rsidRPr="008F735E" w:rsidRDefault="00456DCF" w:rsidP="00447F49">
            <w:pPr>
              <w:keepNext/>
              <w:keepLines/>
              <w:tabs>
                <w:tab w:val="decimal" w:pos="256"/>
              </w:tabs>
              <w:spacing w:before="60" w:after="60"/>
              <w:jc w:val="center"/>
              <w:rPr>
                <w:sz w:val="14"/>
                <w:szCs w:val="14"/>
              </w:rPr>
            </w:pPr>
            <w:r w:rsidRPr="008F735E">
              <w:rPr>
                <w:sz w:val="14"/>
                <w:szCs w:val="14"/>
              </w:rPr>
              <w:t>0.00%</w:t>
            </w:r>
          </w:p>
        </w:tc>
        <w:tc>
          <w:tcPr>
            <w:tcW w:w="851" w:type="dxa"/>
            <w:vAlign w:val="center"/>
          </w:tcPr>
          <w:p w14:paraId="75C1717F" w14:textId="77777777" w:rsidR="00456DCF" w:rsidRPr="008F735E" w:rsidRDefault="00456DCF" w:rsidP="00447F49">
            <w:pPr>
              <w:keepNext/>
              <w:keepLines/>
              <w:tabs>
                <w:tab w:val="decimal" w:pos="256"/>
              </w:tabs>
              <w:spacing w:before="60" w:after="60"/>
              <w:jc w:val="center"/>
              <w:rPr>
                <w:sz w:val="14"/>
                <w:szCs w:val="14"/>
              </w:rPr>
            </w:pPr>
          </w:p>
        </w:tc>
        <w:tc>
          <w:tcPr>
            <w:tcW w:w="1134" w:type="dxa"/>
            <w:vAlign w:val="center"/>
          </w:tcPr>
          <w:p w14:paraId="192BFB31" w14:textId="77777777" w:rsidR="00456DCF" w:rsidRPr="008F735E" w:rsidRDefault="00456DCF" w:rsidP="00447F49">
            <w:pPr>
              <w:keepNext/>
              <w:keepLines/>
              <w:tabs>
                <w:tab w:val="decimal" w:pos="256"/>
              </w:tabs>
              <w:spacing w:before="60" w:after="60"/>
              <w:jc w:val="center"/>
              <w:rPr>
                <w:sz w:val="14"/>
                <w:szCs w:val="14"/>
              </w:rPr>
            </w:pPr>
            <w:r w:rsidRPr="008F735E">
              <w:rPr>
                <w:sz w:val="14"/>
                <w:szCs w:val="14"/>
              </w:rPr>
              <w:t>0.00%</w:t>
            </w:r>
          </w:p>
        </w:tc>
        <w:tc>
          <w:tcPr>
            <w:tcW w:w="921" w:type="dxa"/>
            <w:vAlign w:val="center"/>
          </w:tcPr>
          <w:p w14:paraId="47504990" w14:textId="77777777" w:rsidR="00456DCF" w:rsidRPr="008F735E" w:rsidRDefault="00456DCF" w:rsidP="00447F49">
            <w:pPr>
              <w:keepNext/>
              <w:keepLines/>
              <w:tabs>
                <w:tab w:val="decimal" w:pos="256"/>
              </w:tabs>
              <w:spacing w:before="60" w:after="60"/>
              <w:jc w:val="center"/>
              <w:rPr>
                <w:sz w:val="14"/>
                <w:szCs w:val="14"/>
              </w:rPr>
            </w:pPr>
          </w:p>
        </w:tc>
      </w:tr>
      <w:tr w:rsidR="00456DCF" w:rsidRPr="008F735E" w14:paraId="76C45CC0" w14:textId="77777777" w:rsidTr="0067450B">
        <w:tc>
          <w:tcPr>
            <w:tcW w:w="1347" w:type="dxa"/>
            <w:shd w:val="clear" w:color="auto" w:fill="auto"/>
            <w:vAlign w:val="bottom"/>
          </w:tcPr>
          <w:p w14:paraId="4CEE1B51" w14:textId="77777777" w:rsidR="00456DCF" w:rsidRDefault="00456DCF" w:rsidP="00447F49">
            <w:pPr>
              <w:keepNext/>
              <w:keepLines/>
              <w:tabs>
                <w:tab w:val="left" w:pos="106"/>
              </w:tabs>
              <w:spacing w:before="60" w:after="60"/>
              <w:rPr>
                <w:b/>
                <w:bCs/>
                <w:sz w:val="14"/>
                <w:szCs w:val="14"/>
              </w:rPr>
            </w:pPr>
            <w:r>
              <w:rPr>
                <w:b/>
                <w:bCs/>
                <w:sz w:val="14"/>
                <w:szCs w:val="14"/>
              </w:rPr>
              <w:t>Costs of capital</w:t>
            </w:r>
          </w:p>
        </w:tc>
        <w:tc>
          <w:tcPr>
            <w:tcW w:w="992" w:type="dxa"/>
            <w:vAlign w:val="center"/>
          </w:tcPr>
          <w:p w14:paraId="659AC06D" w14:textId="77777777" w:rsidR="00456DCF" w:rsidRPr="008F735E" w:rsidRDefault="00456DCF" w:rsidP="00447F49">
            <w:pPr>
              <w:keepNext/>
              <w:keepLines/>
              <w:tabs>
                <w:tab w:val="decimal" w:pos="256"/>
              </w:tabs>
              <w:spacing w:before="60" w:after="60"/>
              <w:jc w:val="center"/>
              <w:rPr>
                <w:sz w:val="14"/>
                <w:szCs w:val="14"/>
              </w:rPr>
            </w:pPr>
          </w:p>
        </w:tc>
        <w:tc>
          <w:tcPr>
            <w:tcW w:w="737" w:type="dxa"/>
            <w:vAlign w:val="center"/>
          </w:tcPr>
          <w:p w14:paraId="7CD4F2CE" w14:textId="77777777" w:rsidR="00456DCF" w:rsidRPr="008F735E" w:rsidRDefault="00456DCF" w:rsidP="00447F49">
            <w:pPr>
              <w:keepNext/>
              <w:keepLines/>
              <w:tabs>
                <w:tab w:val="decimal" w:pos="256"/>
              </w:tabs>
              <w:spacing w:before="60" w:after="60"/>
              <w:jc w:val="center"/>
              <w:rPr>
                <w:sz w:val="14"/>
                <w:szCs w:val="14"/>
              </w:rPr>
            </w:pPr>
          </w:p>
        </w:tc>
        <w:tc>
          <w:tcPr>
            <w:tcW w:w="681" w:type="dxa"/>
            <w:vAlign w:val="center"/>
          </w:tcPr>
          <w:p w14:paraId="1073C78B" w14:textId="77777777" w:rsidR="00456DCF" w:rsidRPr="008F735E" w:rsidRDefault="00456DCF" w:rsidP="00447F49">
            <w:pPr>
              <w:keepNext/>
              <w:keepLines/>
              <w:tabs>
                <w:tab w:val="decimal" w:pos="256"/>
              </w:tabs>
              <w:spacing w:before="60" w:after="60"/>
              <w:jc w:val="center"/>
              <w:rPr>
                <w:sz w:val="14"/>
                <w:szCs w:val="14"/>
              </w:rPr>
            </w:pPr>
          </w:p>
        </w:tc>
        <w:tc>
          <w:tcPr>
            <w:tcW w:w="651" w:type="dxa"/>
            <w:vAlign w:val="center"/>
          </w:tcPr>
          <w:p w14:paraId="44BAD8F7" w14:textId="77777777" w:rsidR="00456DCF" w:rsidRPr="008F735E" w:rsidRDefault="00456DCF" w:rsidP="00447F49">
            <w:pPr>
              <w:keepNext/>
              <w:keepLines/>
              <w:tabs>
                <w:tab w:val="decimal" w:pos="256"/>
              </w:tabs>
              <w:spacing w:before="60" w:after="60"/>
              <w:jc w:val="center"/>
              <w:rPr>
                <w:sz w:val="14"/>
                <w:szCs w:val="14"/>
              </w:rPr>
            </w:pPr>
          </w:p>
        </w:tc>
        <w:tc>
          <w:tcPr>
            <w:tcW w:w="666" w:type="dxa"/>
            <w:vAlign w:val="center"/>
          </w:tcPr>
          <w:p w14:paraId="4F2261C8" w14:textId="77777777" w:rsidR="00456DCF" w:rsidRPr="008F735E" w:rsidRDefault="00456DCF" w:rsidP="00447F49">
            <w:pPr>
              <w:keepNext/>
              <w:keepLines/>
              <w:tabs>
                <w:tab w:val="decimal" w:pos="256"/>
              </w:tabs>
              <w:spacing w:before="60" w:after="60"/>
              <w:jc w:val="center"/>
              <w:rPr>
                <w:sz w:val="14"/>
                <w:szCs w:val="14"/>
              </w:rPr>
            </w:pPr>
          </w:p>
        </w:tc>
        <w:tc>
          <w:tcPr>
            <w:tcW w:w="667" w:type="dxa"/>
            <w:vAlign w:val="center"/>
          </w:tcPr>
          <w:p w14:paraId="750E1EA1" w14:textId="77777777" w:rsidR="00456DCF" w:rsidRPr="008F735E" w:rsidRDefault="00456DCF" w:rsidP="00447F49">
            <w:pPr>
              <w:keepNext/>
              <w:keepLines/>
              <w:tabs>
                <w:tab w:val="decimal" w:pos="256"/>
              </w:tabs>
              <w:spacing w:before="60" w:after="60"/>
              <w:jc w:val="center"/>
              <w:rPr>
                <w:sz w:val="14"/>
                <w:szCs w:val="14"/>
              </w:rPr>
            </w:pPr>
          </w:p>
        </w:tc>
        <w:tc>
          <w:tcPr>
            <w:tcW w:w="1134" w:type="dxa"/>
            <w:vAlign w:val="center"/>
          </w:tcPr>
          <w:p w14:paraId="39B9F2AF" w14:textId="77777777" w:rsidR="00456DCF" w:rsidRPr="008F735E" w:rsidRDefault="00456DCF" w:rsidP="00447F49">
            <w:pPr>
              <w:keepNext/>
              <w:keepLines/>
              <w:tabs>
                <w:tab w:val="decimal" w:pos="256"/>
              </w:tabs>
              <w:spacing w:before="60" w:after="60"/>
              <w:jc w:val="center"/>
              <w:rPr>
                <w:sz w:val="14"/>
                <w:szCs w:val="14"/>
              </w:rPr>
            </w:pPr>
          </w:p>
        </w:tc>
        <w:tc>
          <w:tcPr>
            <w:tcW w:w="851" w:type="dxa"/>
            <w:vAlign w:val="center"/>
          </w:tcPr>
          <w:p w14:paraId="2DA00881" w14:textId="77777777" w:rsidR="00456DCF" w:rsidRPr="008F735E" w:rsidRDefault="00456DCF" w:rsidP="00447F49">
            <w:pPr>
              <w:keepNext/>
              <w:keepLines/>
              <w:tabs>
                <w:tab w:val="decimal" w:pos="256"/>
              </w:tabs>
              <w:spacing w:before="60" w:after="60"/>
              <w:jc w:val="center"/>
              <w:rPr>
                <w:sz w:val="14"/>
                <w:szCs w:val="14"/>
              </w:rPr>
            </w:pPr>
          </w:p>
        </w:tc>
        <w:tc>
          <w:tcPr>
            <w:tcW w:w="1134" w:type="dxa"/>
            <w:vAlign w:val="center"/>
          </w:tcPr>
          <w:p w14:paraId="6F730A09" w14:textId="77777777" w:rsidR="00456DCF" w:rsidRPr="008F735E" w:rsidRDefault="00456DCF" w:rsidP="00447F49">
            <w:pPr>
              <w:keepNext/>
              <w:keepLines/>
              <w:tabs>
                <w:tab w:val="decimal" w:pos="256"/>
              </w:tabs>
              <w:spacing w:before="60" w:after="60"/>
              <w:jc w:val="center"/>
              <w:rPr>
                <w:sz w:val="14"/>
                <w:szCs w:val="14"/>
              </w:rPr>
            </w:pPr>
          </w:p>
        </w:tc>
        <w:tc>
          <w:tcPr>
            <w:tcW w:w="921" w:type="dxa"/>
            <w:vAlign w:val="center"/>
          </w:tcPr>
          <w:p w14:paraId="2B54FEEC" w14:textId="77777777" w:rsidR="00456DCF" w:rsidRPr="008F735E" w:rsidRDefault="00456DCF" w:rsidP="00447F49">
            <w:pPr>
              <w:keepNext/>
              <w:keepLines/>
              <w:tabs>
                <w:tab w:val="decimal" w:pos="256"/>
              </w:tabs>
              <w:spacing w:before="60" w:after="60"/>
              <w:jc w:val="center"/>
              <w:rPr>
                <w:sz w:val="14"/>
                <w:szCs w:val="14"/>
              </w:rPr>
            </w:pPr>
          </w:p>
        </w:tc>
      </w:tr>
      <w:tr w:rsidR="00456DCF" w:rsidRPr="008F735E" w14:paraId="660C94A4" w14:textId="77777777" w:rsidTr="0067450B">
        <w:tc>
          <w:tcPr>
            <w:tcW w:w="1347" w:type="dxa"/>
            <w:shd w:val="clear" w:color="auto" w:fill="auto"/>
            <w:vAlign w:val="bottom"/>
          </w:tcPr>
          <w:p w14:paraId="66273AB8" w14:textId="77777777" w:rsidR="00456DCF" w:rsidRPr="00C77C40" w:rsidRDefault="00456DCF" w:rsidP="00447F49">
            <w:pPr>
              <w:keepNext/>
              <w:keepLines/>
              <w:tabs>
                <w:tab w:val="left" w:pos="106"/>
              </w:tabs>
              <w:spacing w:before="60" w:after="60"/>
              <w:rPr>
                <w:sz w:val="14"/>
                <w:szCs w:val="14"/>
              </w:rPr>
            </w:pPr>
            <w:r>
              <w:rPr>
                <w:sz w:val="14"/>
                <w:szCs w:val="14"/>
              </w:rPr>
              <w:t>r* = 3%</w:t>
            </w:r>
          </w:p>
        </w:tc>
        <w:tc>
          <w:tcPr>
            <w:tcW w:w="992" w:type="dxa"/>
            <w:vAlign w:val="center"/>
          </w:tcPr>
          <w:p w14:paraId="0A04802F" w14:textId="77777777" w:rsidR="00456DCF" w:rsidRPr="008F735E" w:rsidRDefault="00456DCF" w:rsidP="00447F49">
            <w:pPr>
              <w:keepNext/>
              <w:keepLines/>
              <w:tabs>
                <w:tab w:val="decimal" w:pos="256"/>
              </w:tabs>
              <w:spacing w:before="60" w:after="60"/>
              <w:jc w:val="center"/>
              <w:rPr>
                <w:sz w:val="14"/>
                <w:szCs w:val="14"/>
              </w:rPr>
            </w:pPr>
          </w:p>
        </w:tc>
        <w:tc>
          <w:tcPr>
            <w:tcW w:w="737" w:type="dxa"/>
            <w:vAlign w:val="center"/>
          </w:tcPr>
          <w:p w14:paraId="69B64EA8" w14:textId="77777777" w:rsidR="00456DCF" w:rsidRPr="008F735E" w:rsidRDefault="00456DCF" w:rsidP="00447F49">
            <w:pPr>
              <w:keepNext/>
              <w:keepLines/>
              <w:tabs>
                <w:tab w:val="decimal" w:pos="256"/>
              </w:tabs>
              <w:spacing w:before="60" w:after="60"/>
              <w:jc w:val="center"/>
              <w:rPr>
                <w:sz w:val="14"/>
                <w:szCs w:val="14"/>
              </w:rPr>
            </w:pPr>
          </w:p>
        </w:tc>
        <w:tc>
          <w:tcPr>
            <w:tcW w:w="681" w:type="dxa"/>
            <w:vAlign w:val="center"/>
          </w:tcPr>
          <w:p w14:paraId="11F47D18" w14:textId="77777777" w:rsidR="00456DCF" w:rsidRPr="008F735E" w:rsidRDefault="00456DCF" w:rsidP="00447F49">
            <w:pPr>
              <w:keepNext/>
              <w:keepLines/>
              <w:tabs>
                <w:tab w:val="decimal" w:pos="256"/>
              </w:tabs>
              <w:spacing w:before="60" w:after="60"/>
              <w:jc w:val="center"/>
              <w:rPr>
                <w:sz w:val="14"/>
                <w:szCs w:val="14"/>
              </w:rPr>
            </w:pPr>
          </w:p>
        </w:tc>
        <w:tc>
          <w:tcPr>
            <w:tcW w:w="651" w:type="dxa"/>
            <w:vAlign w:val="center"/>
          </w:tcPr>
          <w:p w14:paraId="6B6FB112" w14:textId="77777777" w:rsidR="00456DCF" w:rsidRPr="008F735E" w:rsidRDefault="00456DCF" w:rsidP="00447F49">
            <w:pPr>
              <w:keepNext/>
              <w:keepLines/>
              <w:tabs>
                <w:tab w:val="decimal" w:pos="256"/>
              </w:tabs>
              <w:spacing w:before="60" w:after="60"/>
              <w:jc w:val="center"/>
              <w:rPr>
                <w:sz w:val="14"/>
                <w:szCs w:val="14"/>
              </w:rPr>
            </w:pPr>
          </w:p>
        </w:tc>
        <w:tc>
          <w:tcPr>
            <w:tcW w:w="666" w:type="dxa"/>
            <w:vAlign w:val="center"/>
          </w:tcPr>
          <w:p w14:paraId="36E8F7F3" w14:textId="77777777" w:rsidR="00456DCF" w:rsidRPr="008F735E" w:rsidRDefault="00456DCF" w:rsidP="00447F49">
            <w:pPr>
              <w:keepNext/>
              <w:keepLines/>
              <w:tabs>
                <w:tab w:val="decimal" w:pos="256"/>
              </w:tabs>
              <w:spacing w:before="60" w:after="60"/>
              <w:jc w:val="center"/>
              <w:rPr>
                <w:sz w:val="14"/>
                <w:szCs w:val="14"/>
              </w:rPr>
            </w:pPr>
          </w:p>
        </w:tc>
        <w:tc>
          <w:tcPr>
            <w:tcW w:w="667" w:type="dxa"/>
            <w:vAlign w:val="center"/>
          </w:tcPr>
          <w:p w14:paraId="227CFB39" w14:textId="77777777" w:rsidR="00456DCF" w:rsidRPr="008F735E" w:rsidRDefault="00456DCF" w:rsidP="00447F49">
            <w:pPr>
              <w:keepNext/>
              <w:keepLines/>
              <w:tabs>
                <w:tab w:val="decimal" w:pos="256"/>
              </w:tabs>
              <w:spacing w:before="60" w:after="60"/>
              <w:jc w:val="center"/>
              <w:rPr>
                <w:sz w:val="14"/>
                <w:szCs w:val="14"/>
              </w:rPr>
            </w:pPr>
          </w:p>
        </w:tc>
        <w:tc>
          <w:tcPr>
            <w:tcW w:w="1134" w:type="dxa"/>
            <w:vAlign w:val="center"/>
          </w:tcPr>
          <w:p w14:paraId="2FBE7A4C" w14:textId="77777777" w:rsidR="00456DCF" w:rsidRPr="008F735E" w:rsidRDefault="00456DCF" w:rsidP="00447F49">
            <w:pPr>
              <w:keepNext/>
              <w:keepLines/>
              <w:tabs>
                <w:tab w:val="decimal" w:pos="256"/>
              </w:tabs>
              <w:spacing w:before="60" w:after="60"/>
              <w:jc w:val="center"/>
              <w:rPr>
                <w:sz w:val="14"/>
                <w:szCs w:val="14"/>
              </w:rPr>
            </w:pPr>
          </w:p>
        </w:tc>
        <w:tc>
          <w:tcPr>
            <w:tcW w:w="851" w:type="dxa"/>
            <w:vAlign w:val="center"/>
          </w:tcPr>
          <w:p w14:paraId="39667F1D" w14:textId="77777777" w:rsidR="00456DCF" w:rsidRPr="008F735E" w:rsidRDefault="00456DCF" w:rsidP="00447F49">
            <w:pPr>
              <w:keepNext/>
              <w:keepLines/>
              <w:tabs>
                <w:tab w:val="decimal" w:pos="256"/>
              </w:tabs>
              <w:spacing w:before="60" w:after="60"/>
              <w:jc w:val="center"/>
              <w:rPr>
                <w:sz w:val="14"/>
                <w:szCs w:val="14"/>
              </w:rPr>
            </w:pPr>
          </w:p>
        </w:tc>
        <w:tc>
          <w:tcPr>
            <w:tcW w:w="1134" w:type="dxa"/>
            <w:vAlign w:val="center"/>
          </w:tcPr>
          <w:p w14:paraId="2C275CA5" w14:textId="77777777" w:rsidR="00456DCF" w:rsidRPr="008F735E" w:rsidRDefault="00456DCF" w:rsidP="00447F49">
            <w:pPr>
              <w:keepNext/>
              <w:keepLines/>
              <w:tabs>
                <w:tab w:val="decimal" w:pos="256"/>
              </w:tabs>
              <w:spacing w:before="60" w:after="60"/>
              <w:jc w:val="center"/>
              <w:rPr>
                <w:sz w:val="14"/>
                <w:szCs w:val="14"/>
              </w:rPr>
            </w:pPr>
          </w:p>
        </w:tc>
        <w:tc>
          <w:tcPr>
            <w:tcW w:w="921" w:type="dxa"/>
            <w:vAlign w:val="center"/>
          </w:tcPr>
          <w:p w14:paraId="7D19E900" w14:textId="77777777" w:rsidR="00456DCF" w:rsidRPr="008F735E" w:rsidRDefault="00456DCF" w:rsidP="00447F49">
            <w:pPr>
              <w:keepNext/>
              <w:keepLines/>
              <w:tabs>
                <w:tab w:val="decimal" w:pos="256"/>
              </w:tabs>
              <w:spacing w:before="60" w:after="60"/>
              <w:jc w:val="center"/>
              <w:rPr>
                <w:sz w:val="14"/>
                <w:szCs w:val="14"/>
              </w:rPr>
            </w:pPr>
          </w:p>
        </w:tc>
      </w:tr>
      <w:tr w:rsidR="00456DCF" w:rsidRPr="008F735E" w14:paraId="1002F0D3" w14:textId="77777777" w:rsidTr="0067450B">
        <w:tc>
          <w:tcPr>
            <w:tcW w:w="1347" w:type="dxa"/>
            <w:shd w:val="clear" w:color="auto" w:fill="auto"/>
            <w:vAlign w:val="bottom"/>
          </w:tcPr>
          <w:p w14:paraId="0BAF4A4C" w14:textId="77777777" w:rsidR="00456DCF" w:rsidRDefault="00456DCF" w:rsidP="00447F49">
            <w:pPr>
              <w:keepNext/>
              <w:keepLines/>
              <w:tabs>
                <w:tab w:val="left" w:pos="106"/>
              </w:tabs>
              <w:spacing w:before="60" w:after="60"/>
              <w:rPr>
                <w:b/>
                <w:bCs/>
                <w:sz w:val="14"/>
                <w:szCs w:val="14"/>
              </w:rPr>
            </w:pPr>
            <w:r w:rsidRPr="008F735E">
              <w:rPr>
                <w:sz w:val="14"/>
                <w:szCs w:val="14"/>
              </w:rPr>
              <w:tab/>
            </w:r>
            <w:r>
              <w:rPr>
                <w:sz w:val="14"/>
                <w:szCs w:val="14"/>
              </w:rPr>
              <w:t>Inflation = 0%</w:t>
            </w:r>
          </w:p>
        </w:tc>
        <w:tc>
          <w:tcPr>
            <w:tcW w:w="992" w:type="dxa"/>
            <w:shd w:val="clear" w:color="auto" w:fill="auto"/>
            <w:vAlign w:val="bottom"/>
          </w:tcPr>
          <w:p w14:paraId="5EC1FC9B"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3.20%</w:t>
            </w:r>
          </w:p>
        </w:tc>
        <w:tc>
          <w:tcPr>
            <w:tcW w:w="737" w:type="dxa"/>
            <w:shd w:val="clear" w:color="auto" w:fill="auto"/>
            <w:vAlign w:val="bottom"/>
          </w:tcPr>
          <w:p w14:paraId="5304AC96"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3.06%</w:t>
            </w:r>
          </w:p>
        </w:tc>
        <w:tc>
          <w:tcPr>
            <w:tcW w:w="681" w:type="dxa"/>
            <w:shd w:val="clear" w:color="auto" w:fill="auto"/>
            <w:vAlign w:val="bottom"/>
          </w:tcPr>
          <w:p w14:paraId="755DCE01"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3.06%</w:t>
            </w:r>
          </w:p>
        </w:tc>
        <w:tc>
          <w:tcPr>
            <w:tcW w:w="651" w:type="dxa"/>
            <w:shd w:val="clear" w:color="auto" w:fill="auto"/>
            <w:vAlign w:val="bottom"/>
          </w:tcPr>
          <w:p w14:paraId="2AB50290"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3.06%</w:t>
            </w:r>
          </w:p>
        </w:tc>
        <w:tc>
          <w:tcPr>
            <w:tcW w:w="666" w:type="dxa"/>
            <w:shd w:val="clear" w:color="auto" w:fill="auto"/>
            <w:vAlign w:val="bottom"/>
          </w:tcPr>
          <w:p w14:paraId="7D300E13"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3.06%</w:t>
            </w:r>
          </w:p>
        </w:tc>
        <w:tc>
          <w:tcPr>
            <w:tcW w:w="667" w:type="dxa"/>
            <w:shd w:val="clear" w:color="auto" w:fill="auto"/>
            <w:vAlign w:val="bottom"/>
          </w:tcPr>
          <w:p w14:paraId="3798DED9"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3.06%</w:t>
            </w:r>
          </w:p>
        </w:tc>
        <w:tc>
          <w:tcPr>
            <w:tcW w:w="1134" w:type="dxa"/>
            <w:shd w:val="clear" w:color="auto" w:fill="auto"/>
            <w:vAlign w:val="bottom"/>
          </w:tcPr>
          <w:p w14:paraId="7EA9ECB1"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3.06%</w:t>
            </w:r>
          </w:p>
        </w:tc>
        <w:tc>
          <w:tcPr>
            <w:tcW w:w="851" w:type="dxa"/>
            <w:shd w:val="clear" w:color="auto" w:fill="auto"/>
            <w:vAlign w:val="bottom"/>
          </w:tcPr>
          <w:p w14:paraId="57EA358A"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3.06%</w:t>
            </w:r>
          </w:p>
        </w:tc>
        <w:tc>
          <w:tcPr>
            <w:tcW w:w="1134" w:type="dxa"/>
            <w:shd w:val="clear" w:color="auto" w:fill="auto"/>
            <w:vAlign w:val="bottom"/>
          </w:tcPr>
          <w:p w14:paraId="4F14D70F"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2.67%</w:t>
            </w:r>
          </w:p>
        </w:tc>
        <w:tc>
          <w:tcPr>
            <w:tcW w:w="921" w:type="dxa"/>
            <w:shd w:val="clear" w:color="auto" w:fill="auto"/>
            <w:vAlign w:val="bottom"/>
          </w:tcPr>
          <w:p w14:paraId="6D8B31D0"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2.20%</w:t>
            </w:r>
          </w:p>
        </w:tc>
      </w:tr>
      <w:tr w:rsidR="00456DCF" w:rsidRPr="008F735E" w14:paraId="5362F7F1" w14:textId="77777777" w:rsidTr="0067450B">
        <w:tc>
          <w:tcPr>
            <w:tcW w:w="1347" w:type="dxa"/>
            <w:shd w:val="clear" w:color="auto" w:fill="auto"/>
            <w:vAlign w:val="bottom"/>
          </w:tcPr>
          <w:p w14:paraId="5BDD96A8" w14:textId="77777777" w:rsidR="00456DCF" w:rsidRDefault="00456DCF" w:rsidP="00447F49">
            <w:pPr>
              <w:keepNext/>
              <w:keepLines/>
              <w:tabs>
                <w:tab w:val="left" w:pos="106"/>
              </w:tabs>
              <w:spacing w:before="60" w:after="60"/>
              <w:rPr>
                <w:b/>
                <w:bCs/>
                <w:sz w:val="14"/>
                <w:szCs w:val="14"/>
              </w:rPr>
            </w:pPr>
            <w:r w:rsidRPr="008F735E">
              <w:rPr>
                <w:sz w:val="14"/>
                <w:szCs w:val="14"/>
              </w:rPr>
              <w:tab/>
            </w:r>
            <w:r>
              <w:rPr>
                <w:sz w:val="14"/>
                <w:szCs w:val="14"/>
              </w:rPr>
              <w:t>Inflation = 2%</w:t>
            </w:r>
          </w:p>
        </w:tc>
        <w:tc>
          <w:tcPr>
            <w:tcW w:w="992" w:type="dxa"/>
            <w:shd w:val="clear" w:color="auto" w:fill="auto"/>
            <w:vAlign w:val="bottom"/>
          </w:tcPr>
          <w:p w14:paraId="5EE99A39"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2.79%</w:t>
            </w:r>
          </w:p>
        </w:tc>
        <w:tc>
          <w:tcPr>
            <w:tcW w:w="737" w:type="dxa"/>
            <w:shd w:val="clear" w:color="auto" w:fill="auto"/>
            <w:vAlign w:val="bottom"/>
          </w:tcPr>
          <w:p w14:paraId="42CE6BD3"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3.10%</w:t>
            </w:r>
          </w:p>
        </w:tc>
        <w:tc>
          <w:tcPr>
            <w:tcW w:w="681" w:type="dxa"/>
            <w:shd w:val="clear" w:color="auto" w:fill="auto"/>
            <w:vAlign w:val="bottom"/>
          </w:tcPr>
          <w:p w14:paraId="040B65CF"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3.07%</w:t>
            </w:r>
          </w:p>
        </w:tc>
        <w:tc>
          <w:tcPr>
            <w:tcW w:w="651" w:type="dxa"/>
            <w:shd w:val="clear" w:color="auto" w:fill="auto"/>
            <w:vAlign w:val="bottom"/>
          </w:tcPr>
          <w:p w14:paraId="444D55BE"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2.91%</w:t>
            </w:r>
          </w:p>
        </w:tc>
        <w:tc>
          <w:tcPr>
            <w:tcW w:w="666" w:type="dxa"/>
            <w:shd w:val="clear" w:color="auto" w:fill="auto"/>
            <w:vAlign w:val="bottom"/>
          </w:tcPr>
          <w:p w14:paraId="65DF45EB"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2.75%</w:t>
            </w:r>
          </w:p>
        </w:tc>
        <w:tc>
          <w:tcPr>
            <w:tcW w:w="667" w:type="dxa"/>
            <w:shd w:val="clear" w:color="auto" w:fill="auto"/>
            <w:vAlign w:val="bottom"/>
          </w:tcPr>
          <w:p w14:paraId="418A37CA"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2.61%</w:t>
            </w:r>
          </w:p>
        </w:tc>
        <w:tc>
          <w:tcPr>
            <w:tcW w:w="1134" w:type="dxa"/>
            <w:shd w:val="clear" w:color="auto" w:fill="auto"/>
            <w:vAlign w:val="bottom"/>
          </w:tcPr>
          <w:p w14:paraId="6E8B1E0A"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2.34%</w:t>
            </w:r>
          </w:p>
        </w:tc>
        <w:tc>
          <w:tcPr>
            <w:tcW w:w="851" w:type="dxa"/>
            <w:shd w:val="clear" w:color="auto" w:fill="auto"/>
            <w:vAlign w:val="bottom"/>
          </w:tcPr>
          <w:p w14:paraId="6A0C67C8"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3.10%</w:t>
            </w:r>
          </w:p>
        </w:tc>
        <w:tc>
          <w:tcPr>
            <w:tcW w:w="1134" w:type="dxa"/>
            <w:shd w:val="clear" w:color="auto" w:fill="auto"/>
            <w:vAlign w:val="bottom"/>
          </w:tcPr>
          <w:p w14:paraId="78F65120"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1.95%</w:t>
            </w:r>
          </w:p>
        </w:tc>
        <w:tc>
          <w:tcPr>
            <w:tcW w:w="921" w:type="dxa"/>
            <w:shd w:val="clear" w:color="auto" w:fill="auto"/>
            <w:vAlign w:val="bottom"/>
          </w:tcPr>
          <w:p w14:paraId="1C9320ED"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1.68%</w:t>
            </w:r>
          </w:p>
        </w:tc>
      </w:tr>
      <w:tr w:rsidR="00456DCF" w:rsidRPr="008F735E" w14:paraId="1E5B245E" w14:textId="77777777" w:rsidTr="0067450B">
        <w:tc>
          <w:tcPr>
            <w:tcW w:w="1347" w:type="dxa"/>
            <w:shd w:val="clear" w:color="auto" w:fill="auto"/>
            <w:vAlign w:val="bottom"/>
          </w:tcPr>
          <w:p w14:paraId="16CEBC35" w14:textId="77777777" w:rsidR="00456DCF" w:rsidRDefault="00456DCF" w:rsidP="00447F49">
            <w:pPr>
              <w:keepNext/>
              <w:keepLines/>
              <w:tabs>
                <w:tab w:val="left" w:pos="106"/>
              </w:tabs>
              <w:spacing w:before="60" w:after="60"/>
              <w:rPr>
                <w:b/>
                <w:bCs/>
                <w:sz w:val="14"/>
                <w:szCs w:val="14"/>
              </w:rPr>
            </w:pPr>
            <w:r>
              <w:rPr>
                <w:sz w:val="14"/>
                <w:szCs w:val="14"/>
              </w:rPr>
              <w:t>r* = 5%</w:t>
            </w:r>
          </w:p>
        </w:tc>
        <w:tc>
          <w:tcPr>
            <w:tcW w:w="992" w:type="dxa"/>
            <w:shd w:val="clear" w:color="auto" w:fill="auto"/>
            <w:vAlign w:val="bottom"/>
          </w:tcPr>
          <w:p w14:paraId="14170710" w14:textId="77777777" w:rsidR="00456DCF" w:rsidRPr="009E70F4" w:rsidRDefault="00456DCF" w:rsidP="00447F49">
            <w:pPr>
              <w:keepNext/>
              <w:keepLines/>
              <w:tabs>
                <w:tab w:val="decimal" w:pos="256"/>
              </w:tabs>
              <w:spacing w:before="60" w:after="60"/>
              <w:jc w:val="center"/>
              <w:rPr>
                <w:sz w:val="14"/>
                <w:szCs w:val="14"/>
              </w:rPr>
            </w:pPr>
            <w:r w:rsidRPr="009E70F4">
              <w:rPr>
                <w:rFonts w:ascii="Calibri" w:hAnsi="Calibri" w:cs="Calibri"/>
                <w:color w:val="000000"/>
                <w:sz w:val="14"/>
                <w:szCs w:val="14"/>
              </w:rPr>
              <w:t> </w:t>
            </w:r>
          </w:p>
        </w:tc>
        <w:tc>
          <w:tcPr>
            <w:tcW w:w="737" w:type="dxa"/>
            <w:shd w:val="clear" w:color="auto" w:fill="auto"/>
            <w:vAlign w:val="bottom"/>
          </w:tcPr>
          <w:p w14:paraId="5276A111" w14:textId="77777777" w:rsidR="00456DCF" w:rsidRPr="009E70F4" w:rsidRDefault="00456DCF" w:rsidP="00447F49">
            <w:pPr>
              <w:keepNext/>
              <w:keepLines/>
              <w:tabs>
                <w:tab w:val="decimal" w:pos="256"/>
              </w:tabs>
              <w:spacing w:before="60" w:after="60"/>
              <w:jc w:val="center"/>
              <w:rPr>
                <w:sz w:val="14"/>
                <w:szCs w:val="14"/>
              </w:rPr>
            </w:pPr>
            <w:r w:rsidRPr="009E70F4">
              <w:rPr>
                <w:rFonts w:ascii="Calibri" w:hAnsi="Calibri" w:cs="Calibri"/>
                <w:color w:val="000000"/>
                <w:sz w:val="14"/>
                <w:szCs w:val="14"/>
              </w:rPr>
              <w:t> </w:t>
            </w:r>
          </w:p>
        </w:tc>
        <w:tc>
          <w:tcPr>
            <w:tcW w:w="681" w:type="dxa"/>
            <w:shd w:val="clear" w:color="auto" w:fill="auto"/>
            <w:vAlign w:val="bottom"/>
          </w:tcPr>
          <w:p w14:paraId="2C0DE21E" w14:textId="77777777" w:rsidR="00456DCF" w:rsidRPr="009E70F4" w:rsidRDefault="00456DCF" w:rsidP="00447F49">
            <w:pPr>
              <w:keepNext/>
              <w:keepLines/>
              <w:tabs>
                <w:tab w:val="decimal" w:pos="256"/>
              </w:tabs>
              <w:spacing w:before="60" w:after="60"/>
              <w:jc w:val="center"/>
              <w:rPr>
                <w:sz w:val="14"/>
                <w:szCs w:val="14"/>
              </w:rPr>
            </w:pPr>
            <w:r w:rsidRPr="009E70F4">
              <w:rPr>
                <w:rFonts w:ascii="Calibri" w:hAnsi="Calibri" w:cs="Calibri"/>
                <w:color w:val="000000"/>
                <w:sz w:val="14"/>
                <w:szCs w:val="14"/>
              </w:rPr>
              <w:t> </w:t>
            </w:r>
          </w:p>
        </w:tc>
        <w:tc>
          <w:tcPr>
            <w:tcW w:w="651" w:type="dxa"/>
            <w:shd w:val="clear" w:color="auto" w:fill="auto"/>
            <w:vAlign w:val="bottom"/>
          </w:tcPr>
          <w:p w14:paraId="2BA863AE" w14:textId="77777777" w:rsidR="00456DCF" w:rsidRPr="009E70F4" w:rsidRDefault="00456DCF" w:rsidP="00447F49">
            <w:pPr>
              <w:keepNext/>
              <w:keepLines/>
              <w:tabs>
                <w:tab w:val="decimal" w:pos="256"/>
              </w:tabs>
              <w:spacing w:before="60" w:after="60"/>
              <w:jc w:val="center"/>
              <w:rPr>
                <w:sz w:val="14"/>
                <w:szCs w:val="14"/>
              </w:rPr>
            </w:pPr>
            <w:r w:rsidRPr="009E70F4">
              <w:rPr>
                <w:rFonts w:ascii="Calibri" w:hAnsi="Calibri" w:cs="Calibri"/>
                <w:color w:val="000000"/>
                <w:sz w:val="14"/>
                <w:szCs w:val="14"/>
              </w:rPr>
              <w:t> </w:t>
            </w:r>
          </w:p>
        </w:tc>
        <w:tc>
          <w:tcPr>
            <w:tcW w:w="666" w:type="dxa"/>
            <w:shd w:val="clear" w:color="auto" w:fill="auto"/>
            <w:vAlign w:val="bottom"/>
          </w:tcPr>
          <w:p w14:paraId="7604C853" w14:textId="77777777" w:rsidR="00456DCF" w:rsidRPr="009E70F4" w:rsidRDefault="00456DCF" w:rsidP="00447F49">
            <w:pPr>
              <w:keepNext/>
              <w:keepLines/>
              <w:tabs>
                <w:tab w:val="decimal" w:pos="256"/>
              </w:tabs>
              <w:spacing w:before="60" w:after="60"/>
              <w:jc w:val="center"/>
              <w:rPr>
                <w:sz w:val="14"/>
                <w:szCs w:val="14"/>
              </w:rPr>
            </w:pPr>
            <w:r w:rsidRPr="009E70F4">
              <w:rPr>
                <w:rFonts w:ascii="Calibri" w:hAnsi="Calibri" w:cs="Calibri"/>
                <w:color w:val="000000"/>
                <w:sz w:val="14"/>
                <w:szCs w:val="14"/>
              </w:rPr>
              <w:t> </w:t>
            </w:r>
          </w:p>
        </w:tc>
        <w:tc>
          <w:tcPr>
            <w:tcW w:w="667" w:type="dxa"/>
            <w:shd w:val="clear" w:color="auto" w:fill="auto"/>
            <w:vAlign w:val="bottom"/>
          </w:tcPr>
          <w:p w14:paraId="3086083F" w14:textId="77777777" w:rsidR="00456DCF" w:rsidRPr="009E70F4" w:rsidRDefault="00456DCF" w:rsidP="00447F49">
            <w:pPr>
              <w:keepNext/>
              <w:keepLines/>
              <w:tabs>
                <w:tab w:val="decimal" w:pos="256"/>
              </w:tabs>
              <w:spacing w:before="60" w:after="60"/>
              <w:jc w:val="center"/>
              <w:rPr>
                <w:sz w:val="14"/>
                <w:szCs w:val="14"/>
              </w:rPr>
            </w:pPr>
            <w:r w:rsidRPr="009E70F4">
              <w:rPr>
                <w:rFonts w:ascii="Calibri" w:hAnsi="Calibri" w:cs="Calibri"/>
                <w:color w:val="000000"/>
                <w:sz w:val="14"/>
                <w:szCs w:val="14"/>
              </w:rPr>
              <w:t> </w:t>
            </w:r>
          </w:p>
        </w:tc>
        <w:tc>
          <w:tcPr>
            <w:tcW w:w="1134" w:type="dxa"/>
            <w:shd w:val="clear" w:color="auto" w:fill="auto"/>
            <w:vAlign w:val="bottom"/>
          </w:tcPr>
          <w:p w14:paraId="20F7288A" w14:textId="77777777" w:rsidR="00456DCF" w:rsidRPr="009E70F4" w:rsidRDefault="00456DCF" w:rsidP="00447F49">
            <w:pPr>
              <w:keepNext/>
              <w:keepLines/>
              <w:tabs>
                <w:tab w:val="decimal" w:pos="256"/>
              </w:tabs>
              <w:spacing w:before="60" w:after="60"/>
              <w:jc w:val="center"/>
              <w:rPr>
                <w:sz w:val="14"/>
                <w:szCs w:val="14"/>
              </w:rPr>
            </w:pPr>
            <w:r w:rsidRPr="009E70F4">
              <w:rPr>
                <w:rFonts w:ascii="Calibri" w:hAnsi="Calibri" w:cs="Calibri"/>
                <w:color w:val="000000"/>
                <w:sz w:val="14"/>
                <w:szCs w:val="14"/>
              </w:rPr>
              <w:t> </w:t>
            </w:r>
          </w:p>
        </w:tc>
        <w:tc>
          <w:tcPr>
            <w:tcW w:w="851" w:type="dxa"/>
            <w:shd w:val="clear" w:color="auto" w:fill="auto"/>
            <w:vAlign w:val="bottom"/>
          </w:tcPr>
          <w:p w14:paraId="44DAECD5" w14:textId="77777777" w:rsidR="00456DCF" w:rsidRPr="009E70F4" w:rsidRDefault="00456DCF" w:rsidP="00447F49">
            <w:pPr>
              <w:keepNext/>
              <w:keepLines/>
              <w:tabs>
                <w:tab w:val="decimal" w:pos="256"/>
              </w:tabs>
              <w:spacing w:before="60" w:after="60"/>
              <w:jc w:val="center"/>
              <w:rPr>
                <w:sz w:val="14"/>
                <w:szCs w:val="14"/>
              </w:rPr>
            </w:pPr>
            <w:r w:rsidRPr="009E70F4">
              <w:rPr>
                <w:rFonts w:ascii="Calibri" w:hAnsi="Calibri" w:cs="Calibri"/>
                <w:color w:val="000000"/>
                <w:sz w:val="14"/>
                <w:szCs w:val="14"/>
              </w:rPr>
              <w:t> </w:t>
            </w:r>
          </w:p>
        </w:tc>
        <w:tc>
          <w:tcPr>
            <w:tcW w:w="1134" w:type="dxa"/>
            <w:shd w:val="clear" w:color="auto" w:fill="auto"/>
            <w:vAlign w:val="bottom"/>
          </w:tcPr>
          <w:p w14:paraId="1DBC71C9" w14:textId="77777777" w:rsidR="00456DCF" w:rsidRPr="009E70F4" w:rsidRDefault="00456DCF" w:rsidP="00447F49">
            <w:pPr>
              <w:keepNext/>
              <w:keepLines/>
              <w:tabs>
                <w:tab w:val="decimal" w:pos="256"/>
              </w:tabs>
              <w:spacing w:before="60" w:after="60"/>
              <w:jc w:val="center"/>
              <w:rPr>
                <w:sz w:val="14"/>
                <w:szCs w:val="14"/>
              </w:rPr>
            </w:pPr>
            <w:r w:rsidRPr="009E70F4">
              <w:rPr>
                <w:rFonts w:ascii="Calibri" w:hAnsi="Calibri" w:cs="Calibri"/>
                <w:color w:val="000000"/>
                <w:sz w:val="14"/>
                <w:szCs w:val="14"/>
              </w:rPr>
              <w:t> </w:t>
            </w:r>
          </w:p>
        </w:tc>
        <w:tc>
          <w:tcPr>
            <w:tcW w:w="921" w:type="dxa"/>
            <w:shd w:val="clear" w:color="auto" w:fill="auto"/>
            <w:vAlign w:val="bottom"/>
          </w:tcPr>
          <w:p w14:paraId="6165EDA8" w14:textId="77777777" w:rsidR="00456DCF" w:rsidRPr="009E70F4" w:rsidRDefault="00456DCF" w:rsidP="00447F49">
            <w:pPr>
              <w:keepNext/>
              <w:keepLines/>
              <w:tabs>
                <w:tab w:val="decimal" w:pos="256"/>
              </w:tabs>
              <w:spacing w:before="60" w:after="60"/>
              <w:jc w:val="center"/>
              <w:rPr>
                <w:sz w:val="14"/>
                <w:szCs w:val="14"/>
              </w:rPr>
            </w:pPr>
            <w:r w:rsidRPr="009E70F4">
              <w:rPr>
                <w:rFonts w:ascii="Calibri" w:hAnsi="Calibri" w:cs="Calibri"/>
                <w:color w:val="000000"/>
                <w:sz w:val="14"/>
                <w:szCs w:val="14"/>
              </w:rPr>
              <w:t> </w:t>
            </w:r>
          </w:p>
        </w:tc>
      </w:tr>
      <w:tr w:rsidR="00456DCF" w:rsidRPr="008F735E" w14:paraId="50F05A04" w14:textId="77777777" w:rsidTr="0067450B">
        <w:tc>
          <w:tcPr>
            <w:tcW w:w="1347" w:type="dxa"/>
            <w:shd w:val="clear" w:color="auto" w:fill="auto"/>
            <w:vAlign w:val="bottom"/>
          </w:tcPr>
          <w:p w14:paraId="298EF7ED" w14:textId="77777777" w:rsidR="00456DCF" w:rsidRDefault="00456DCF" w:rsidP="00447F49">
            <w:pPr>
              <w:keepNext/>
              <w:keepLines/>
              <w:tabs>
                <w:tab w:val="left" w:pos="106"/>
              </w:tabs>
              <w:spacing w:before="60" w:after="60"/>
              <w:rPr>
                <w:b/>
                <w:bCs/>
                <w:sz w:val="14"/>
                <w:szCs w:val="14"/>
              </w:rPr>
            </w:pPr>
            <w:r w:rsidRPr="008F735E">
              <w:rPr>
                <w:sz w:val="14"/>
                <w:szCs w:val="14"/>
              </w:rPr>
              <w:tab/>
            </w:r>
            <w:r>
              <w:rPr>
                <w:sz w:val="14"/>
                <w:szCs w:val="14"/>
              </w:rPr>
              <w:t>Inflation = 0%</w:t>
            </w:r>
          </w:p>
        </w:tc>
        <w:tc>
          <w:tcPr>
            <w:tcW w:w="992" w:type="dxa"/>
            <w:shd w:val="clear" w:color="auto" w:fill="auto"/>
            <w:vAlign w:val="bottom"/>
          </w:tcPr>
          <w:p w14:paraId="6CCA0767"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5.27%</w:t>
            </w:r>
          </w:p>
        </w:tc>
        <w:tc>
          <w:tcPr>
            <w:tcW w:w="737" w:type="dxa"/>
            <w:shd w:val="clear" w:color="auto" w:fill="auto"/>
            <w:vAlign w:val="bottom"/>
          </w:tcPr>
          <w:p w14:paraId="1D8ADF20"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5.10%</w:t>
            </w:r>
          </w:p>
        </w:tc>
        <w:tc>
          <w:tcPr>
            <w:tcW w:w="681" w:type="dxa"/>
            <w:shd w:val="clear" w:color="auto" w:fill="auto"/>
            <w:vAlign w:val="bottom"/>
          </w:tcPr>
          <w:p w14:paraId="739E86E5"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5.10%</w:t>
            </w:r>
          </w:p>
        </w:tc>
        <w:tc>
          <w:tcPr>
            <w:tcW w:w="651" w:type="dxa"/>
            <w:shd w:val="clear" w:color="auto" w:fill="auto"/>
            <w:vAlign w:val="bottom"/>
          </w:tcPr>
          <w:p w14:paraId="23A9E8D8"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5.10%</w:t>
            </w:r>
          </w:p>
        </w:tc>
        <w:tc>
          <w:tcPr>
            <w:tcW w:w="666" w:type="dxa"/>
            <w:shd w:val="clear" w:color="auto" w:fill="auto"/>
            <w:vAlign w:val="bottom"/>
          </w:tcPr>
          <w:p w14:paraId="48565E71"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5.10%</w:t>
            </w:r>
          </w:p>
        </w:tc>
        <w:tc>
          <w:tcPr>
            <w:tcW w:w="667" w:type="dxa"/>
            <w:shd w:val="clear" w:color="auto" w:fill="auto"/>
            <w:vAlign w:val="bottom"/>
          </w:tcPr>
          <w:p w14:paraId="3471E2D4"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5.10%</w:t>
            </w:r>
          </w:p>
        </w:tc>
        <w:tc>
          <w:tcPr>
            <w:tcW w:w="1134" w:type="dxa"/>
            <w:shd w:val="clear" w:color="auto" w:fill="auto"/>
            <w:vAlign w:val="bottom"/>
          </w:tcPr>
          <w:p w14:paraId="1017A753"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5.10%</w:t>
            </w:r>
          </w:p>
        </w:tc>
        <w:tc>
          <w:tcPr>
            <w:tcW w:w="851" w:type="dxa"/>
            <w:shd w:val="clear" w:color="auto" w:fill="auto"/>
            <w:vAlign w:val="bottom"/>
          </w:tcPr>
          <w:p w14:paraId="767AD97D"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5.10%</w:t>
            </w:r>
          </w:p>
        </w:tc>
        <w:tc>
          <w:tcPr>
            <w:tcW w:w="1134" w:type="dxa"/>
            <w:shd w:val="clear" w:color="auto" w:fill="auto"/>
            <w:vAlign w:val="bottom"/>
          </w:tcPr>
          <w:p w14:paraId="61F69568"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4.71%</w:t>
            </w:r>
          </w:p>
        </w:tc>
        <w:tc>
          <w:tcPr>
            <w:tcW w:w="921" w:type="dxa"/>
            <w:shd w:val="clear" w:color="auto" w:fill="auto"/>
            <w:vAlign w:val="bottom"/>
          </w:tcPr>
          <w:p w14:paraId="4BCEA081"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3.67%</w:t>
            </w:r>
          </w:p>
        </w:tc>
      </w:tr>
      <w:tr w:rsidR="00456DCF" w:rsidRPr="008F735E" w14:paraId="4B2C8917" w14:textId="77777777" w:rsidTr="0067450B">
        <w:tc>
          <w:tcPr>
            <w:tcW w:w="1347" w:type="dxa"/>
            <w:shd w:val="clear" w:color="auto" w:fill="auto"/>
            <w:vAlign w:val="bottom"/>
          </w:tcPr>
          <w:p w14:paraId="2FBA2D89" w14:textId="77777777" w:rsidR="00456DCF" w:rsidRPr="008F735E" w:rsidRDefault="00456DCF" w:rsidP="00447F49">
            <w:pPr>
              <w:keepNext/>
              <w:keepLines/>
              <w:tabs>
                <w:tab w:val="left" w:pos="106"/>
              </w:tabs>
              <w:spacing w:before="60" w:after="60"/>
              <w:rPr>
                <w:b/>
                <w:bCs/>
                <w:sz w:val="14"/>
                <w:szCs w:val="14"/>
              </w:rPr>
            </w:pPr>
            <w:r w:rsidRPr="008F735E">
              <w:rPr>
                <w:sz w:val="14"/>
                <w:szCs w:val="14"/>
              </w:rPr>
              <w:tab/>
            </w:r>
            <w:r>
              <w:rPr>
                <w:sz w:val="14"/>
                <w:szCs w:val="14"/>
              </w:rPr>
              <w:t>Inflation = 2%</w:t>
            </w:r>
          </w:p>
        </w:tc>
        <w:tc>
          <w:tcPr>
            <w:tcW w:w="992" w:type="dxa"/>
            <w:shd w:val="clear" w:color="auto" w:fill="auto"/>
            <w:vAlign w:val="bottom"/>
          </w:tcPr>
          <w:p w14:paraId="1471B1B2"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4.79%</w:t>
            </w:r>
          </w:p>
        </w:tc>
        <w:tc>
          <w:tcPr>
            <w:tcW w:w="737" w:type="dxa"/>
            <w:shd w:val="clear" w:color="auto" w:fill="auto"/>
            <w:vAlign w:val="bottom"/>
          </w:tcPr>
          <w:p w14:paraId="68BAB3BB"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5.14%</w:t>
            </w:r>
          </w:p>
        </w:tc>
        <w:tc>
          <w:tcPr>
            <w:tcW w:w="681" w:type="dxa"/>
            <w:shd w:val="clear" w:color="auto" w:fill="auto"/>
            <w:vAlign w:val="bottom"/>
          </w:tcPr>
          <w:p w14:paraId="5D8E045E"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5.10%</w:t>
            </w:r>
          </w:p>
        </w:tc>
        <w:tc>
          <w:tcPr>
            <w:tcW w:w="651" w:type="dxa"/>
            <w:shd w:val="clear" w:color="auto" w:fill="auto"/>
            <w:vAlign w:val="bottom"/>
          </w:tcPr>
          <w:p w14:paraId="2C4A7885"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4.90%</w:t>
            </w:r>
          </w:p>
        </w:tc>
        <w:tc>
          <w:tcPr>
            <w:tcW w:w="666" w:type="dxa"/>
            <w:shd w:val="clear" w:color="auto" w:fill="auto"/>
            <w:vAlign w:val="bottom"/>
          </w:tcPr>
          <w:p w14:paraId="3FFE4F26"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4.72%</w:t>
            </w:r>
          </w:p>
        </w:tc>
        <w:tc>
          <w:tcPr>
            <w:tcW w:w="667" w:type="dxa"/>
            <w:shd w:val="clear" w:color="auto" w:fill="auto"/>
            <w:vAlign w:val="bottom"/>
          </w:tcPr>
          <w:p w14:paraId="1A2F2D90"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4.60%</w:t>
            </w:r>
          </w:p>
        </w:tc>
        <w:tc>
          <w:tcPr>
            <w:tcW w:w="1134" w:type="dxa"/>
            <w:shd w:val="clear" w:color="auto" w:fill="auto"/>
            <w:vAlign w:val="bottom"/>
          </w:tcPr>
          <w:p w14:paraId="1EF3AF1A"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4.38%</w:t>
            </w:r>
          </w:p>
        </w:tc>
        <w:tc>
          <w:tcPr>
            <w:tcW w:w="851" w:type="dxa"/>
            <w:shd w:val="clear" w:color="auto" w:fill="auto"/>
            <w:vAlign w:val="bottom"/>
          </w:tcPr>
          <w:p w14:paraId="05913E5B"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5.14%</w:t>
            </w:r>
          </w:p>
        </w:tc>
        <w:tc>
          <w:tcPr>
            <w:tcW w:w="1134" w:type="dxa"/>
            <w:shd w:val="clear" w:color="auto" w:fill="auto"/>
            <w:vAlign w:val="bottom"/>
          </w:tcPr>
          <w:p w14:paraId="3011EE98"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3.99%</w:t>
            </w:r>
          </w:p>
        </w:tc>
        <w:tc>
          <w:tcPr>
            <w:tcW w:w="921" w:type="dxa"/>
            <w:shd w:val="clear" w:color="auto" w:fill="auto"/>
            <w:vAlign w:val="bottom"/>
          </w:tcPr>
          <w:p w14:paraId="3AFB0646"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3.15%</w:t>
            </w:r>
          </w:p>
        </w:tc>
      </w:tr>
      <w:tr w:rsidR="00456DCF" w:rsidRPr="008F735E" w14:paraId="0CE00DF0" w14:textId="77777777" w:rsidTr="0067450B">
        <w:tc>
          <w:tcPr>
            <w:tcW w:w="1347" w:type="dxa"/>
            <w:shd w:val="clear" w:color="auto" w:fill="auto"/>
            <w:vAlign w:val="bottom"/>
          </w:tcPr>
          <w:p w14:paraId="06941325" w14:textId="77777777" w:rsidR="00456DCF" w:rsidRPr="008F735E" w:rsidRDefault="00456DCF" w:rsidP="00447F49">
            <w:pPr>
              <w:keepNext/>
              <w:keepLines/>
              <w:tabs>
                <w:tab w:val="left" w:pos="106"/>
              </w:tabs>
              <w:spacing w:before="60" w:after="60"/>
              <w:rPr>
                <w:sz w:val="14"/>
                <w:szCs w:val="14"/>
              </w:rPr>
            </w:pPr>
            <w:r>
              <w:rPr>
                <w:b/>
                <w:bCs/>
                <w:sz w:val="14"/>
                <w:szCs w:val="14"/>
              </w:rPr>
              <w:t>EMTRs</w:t>
            </w:r>
          </w:p>
        </w:tc>
        <w:tc>
          <w:tcPr>
            <w:tcW w:w="992" w:type="dxa"/>
            <w:shd w:val="clear" w:color="auto" w:fill="auto"/>
            <w:vAlign w:val="bottom"/>
          </w:tcPr>
          <w:p w14:paraId="79AF3978"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 </w:t>
            </w:r>
          </w:p>
        </w:tc>
        <w:tc>
          <w:tcPr>
            <w:tcW w:w="737" w:type="dxa"/>
            <w:shd w:val="clear" w:color="auto" w:fill="auto"/>
            <w:vAlign w:val="bottom"/>
          </w:tcPr>
          <w:p w14:paraId="523CB84A"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 </w:t>
            </w:r>
          </w:p>
        </w:tc>
        <w:tc>
          <w:tcPr>
            <w:tcW w:w="681" w:type="dxa"/>
            <w:shd w:val="clear" w:color="auto" w:fill="auto"/>
            <w:vAlign w:val="bottom"/>
          </w:tcPr>
          <w:p w14:paraId="7E76C6EC"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 </w:t>
            </w:r>
          </w:p>
        </w:tc>
        <w:tc>
          <w:tcPr>
            <w:tcW w:w="651" w:type="dxa"/>
            <w:shd w:val="clear" w:color="auto" w:fill="auto"/>
            <w:vAlign w:val="bottom"/>
          </w:tcPr>
          <w:p w14:paraId="2DBA35FC"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 </w:t>
            </w:r>
          </w:p>
        </w:tc>
        <w:tc>
          <w:tcPr>
            <w:tcW w:w="666" w:type="dxa"/>
            <w:shd w:val="clear" w:color="auto" w:fill="auto"/>
            <w:vAlign w:val="bottom"/>
          </w:tcPr>
          <w:p w14:paraId="5BB5CDE6"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 </w:t>
            </w:r>
          </w:p>
        </w:tc>
        <w:tc>
          <w:tcPr>
            <w:tcW w:w="667" w:type="dxa"/>
            <w:shd w:val="clear" w:color="auto" w:fill="auto"/>
            <w:vAlign w:val="bottom"/>
          </w:tcPr>
          <w:p w14:paraId="68A8EA16"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 </w:t>
            </w:r>
          </w:p>
        </w:tc>
        <w:tc>
          <w:tcPr>
            <w:tcW w:w="1134" w:type="dxa"/>
            <w:shd w:val="clear" w:color="auto" w:fill="auto"/>
            <w:vAlign w:val="bottom"/>
          </w:tcPr>
          <w:p w14:paraId="33293FA9"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 </w:t>
            </w:r>
          </w:p>
        </w:tc>
        <w:tc>
          <w:tcPr>
            <w:tcW w:w="851" w:type="dxa"/>
            <w:shd w:val="clear" w:color="auto" w:fill="auto"/>
            <w:vAlign w:val="bottom"/>
          </w:tcPr>
          <w:p w14:paraId="507BFEED"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 </w:t>
            </w:r>
          </w:p>
        </w:tc>
        <w:tc>
          <w:tcPr>
            <w:tcW w:w="1134" w:type="dxa"/>
            <w:shd w:val="clear" w:color="auto" w:fill="auto"/>
            <w:vAlign w:val="bottom"/>
          </w:tcPr>
          <w:p w14:paraId="3FEF9D58"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 </w:t>
            </w:r>
          </w:p>
        </w:tc>
        <w:tc>
          <w:tcPr>
            <w:tcW w:w="921" w:type="dxa"/>
            <w:shd w:val="clear" w:color="auto" w:fill="auto"/>
            <w:vAlign w:val="bottom"/>
          </w:tcPr>
          <w:p w14:paraId="66740B3D"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 </w:t>
            </w:r>
          </w:p>
        </w:tc>
      </w:tr>
      <w:tr w:rsidR="00456DCF" w:rsidRPr="008F735E" w14:paraId="2BBAE72F" w14:textId="77777777" w:rsidTr="0067450B">
        <w:tc>
          <w:tcPr>
            <w:tcW w:w="1347" w:type="dxa"/>
            <w:shd w:val="clear" w:color="auto" w:fill="auto"/>
            <w:vAlign w:val="bottom"/>
          </w:tcPr>
          <w:p w14:paraId="0A835D73" w14:textId="77777777" w:rsidR="00456DCF" w:rsidRPr="008F735E" w:rsidRDefault="00456DCF" w:rsidP="00447F49">
            <w:pPr>
              <w:keepNext/>
              <w:keepLines/>
              <w:tabs>
                <w:tab w:val="left" w:pos="106"/>
              </w:tabs>
              <w:spacing w:before="60" w:after="60"/>
              <w:rPr>
                <w:sz w:val="14"/>
                <w:szCs w:val="14"/>
              </w:rPr>
            </w:pPr>
            <w:r>
              <w:rPr>
                <w:sz w:val="14"/>
                <w:szCs w:val="14"/>
              </w:rPr>
              <w:t>r* = 3%</w:t>
            </w:r>
          </w:p>
        </w:tc>
        <w:tc>
          <w:tcPr>
            <w:tcW w:w="992" w:type="dxa"/>
            <w:shd w:val="clear" w:color="auto" w:fill="auto"/>
            <w:vAlign w:val="bottom"/>
          </w:tcPr>
          <w:p w14:paraId="6CA4AD29"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 </w:t>
            </w:r>
          </w:p>
        </w:tc>
        <w:tc>
          <w:tcPr>
            <w:tcW w:w="737" w:type="dxa"/>
            <w:shd w:val="clear" w:color="auto" w:fill="auto"/>
            <w:vAlign w:val="bottom"/>
          </w:tcPr>
          <w:p w14:paraId="0493FA6E"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 </w:t>
            </w:r>
          </w:p>
        </w:tc>
        <w:tc>
          <w:tcPr>
            <w:tcW w:w="681" w:type="dxa"/>
            <w:shd w:val="clear" w:color="auto" w:fill="auto"/>
            <w:vAlign w:val="bottom"/>
          </w:tcPr>
          <w:p w14:paraId="3BFAFD3E"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 </w:t>
            </w:r>
          </w:p>
        </w:tc>
        <w:tc>
          <w:tcPr>
            <w:tcW w:w="651" w:type="dxa"/>
            <w:shd w:val="clear" w:color="auto" w:fill="auto"/>
            <w:vAlign w:val="bottom"/>
          </w:tcPr>
          <w:p w14:paraId="26D1FE9A"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 </w:t>
            </w:r>
          </w:p>
        </w:tc>
        <w:tc>
          <w:tcPr>
            <w:tcW w:w="666" w:type="dxa"/>
            <w:shd w:val="clear" w:color="auto" w:fill="auto"/>
            <w:vAlign w:val="bottom"/>
          </w:tcPr>
          <w:p w14:paraId="612133EF"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 </w:t>
            </w:r>
          </w:p>
        </w:tc>
        <w:tc>
          <w:tcPr>
            <w:tcW w:w="667" w:type="dxa"/>
            <w:shd w:val="clear" w:color="auto" w:fill="auto"/>
            <w:vAlign w:val="bottom"/>
          </w:tcPr>
          <w:p w14:paraId="51D2376F"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 </w:t>
            </w:r>
          </w:p>
        </w:tc>
        <w:tc>
          <w:tcPr>
            <w:tcW w:w="1134" w:type="dxa"/>
            <w:shd w:val="clear" w:color="auto" w:fill="auto"/>
            <w:vAlign w:val="bottom"/>
          </w:tcPr>
          <w:p w14:paraId="08A56E7A"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 </w:t>
            </w:r>
          </w:p>
        </w:tc>
        <w:tc>
          <w:tcPr>
            <w:tcW w:w="851" w:type="dxa"/>
            <w:shd w:val="clear" w:color="auto" w:fill="auto"/>
            <w:vAlign w:val="bottom"/>
          </w:tcPr>
          <w:p w14:paraId="4D8BE6EE"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 </w:t>
            </w:r>
          </w:p>
        </w:tc>
        <w:tc>
          <w:tcPr>
            <w:tcW w:w="1134" w:type="dxa"/>
            <w:shd w:val="clear" w:color="auto" w:fill="auto"/>
            <w:vAlign w:val="bottom"/>
          </w:tcPr>
          <w:p w14:paraId="0B272389"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 </w:t>
            </w:r>
          </w:p>
        </w:tc>
        <w:tc>
          <w:tcPr>
            <w:tcW w:w="921" w:type="dxa"/>
            <w:shd w:val="clear" w:color="auto" w:fill="auto"/>
            <w:vAlign w:val="bottom"/>
          </w:tcPr>
          <w:p w14:paraId="778B07E5"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 </w:t>
            </w:r>
          </w:p>
        </w:tc>
      </w:tr>
      <w:tr w:rsidR="00456DCF" w:rsidRPr="008F735E" w14:paraId="20447998" w14:textId="77777777" w:rsidTr="0067450B">
        <w:tc>
          <w:tcPr>
            <w:tcW w:w="1347" w:type="dxa"/>
            <w:shd w:val="clear" w:color="auto" w:fill="auto"/>
            <w:vAlign w:val="bottom"/>
          </w:tcPr>
          <w:p w14:paraId="3C43CDD1" w14:textId="77777777" w:rsidR="00456DCF" w:rsidRPr="00881B58" w:rsidRDefault="00456DCF" w:rsidP="00447F49">
            <w:pPr>
              <w:keepNext/>
              <w:keepLines/>
              <w:tabs>
                <w:tab w:val="left" w:pos="106"/>
              </w:tabs>
              <w:spacing w:before="60" w:after="60"/>
              <w:rPr>
                <w:b/>
                <w:bCs/>
                <w:sz w:val="14"/>
                <w:szCs w:val="14"/>
              </w:rPr>
            </w:pPr>
            <w:r w:rsidRPr="008F735E">
              <w:rPr>
                <w:sz w:val="14"/>
                <w:szCs w:val="14"/>
              </w:rPr>
              <w:tab/>
            </w:r>
            <w:r>
              <w:rPr>
                <w:sz w:val="14"/>
                <w:szCs w:val="14"/>
              </w:rPr>
              <w:t>Inflation = 0%</w:t>
            </w:r>
          </w:p>
        </w:tc>
        <w:tc>
          <w:tcPr>
            <w:tcW w:w="992" w:type="dxa"/>
            <w:shd w:val="clear" w:color="auto" w:fill="auto"/>
            <w:vAlign w:val="bottom"/>
          </w:tcPr>
          <w:p w14:paraId="103B994E"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6.3%</w:t>
            </w:r>
          </w:p>
        </w:tc>
        <w:tc>
          <w:tcPr>
            <w:tcW w:w="737" w:type="dxa"/>
            <w:shd w:val="clear" w:color="auto" w:fill="auto"/>
            <w:vAlign w:val="bottom"/>
          </w:tcPr>
          <w:p w14:paraId="5974F8A9"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2.0%</w:t>
            </w:r>
          </w:p>
        </w:tc>
        <w:tc>
          <w:tcPr>
            <w:tcW w:w="681" w:type="dxa"/>
            <w:shd w:val="clear" w:color="auto" w:fill="auto"/>
            <w:vAlign w:val="bottom"/>
          </w:tcPr>
          <w:p w14:paraId="7774557D"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2.0%</w:t>
            </w:r>
          </w:p>
        </w:tc>
        <w:tc>
          <w:tcPr>
            <w:tcW w:w="651" w:type="dxa"/>
            <w:shd w:val="clear" w:color="auto" w:fill="auto"/>
            <w:vAlign w:val="bottom"/>
          </w:tcPr>
          <w:p w14:paraId="4500A468"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2.0%</w:t>
            </w:r>
          </w:p>
        </w:tc>
        <w:tc>
          <w:tcPr>
            <w:tcW w:w="666" w:type="dxa"/>
            <w:shd w:val="clear" w:color="auto" w:fill="auto"/>
            <w:vAlign w:val="bottom"/>
          </w:tcPr>
          <w:p w14:paraId="44AFF755"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2.0%</w:t>
            </w:r>
          </w:p>
        </w:tc>
        <w:tc>
          <w:tcPr>
            <w:tcW w:w="667" w:type="dxa"/>
            <w:shd w:val="clear" w:color="auto" w:fill="auto"/>
            <w:vAlign w:val="bottom"/>
          </w:tcPr>
          <w:p w14:paraId="2DB051A5"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2.0%</w:t>
            </w:r>
          </w:p>
        </w:tc>
        <w:tc>
          <w:tcPr>
            <w:tcW w:w="1134" w:type="dxa"/>
            <w:shd w:val="clear" w:color="auto" w:fill="auto"/>
            <w:vAlign w:val="bottom"/>
          </w:tcPr>
          <w:p w14:paraId="6038F1A5"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2.0%</w:t>
            </w:r>
          </w:p>
        </w:tc>
        <w:tc>
          <w:tcPr>
            <w:tcW w:w="851" w:type="dxa"/>
            <w:shd w:val="clear" w:color="auto" w:fill="auto"/>
            <w:vAlign w:val="bottom"/>
          </w:tcPr>
          <w:p w14:paraId="039B2475"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2.0%</w:t>
            </w:r>
          </w:p>
        </w:tc>
        <w:tc>
          <w:tcPr>
            <w:tcW w:w="1134" w:type="dxa"/>
            <w:shd w:val="clear" w:color="auto" w:fill="auto"/>
            <w:vAlign w:val="bottom"/>
          </w:tcPr>
          <w:p w14:paraId="71D243FD"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-12.3%</w:t>
            </w:r>
          </w:p>
        </w:tc>
        <w:tc>
          <w:tcPr>
            <w:tcW w:w="921" w:type="dxa"/>
            <w:shd w:val="clear" w:color="auto" w:fill="auto"/>
            <w:vAlign w:val="bottom"/>
          </w:tcPr>
          <w:p w14:paraId="2A87368D"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-36.2%</w:t>
            </w:r>
          </w:p>
        </w:tc>
      </w:tr>
      <w:tr w:rsidR="00456DCF" w:rsidRPr="006B6DF2" w14:paraId="5B2A9A75" w14:textId="77777777" w:rsidTr="0067450B">
        <w:tc>
          <w:tcPr>
            <w:tcW w:w="1347" w:type="dxa"/>
            <w:shd w:val="clear" w:color="auto" w:fill="auto"/>
            <w:vAlign w:val="bottom"/>
          </w:tcPr>
          <w:p w14:paraId="7DF982CC" w14:textId="77777777" w:rsidR="00456DCF" w:rsidRPr="008F735E" w:rsidRDefault="00456DCF" w:rsidP="00447F49">
            <w:pPr>
              <w:keepNext/>
              <w:keepLines/>
              <w:tabs>
                <w:tab w:val="left" w:pos="106"/>
              </w:tabs>
              <w:spacing w:before="60" w:after="60"/>
              <w:rPr>
                <w:sz w:val="14"/>
                <w:szCs w:val="14"/>
              </w:rPr>
            </w:pPr>
            <w:r w:rsidRPr="008F735E">
              <w:rPr>
                <w:sz w:val="14"/>
                <w:szCs w:val="14"/>
              </w:rPr>
              <w:tab/>
            </w:r>
            <w:r>
              <w:rPr>
                <w:sz w:val="14"/>
                <w:szCs w:val="14"/>
              </w:rPr>
              <w:t>Inflation = 2%</w:t>
            </w:r>
          </w:p>
        </w:tc>
        <w:tc>
          <w:tcPr>
            <w:tcW w:w="992" w:type="dxa"/>
            <w:shd w:val="clear" w:color="auto" w:fill="auto"/>
            <w:vAlign w:val="bottom"/>
          </w:tcPr>
          <w:p w14:paraId="681BD05B" w14:textId="77777777" w:rsidR="00456DCF" w:rsidRPr="009E70F4" w:rsidRDefault="00456DCF" w:rsidP="00447F49">
            <w:pPr>
              <w:keepNext/>
              <w:keepLines/>
              <w:tabs>
                <w:tab w:val="decimal" w:pos="256"/>
              </w:tabs>
              <w:spacing w:before="60" w:after="60"/>
              <w:jc w:val="center"/>
              <w:rPr>
                <w:rFonts w:cs="Calibri"/>
                <w:color w:val="000000"/>
                <w:sz w:val="14"/>
                <w:szCs w:val="14"/>
              </w:rPr>
            </w:pPr>
            <w:r w:rsidRPr="009E70F4">
              <w:rPr>
                <w:rFonts w:cs="Calibri"/>
                <w:color w:val="000000"/>
                <w:sz w:val="14"/>
                <w:szCs w:val="14"/>
              </w:rPr>
              <w:t>-7.6%</w:t>
            </w:r>
          </w:p>
        </w:tc>
        <w:tc>
          <w:tcPr>
            <w:tcW w:w="737" w:type="dxa"/>
            <w:shd w:val="clear" w:color="auto" w:fill="auto"/>
            <w:vAlign w:val="bottom"/>
          </w:tcPr>
          <w:p w14:paraId="0E1523D4" w14:textId="77777777" w:rsidR="00456DCF" w:rsidRPr="009E70F4" w:rsidRDefault="00456DCF" w:rsidP="00447F49">
            <w:pPr>
              <w:keepNext/>
              <w:keepLines/>
              <w:tabs>
                <w:tab w:val="decimal" w:pos="256"/>
              </w:tabs>
              <w:spacing w:before="60" w:after="60"/>
              <w:jc w:val="center"/>
              <w:rPr>
                <w:rFonts w:cs="Calibri"/>
                <w:color w:val="000000"/>
                <w:sz w:val="14"/>
                <w:szCs w:val="14"/>
              </w:rPr>
            </w:pPr>
            <w:r w:rsidRPr="009E70F4">
              <w:rPr>
                <w:rFonts w:cs="Calibri"/>
                <w:color w:val="000000"/>
                <w:sz w:val="14"/>
                <w:szCs w:val="14"/>
              </w:rPr>
              <w:t>3.2%</w:t>
            </w:r>
          </w:p>
        </w:tc>
        <w:tc>
          <w:tcPr>
            <w:tcW w:w="681" w:type="dxa"/>
            <w:shd w:val="clear" w:color="auto" w:fill="auto"/>
            <w:vAlign w:val="bottom"/>
          </w:tcPr>
          <w:p w14:paraId="5C0C3DA7" w14:textId="77777777" w:rsidR="00456DCF" w:rsidRPr="009E70F4" w:rsidRDefault="00456DCF" w:rsidP="00447F49">
            <w:pPr>
              <w:keepNext/>
              <w:keepLines/>
              <w:tabs>
                <w:tab w:val="decimal" w:pos="256"/>
              </w:tabs>
              <w:spacing w:before="60" w:after="60"/>
              <w:jc w:val="center"/>
              <w:rPr>
                <w:rFonts w:cs="Calibri"/>
                <w:color w:val="000000"/>
                <w:sz w:val="14"/>
                <w:szCs w:val="14"/>
              </w:rPr>
            </w:pPr>
            <w:r w:rsidRPr="009E70F4">
              <w:rPr>
                <w:rFonts w:cs="Calibri"/>
                <w:color w:val="000000"/>
                <w:sz w:val="14"/>
                <w:szCs w:val="14"/>
              </w:rPr>
              <w:t>2.4%</w:t>
            </w:r>
          </w:p>
        </w:tc>
        <w:tc>
          <w:tcPr>
            <w:tcW w:w="651" w:type="dxa"/>
            <w:shd w:val="clear" w:color="auto" w:fill="auto"/>
            <w:vAlign w:val="bottom"/>
          </w:tcPr>
          <w:p w14:paraId="5CA60E00" w14:textId="77777777" w:rsidR="00456DCF" w:rsidRPr="009E70F4" w:rsidRDefault="00456DCF" w:rsidP="00447F49">
            <w:pPr>
              <w:keepNext/>
              <w:keepLines/>
              <w:tabs>
                <w:tab w:val="decimal" w:pos="256"/>
              </w:tabs>
              <w:spacing w:before="60" w:after="60"/>
              <w:jc w:val="center"/>
              <w:rPr>
                <w:rFonts w:cs="Calibri"/>
                <w:color w:val="000000"/>
                <w:sz w:val="14"/>
                <w:szCs w:val="14"/>
              </w:rPr>
            </w:pPr>
            <w:r w:rsidRPr="009E70F4">
              <w:rPr>
                <w:rFonts w:cs="Calibri"/>
                <w:color w:val="000000"/>
                <w:sz w:val="14"/>
                <w:szCs w:val="14"/>
              </w:rPr>
              <w:t>-3.0%</w:t>
            </w:r>
          </w:p>
        </w:tc>
        <w:tc>
          <w:tcPr>
            <w:tcW w:w="666" w:type="dxa"/>
            <w:shd w:val="clear" w:color="auto" w:fill="auto"/>
            <w:vAlign w:val="bottom"/>
          </w:tcPr>
          <w:p w14:paraId="69740A23" w14:textId="77777777" w:rsidR="00456DCF" w:rsidRPr="009E70F4" w:rsidRDefault="00456DCF" w:rsidP="00447F49">
            <w:pPr>
              <w:keepNext/>
              <w:keepLines/>
              <w:tabs>
                <w:tab w:val="decimal" w:pos="256"/>
              </w:tabs>
              <w:spacing w:before="60" w:after="60"/>
              <w:jc w:val="center"/>
              <w:rPr>
                <w:rFonts w:cs="Calibri"/>
                <w:color w:val="000000"/>
                <w:sz w:val="14"/>
                <w:szCs w:val="14"/>
              </w:rPr>
            </w:pPr>
            <w:r w:rsidRPr="009E70F4">
              <w:rPr>
                <w:rFonts w:cs="Calibri"/>
                <w:color w:val="000000"/>
                <w:sz w:val="14"/>
                <w:szCs w:val="14"/>
              </w:rPr>
              <w:t>-9.2%</w:t>
            </w:r>
          </w:p>
        </w:tc>
        <w:tc>
          <w:tcPr>
            <w:tcW w:w="667" w:type="dxa"/>
            <w:shd w:val="clear" w:color="auto" w:fill="auto"/>
            <w:vAlign w:val="bottom"/>
          </w:tcPr>
          <w:p w14:paraId="23B5CF63" w14:textId="77777777" w:rsidR="00456DCF" w:rsidRPr="009E70F4" w:rsidRDefault="00456DCF" w:rsidP="00447F49">
            <w:pPr>
              <w:keepNext/>
              <w:keepLines/>
              <w:tabs>
                <w:tab w:val="decimal" w:pos="256"/>
              </w:tabs>
              <w:spacing w:before="60" w:after="60"/>
              <w:jc w:val="center"/>
              <w:rPr>
                <w:rFonts w:cs="Calibri"/>
                <w:color w:val="000000"/>
                <w:sz w:val="14"/>
                <w:szCs w:val="14"/>
              </w:rPr>
            </w:pPr>
            <w:r w:rsidRPr="009E70F4">
              <w:rPr>
                <w:rFonts w:cs="Calibri"/>
                <w:color w:val="000000"/>
                <w:sz w:val="14"/>
                <w:szCs w:val="14"/>
              </w:rPr>
              <w:t>-14.8%</w:t>
            </w:r>
          </w:p>
        </w:tc>
        <w:tc>
          <w:tcPr>
            <w:tcW w:w="1134" w:type="dxa"/>
            <w:shd w:val="clear" w:color="auto" w:fill="auto"/>
            <w:vAlign w:val="bottom"/>
          </w:tcPr>
          <w:p w14:paraId="10E1C74F" w14:textId="77777777" w:rsidR="00456DCF" w:rsidRPr="009E70F4" w:rsidRDefault="00456DCF" w:rsidP="00447F49">
            <w:pPr>
              <w:keepNext/>
              <w:keepLines/>
              <w:tabs>
                <w:tab w:val="decimal" w:pos="256"/>
              </w:tabs>
              <w:spacing w:before="60" w:after="60"/>
              <w:jc w:val="center"/>
              <w:rPr>
                <w:rFonts w:cs="Calibri"/>
                <w:color w:val="000000"/>
                <w:sz w:val="14"/>
                <w:szCs w:val="14"/>
              </w:rPr>
            </w:pPr>
            <w:r w:rsidRPr="009E70F4">
              <w:rPr>
                <w:rFonts w:cs="Calibri"/>
                <w:color w:val="000000"/>
                <w:sz w:val="14"/>
                <w:szCs w:val="14"/>
              </w:rPr>
              <w:t>-28.4%</w:t>
            </w:r>
          </w:p>
        </w:tc>
        <w:tc>
          <w:tcPr>
            <w:tcW w:w="851" w:type="dxa"/>
            <w:shd w:val="clear" w:color="auto" w:fill="auto"/>
            <w:vAlign w:val="bottom"/>
          </w:tcPr>
          <w:p w14:paraId="40A7D9F8" w14:textId="77777777" w:rsidR="00456DCF" w:rsidRPr="009E70F4" w:rsidRDefault="00456DCF" w:rsidP="00447F49">
            <w:pPr>
              <w:keepNext/>
              <w:keepLines/>
              <w:tabs>
                <w:tab w:val="decimal" w:pos="256"/>
              </w:tabs>
              <w:spacing w:before="60" w:after="60"/>
              <w:jc w:val="center"/>
              <w:rPr>
                <w:rFonts w:cs="Calibri"/>
                <w:color w:val="000000"/>
                <w:sz w:val="14"/>
                <w:szCs w:val="14"/>
              </w:rPr>
            </w:pPr>
            <w:r w:rsidRPr="009E70F4">
              <w:rPr>
                <w:rFonts w:cs="Calibri"/>
                <w:color w:val="000000"/>
                <w:sz w:val="14"/>
                <w:szCs w:val="14"/>
              </w:rPr>
              <w:t>3.2%</w:t>
            </w:r>
          </w:p>
        </w:tc>
        <w:tc>
          <w:tcPr>
            <w:tcW w:w="1134" w:type="dxa"/>
            <w:shd w:val="clear" w:color="auto" w:fill="auto"/>
            <w:vAlign w:val="bottom"/>
          </w:tcPr>
          <w:p w14:paraId="0261E8BF" w14:textId="77777777" w:rsidR="00456DCF" w:rsidRPr="009E70F4" w:rsidRDefault="00456DCF" w:rsidP="00447F49">
            <w:pPr>
              <w:keepNext/>
              <w:keepLines/>
              <w:tabs>
                <w:tab w:val="decimal" w:pos="256"/>
              </w:tabs>
              <w:spacing w:before="60" w:after="60"/>
              <w:jc w:val="center"/>
              <w:rPr>
                <w:rFonts w:cs="Calibri"/>
                <w:color w:val="000000"/>
                <w:sz w:val="14"/>
                <w:szCs w:val="14"/>
              </w:rPr>
            </w:pPr>
            <w:r w:rsidRPr="009E70F4">
              <w:rPr>
                <w:rFonts w:cs="Calibri"/>
                <w:color w:val="000000"/>
                <w:sz w:val="14"/>
                <w:szCs w:val="14"/>
              </w:rPr>
              <w:t>-54.0%</w:t>
            </w:r>
          </w:p>
        </w:tc>
        <w:tc>
          <w:tcPr>
            <w:tcW w:w="921" w:type="dxa"/>
            <w:shd w:val="clear" w:color="auto" w:fill="auto"/>
            <w:vAlign w:val="bottom"/>
          </w:tcPr>
          <w:p w14:paraId="012A9F36" w14:textId="77777777" w:rsidR="00456DCF" w:rsidRPr="009E70F4" w:rsidRDefault="00456DCF" w:rsidP="00447F49">
            <w:pPr>
              <w:keepNext/>
              <w:keepLines/>
              <w:tabs>
                <w:tab w:val="decimal" w:pos="256"/>
              </w:tabs>
              <w:spacing w:before="60" w:after="60"/>
              <w:jc w:val="center"/>
              <w:rPr>
                <w:rFonts w:cs="Calibri"/>
                <w:color w:val="000000"/>
                <w:sz w:val="14"/>
                <w:szCs w:val="14"/>
              </w:rPr>
            </w:pPr>
            <w:r w:rsidRPr="009E70F4">
              <w:rPr>
                <w:rFonts w:cs="Calibri"/>
                <w:color w:val="000000"/>
                <w:sz w:val="14"/>
                <w:szCs w:val="14"/>
              </w:rPr>
              <w:t>-78.3%</w:t>
            </w:r>
          </w:p>
        </w:tc>
      </w:tr>
      <w:tr w:rsidR="00456DCF" w:rsidRPr="006B6DF2" w14:paraId="53AED1AD" w14:textId="77777777" w:rsidTr="0067450B">
        <w:tc>
          <w:tcPr>
            <w:tcW w:w="1347" w:type="dxa"/>
            <w:shd w:val="clear" w:color="auto" w:fill="auto"/>
            <w:vAlign w:val="bottom"/>
          </w:tcPr>
          <w:p w14:paraId="0C74620D" w14:textId="77777777" w:rsidR="00456DCF" w:rsidRPr="008F735E" w:rsidRDefault="00456DCF" w:rsidP="00447F49">
            <w:pPr>
              <w:keepNext/>
              <w:keepLines/>
              <w:tabs>
                <w:tab w:val="left" w:pos="106"/>
              </w:tabs>
              <w:spacing w:before="60" w:after="60"/>
              <w:rPr>
                <w:sz w:val="14"/>
                <w:szCs w:val="14"/>
              </w:rPr>
            </w:pPr>
            <w:r>
              <w:rPr>
                <w:sz w:val="14"/>
                <w:szCs w:val="14"/>
              </w:rPr>
              <w:t>r* = 5%</w:t>
            </w:r>
          </w:p>
        </w:tc>
        <w:tc>
          <w:tcPr>
            <w:tcW w:w="992" w:type="dxa"/>
            <w:shd w:val="clear" w:color="auto" w:fill="auto"/>
            <w:vAlign w:val="bottom"/>
          </w:tcPr>
          <w:p w14:paraId="67E25480" w14:textId="77777777" w:rsidR="00456DCF" w:rsidRPr="009E70F4" w:rsidRDefault="00456DCF" w:rsidP="00447F49">
            <w:pPr>
              <w:keepNext/>
              <w:keepLines/>
              <w:tabs>
                <w:tab w:val="decimal" w:pos="256"/>
              </w:tabs>
              <w:spacing w:before="60" w:after="60"/>
              <w:jc w:val="center"/>
              <w:rPr>
                <w:rFonts w:cs="Calibri"/>
                <w:color w:val="000000"/>
                <w:sz w:val="14"/>
                <w:szCs w:val="14"/>
              </w:rPr>
            </w:pPr>
            <w:r w:rsidRPr="009E70F4">
              <w:rPr>
                <w:rFonts w:ascii="Calibri" w:hAnsi="Calibri" w:cs="Calibri"/>
                <w:color w:val="000000"/>
                <w:sz w:val="14"/>
                <w:szCs w:val="14"/>
              </w:rPr>
              <w:t> </w:t>
            </w:r>
          </w:p>
        </w:tc>
        <w:tc>
          <w:tcPr>
            <w:tcW w:w="737" w:type="dxa"/>
            <w:shd w:val="clear" w:color="auto" w:fill="auto"/>
            <w:vAlign w:val="bottom"/>
          </w:tcPr>
          <w:p w14:paraId="70D0B326" w14:textId="77777777" w:rsidR="00456DCF" w:rsidRPr="009E70F4" w:rsidRDefault="00456DCF" w:rsidP="00447F49">
            <w:pPr>
              <w:keepNext/>
              <w:keepLines/>
              <w:tabs>
                <w:tab w:val="decimal" w:pos="256"/>
              </w:tabs>
              <w:spacing w:before="60" w:after="60"/>
              <w:jc w:val="center"/>
              <w:rPr>
                <w:rFonts w:cs="Calibri"/>
                <w:color w:val="000000"/>
                <w:sz w:val="14"/>
                <w:szCs w:val="14"/>
              </w:rPr>
            </w:pPr>
            <w:r w:rsidRPr="009E70F4">
              <w:rPr>
                <w:rFonts w:ascii="Calibri" w:hAnsi="Calibri" w:cs="Calibri"/>
                <w:color w:val="000000"/>
                <w:sz w:val="14"/>
                <w:szCs w:val="14"/>
              </w:rPr>
              <w:t> </w:t>
            </w:r>
          </w:p>
        </w:tc>
        <w:tc>
          <w:tcPr>
            <w:tcW w:w="681" w:type="dxa"/>
            <w:shd w:val="clear" w:color="auto" w:fill="auto"/>
            <w:vAlign w:val="bottom"/>
          </w:tcPr>
          <w:p w14:paraId="1175B44A" w14:textId="77777777" w:rsidR="00456DCF" w:rsidRPr="009E70F4" w:rsidRDefault="00456DCF" w:rsidP="00447F49">
            <w:pPr>
              <w:keepNext/>
              <w:keepLines/>
              <w:tabs>
                <w:tab w:val="decimal" w:pos="256"/>
              </w:tabs>
              <w:spacing w:before="60" w:after="60"/>
              <w:jc w:val="center"/>
              <w:rPr>
                <w:rFonts w:cs="Calibri"/>
                <w:color w:val="000000"/>
                <w:sz w:val="14"/>
                <w:szCs w:val="14"/>
              </w:rPr>
            </w:pPr>
            <w:r w:rsidRPr="009E70F4">
              <w:rPr>
                <w:rFonts w:ascii="Calibri" w:hAnsi="Calibri" w:cs="Calibri"/>
                <w:color w:val="000000"/>
                <w:sz w:val="14"/>
                <w:szCs w:val="14"/>
              </w:rPr>
              <w:t> </w:t>
            </w:r>
          </w:p>
        </w:tc>
        <w:tc>
          <w:tcPr>
            <w:tcW w:w="651" w:type="dxa"/>
            <w:shd w:val="clear" w:color="auto" w:fill="auto"/>
            <w:vAlign w:val="bottom"/>
          </w:tcPr>
          <w:p w14:paraId="6B923B8B" w14:textId="77777777" w:rsidR="00456DCF" w:rsidRPr="009E70F4" w:rsidRDefault="00456DCF" w:rsidP="00447F49">
            <w:pPr>
              <w:keepNext/>
              <w:keepLines/>
              <w:tabs>
                <w:tab w:val="decimal" w:pos="256"/>
              </w:tabs>
              <w:spacing w:before="60" w:after="60"/>
              <w:jc w:val="center"/>
              <w:rPr>
                <w:rFonts w:cs="Calibri"/>
                <w:color w:val="000000"/>
                <w:sz w:val="14"/>
                <w:szCs w:val="14"/>
              </w:rPr>
            </w:pPr>
            <w:r w:rsidRPr="009E70F4">
              <w:rPr>
                <w:rFonts w:ascii="Calibri" w:hAnsi="Calibri" w:cs="Calibri"/>
                <w:color w:val="000000"/>
                <w:sz w:val="14"/>
                <w:szCs w:val="14"/>
              </w:rPr>
              <w:t> </w:t>
            </w:r>
          </w:p>
        </w:tc>
        <w:tc>
          <w:tcPr>
            <w:tcW w:w="666" w:type="dxa"/>
            <w:shd w:val="clear" w:color="auto" w:fill="auto"/>
            <w:vAlign w:val="bottom"/>
          </w:tcPr>
          <w:p w14:paraId="64033A55" w14:textId="77777777" w:rsidR="00456DCF" w:rsidRPr="009E70F4" w:rsidRDefault="00456DCF" w:rsidP="00447F49">
            <w:pPr>
              <w:keepNext/>
              <w:keepLines/>
              <w:tabs>
                <w:tab w:val="decimal" w:pos="256"/>
              </w:tabs>
              <w:spacing w:before="60" w:after="60"/>
              <w:jc w:val="center"/>
              <w:rPr>
                <w:rFonts w:cs="Calibri"/>
                <w:color w:val="000000"/>
                <w:sz w:val="14"/>
                <w:szCs w:val="14"/>
              </w:rPr>
            </w:pPr>
            <w:r w:rsidRPr="009E70F4">
              <w:rPr>
                <w:rFonts w:ascii="Calibri" w:hAnsi="Calibri" w:cs="Calibri"/>
                <w:color w:val="000000"/>
                <w:sz w:val="14"/>
                <w:szCs w:val="14"/>
              </w:rPr>
              <w:t> </w:t>
            </w:r>
          </w:p>
        </w:tc>
        <w:tc>
          <w:tcPr>
            <w:tcW w:w="667" w:type="dxa"/>
            <w:shd w:val="clear" w:color="auto" w:fill="auto"/>
            <w:vAlign w:val="bottom"/>
          </w:tcPr>
          <w:p w14:paraId="6AE1AC03" w14:textId="77777777" w:rsidR="00456DCF" w:rsidRPr="009E70F4" w:rsidRDefault="00456DCF" w:rsidP="00447F49">
            <w:pPr>
              <w:keepNext/>
              <w:keepLines/>
              <w:tabs>
                <w:tab w:val="decimal" w:pos="256"/>
              </w:tabs>
              <w:spacing w:before="60" w:after="60"/>
              <w:jc w:val="center"/>
              <w:rPr>
                <w:rFonts w:cs="Calibri"/>
                <w:color w:val="000000"/>
                <w:sz w:val="14"/>
                <w:szCs w:val="14"/>
              </w:rPr>
            </w:pPr>
            <w:r w:rsidRPr="009E70F4">
              <w:rPr>
                <w:rFonts w:ascii="Calibri" w:hAnsi="Calibri" w:cs="Calibri"/>
                <w:color w:val="000000"/>
                <w:sz w:val="14"/>
                <w:szCs w:val="14"/>
              </w:rPr>
              <w:t> </w:t>
            </w:r>
          </w:p>
        </w:tc>
        <w:tc>
          <w:tcPr>
            <w:tcW w:w="1134" w:type="dxa"/>
            <w:shd w:val="clear" w:color="auto" w:fill="auto"/>
            <w:vAlign w:val="bottom"/>
          </w:tcPr>
          <w:p w14:paraId="6E90E6D3" w14:textId="77777777" w:rsidR="00456DCF" w:rsidRPr="009E70F4" w:rsidRDefault="00456DCF" w:rsidP="00447F49">
            <w:pPr>
              <w:keepNext/>
              <w:keepLines/>
              <w:tabs>
                <w:tab w:val="decimal" w:pos="256"/>
              </w:tabs>
              <w:spacing w:before="60" w:after="60"/>
              <w:jc w:val="center"/>
              <w:rPr>
                <w:rFonts w:cs="Calibri"/>
                <w:color w:val="000000"/>
                <w:sz w:val="14"/>
                <w:szCs w:val="14"/>
              </w:rPr>
            </w:pPr>
            <w:r w:rsidRPr="009E70F4">
              <w:rPr>
                <w:rFonts w:ascii="Calibri" w:hAnsi="Calibri" w:cs="Calibri"/>
                <w:color w:val="000000"/>
                <w:sz w:val="14"/>
                <w:szCs w:val="14"/>
              </w:rPr>
              <w:t> </w:t>
            </w:r>
          </w:p>
        </w:tc>
        <w:tc>
          <w:tcPr>
            <w:tcW w:w="851" w:type="dxa"/>
            <w:shd w:val="clear" w:color="auto" w:fill="auto"/>
            <w:vAlign w:val="bottom"/>
          </w:tcPr>
          <w:p w14:paraId="47F410AE" w14:textId="77777777" w:rsidR="00456DCF" w:rsidRPr="009E70F4" w:rsidRDefault="00456DCF" w:rsidP="00447F49">
            <w:pPr>
              <w:keepNext/>
              <w:keepLines/>
              <w:tabs>
                <w:tab w:val="decimal" w:pos="256"/>
              </w:tabs>
              <w:spacing w:before="60" w:after="60"/>
              <w:jc w:val="center"/>
              <w:rPr>
                <w:rFonts w:cs="Calibri"/>
                <w:color w:val="000000"/>
                <w:sz w:val="14"/>
                <w:szCs w:val="14"/>
              </w:rPr>
            </w:pPr>
            <w:r w:rsidRPr="009E70F4">
              <w:rPr>
                <w:rFonts w:ascii="Calibri" w:hAnsi="Calibri" w:cs="Calibri"/>
                <w:color w:val="000000"/>
                <w:sz w:val="14"/>
                <w:szCs w:val="14"/>
              </w:rPr>
              <w:t> </w:t>
            </w:r>
          </w:p>
        </w:tc>
        <w:tc>
          <w:tcPr>
            <w:tcW w:w="1134" w:type="dxa"/>
            <w:shd w:val="clear" w:color="auto" w:fill="auto"/>
            <w:vAlign w:val="bottom"/>
          </w:tcPr>
          <w:p w14:paraId="7930CFEE" w14:textId="77777777" w:rsidR="00456DCF" w:rsidRPr="009E70F4" w:rsidRDefault="00456DCF" w:rsidP="00447F49">
            <w:pPr>
              <w:keepNext/>
              <w:keepLines/>
              <w:tabs>
                <w:tab w:val="decimal" w:pos="256"/>
              </w:tabs>
              <w:spacing w:before="60" w:after="60"/>
              <w:jc w:val="center"/>
              <w:rPr>
                <w:rFonts w:cs="Calibri"/>
                <w:color w:val="000000"/>
                <w:sz w:val="14"/>
                <w:szCs w:val="14"/>
              </w:rPr>
            </w:pPr>
            <w:r w:rsidRPr="009E70F4">
              <w:rPr>
                <w:rFonts w:ascii="Calibri" w:hAnsi="Calibri" w:cs="Calibri"/>
                <w:color w:val="000000"/>
                <w:sz w:val="14"/>
                <w:szCs w:val="14"/>
              </w:rPr>
              <w:t> </w:t>
            </w:r>
          </w:p>
        </w:tc>
        <w:tc>
          <w:tcPr>
            <w:tcW w:w="921" w:type="dxa"/>
            <w:shd w:val="clear" w:color="auto" w:fill="auto"/>
            <w:vAlign w:val="bottom"/>
          </w:tcPr>
          <w:p w14:paraId="60A5CCCD" w14:textId="77777777" w:rsidR="00456DCF" w:rsidRPr="009E70F4" w:rsidRDefault="00456DCF" w:rsidP="00447F49">
            <w:pPr>
              <w:keepNext/>
              <w:keepLines/>
              <w:tabs>
                <w:tab w:val="decimal" w:pos="256"/>
              </w:tabs>
              <w:spacing w:before="60" w:after="60"/>
              <w:jc w:val="center"/>
              <w:rPr>
                <w:rFonts w:cs="Calibri"/>
                <w:color w:val="000000"/>
                <w:sz w:val="14"/>
                <w:szCs w:val="14"/>
              </w:rPr>
            </w:pPr>
            <w:r w:rsidRPr="009E70F4">
              <w:rPr>
                <w:rFonts w:ascii="Calibri" w:hAnsi="Calibri" w:cs="Calibri"/>
                <w:color w:val="000000"/>
                <w:sz w:val="14"/>
                <w:szCs w:val="14"/>
              </w:rPr>
              <w:t> </w:t>
            </w:r>
          </w:p>
        </w:tc>
      </w:tr>
      <w:tr w:rsidR="00456DCF" w:rsidRPr="006B6DF2" w14:paraId="53C85C4E" w14:textId="77777777" w:rsidTr="0067450B">
        <w:tc>
          <w:tcPr>
            <w:tcW w:w="1347" w:type="dxa"/>
            <w:shd w:val="clear" w:color="auto" w:fill="auto"/>
            <w:vAlign w:val="bottom"/>
          </w:tcPr>
          <w:p w14:paraId="74AEC7B1" w14:textId="77777777" w:rsidR="00456DCF" w:rsidRPr="008F735E" w:rsidRDefault="00456DCF" w:rsidP="00447F49">
            <w:pPr>
              <w:keepNext/>
              <w:keepLines/>
              <w:tabs>
                <w:tab w:val="left" w:pos="106"/>
              </w:tabs>
              <w:spacing w:before="60" w:after="60"/>
              <w:rPr>
                <w:b/>
                <w:bCs/>
                <w:sz w:val="14"/>
                <w:szCs w:val="14"/>
              </w:rPr>
            </w:pPr>
            <w:r w:rsidRPr="008F735E">
              <w:rPr>
                <w:sz w:val="14"/>
                <w:szCs w:val="14"/>
              </w:rPr>
              <w:tab/>
            </w:r>
            <w:r>
              <w:rPr>
                <w:sz w:val="14"/>
                <w:szCs w:val="14"/>
              </w:rPr>
              <w:t>Inflation = 0%</w:t>
            </w:r>
          </w:p>
        </w:tc>
        <w:tc>
          <w:tcPr>
            <w:tcW w:w="992" w:type="dxa"/>
            <w:shd w:val="clear" w:color="auto" w:fill="auto"/>
            <w:vAlign w:val="bottom"/>
          </w:tcPr>
          <w:p w14:paraId="702FB614"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5.2%</w:t>
            </w:r>
          </w:p>
        </w:tc>
        <w:tc>
          <w:tcPr>
            <w:tcW w:w="737" w:type="dxa"/>
            <w:shd w:val="clear" w:color="auto" w:fill="auto"/>
            <w:vAlign w:val="bottom"/>
          </w:tcPr>
          <w:p w14:paraId="716902F1"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2.0%</w:t>
            </w:r>
          </w:p>
        </w:tc>
        <w:tc>
          <w:tcPr>
            <w:tcW w:w="681" w:type="dxa"/>
            <w:shd w:val="clear" w:color="auto" w:fill="auto"/>
            <w:vAlign w:val="bottom"/>
          </w:tcPr>
          <w:p w14:paraId="64A2C41F"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2.0%</w:t>
            </w:r>
          </w:p>
        </w:tc>
        <w:tc>
          <w:tcPr>
            <w:tcW w:w="651" w:type="dxa"/>
            <w:shd w:val="clear" w:color="auto" w:fill="auto"/>
            <w:vAlign w:val="bottom"/>
          </w:tcPr>
          <w:p w14:paraId="534ABABE"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2.0%</w:t>
            </w:r>
          </w:p>
        </w:tc>
        <w:tc>
          <w:tcPr>
            <w:tcW w:w="666" w:type="dxa"/>
            <w:shd w:val="clear" w:color="auto" w:fill="auto"/>
            <w:vAlign w:val="bottom"/>
          </w:tcPr>
          <w:p w14:paraId="74EAF0EC"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2.0%</w:t>
            </w:r>
          </w:p>
        </w:tc>
        <w:tc>
          <w:tcPr>
            <w:tcW w:w="667" w:type="dxa"/>
            <w:shd w:val="clear" w:color="auto" w:fill="auto"/>
            <w:vAlign w:val="bottom"/>
          </w:tcPr>
          <w:p w14:paraId="74298F22"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2.0%</w:t>
            </w:r>
          </w:p>
        </w:tc>
        <w:tc>
          <w:tcPr>
            <w:tcW w:w="1134" w:type="dxa"/>
            <w:shd w:val="clear" w:color="auto" w:fill="auto"/>
            <w:vAlign w:val="bottom"/>
          </w:tcPr>
          <w:p w14:paraId="7964FFDD"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2.0%</w:t>
            </w:r>
          </w:p>
        </w:tc>
        <w:tc>
          <w:tcPr>
            <w:tcW w:w="851" w:type="dxa"/>
            <w:shd w:val="clear" w:color="auto" w:fill="auto"/>
            <w:vAlign w:val="bottom"/>
          </w:tcPr>
          <w:p w14:paraId="32B8AC82"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2.0%</w:t>
            </w:r>
          </w:p>
        </w:tc>
        <w:tc>
          <w:tcPr>
            <w:tcW w:w="1134" w:type="dxa"/>
            <w:shd w:val="clear" w:color="auto" w:fill="auto"/>
            <w:vAlign w:val="bottom"/>
          </w:tcPr>
          <w:p w14:paraId="71BECE5E"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-6.1%</w:t>
            </w:r>
          </w:p>
        </w:tc>
        <w:tc>
          <w:tcPr>
            <w:tcW w:w="921" w:type="dxa"/>
            <w:shd w:val="clear" w:color="auto" w:fill="auto"/>
            <w:vAlign w:val="bottom"/>
          </w:tcPr>
          <w:p w14:paraId="3FFFCF81"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-36.2%</w:t>
            </w:r>
          </w:p>
        </w:tc>
      </w:tr>
      <w:tr w:rsidR="00456DCF" w:rsidRPr="006B6DF2" w14:paraId="60C4FD05" w14:textId="77777777" w:rsidTr="0067450B">
        <w:tc>
          <w:tcPr>
            <w:tcW w:w="1347" w:type="dxa"/>
            <w:shd w:val="clear" w:color="auto" w:fill="auto"/>
            <w:vAlign w:val="bottom"/>
          </w:tcPr>
          <w:p w14:paraId="488A1160" w14:textId="77777777" w:rsidR="00456DCF" w:rsidRPr="008F735E" w:rsidRDefault="00456DCF" w:rsidP="00447F49">
            <w:pPr>
              <w:keepNext/>
              <w:keepLines/>
              <w:tabs>
                <w:tab w:val="left" w:pos="106"/>
              </w:tabs>
              <w:spacing w:before="60" w:after="60"/>
              <w:rPr>
                <w:sz w:val="14"/>
                <w:szCs w:val="14"/>
              </w:rPr>
            </w:pPr>
            <w:r w:rsidRPr="008F735E">
              <w:rPr>
                <w:sz w:val="14"/>
                <w:szCs w:val="14"/>
              </w:rPr>
              <w:tab/>
            </w:r>
            <w:r>
              <w:rPr>
                <w:sz w:val="14"/>
                <w:szCs w:val="14"/>
              </w:rPr>
              <w:t>Inflation = 2%</w:t>
            </w:r>
          </w:p>
        </w:tc>
        <w:tc>
          <w:tcPr>
            <w:tcW w:w="992" w:type="dxa"/>
            <w:shd w:val="clear" w:color="auto" w:fill="auto"/>
            <w:vAlign w:val="bottom"/>
          </w:tcPr>
          <w:p w14:paraId="73C95F12"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-4.3%</w:t>
            </w:r>
          </w:p>
        </w:tc>
        <w:tc>
          <w:tcPr>
            <w:tcW w:w="737" w:type="dxa"/>
            <w:shd w:val="clear" w:color="auto" w:fill="auto"/>
            <w:vAlign w:val="bottom"/>
          </w:tcPr>
          <w:p w14:paraId="0F513585"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2.7%</w:t>
            </w:r>
          </w:p>
        </w:tc>
        <w:tc>
          <w:tcPr>
            <w:tcW w:w="681" w:type="dxa"/>
            <w:shd w:val="clear" w:color="auto" w:fill="auto"/>
            <w:vAlign w:val="bottom"/>
          </w:tcPr>
          <w:p w14:paraId="397EEC15"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2.0%</w:t>
            </w:r>
          </w:p>
        </w:tc>
        <w:tc>
          <w:tcPr>
            <w:tcW w:w="651" w:type="dxa"/>
            <w:shd w:val="clear" w:color="auto" w:fill="auto"/>
            <w:vAlign w:val="bottom"/>
          </w:tcPr>
          <w:p w14:paraId="5533C761"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-2.0%</w:t>
            </w:r>
          </w:p>
        </w:tc>
        <w:tc>
          <w:tcPr>
            <w:tcW w:w="666" w:type="dxa"/>
            <w:shd w:val="clear" w:color="auto" w:fill="auto"/>
            <w:vAlign w:val="bottom"/>
          </w:tcPr>
          <w:p w14:paraId="3E74C7B4"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-5.8%</w:t>
            </w:r>
          </w:p>
        </w:tc>
        <w:tc>
          <w:tcPr>
            <w:tcW w:w="667" w:type="dxa"/>
            <w:shd w:val="clear" w:color="auto" w:fill="auto"/>
            <w:vAlign w:val="bottom"/>
          </w:tcPr>
          <w:p w14:paraId="211E1AB6"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-8.7%</w:t>
            </w:r>
          </w:p>
        </w:tc>
        <w:tc>
          <w:tcPr>
            <w:tcW w:w="1134" w:type="dxa"/>
            <w:shd w:val="clear" w:color="auto" w:fill="auto"/>
            <w:vAlign w:val="bottom"/>
          </w:tcPr>
          <w:p w14:paraId="1AF37530"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-14.2%</w:t>
            </w:r>
          </w:p>
        </w:tc>
        <w:tc>
          <w:tcPr>
            <w:tcW w:w="851" w:type="dxa"/>
            <w:shd w:val="clear" w:color="auto" w:fill="auto"/>
            <w:vAlign w:val="bottom"/>
          </w:tcPr>
          <w:p w14:paraId="08E36757"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2.7%</w:t>
            </w:r>
          </w:p>
        </w:tc>
        <w:tc>
          <w:tcPr>
            <w:tcW w:w="1134" w:type="dxa"/>
            <w:shd w:val="clear" w:color="auto" w:fill="auto"/>
            <w:vAlign w:val="bottom"/>
          </w:tcPr>
          <w:p w14:paraId="1700313A"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-25.4%</w:t>
            </w:r>
          </w:p>
        </w:tc>
        <w:tc>
          <w:tcPr>
            <w:tcW w:w="921" w:type="dxa"/>
            <w:shd w:val="clear" w:color="auto" w:fill="auto"/>
            <w:vAlign w:val="bottom"/>
          </w:tcPr>
          <w:p w14:paraId="7D6D2F85" w14:textId="77777777" w:rsidR="00456DCF" w:rsidRPr="009E70F4" w:rsidRDefault="00456DCF" w:rsidP="00447F49">
            <w:pPr>
              <w:keepNext/>
              <w:keepLines/>
              <w:tabs>
                <w:tab w:val="decimal" w:pos="256"/>
              </w:tabs>
              <w:spacing w:before="60" w:after="60"/>
              <w:jc w:val="center"/>
              <w:rPr>
                <w:sz w:val="14"/>
                <w:szCs w:val="14"/>
              </w:rPr>
            </w:pPr>
            <w:r w:rsidRPr="009E70F4">
              <w:rPr>
                <w:rFonts w:cs="Calibri"/>
                <w:color w:val="000000"/>
                <w:sz w:val="14"/>
                <w:szCs w:val="14"/>
              </w:rPr>
              <w:t>-58.7%</w:t>
            </w:r>
          </w:p>
        </w:tc>
      </w:tr>
    </w:tbl>
    <w:p w14:paraId="36F45DC0" w14:textId="77777777" w:rsidR="00A5382D" w:rsidRPr="004439C9" w:rsidRDefault="00A5382D" w:rsidP="004439C9">
      <w:pPr>
        <w:spacing w:before="0"/>
      </w:pPr>
    </w:p>
    <w:p w14:paraId="7DDB911A" w14:textId="431926DA" w:rsidR="00027043" w:rsidRPr="0067053F" w:rsidRDefault="00027043" w:rsidP="00F14576">
      <w:pPr>
        <w:pStyle w:val="NumberedParagraph"/>
      </w:pPr>
      <w:r w:rsidRPr="0067053F">
        <w:t>We draw attention to the following points:</w:t>
      </w:r>
    </w:p>
    <w:p w14:paraId="46AC495B" w14:textId="77777777" w:rsidR="00236B5D" w:rsidRDefault="00E133F7" w:rsidP="008C3DFF">
      <w:pPr>
        <w:pStyle w:val="NumberedParagraph-BulletL1"/>
      </w:pPr>
      <w:r>
        <w:t xml:space="preserve">The general </w:t>
      </w:r>
      <w:r w:rsidR="00236B5D">
        <w:t>structure of EMTRs is similar to the full distribution case.</w:t>
      </w:r>
    </w:p>
    <w:p w14:paraId="0963DCA3" w14:textId="7A9AFF5D" w:rsidR="003C6D5F" w:rsidRDefault="00236B5D" w:rsidP="008C3DFF">
      <w:pPr>
        <w:pStyle w:val="NumberedParagraph-BulletL1"/>
      </w:pPr>
      <w:r>
        <w:t>In the absence of inflation,</w:t>
      </w:r>
      <w:r w:rsidR="00735BC0">
        <w:t xml:space="preserve"> EMTRs for PME where </w:t>
      </w:r>
      <w:r w:rsidR="00066EAF">
        <w:t xml:space="preserve">economic depreciation is assumed to be </w:t>
      </w:r>
      <w:proofErr w:type="gramStart"/>
      <w:r w:rsidR="00066EAF">
        <w:t>deductible</w:t>
      </w:r>
      <w:proofErr w:type="gramEnd"/>
      <w:r w:rsidR="00066EAF">
        <w:t xml:space="preserve"> or inventories would be equal to the 2% rate of AIL</w:t>
      </w:r>
      <w:r w:rsidR="00A22495">
        <w:t xml:space="preserve">. For appreciating assets or assets where capital expenditure can be expensed, EMTRs </w:t>
      </w:r>
      <w:r w:rsidR="003C6D5F">
        <w:t>could be significantly negative.</w:t>
      </w:r>
    </w:p>
    <w:p w14:paraId="6B5A9C9C" w14:textId="6064D93C" w:rsidR="00027043" w:rsidRDefault="003C6D5F" w:rsidP="008C3DFF">
      <w:pPr>
        <w:pStyle w:val="NumberedParagraph-BulletL1"/>
      </w:pPr>
      <w:r>
        <w:t>Small amounts of inflation could make these EMTRs more negative.</w:t>
      </w:r>
    </w:p>
    <w:p w14:paraId="725CE389" w14:textId="274380EE" w:rsidR="001C080B" w:rsidRDefault="001C080B" w:rsidP="008C3DFF">
      <w:pPr>
        <w:pStyle w:val="NumberedParagraph-BulletL1"/>
      </w:pPr>
      <w:r>
        <w:t xml:space="preserve">Note that the </w:t>
      </w:r>
      <w:r w:rsidR="009337ED">
        <w:t xml:space="preserve">case in A2.9 with full retention is the same as would be true of full distribution if shareholders were taxed at a rate of </w:t>
      </w:r>
      <w:r w:rsidR="00CE1A7C">
        <w:rPr>
          <w:i/>
          <w:iCs/>
        </w:rPr>
        <w:t>m =</w:t>
      </w:r>
      <w:r w:rsidR="00CE1A7C">
        <w:t xml:space="preserve"> 28%.</w:t>
      </w:r>
    </w:p>
    <w:p w14:paraId="32D19A59" w14:textId="3DA7D283" w:rsidR="004E440F" w:rsidRDefault="009A11D5" w:rsidP="00975936">
      <w:pPr>
        <w:pStyle w:val="Heading1-Appendix"/>
        <w:ind w:left="0"/>
        <w:rPr>
          <w:rFonts w:eastAsia="Calibri"/>
        </w:rPr>
      </w:pPr>
      <w:r>
        <w:rPr>
          <w:rFonts w:eastAsia="Calibri"/>
        </w:rPr>
        <w:lastRenderedPageBreak/>
        <w:br/>
      </w:r>
      <w:r>
        <w:rPr>
          <w:rFonts w:eastAsia="Calibri"/>
        </w:rPr>
        <w:br/>
      </w:r>
      <w:bookmarkStart w:id="19" w:name="_Toc108451957"/>
      <w:r w:rsidR="006E7808" w:rsidRPr="006E7808">
        <w:rPr>
          <w:rFonts w:eastAsia="Calibri"/>
        </w:rPr>
        <w:t>Economic depreciation and EMTRs for equity-financed and debt-finance</w:t>
      </w:r>
      <w:r w:rsidR="00997B06">
        <w:rPr>
          <w:rFonts w:eastAsia="Calibri"/>
        </w:rPr>
        <w:t>d</w:t>
      </w:r>
      <w:r w:rsidR="006E7808" w:rsidRPr="006E7808">
        <w:rPr>
          <w:rFonts w:eastAsia="Calibri"/>
        </w:rPr>
        <w:t xml:space="preserve"> investments</w:t>
      </w:r>
      <w:bookmarkEnd w:id="19"/>
    </w:p>
    <w:p w14:paraId="763398BE" w14:textId="0BC22109" w:rsidR="007756C8" w:rsidRDefault="00E52BD6" w:rsidP="007756C8">
      <w:pPr>
        <w:pStyle w:val="NumberedParagraph"/>
        <w:numPr>
          <w:ilvl w:val="1"/>
          <w:numId w:val="59"/>
        </w:numPr>
        <w:tabs>
          <w:tab w:val="num" w:pos="851"/>
        </w:tabs>
        <w:spacing w:before="200"/>
        <w:ind w:left="851" w:hanging="851"/>
      </w:pPr>
      <w:r>
        <w:t>In the OECD model, assets are acquired in one year and provide a stream of cash flows starting in the next year. In reality, investments will generate streams of cash flows throughout different years, but the model is simplifying things and assuming a single cash flow each year. It seems most consistent to think of assets as being acquired at the end of an initial year, say year 0, which is why they produce no revenue in the initial year.</w:t>
      </w:r>
    </w:p>
    <w:p w14:paraId="3477A28A" w14:textId="4CD4E4AE" w:rsidR="007756C8" w:rsidRDefault="006B6659" w:rsidP="007756C8">
      <w:pPr>
        <w:pStyle w:val="NumberedParagraph"/>
        <w:numPr>
          <w:ilvl w:val="1"/>
          <w:numId w:val="59"/>
        </w:numPr>
        <w:tabs>
          <w:tab w:val="num" w:pos="851"/>
        </w:tabs>
        <w:spacing w:before="200"/>
        <w:ind w:left="851" w:hanging="851"/>
      </w:pPr>
      <w:r>
        <w:t>In the OECD model, depreciation deductions start in year 1, the year after an asset is acquired. This is slightly less generous than New Zealand tax rules. Suppose, for example, that an asset costing $10,000 is acquired in the 12</w:t>
      </w:r>
      <w:r w:rsidRPr="001A296E">
        <w:rPr>
          <w:vertAlign w:val="superscript"/>
        </w:rPr>
        <w:t>th</w:t>
      </w:r>
      <w:r>
        <w:t xml:space="preserve"> month of an income year and qualifies for 10% DV depreciation. A depreciation deduction of </w:t>
      </w:r>
      <w:r w:rsidR="002E10A6">
        <w:t xml:space="preserve">1/12 of a full year’s deduction, namely, </w:t>
      </w:r>
      <w:r>
        <w:t>$83.33 would be allowed in the year it is acquired. This first year allowance is ignored in the OECD model. Assuming that depreciation deductions start in year 1 allows us to model ‘economic depreciation’. Strictly, if assets provide no cash flows in the year they are acquired, they would not be expected to depreciate in that year. Any depreciation in the initial year would be accelerated.</w:t>
      </w:r>
    </w:p>
    <w:p w14:paraId="6CA3692A" w14:textId="7340A9AC" w:rsidR="007756C8" w:rsidRDefault="00762259" w:rsidP="007756C8">
      <w:pPr>
        <w:pStyle w:val="NumberedParagraph"/>
        <w:numPr>
          <w:ilvl w:val="1"/>
          <w:numId w:val="59"/>
        </w:numPr>
        <w:tabs>
          <w:tab w:val="num" w:pos="851"/>
        </w:tabs>
        <w:spacing w:before="200"/>
        <w:ind w:left="851" w:hanging="851"/>
      </w:pPr>
      <w:r>
        <w:t>It might be thought that assuming depreciation deductions start in the initial year could understate the generosity of depreciation deductions considerably for assets acquired earlier in an income year. For example, an asset acquired halfway through an income year would qualify for half of a full year’s depreciation in that initial year. However, a firm is also likely to be taxed in the initial income year on any earnings from that asset in that year. The OECD’s assumption of an asset being acquired in year 0, starting to earn revenue in year 1 and normally starting to claim depreciation deductions in year 1 seems reasonable as a way of analysing tax settings in New Zealand.</w:t>
      </w:r>
    </w:p>
    <w:p w14:paraId="540652B6" w14:textId="064F3B05" w:rsidR="007756C8" w:rsidRDefault="00313166" w:rsidP="007756C8">
      <w:pPr>
        <w:pStyle w:val="NumberedParagraph"/>
        <w:numPr>
          <w:ilvl w:val="1"/>
          <w:numId w:val="59"/>
        </w:numPr>
        <w:tabs>
          <w:tab w:val="num" w:pos="851"/>
        </w:tabs>
        <w:spacing w:before="200"/>
        <w:ind w:left="851" w:hanging="851"/>
      </w:pPr>
      <w:r>
        <w:t>The cost of capital and EMTR estimates from appendix 2 can be most easily understood by considering the following four specific assets:</w:t>
      </w:r>
    </w:p>
    <w:p w14:paraId="11A00409" w14:textId="5EC64736" w:rsidR="007756C8" w:rsidRDefault="00246E61" w:rsidP="007756C8">
      <w:pPr>
        <w:pStyle w:val="NumberedParagraph-BulletL1"/>
        <w:numPr>
          <w:ilvl w:val="2"/>
          <w:numId w:val="59"/>
        </w:numPr>
        <w:spacing w:before="200" w:after="200"/>
      </w:pPr>
      <w:r>
        <w:t>A zero-depreciation asset (</w:t>
      </w:r>
      <w:r>
        <w:rPr>
          <w:i/>
          <w:iCs/>
        </w:rPr>
        <w:t xml:space="preserve">d </w:t>
      </w:r>
      <w:r>
        <w:t>= 0%) that is acquired at a cost of $10,000 at the end of year 0 and provides a constant real revenue stream in each future year.</w:t>
      </w:r>
    </w:p>
    <w:p w14:paraId="42C780AC" w14:textId="4A79017B" w:rsidR="007756C8" w:rsidRDefault="006B4055" w:rsidP="007756C8">
      <w:pPr>
        <w:pStyle w:val="NumberedParagraph-BulletL1"/>
        <w:numPr>
          <w:ilvl w:val="2"/>
          <w:numId w:val="59"/>
        </w:numPr>
        <w:spacing w:before="200" w:after="200"/>
      </w:pPr>
      <w:r>
        <w:t>A two-period asset that is acquired at a cost of $10,000 at the end of year 0 and fully depreciates over the first year it is used (</w:t>
      </w:r>
      <w:r>
        <w:rPr>
          <w:i/>
          <w:iCs/>
        </w:rPr>
        <w:t xml:space="preserve">d </w:t>
      </w:r>
      <w:r>
        <w:t>= 100%). Thus, it provides a single positive cash flow at the end of year 1 and then expires.</w:t>
      </w:r>
    </w:p>
    <w:p w14:paraId="7AA0112F" w14:textId="59F326A4" w:rsidR="007756C8" w:rsidRDefault="00BB5F63" w:rsidP="007756C8">
      <w:pPr>
        <w:pStyle w:val="NumberedParagraph-BulletL1"/>
        <w:numPr>
          <w:ilvl w:val="2"/>
          <w:numId w:val="59"/>
        </w:numPr>
        <w:spacing w:before="200" w:after="200"/>
      </w:pPr>
      <w:r>
        <w:t xml:space="preserve">A depreciating asset with an intermediate rate of DV economic depreciation, (say </w:t>
      </w:r>
      <w:r>
        <w:rPr>
          <w:i/>
          <w:iCs/>
        </w:rPr>
        <w:t>d =</w:t>
      </w:r>
      <w:r>
        <w:t xml:space="preserve"> 10%). This is acquired at the end of year 0 at a cost of $10,000 and provides cash flows that decline at this constant DV rate.</w:t>
      </w:r>
    </w:p>
    <w:p w14:paraId="69C03BF2" w14:textId="05A60958" w:rsidR="007756C8" w:rsidRDefault="00460F64" w:rsidP="007756C8">
      <w:pPr>
        <w:pStyle w:val="NumberedParagraph-BulletL1"/>
        <w:numPr>
          <w:ilvl w:val="2"/>
          <w:numId w:val="59"/>
        </w:numPr>
        <w:spacing w:before="200" w:after="200"/>
      </w:pPr>
      <w:r>
        <w:t>An item of inventory that is acquired at the end of year 0 at a cost of $10,000 and sold one year later.</w:t>
      </w:r>
    </w:p>
    <w:p w14:paraId="0EC8A722" w14:textId="3BB49BF7" w:rsidR="007756C8" w:rsidRDefault="00AC72AF" w:rsidP="007756C8">
      <w:pPr>
        <w:pStyle w:val="NumberedParagraph"/>
        <w:numPr>
          <w:ilvl w:val="1"/>
          <w:numId w:val="59"/>
        </w:numPr>
        <w:tabs>
          <w:tab w:val="num" w:pos="851"/>
        </w:tabs>
        <w:spacing w:before="200"/>
        <w:ind w:left="851" w:hanging="851"/>
      </w:pPr>
      <w:r>
        <w:t>We use these examples to consider the effects of company income tax and inflation. We first consider fully equity</w:t>
      </w:r>
      <w:r w:rsidR="00715E1F">
        <w:t>-</w:t>
      </w:r>
      <w:r>
        <w:t>financed investments and then consider fully debt-financed investments.</w:t>
      </w:r>
    </w:p>
    <w:p w14:paraId="42C06C43" w14:textId="77777777" w:rsidR="007756C8" w:rsidRPr="00472AF3" w:rsidRDefault="007756C8" w:rsidP="007756C8">
      <w:pPr>
        <w:pStyle w:val="NumberedParagraph"/>
        <w:numPr>
          <w:ilvl w:val="0"/>
          <w:numId w:val="0"/>
        </w:numPr>
        <w:rPr>
          <w:b/>
          <w:bCs/>
          <w:i/>
          <w:iCs/>
        </w:rPr>
      </w:pPr>
      <w:r>
        <w:rPr>
          <w:b/>
          <w:bCs/>
          <w:i/>
          <w:iCs/>
        </w:rPr>
        <w:lastRenderedPageBreak/>
        <w:t xml:space="preserve">Equity-financed investment, no </w:t>
      </w:r>
      <w:proofErr w:type="gramStart"/>
      <w:r>
        <w:rPr>
          <w:b/>
          <w:bCs/>
          <w:i/>
          <w:iCs/>
        </w:rPr>
        <w:t>inflation</w:t>
      </w:r>
      <w:proofErr w:type="gramEnd"/>
      <w:r>
        <w:rPr>
          <w:b/>
          <w:bCs/>
          <w:i/>
          <w:iCs/>
        </w:rPr>
        <w:t xml:space="preserve"> or taxes</w:t>
      </w:r>
    </w:p>
    <w:p w14:paraId="6B0626EC" w14:textId="180B9134" w:rsidR="007756C8" w:rsidRDefault="00E67865" w:rsidP="007756C8">
      <w:pPr>
        <w:pStyle w:val="NumberedParagraph"/>
        <w:numPr>
          <w:ilvl w:val="1"/>
          <w:numId w:val="59"/>
        </w:numPr>
        <w:tabs>
          <w:tab w:val="num" w:pos="851"/>
        </w:tabs>
        <w:spacing w:before="200"/>
        <w:ind w:left="851" w:hanging="851"/>
      </w:pPr>
      <w:r>
        <w:t>Suppose that marginal foreign shareholders require a real return of 3% on their capital. The following would all be marginal investments:</w:t>
      </w:r>
    </w:p>
    <w:p w14:paraId="66100ABE" w14:textId="0ECE2E11" w:rsidR="007756C8" w:rsidRDefault="00FD46C0" w:rsidP="007756C8">
      <w:pPr>
        <w:pStyle w:val="NumberedParagraph-BulletL1"/>
        <w:numPr>
          <w:ilvl w:val="2"/>
          <w:numId w:val="59"/>
        </w:numPr>
        <w:spacing w:before="200" w:after="200"/>
      </w:pPr>
      <w:r>
        <w:t>A zero-depreciation asset earning $300 at the end of year 1 and at the end of each subsequent year.</w:t>
      </w:r>
    </w:p>
    <w:p w14:paraId="10790127" w14:textId="16CA022B" w:rsidR="007756C8" w:rsidRDefault="003B1078" w:rsidP="007756C8">
      <w:pPr>
        <w:pStyle w:val="NumberedParagraph-BulletL1"/>
        <w:numPr>
          <w:ilvl w:val="2"/>
          <w:numId w:val="59"/>
        </w:numPr>
        <w:spacing w:before="200" w:after="200"/>
      </w:pPr>
      <w:r>
        <w:t>A two-period asset that earns $10,300 at the end of year 1 and then expires.</w:t>
      </w:r>
    </w:p>
    <w:p w14:paraId="0D2DFEC0" w14:textId="6C0C9FD2" w:rsidR="007756C8" w:rsidRDefault="00997B06" w:rsidP="007756C8">
      <w:pPr>
        <w:pStyle w:val="NumberedParagraph-BulletL1"/>
        <w:numPr>
          <w:ilvl w:val="2"/>
          <w:numId w:val="59"/>
        </w:numPr>
        <w:spacing w:before="200" w:after="200"/>
      </w:pPr>
      <w:r>
        <w:t xml:space="preserve">An </w:t>
      </w:r>
      <w:r w:rsidR="00EE3365">
        <w:t>asset with a 10% DV economic rate of depreciation that earns $1,300 at the end of year 1 (of which $300 covers the return required on capital and $1,000 covers economic depreciation), $1,170 at the end of year 2 (which is 90% of $1,300) and cash flows in later years that decline by 10% DV in each future year.</w:t>
      </w:r>
    </w:p>
    <w:p w14:paraId="3892CD77" w14:textId="00588BAA" w:rsidR="007756C8" w:rsidRDefault="004363D9" w:rsidP="007756C8">
      <w:pPr>
        <w:pStyle w:val="NumberedParagraph-BulletL1"/>
        <w:numPr>
          <w:ilvl w:val="2"/>
          <w:numId w:val="59"/>
        </w:numPr>
        <w:spacing w:before="200" w:after="200"/>
      </w:pPr>
      <w:r>
        <w:t>Inventory that is sold for $10,300 at the end of year 1.</w:t>
      </w:r>
    </w:p>
    <w:p w14:paraId="72E10D2B" w14:textId="77777777" w:rsidR="007756C8" w:rsidRPr="00472AF3" w:rsidRDefault="007756C8" w:rsidP="007756C8">
      <w:pPr>
        <w:pStyle w:val="NumberedParagraph"/>
        <w:numPr>
          <w:ilvl w:val="0"/>
          <w:numId w:val="0"/>
        </w:numPr>
        <w:rPr>
          <w:b/>
          <w:bCs/>
          <w:i/>
          <w:iCs/>
        </w:rPr>
      </w:pPr>
      <w:r>
        <w:rPr>
          <w:b/>
          <w:bCs/>
          <w:i/>
          <w:iCs/>
        </w:rPr>
        <w:t>Equity-financed investment, no inflation, 28% company tax rate</w:t>
      </w:r>
    </w:p>
    <w:p w14:paraId="3EC31AA4" w14:textId="0792422B" w:rsidR="007756C8" w:rsidRDefault="00A008FC" w:rsidP="007756C8">
      <w:pPr>
        <w:pStyle w:val="NumberedParagraph"/>
        <w:numPr>
          <w:ilvl w:val="1"/>
          <w:numId w:val="59"/>
        </w:numPr>
        <w:tabs>
          <w:tab w:val="num" w:pos="851"/>
        </w:tabs>
        <w:spacing w:before="200"/>
        <w:ind w:left="851" w:hanging="851"/>
      </w:pPr>
      <w:r>
        <w:t>In all these cases, the cost of capital would rise to 4.167% = 3%/(1-0.72) and the EMTR would rise to 28%:</w:t>
      </w:r>
    </w:p>
    <w:p w14:paraId="5DE1CE55" w14:textId="4BA57EB9" w:rsidR="007756C8" w:rsidRDefault="008667F0" w:rsidP="007756C8">
      <w:pPr>
        <w:pStyle w:val="NumberedParagraph-BulletL1"/>
        <w:numPr>
          <w:ilvl w:val="2"/>
          <w:numId w:val="59"/>
        </w:numPr>
        <w:spacing w:before="200" w:after="200"/>
      </w:pPr>
      <w:r>
        <w:t>For a zero-depreciation asset earning $416.67 at the end of year 1 and at the end of each subsequent year, tax would be $116.67 each year (28% of $416.67) and the after-tax revenue would be $300, which leaves marginal shareholders with the return they demand.</w:t>
      </w:r>
    </w:p>
    <w:p w14:paraId="3AB57B08" w14:textId="26FB5647" w:rsidR="007756C8" w:rsidRDefault="006624D8" w:rsidP="007756C8">
      <w:pPr>
        <w:pStyle w:val="NumberedParagraph-BulletL1"/>
        <w:numPr>
          <w:ilvl w:val="2"/>
          <w:numId w:val="59"/>
        </w:numPr>
        <w:spacing w:before="200" w:after="200"/>
      </w:pPr>
      <w:r>
        <w:t>Now consider a</w:t>
      </w:r>
      <w:r w:rsidR="006602CC">
        <w:t xml:space="preserve"> two-period asset that earns $10,416.67 at the end of year 1 and then expires. The firm would be able to deduct depreciation of $1</w:t>
      </w:r>
      <w:r w:rsidR="00F91CED">
        <w:t>0</w:t>
      </w:r>
      <w:r w:rsidR="006602CC">
        <w:t>,000 in year 1, so it would have taxable income of $416.67 in that year and pay $116.67 in tax, leaving marginal shareholders with the $10,300 they demand.</w:t>
      </w:r>
    </w:p>
    <w:p w14:paraId="5F3DA7D0" w14:textId="6BE56910" w:rsidR="007756C8" w:rsidRDefault="0067638F" w:rsidP="007756C8">
      <w:pPr>
        <w:pStyle w:val="NumberedParagraph-BulletL1"/>
        <w:numPr>
          <w:ilvl w:val="2"/>
          <w:numId w:val="59"/>
        </w:numPr>
        <w:spacing w:before="200" w:after="200"/>
      </w:pPr>
      <w:r>
        <w:t>An asset with a 10% DV economic rate of depreciation that earns $1,416.67 at the end of year 1 of which $41</w:t>
      </w:r>
      <w:r w:rsidR="004E5FFB">
        <w:t>6</w:t>
      </w:r>
      <w:r>
        <w:t xml:space="preserve">.67 covers the return required on capital before tax, </w:t>
      </w:r>
      <w:r w:rsidR="00E6593B">
        <w:t>(</w:t>
      </w:r>
      <w:r>
        <w:t>$1</w:t>
      </w:r>
      <w:r w:rsidR="004E5FFB">
        <w:t>1</w:t>
      </w:r>
      <w:r w:rsidR="005746D7">
        <w:t>6</w:t>
      </w:r>
      <w:r>
        <w:t>.67 covers tax and $30</w:t>
      </w:r>
      <w:r w:rsidR="004E5FFB">
        <w:t>0</w:t>
      </w:r>
      <w:r>
        <w:t xml:space="preserve"> covers the return marginal shareholders require</w:t>
      </w:r>
      <w:r w:rsidR="00E6593B">
        <w:t>)</w:t>
      </w:r>
      <w:r>
        <w:t>, and $1</w:t>
      </w:r>
      <w:r w:rsidR="004E5FFB">
        <w:t>,0</w:t>
      </w:r>
      <w:r>
        <w:t>00 covers economic depreciation. So long as the asset also generates $127</w:t>
      </w:r>
      <w:r w:rsidR="00127E78">
        <w:t>5</w:t>
      </w:r>
      <w:r>
        <w:t>.</w:t>
      </w:r>
      <w:r w:rsidR="00127E78">
        <w:t>0</w:t>
      </w:r>
      <w:r>
        <w:t>0 at the end of year 2 (which is 90% of $1</w:t>
      </w:r>
      <w:r w:rsidR="00127E78">
        <w:t>,</w:t>
      </w:r>
      <w:r w:rsidR="00410638">
        <w:t>416.67</w:t>
      </w:r>
      <w:r>
        <w:t xml:space="preserve">) and cash flows in later years decline by 10% DV in each future year, the asset would continue to be </w:t>
      </w:r>
      <w:r w:rsidR="00DF06D8">
        <w:t xml:space="preserve">exactly cover the return required on capital and economic depreciation in each future year so it would be </w:t>
      </w:r>
      <w:r w:rsidR="00AA6C5A">
        <w:t xml:space="preserve">a </w:t>
      </w:r>
      <w:r>
        <w:t>marginal</w:t>
      </w:r>
      <w:r w:rsidR="00AA6C5A">
        <w:t xml:space="preserve"> investment</w:t>
      </w:r>
      <w:r>
        <w:t>.</w:t>
      </w:r>
    </w:p>
    <w:p w14:paraId="5B5BC275" w14:textId="61D1F3E4" w:rsidR="007756C8" w:rsidRDefault="00E8771E" w:rsidP="007756C8">
      <w:pPr>
        <w:pStyle w:val="NumberedParagraph-BulletL1"/>
        <w:numPr>
          <w:ilvl w:val="2"/>
          <w:numId w:val="59"/>
        </w:numPr>
        <w:spacing w:before="200" w:after="200"/>
      </w:pPr>
      <w:r>
        <w:t>I</w:t>
      </w:r>
      <w:r w:rsidR="00011FEC">
        <w:t>nventory that is sold for $10,416.67 at the end of year 1 would be marginal. The company would be required to pay $116.67 in tax, leaving shareholders with the $10</w:t>
      </w:r>
      <w:r w:rsidR="00D05F72">
        <w:t>,</w:t>
      </w:r>
      <w:r w:rsidR="00011FEC">
        <w:t>300 they demand.</w:t>
      </w:r>
    </w:p>
    <w:p w14:paraId="6A3FF1EC" w14:textId="71C4E1EC" w:rsidR="007756C8" w:rsidRDefault="00B946AF" w:rsidP="007756C8">
      <w:pPr>
        <w:pStyle w:val="NumberedParagraph"/>
        <w:numPr>
          <w:ilvl w:val="1"/>
          <w:numId w:val="59"/>
        </w:numPr>
        <w:tabs>
          <w:tab w:val="num" w:pos="851"/>
        </w:tabs>
        <w:spacing w:before="200"/>
        <w:ind w:left="851" w:hanging="851"/>
      </w:pPr>
      <w:r>
        <w:t xml:space="preserve">Thus, these examples show why economic depreciation would lead to EMTRs all being 28% if </w:t>
      </w:r>
      <w:r w:rsidR="00780F81">
        <w:t xml:space="preserve">there was no inflation, </w:t>
      </w:r>
      <w:r>
        <w:t>economic depreciation w</w:t>
      </w:r>
      <w:r w:rsidR="00BE378E">
        <w:t>as</w:t>
      </w:r>
      <w:r>
        <w:t xml:space="preserve"> deductible for depreciating assets and there was FIFO treatment of inventories.</w:t>
      </w:r>
    </w:p>
    <w:p w14:paraId="3230C865" w14:textId="77777777" w:rsidR="007756C8" w:rsidRPr="00472AF3" w:rsidRDefault="007756C8" w:rsidP="007756C8">
      <w:pPr>
        <w:pStyle w:val="NumberedParagraph"/>
        <w:numPr>
          <w:ilvl w:val="0"/>
          <w:numId w:val="0"/>
        </w:numPr>
        <w:rPr>
          <w:b/>
          <w:bCs/>
          <w:i/>
          <w:iCs/>
        </w:rPr>
      </w:pPr>
      <w:r>
        <w:rPr>
          <w:b/>
          <w:bCs/>
          <w:i/>
          <w:iCs/>
        </w:rPr>
        <w:t xml:space="preserve">Equity-financed investment, 2% </w:t>
      </w:r>
      <w:r>
        <w:rPr>
          <w:b/>
          <w:bCs/>
        </w:rPr>
        <w:t>inflation</w:t>
      </w:r>
      <w:r>
        <w:rPr>
          <w:b/>
          <w:bCs/>
          <w:i/>
          <w:iCs/>
        </w:rPr>
        <w:t>, 28% company tax rate</w:t>
      </w:r>
    </w:p>
    <w:p w14:paraId="1484A67B" w14:textId="4073396B" w:rsidR="007756C8" w:rsidRDefault="00780F81" w:rsidP="007756C8">
      <w:pPr>
        <w:pStyle w:val="NumberedParagraph"/>
        <w:numPr>
          <w:ilvl w:val="1"/>
          <w:numId w:val="59"/>
        </w:numPr>
        <w:tabs>
          <w:tab w:val="num" w:pos="851"/>
        </w:tabs>
        <w:spacing w:before="200"/>
        <w:ind w:left="851" w:hanging="851"/>
      </w:pPr>
      <w:r>
        <w:t>Here we drop the asset with the 10% DV economic rate of depreciation from the discussion because it becomes a bit more complex to analyse. However, in any event, this ends up just being an intermediate case between the zero-depreciation asset and the two-period asset.</w:t>
      </w:r>
    </w:p>
    <w:p w14:paraId="3FF383B7" w14:textId="5E644B51" w:rsidR="007756C8" w:rsidRDefault="00F169BC" w:rsidP="007756C8">
      <w:pPr>
        <w:pStyle w:val="NumberedParagraph-BulletL1"/>
        <w:numPr>
          <w:ilvl w:val="2"/>
          <w:numId w:val="59"/>
        </w:numPr>
        <w:spacing w:before="200" w:after="200"/>
      </w:pPr>
      <w:r>
        <w:lastRenderedPageBreak/>
        <w:t>For a zero-depreciation asset earning real income of $416.67 at the end of year 1 and at the end of each subsequent year, real tax payments would be $116.67 each year (28% of $416.67) and the real after-tax revenue would be $300 at the end of each year, which leaves marginal shareholders with the return they demand. (This would require revenues that increase by 2% per annum to offset inflation. Thus, the nominal revenue in year 1 would be $425.00 (namely, $416.67x1.02), the nominal revenue in year 2 would be $433.50 (namely, $416.67x1.02x1.02) and so forth.) This asset receives no depreciation deductions and is not penalised by historical cost depreciation. Its cost of capital remains 4.167%, and its EMTR remains 28.0%.</w:t>
      </w:r>
    </w:p>
    <w:p w14:paraId="7C10E4CF" w14:textId="28C50E19" w:rsidR="007756C8" w:rsidRDefault="00602CFB" w:rsidP="007756C8">
      <w:pPr>
        <w:pStyle w:val="NumberedParagraph-BulletL1"/>
        <w:numPr>
          <w:ilvl w:val="2"/>
          <w:numId w:val="59"/>
        </w:numPr>
        <w:spacing w:before="200" w:after="200"/>
      </w:pPr>
      <w:r>
        <w:t>The two-period asset, however, is penalised because depreciation deductions are not indexed for inflation. Inflation erodes the real value of the depreciation deduction. Rather than the firm being able to claim a real depreciation deduction of $10,000 in year 1, it can only claim a real depreciation deduction of $9</w:t>
      </w:r>
      <w:r w:rsidR="00CB65EF">
        <w:t>,</w:t>
      </w:r>
      <w:r>
        <w:t xml:space="preserve">803.92. Because of this, the cost of capital rises to 4.9292%. If the asset generates real revenue of $10,492.92, the company will be taxed on $689.00 of real revenue ($10,492.92 minus $9803.92) and pay tax of $192.92. This will leave the $10,300 </w:t>
      </w:r>
      <w:r w:rsidR="00C5682A">
        <w:t>($10</w:t>
      </w:r>
      <w:r w:rsidR="009B7BDA">
        <w:t xml:space="preserve">,492.92 minus $192.92) </w:t>
      </w:r>
      <w:r>
        <w:t>of real revenue that marginal shareholders require. Because depreciation deductions are not indexed for inflation, the cost of capital increases to 4.9292% and the EMTR increases to 39.1%. There can be a material rise in EMTRs of depreciating assets with relatively fast rates of economic depreciation.</w:t>
      </w:r>
    </w:p>
    <w:p w14:paraId="2F26D788" w14:textId="0276DFB7" w:rsidR="007756C8" w:rsidRDefault="00D226DD" w:rsidP="007756C8">
      <w:pPr>
        <w:pStyle w:val="NumberedParagraph-BulletL1"/>
        <w:numPr>
          <w:ilvl w:val="2"/>
          <w:numId w:val="59"/>
        </w:numPr>
        <w:spacing w:before="200" w:after="200"/>
      </w:pPr>
      <w:r>
        <w:t>Inventories are, of course, very similar to the two-period depreciating assets. Because there are no inflation adjustments for inventories, the real deduction allowed in year 1 also falls to $9803.92, which means that the cost of capital increases to 4.9292% and the EMTR rises to 39.1%.</w:t>
      </w:r>
    </w:p>
    <w:p w14:paraId="52959ABC" w14:textId="5197CB06" w:rsidR="005B3B7B" w:rsidRPr="00472AF3" w:rsidRDefault="00DD364E" w:rsidP="005B3B7B">
      <w:pPr>
        <w:pStyle w:val="NumberedParagraph"/>
        <w:numPr>
          <w:ilvl w:val="0"/>
          <w:numId w:val="0"/>
        </w:numPr>
        <w:rPr>
          <w:b/>
          <w:bCs/>
          <w:i/>
          <w:iCs/>
        </w:rPr>
      </w:pPr>
      <w:r>
        <w:rPr>
          <w:b/>
          <w:bCs/>
          <w:i/>
          <w:iCs/>
        </w:rPr>
        <w:t xml:space="preserve">Debt-financed investment, no </w:t>
      </w:r>
      <w:proofErr w:type="gramStart"/>
      <w:r>
        <w:rPr>
          <w:b/>
          <w:bCs/>
          <w:i/>
          <w:iCs/>
        </w:rPr>
        <w:t>inflation</w:t>
      </w:r>
      <w:proofErr w:type="gramEnd"/>
      <w:r>
        <w:rPr>
          <w:b/>
          <w:bCs/>
          <w:i/>
          <w:iCs/>
        </w:rPr>
        <w:t xml:space="preserve"> or taxes</w:t>
      </w:r>
    </w:p>
    <w:p w14:paraId="505DF00B" w14:textId="18F9EF97" w:rsidR="005B3B7B" w:rsidRDefault="007F24C1" w:rsidP="005B3B7B">
      <w:pPr>
        <w:pStyle w:val="NumberedParagraph"/>
        <w:numPr>
          <w:ilvl w:val="1"/>
          <w:numId w:val="59"/>
        </w:numPr>
        <w:tabs>
          <w:tab w:val="num" w:pos="851"/>
        </w:tabs>
        <w:spacing w:before="200"/>
        <w:ind w:left="851" w:hanging="851"/>
      </w:pPr>
      <w:r>
        <w:t>Similar examples with each asset costing $10,000 at the end of year 0 can be used to consider the case where investments are fully debt</w:t>
      </w:r>
      <w:r w:rsidR="00AF5DB4">
        <w:t>-</w:t>
      </w:r>
      <w:r>
        <w:t>financed and where foreign lenders require a real interest rate of 3% on their loans. To keep things as simple as possible, we assume that there is no approved issuer levy or NRWT on interest so that 3% is the real interest rate that domestic firms end up paying. In the absence of inflation or tax, the costs of capital would all be 3.0% and the EMTRs would all be 0%. The examples are as follows:</w:t>
      </w:r>
    </w:p>
    <w:p w14:paraId="2ED5526E" w14:textId="2847975B" w:rsidR="000B08F6" w:rsidRDefault="000E70E1" w:rsidP="000B08F6">
      <w:pPr>
        <w:pStyle w:val="NumberedParagraph-BulletL1"/>
        <w:numPr>
          <w:ilvl w:val="2"/>
          <w:numId w:val="59"/>
        </w:numPr>
        <w:spacing w:before="200"/>
      </w:pPr>
      <w:r>
        <w:t>For a fully debt</w:t>
      </w:r>
      <w:r w:rsidR="00A62C0F">
        <w:t>-</w:t>
      </w:r>
      <w:r>
        <w:t>financed zero-depreciation asset which earns $300 at the end of each year starting in year 1, the revenue earned would match the $300 of interest that needs to be paid each year, making the investment marginal. The $10,000 cost of the investment would be financed by borrowing $10,000. As the asset is fully debt</w:t>
      </w:r>
      <w:r w:rsidR="00A62C0F">
        <w:t>-</w:t>
      </w:r>
      <w:r>
        <w:t>financed and does not depreciate the loan is assumed to never be repaid.</w:t>
      </w:r>
    </w:p>
    <w:p w14:paraId="370695AB" w14:textId="65567D4E" w:rsidR="000E70E1" w:rsidRDefault="00E64E4D" w:rsidP="000B08F6">
      <w:pPr>
        <w:pStyle w:val="NumberedParagraph-BulletL1"/>
        <w:numPr>
          <w:ilvl w:val="2"/>
          <w:numId w:val="59"/>
        </w:numPr>
        <w:spacing w:before="200"/>
      </w:pPr>
      <w:r>
        <w:t>For a two-period that earns $10,300 at the end of year 1 and then expires, the investment would once more be marginal. The cost of the investment would once more be financed by the firm borrowing $10,000. In year 1 the revenue of $10,300 would provide $300 to meet the interest payment on the loan as well as $10,000 to repay the loan.</w:t>
      </w:r>
    </w:p>
    <w:p w14:paraId="4B202F7E" w14:textId="1FB61F06" w:rsidR="00E64E4D" w:rsidRDefault="00A476CE" w:rsidP="000B08F6">
      <w:pPr>
        <w:pStyle w:val="NumberedParagraph-BulletL1"/>
        <w:numPr>
          <w:ilvl w:val="2"/>
          <w:numId w:val="59"/>
        </w:numPr>
        <w:spacing w:before="200"/>
      </w:pPr>
      <w:r>
        <w:t xml:space="preserve">An asset which costs $10,000 at the end year 0 which depreciates at a DV economic rate of 10% and which generates revenue of $1,300 at the end of year 1, </w:t>
      </w:r>
      <w:r w:rsidR="001F7F98">
        <w:t>$</w:t>
      </w:r>
      <w:r>
        <w:t xml:space="preserve">1,170 at the end of year 2 and so forth would be marginal. The cost of the asset could be financed by borrowing $10,000. Revenue of $1,300 would finance interest expense of $300 plus a loan repayment </w:t>
      </w:r>
      <w:r>
        <w:lastRenderedPageBreak/>
        <w:t>of $1,000. As the asset has economic depreciation of $1,000 this loan repayment is keeping the investment fully debt</w:t>
      </w:r>
      <w:r w:rsidR="00A62C0F">
        <w:t>-</w:t>
      </w:r>
      <w:r>
        <w:t>financed. In year 2, revenue of $1,170 would finance interest of $270 on the loan outstanding plus a repayment of $900 to match economic depreciation on the asset. The same pattern would ensure that revenue fully covers interest and loan repayments in future years making this a marginal investment.</w:t>
      </w:r>
    </w:p>
    <w:p w14:paraId="513F489A" w14:textId="3E364273" w:rsidR="00A476CE" w:rsidRDefault="00F949C0" w:rsidP="007B199C">
      <w:pPr>
        <w:pStyle w:val="NumberedParagraph-BulletL1"/>
        <w:numPr>
          <w:ilvl w:val="2"/>
          <w:numId w:val="59"/>
        </w:numPr>
        <w:spacing w:before="200"/>
      </w:pPr>
      <w:r>
        <w:t>If $10,000 is borrowed to acquire $10,000 of inventory at the end of year 0 and this is sold for $10,300 at the end of year 1, this is once more a marginal investment. The loan as well as interest on the loan can be repaid out of the revenue from selling the inventory in year 1.</w:t>
      </w:r>
    </w:p>
    <w:p w14:paraId="6DAE9602" w14:textId="77777777" w:rsidR="004D1B7C" w:rsidRPr="00472AF3" w:rsidRDefault="004D1B7C" w:rsidP="004D1B7C">
      <w:pPr>
        <w:pStyle w:val="NumberedParagraph"/>
        <w:numPr>
          <w:ilvl w:val="0"/>
          <w:numId w:val="0"/>
        </w:numPr>
        <w:rPr>
          <w:b/>
          <w:bCs/>
          <w:i/>
          <w:iCs/>
        </w:rPr>
      </w:pPr>
      <w:r>
        <w:rPr>
          <w:b/>
          <w:bCs/>
          <w:i/>
          <w:iCs/>
        </w:rPr>
        <w:t>Debt-financed investment, no inflation, 28% company tax rate</w:t>
      </w:r>
    </w:p>
    <w:p w14:paraId="5DBDB1C0" w14:textId="77777777" w:rsidR="004D1B7C" w:rsidRDefault="004D1B7C" w:rsidP="004D1B7C">
      <w:pPr>
        <w:pStyle w:val="NumberedParagraph"/>
        <w:numPr>
          <w:ilvl w:val="1"/>
          <w:numId w:val="59"/>
        </w:numPr>
        <w:tabs>
          <w:tab w:val="num" w:pos="851"/>
        </w:tabs>
        <w:spacing w:before="200"/>
        <w:ind w:left="851" w:hanging="851"/>
      </w:pPr>
      <w:r>
        <w:t>With debt-financed investment, a company tax rate of 28% (or any other rate) would not affect the cost of capital so long as economic depreciation is deductible. In all these cases, the cost of capital would remain 3.00% and the EMTR would remain 0.0% because interest payments are deductible:</w:t>
      </w:r>
    </w:p>
    <w:p w14:paraId="515909A9" w14:textId="77777777" w:rsidR="004D1B7C" w:rsidRDefault="004D1B7C" w:rsidP="004D1B7C">
      <w:pPr>
        <w:pStyle w:val="NumberedParagraph-BulletL1"/>
        <w:numPr>
          <w:ilvl w:val="2"/>
          <w:numId w:val="59"/>
        </w:numPr>
        <w:spacing w:before="200" w:after="200"/>
      </w:pPr>
      <w:r>
        <w:t>For a zero-depreciation asset earning $300 at the end of year 1 and at the end of each subsequent year, this revenue would be taxable, but interest expense of $300 would be deductible. The tax liability would be zero so this would continue to be a marginal investment.</w:t>
      </w:r>
    </w:p>
    <w:p w14:paraId="5FD47C59" w14:textId="4CA35CED" w:rsidR="004D1B7C" w:rsidRDefault="004D1B7C" w:rsidP="004D1B7C">
      <w:pPr>
        <w:pStyle w:val="NumberedParagraph-BulletL1"/>
        <w:numPr>
          <w:ilvl w:val="2"/>
          <w:numId w:val="59"/>
        </w:numPr>
        <w:spacing w:before="200" w:after="200"/>
      </w:pPr>
      <w:r>
        <w:t>A two-period asset that earns $10,300 at the end of year 1 and then expires would continue to be marginal. The revenue would be taxable in year 1 but this would be balanced by a deduction for interest expense of $300 as well as depreciation of $10,000. Again</w:t>
      </w:r>
      <w:r w:rsidR="004F503F">
        <w:t>,</w:t>
      </w:r>
      <w:r>
        <w:t xml:space="preserve"> there would be no tax to pay so the investment would remain marginal.</w:t>
      </w:r>
    </w:p>
    <w:p w14:paraId="75B34802" w14:textId="6A287C43" w:rsidR="004D1B7C" w:rsidRDefault="004D1B7C" w:rsidP="004D1B7C">
      <w:pPr>
        <w:pStyle w:val="NumberedParagraph-BulletL1"/>
        <w:numPr>
          <w:ilvl w:val="2"/>
          <w:numId w:val="59"/>
        </w:numPr>
        <w:spacing w:before="200" w:after="200"/>
      </w:pPr>
      <w:r>
        <w:t xml:space="preserve">An asset with a 10% DV economic rate of depreciation that earns $1,300 at the end of year 1 would also have no tax to pay in that year. The revenue would be </w:t>
      </w:r>
      <w:proofErr w:type="gramStart"/>
      <w:r>
        <w:t>taxable</w:t>
      </w:r>
      <w:proofErr w:type="gramEnd"/>
      <w:r>
        <w:t xml:space="preserve"> but this would be fully offset by an interest deduction of $300 and depreciation of $10,000. In future years, taxable revenue, interest deductions and depreciation deductions would all be reduced by 10% each year leading to no tax liabilities in any future year.</w:t>
      </w:r>
    </w:p>
    <w:p w14:paraId="79DE6138" w14:textId="3CF4F55C" w:rsidR="004D1B7C" w:rsidRDefault="004D1B7C" w:rsidP="004D1B7C">
      <w:pPr>
        <w:pStyle w:val="NumberedParagraph-BulletL1"/>
        <w:numPr>
          <w:ilvl w:val="2"/>
          <w:numId w:val="59"/>
        </w:numPr>
        <w:spacing w:before="200" w:after="200"/>
      </w:pPr>
      <w:r>
        <w:t>Inventory that is sold for $10,300 at the end of year 1 would also be marginal. The firm could claim a deduction for the $10,000 costs as well as for $300 of interest expense in year 1 and this would balance the $10,300 of revenue generated by selling the asset. Again</w:t>
      </w:r>
      <w:r w:rsidR="009E5734">
        <w:t>,</w:t>
      </w:r>
      <w:r>
        <w:t xml:space="preserve"> there would be no tax to pay.</w:t>
      </w:r>
    </w:p>
    <w:p w14:paraId="6344A225" w14:textId="37B7EF47" w:rsidR="004D1B7C" w:rsidRDefault="004D1B7C" w:rsidP="004D1B7C">
      <w:pPr>
        <w:pStyle w:val="NumberedParagraph"/>
        <w:numPr>
          <w:ilvl w:val="1"/>
          <w:numId w:val="59"/>
        </w:numPr>
        <w:tabs>
          <w:tab w:val="num" w:pos="851"/>
        </w:tabs>
        <w:spacing w:before="200"/>
        <w:ind w:left="851" w:hanging="851"/>
      </w:pPr>
      <w:r>
        <w:t>Thus, these examples show why economic depreciation would lead to EMTRs all being 0% for fully debt</w:t>
      </w:r>
      <w:r w:rsidR="00FB7212">
        <w:t>-</w:t>
      </w:r>
      <w:r>
        <w:t>financed investments if there is no inflation and economic depreciation is deductible for depreciating assets and there is FIFO treatment of inventories.</w:t>
      </w:r>
    </w:p>
    <w:p w14:paraId="5B0D4892" w14:textId="77777777" w:rsidR="004D1B7C" w:rsidRPr="00472AF3" w:rsidRDefault="004D1B7C" w:rsidP="004D1B7C">
      <w:pPr>
        <w:pStyle w:val="NumberedParagraph"/>
        <w:numPr>
          <w:ilvl w:val="0"/>
          <w:numId w:val="0"/>
        </w:numPr>
        <w:rPr>
          <w:b/>
          <w:bCs/>
          <w:i/>
          <w:iCs/>
        </w:rPr>
      </w:pPr>
      <w:r>
        <w:rPr>
          <w:b/>
          <w:bCs/>
          <w:i/>
          <w:iCs/>
        </w:rPr>
        <w:t xml:space="preserve">Debt-financed investment, 2% </w:t>
      </w:r>
      <w:r>
        <w:rPr>
          <w:b/>
          <w:bCs/>
        </w:rPr>
        <w:t>inflation</w:t>
      </w:r>
      <w:r>
        <w:rPr>
          <w:b/>
          <w:bCs/>
          <w:i/>
          <w:iCs/>
        </w:rPr>
        <w:t>, 28% company tax rate</w:t>
      </w:r>
    </w:p>
    <w:p w14:paraId="27A5EECB" w14:textId="2E3408FB" w:rsidR="004D1B7C" w:rsidRDefault="004D1B7C" w:rsidP="004D1B7C">
      <w:pPr>
        <w:pStyle w:val="NumberedParagraph"/>
        <w:numPr>
          <w:ilvl w:val="1"/>
          <w:numId w:val="59"/>
        </w:numPr>
        <w:tabs>
          <w:tab w:val="num" w:pos="851"/>
        </w:tabs>
        <w:spacing w:before="200"/>
        <w:ind w:left="851" w:hanging="851"/>
      </w:pPr>
      <w:r>
        <w:t>Here we once more drop the asset with the 10% DV economic rate of depreciation from the discussion because it becomes a bit more complex to analyse.</w:t>
      </w:r>
    </w:p>
    <w:p w14:paraId="23C6AED9" w14:textId="517BE7CA" w:rsidR="004D1B7C" w:rsidRDefault="004D1B7C" w:rsidP="004D1B7C">
      <w:pPr>
        <w:pStyle w:val="NumberedParagraph-BulletL1"/>
        <w:numPr>
          <w:ilvl w:val="2"/>
          <w:numId w:val="59"/>
        </w:numPr>
        <w:spacing w:before="200" w:after="200"/>
      </w:pPr>
      <w:r>
        <w:t xml:space="preserve">First consider a zero-depreciation asset. The first thing to note is that if this asset continued to provide a real revenue stream of 3%, the investment would be better than marginal. This is because while the real revenue of $300 per annum was being taxed, the firm would not only be allowed a deduction for the $300 per annum of real interest expense, </w:t>
      </w:r>
      <w:proofErr w:type="gramStart"/>
      <w:r>
        <w:t>it</w:t>
      </w:r>
      <w:proofErr w:type="gramEnd"/>
      <w:r>
        <w:t xml:space="preserve"> would </w:t>
      </w:r>
      <w:r w:rsidR="00FC3583">
        <w:t xml:space="preserve">also </w:t>
      </w:r>
      <w:r>
        <w:t xml:space="preserve">be allowed a deduction for the inflationary component of </w:t>
      </w:r>
      <w:r>
        <w:lastRenderedPageBreak/>
        <w:t xml:space="preserve">interest as well. This means that it would benefit from a stream of net tax deductions and the cost of capital will fall below 3%. Table A2.1 reports the required real rate of return on a marginal investment is roughly 2.24% or, more accurately, is 2.2375%. To see why this is marginal, consider an investment costing $10,000 which provides a real revenue stream of $223.75 in each future year. With a real interest rate of 3% and inflation of 2%, the nominal interest cost becomes 5.06%. Thus, the firm will be able to deduct nominal interest of $506.00 which is a real deduction of $496.08 ($506.08/1.02). The company’s real taxable income will be </w:t>
      </w:r>
      <w:r w:rsidR="006D70BF">
        <w:noBreakHyphen/>
      </w:r>
      <w:r>
        <w:t>$272.33 (real revenue of $223.75 minus a real deduction of $496.08). This leads to tax falling by $76.25 (28% of $272.33). This tax subsidy of $76.25 exactly balances the difference between the real revenue generated and the real interest expense ($223.75 + $76.25 = $300).</w:t>
      </w:r>
    </w:p>
    <w:p w14:paraId="182E9127" w14:textId="41A4C5B2" w:rsidR="004D1B7C" w:rsidRDefault="004D1B7C" w:rsidP="004D1B7C">
      <w:pPr>
        <w:pStyle w:val="NumberedParagraph-BulletL1"/>
        <w:numPr>
          <w:ilvl w:val="2"/>
          <w:numId w:val="59"/>
        </w:numPr>
        <w:spacing w:before="200" w:after="200"/>
      </w:pPr>
      <w:r>
        <w:t>Now consider the two</w:t>
      </w:r>
      <w:r w:rsidR="00E94A81">
        <w:t>-</w:t>
      </w:r>
      <w:r>
        <w:t xml:space="preserve">period asset. Table A2.1 reports that the cost of capital for this investment remains 3.00% and the EMTR remains 0.0%. This is because the </w:t>
      </w:r>
      <w:proofErr w:type="spellStart"/>
      <w:r>
        <w:t>overdeduction</w:t>
      </w:r>
      <w:proofErr w:type="spellEnd"/>
      <w:r>
        <w:t xml:space="preserve"> of interest expense (by allowing a deduction for the inflationary component of interest) is exactly balanced by the overtaxation of income (because depreciation deductions are not indexed for inflation). If the asset costs $10,000 at the end of year 0 and provides real revenue of $10,300 in a year’s time, the real revenue is taxable while the real depreciation deduction is only $9</w:t>
      </w:r>
      <w:r w:rsidR="00E94A81">
        <w:t>,</w:t>
      </w:r>
      <w:r>
        <w:t>803.92 ($10,000/1.02). Thus</w:t>
      </w:r>
      <w:r w:rsidR="00E94A81">
        <w:t>,</w:t>
      </w:r>
      <w:r>
        <w:t xml:space="preserve"> before taking interest expense into account, the firm would be taxed on real income of $496.08 even though real income is only $300. This overtaxation of $196.08 exactly balances the </w:t>
      </w:r>
      <w:proofErr w:type="spellStart"/>
      <w:r>
        <w:t>overdeduction</w:t>
      </w:r>
      <w:proofErr w:type="spellEnd"/>
      <w:r>
        <w:t xml:space="preserve"> for interest of $196.08.</w:t>
      </w:r>
    </w:p>
    <w:p w14:paraId="4D83423C" w14:textId="69411ED8" w:rsidR="004D1B7C" w:rsidRDefault="004D1B7C" w:rsidP="004D1B7C">
      <w:pPr>
        <w:pStyle w:val="NumberedParagraph-BulletL1"/>
        <w:numPr>
          <w:ilvl w:val="2"/>
          <w:numId w:val="59"/>
        </w:numPr>
        <w:spacing w:before="200" w:after="200"/>
      </w:pPr>
      <w:r>
        <w:t>Under FIFO, the tax treatment is much the same as for the two-period depreciating asset. If inventory is acquired at the end of year 0 for $10,000 and sold at the end of year 1 for $10,300, the firm only gets a deduction in year 1 for $9</w:t>
      </w:r>
      <w:r w:rsidR="00E94A81">
        <w:t>,</w:t>
      </w:r>
      <w:r>
        <w:t>803.92 in real dollars.</w:t>
      </w:r>
    </w:p>
    <w:p w14:paraId="3031690F" w14:textId="024934DE" w:rsidR="00232FCF" w:rsidRDefault="004D1B7C" w:rsidP="004D1B7C">
      <w:pPr>
        <w:pStyle w:val="NumberedParagraph"/>
        <w:numPr>
          <w:ilvl w:val="1"/>
          <w:numId w:val="59"/>
        </w:numPr>
        <w:tabs>
          <w:tab w:val="num" w:pos="851"/>
        </w:tabs>
        <w:spacing w:before="200"/>
        <w:ind w:left="851" w:hanging="851"/>
      </w:pPr>
      <w:r>
        <w:t>These examples have aimed to provide some intuition for the numbers reported in Table A2.1. In the absence of inflation, EMTRs for fully equity-financed investments would all be equal to the statutory company tax rate of 28.0% so long as economic depreciation is deductible and inventory receives FIFO treatment and is turned over at least once a year. With inflation, costs of capital would increase for fully equity-financed investment in depreciating assets and inventory but not for assets which do not depreciate.</w:t>
      </w:r>
    </w:p>
    <w:p w14:paraId="3F90D30F" w14:textId="4417A84E" w:rsidR="004D1B7C" w:rsidRDefault="004D1B7C" w:rsidP="00232FCF">
      <w:pPr>
        <w:pStyle w:val="NumberedParagraph"/>
        <w:numPr>
          <w:ilvl w:val="1"/>
          <w:numId w:val="59"/>
        </w:numPr>
        <w:tabs>
          <w:tab w:val="num" w:pos="851"/>
        </w:tabs>
        <w:spacing w:before="200"/>
        <w:ind w:left="851" w:hanging="851"/>
      </w:pPr>
      <w:r>
        <w:t>Now consider fully debt</w:t>
      </w:r>
      <w:r w:rsidR="00272101">
        <w:t>-</w:t>
      </w:r>
      <w:r>
        <w:t xml:space="preserve">financed investment. If there were no inflation, EMTRs would all be 0.0% for investment in depreciating assets so long as economic depreciation is deductible and for investment in inventories. With positive inflation, EMTRs will remain 0.0% for depreciating assets with an economic depreciation rate of 100% and for inventory but will fall </w:t>
      </w:r>
      <w:r w:rsidR="00304E33">
        <w:t xml:space="preserve">(and become negative) </w:t>
      </w:r>
      <w:r>
        <w:t>for depreciating assets which depreciate less quickly.</w:t>
      </w:r>
    </w:p>
    <w:p w14:paraId="11928878" w14:textId="7A1607F6" w:rsidR="007756C8" w:rsidRDefault="007756C8">
      <w:pPr>
        <w:spacing w:before="0"/>
        <w:jc w:val="left"/>
        <w:rPr>
          <w:rFonts w:eastAsia="Calibri"/>
          <w:lang w:eastAsia="en-US"/>
        </w:rPr>
      </w:pPr>
    </w:p>
    <w:p w14:paraId="203DC072" w14:textId="4BC72B36" w:rsidR="00DC4DF8" w:rsidRPr="00975936" w:rsidRDefault="00DC4DF8" w:rsidP="00975936">
      <w:pPr>
        <w:pStyle w:val="Heading1-Appendix"/>
        <w:ind w:left="0"/>
        <w:rPr>
          <w:rFonts w:eastAsia="Calibri"/>
        </w:rPr>
      </w:pPr>
      <w:r w:rsidRPr="00975936">
        <w:rPr>
          <w:rFonts w:eastAsia="Calibri"/>
        </w:rPr>
        <w:lastRenderedPageBreak/>
        <w:br/>
      </w:r>
      <w:r w:rsidRPr="00975936">
        <w:rPr>
          <w:rFonts w:eastAsia="Calibri"/>
        </w:rPr>
        <w:br/>
      </w:r>
      <w:bookmarkStart w:id="20" w:name="_Toc108451958"/>
      <w:r w:rsidRPr="00975936">
        <w:rPr>
          <w:rFonts w:eastAsia="Calibri"/>
        </w:rPr>
        <w:t xml:space="preserve">Risk and the required real rate of return net of </w:t>
      </w:r>
      <w:r w:rsidR="00177F24" w:rsidRPr="00975936">
        <w:rPr>
          <w:rFonts w:eastAsia="Calibri"/>
        </w:rPr>
        <w:br/>
      </w:r>
      <w:r w:rsidRPr="00975936">
        <w:rPr>
          <w:rFonts w:eastAsia="Calibri"/>
        </w:rPr>
        <w:t>any New Zealand taxes</w:t>
      </w:r>
      <w:bookmarkEnd w:id="20"/>
    </w:p>
    <w:p w14:paraId="7C0CA309" w14:textId="36146773" w:rsidR="00DC4DF8" w:rsidRPr="00D87BA8" w:rsidRDefault="00DC4DF8" w:rsidP="006B5D22">
      <w:pPr>
        <w:pStyle w:val="NumberedParagraph"/>
      </w:pPr>
      <w:r w:rsidRPr="00D87BA8">
        <w:t>In studies of investment biases, a real required return of around 5% has often been assumed. For example, Zwick and Mahon (2017) assume a nominal after-tax rate of 7%, roughly corresponding to 2% inflation and a real after-tax rate of return of 5%. In a paper setting out the OECD methodology, Hanappi (2018</w:t>
      </w:r>
      <w:r w:rsidRPr="00D40409">
        <w:t>)</w:t>
      </w:r>
      <w:r w:rsidRPr="003E2AE7">
        <w:t xml:space="preserve"> </w:t>
      </w:r>
      <w:r w:rsidRPr="00D40409">
        <w:t>c</w:t>
      </w:r>
      <w:r w:rsidRPr="00D87BA8">
        <w:t>hooses a real interest rate of 5% and 2% inflation to assist in making an initial version of the OECD model comparable with other studies. As we have commented, the OECD is now using a 3% real required rate of return and 1% inflation in its analysis.</w:t>
      </w:r>
    </w:p>
    <w:p w14:paraId="0BD7975E" w14:textId="75736B7B" w:rsidR="00DC4DF8" w:rsidRPr="00DC4DF8" w:rsidRDefault="00DC4DF8" w:rsidP="006B5D22">
      <w:pPr>
        <w:pStyle w:val="NumberedParagraph"/>
      </w:pPr>
      <w:r w:rsidRPr="00DC4DF8">
        <w:t>Summers (1987) has argued that different cash flows should be discounted at two different rates. He argues that, while many cash flows from investments should be discounted at a high rate that incorporates a risk premium, those associated with depreciation deductions are close to riskless and should, in principle, be discounted at something close to a riskless interest rate. He reports evidence from a survey of companies that found that, in practice, most companies appear to discount interest deductions at high (much higher than riskless) interest rates.</w:t>
      </w:r>
    </w:p>
    <w:p w14:paraId="68D6B7CE" w14:textId="4D7DC772" w:rsidR="00DC4DF8" w:rsidRPr="00DC4DF8" w:rsidRDefault="00DC4DF8" w:rsidP="006B5D22">
      <w:pPr>
        <w:pStyle w:val="NumberedParagraph"/>
      </w:pPr>
      <w:r w:rsidRPr="00DC4DF8">
        <w:t xml:space="preserve">There are also some complex issues on how to account for risk more generally. Gordon (1985) and Weisbach (2004) present models in which companies are taxed on economic profits and company tax involves a government sharing in economic profits and economic losses. In these models, any losses are assumed to be fully utilisable and able to be deducted against other profits, or the tax benefit is cashed out. </w:t>
      </w:r>
      <w:r w:rsidR="00850B49">
        <w:t>O</w:t>
      </w:r>
      <w:r w:rsidRPr="00DC4DF8">
        <w:t>nly tax on the risk-free component of the return drives up the cost of capital. However, for these models to be applicable to investment in depreciable assets, not only would any losses need to be cashed out, but taxpayers would also need to be able to make deductions for actual economic depreciation (how assets actually fall in value), rather than deductions based on depreciation schedules reflecting how they are expected to fall in value. Bulow and Summers (1984) show that basing depreciation on schedule depreciation rates can add to risk and push up the cost of capital.</w:t>
      </w:r>
    </w:p>
    <w:p w14:paraId="38D206C2" w14:textId="12154D7B" w:rsidR="00B84E23" w:rsidRDefault="00DC4DF8" w:rsidP="006B5D22">
      <w:pPr>
        <w:pStyle w:val="NumberedParagraph"/>
      </w:pPr>
      <w:r w:rsidRPr="00DC4DF8">
        <w:t xml:space="preserve">There seems to be no agreed consensus on how best we should take account of all these issues. However, a widespread assumption appears to exist in practice that cash flows are discounted at interest rates considerably higher than riskless rates and that this can be reasonably modelled by incorporating a risk premium in the real return that investors demand. In our analysis, we </w:t>
      </w:r>
      <w:r w:rsidR="00AC13B4">
        <w:t>have</w:t>
      </w:r>
      <w:r w:rsidRPr="00DC4DF8">
        <w:t xml:space="preserve"> consider</w:t>
      </w:r>
      <w:r w:rsidR="00AC13B4">
        <w:t>ed</w:t>
      </w:r>
      <w:r w:rsidRPr="00DC4DF8">
        <w:t xml:space="preserve"> the possibility of either a 3% or a 5% real required rate of return.</w:t>
      </w:r>
    </w:p>
    <w:p w14:paraId="57AFD282" w14:textId="57CAA015" w:rsidR="00DC4DF8" w:rsidRPr="00DC4DF8" w:rsidRDefault="00DC4DF8" w:rsidP="00A4653C">
      <w:pPr>
        <w:pStyle w:val="Heading1-Appendix"/>
        <w:ind w:left="0"/>
        <w:rPr>
          <w:rFonts w:eastAsia="Calibri"/>
        </w:rPr>
      </w:pPr>
      <w:r w:rsidRPr="00DC4DF8">
        <w:rPr>
          <w:rFonts w:eastAsia="Calibri"/>
        </w:rPr>
        <w:lastRenderedPageBreak/>
        <w:br/>
      </w:r>
      <w:r w:rsidRPr="00DC4DF8">
        <w:rPr>
          <w:rFonts w:eastAsia="Calibri"/>
        </w:rPr>
        <w:br/>
      </w:r>
      <w:bookmarkStart w:id="21" w:name="_Toc108451959"/>
      <w:r w:rsidRPr="00DC4DF8">
        <w:rPr>
          <w:rFonts w:eastAsia="Calibri"/>
        </w:rPr>
        <w:t>Marginal investments with expensing</w:t>
      </w:r>
      <w:bookmarkEnd w:id="21"/>
    </w:p>
    <w:p w14:paraId="0F2BA6A3" w14:textId="4D19EAAE" w:rsidR="00DC4DF8" w:rsidRPr="00DC4DF8" w:rsidRDefault="00DC4DF8" w:rsidP="006B5D22">
      <w:pPr>
        <w:pStyle w:val="NumberedParagraph"/>
      </w:pPr>
      <w:r w:rsidRPr="00DC4DF8">
        <w:t xml:space="preserve">Table </w:t>
      </w:r>
      <w:r w:rsidR="00C8248F" w:rsidRPr="00E73896">
        <w:t>A</w:t>
      </w:r>
      <w:r w:rsidR="002559A0" w:rsidRPr="00E73896">
        <w:t>2.</w:t>
      </w:r>
      <w:r w:rsidR="00783872">
        <w:t>1</w:t>
      </w:r>
      <w:r w:rsidRPr="00E73896">
        <w:t xml:space="preserve"> </w:t>
      </w:r>
      <w:r w:rsidR="002559A0" w:rsidRPr="00E73896">
        <w:t xml:space="preserve">in appendix </w:t>
      </w:r>
      <w:r w:rsidR="00E916FD" w:rsidRPr="00E73896">
        <w:t>2</w:t>
      </w:r>
      <w:r w:rsidR="002559A0">
        <w:t xml:space="preserve"> </w:t>
      </w:r>
      <w:r w:rsidRPr="00DC4DF8">
        <w:t>presented results from our version of the OECD company tax model showing how expensing can lead to a zero EMTR for 100% equity-financed investment and a negative EMTR for 100% debt-financed investment. This appendix provides some simple</w:t>
      </w:r>
      <w:r w:rsidR="00234C07">
        <w:t>,</w:t>
      </w:r>
      <w:r w:rsidRPr="00DC4DF8">
        <w:t xml:space="preserve"> </w:t>
      </w:r>
      <w:r w:rsidR="00234C07">
        <w:t xml:space="preserve">additional </w:t>
      </w:r>
      <w:r w:rsidRPr="00DC4DF8">
        <w:t>cash</w:t>
      </w:r>
      <w:r w:rsidR="00234C07">
        <w:t>-</w:t>
      </w:r>
      <w:r w:rsidRPr="00DC4DF8">
        <w:t>flow examples to explain these results</w:t>
      </w:r>
      <w:r w:rsidR="00234C07">
        <w:t xml:space="preserve"> for both equity-financed and debt-financed investments</w:t>
      </w:r>
      <w:r w:rsidRPr="00DC4DF8">
        <w:t>.</w:t>
      </w:r>
      <w:r w:rsidR="005C068B">
        <w:t xml:space="preserve"> As in </w:t>
      </w:r>
      <w:r w:rsidR="00D65F0A">
        <w:t>t</w:t>
      </w:r>
      <w:r w:rsidR="005C068B">
        <w:t>able A2.1, we assume there is no AIL or NRWT on interest.</w:t>
      </w:r>
    </w:p>
    <w:p w14:paraId="18A473CA" w14:textId="77777777" w:rsidR="00DC4DF8" w:rsidRPr="00DC4DF8" w:rsidRDefault="00DC4DF8" w:rsidP="006B5D22">
      <w:pPr>
        <w:pStyle w:val="NumberedParagraph"/>
      </w:pPr>
      <w:r w:rsidRPr="00DC4DF8">
        <w:t>Suppose that non-residents demand a 3% real return on their capital, net of New Zealand taxes, and suppose there is no inflation (to keep things as simple as possible).</w:t>
      </w:r>
    </w:p>
    <w:p w14:paraId="77FAC52D" w14:textId="2084FEF5" w:rsidR="00DC4DF8" w:rsidRPr="00DC4DF8" w:rsidRDefault="00DC4DF8" w:rsidP="00C069B6">
      <w:pPr>
        <w:pStyle w:val="Heading2"/>
        <w:rPr>
          <w:rFonts w:eastAsia="Calibri"/>
          <w:lang w:eastAsia="en-US"/>
        </w:rPr>
      </w:pPr>
      <w:bookmarkStart w:id="22" w:name="_Toc108451960"/>
      <w:r w:rsidRPr="00DC4DF8">
        <w:rPr>
          <w:rFonts w:eastAsia="Calibri"/>
          <w:lang w:eastAsia="en-US"/>
        </w:rPr>
        <w:t>Equity-financed investment</w:t>
      </w:r>
      <w:bookmarkEnd w:id="22"/>
    </w:p>
    <w:p w14:paraId="6A6B4369" w14:textId="7983F503" w:rsidR="00DC4DF8" w:rsidRPr="00DC4DF8" w:rsidRDefault="00DC4DF8" w:rsidP="006B5D22">
      <w:pPr>
        <w:pStyle w:val="NumberedParagraph"/>
      </w:pPr>
      <w:r w:rsidRPr="00DC4DF8">
        <w:t>Consider an asset that costs $1,000 at the end of year 0 and produces revenue of $230 at the end of year 1, $224 at the end of year 2, $218 at the end of year</w:t>
      </w:r>
      <w:r w:rsidR="00CC1C2D">
        <w:t> </w:t>
      </w:r>
      <w:r w:rsidRPr="00DC4DF8">
        <w:t>3, $212 at the end of year 4, $206 at the end of year 5 and then expires.</w:t>
      </w:r>
    </w:p>
    <w:p w14:paraId="3005FAEC" w14:textId="77777777" w:rsidR="00DC4DF8" w:rsidRDefault="00DC4DF8" w:rsidP="006B5D22">
      <w:pPr>
        <w:pStyle w:val="NumberedParagraph"/>
      </w:pPr>
      <w:r w:rsidRPr="00DC4DF8">
        <w:t>In the absence of a company tax, this would be a marginal equity-financed investment because it generates a rate of return of exactly 3%. The cost of the asset is equal to the present value of its revenues.</w:t>
      </w:r>
    </w:p>
    <w:p w14:paraId="421AC2E8" w14:textId="730E0DFC" w:rsidR="00994123" w:rsidRPr="00DC4DF8" w:rsidRDefault="00D203D9" w:rsidP="00993C65">
      <w:pPr>
        <w:pStyle w:val="NumberedParagraph"/>
        <w:numPr>
          <w:ilvl w:val="0"/>
          <w:numId w:val="0"/>
        </w:numPr>
        <w:ind w:left="851"/>
        <w:jc w:val="center"/>
      </w:pPr>
      <w:r w:rsidRPr="00BB5FB0">
        <w:rPr>
          <w:position w:val="-22"/>
        </w:rPr>
        <w:object w:dxaOrig="3220" w:dyaOrig="560" w14:anchorId="70D1EB3F">
          <v:shape id="_x0000_i1077" type="#_x0000_t75" style="width:159.75pt;height:29.25pt" o:ole="">
            <v:imagedata r:id="rId124" o:title=""/>
          </v:shape>
          <o:OLEObject Type="Embed" ProgID="Equation.DSMT4" ShapeID="_x0000_i1077" DrawAspect="Content" ObjectID="_1723472676" r:id="rId125"/>
        </w:object>
      </w:r>
    </w:p>
    <w:p w14:paraId="4BB0903D" w14:textId="77777777" w:rsidR="007864DC" w:rsidRPr="00F517C3" w:rsidRDefault="007864DC" w:rsidP="00F517C3">
      <w:pPr>
        <w:rPr>
          <w:rFonts w:eastAsia="Calibri"/>
        </w:rPr>
      </w:pPr>
    </w:p>
    <w:p w14:paraId="459E9A66" w14:textId="2A3719C4" w:rsidR="00DC4DF8" w:rsidRPr="00DC4DF8" w:rsidRDefault="00DC4DF8" w:rsidP="006B5D22">
      <w:pPr>
        <w:pStyle w:val="NumberedParagraph"/>
      </w:pPr>
      <w:r w:rsidRPr="00DC4DF8">
        <w:t xml:space="preserve">Thus, the cost of capital is </w:t>
      </w:r>
      <w:r w:rsidR="005B0CD5" w:rsidRPr="005B0CD5">
        <w:rPr>
          <w:position w:val="-10"/>
        </w:rPr>
        <w:object w:dxaOrig="780" w:dyaOrig="300" w14:anchorId="06A6A585">
          <v:shape id="_x0000_i1078" type="#_x0000_t75" style="width:39pt;height:15pt" o:ole="">
            <v:imagedata r:id="rId126" o:title=""/>
          </v:shape>
          <o:OLEObject Type="Embed" ProgID="Equation.DSMT4" ShapeID="_x0000_i1078" DrawAspect="Content" ObjectID="_1723472677" r:id="rId127"/>
        </w:object>
      </w:r>
      <w:r w:rsidRPr="00DC4DF8">
        <w:t xml:space="preserve">, the cost of funds to the economy is </w:t>
      </w:r>
      <w:r w:rsidRPr="00DC4DF8">
        <w:rPr>
          <w:position w:val="-6"/>
        </w:rPr>
        <w:object w:dxaOrig="760" w:dyaOrig="260" w14:anchorId="1C08F714">
          <v:shape id="_x0000_i1079" type="#_x0000_t75" style="width:37.5pt;height:12pt" o:ole="">
            <v:imagedata r:id="rId128" o:title=""/>
          </v:shape>
          <o:OLEObject Type="Embed" ProgID="Equation.DSMT4" ShapeID="_x0000_i1079" DrawAspect="Content" ObjectID="_1723472678" r:id="rId129"/>
        </w:object>
      </w:r>
      <w:r w:rsidRPr="00DC4DF8">
        <w:t xml:space="preserve"> and the EMTR is </w:t>
      </w:r>
      <w:r w:rsidR="00330599" w:rsidRPr="00330599">
        <w:rPr>
          <w:position w:val="-10"/>
        </w:rPr>
        <w:object w:dxaOrig="4360" w:dyaOrig="300" w14:anchorId="1837D061">
          <v:shape id="_x0000_i1080" type="#_x0000_t75" style="width:218.25pt;height:15pt" o:ole="">
            <v:imagedata r:id="rId130" o:title=""/>
          </v:shape>
          <o:OLEObject Type="Embed" ProgID="Equation.DSMT4" ShapeID="_x0000_i1080" DrawAspect="Content" ObjectID="_1723472679" r:id="rId131"/>
        </w:object>
      </w:r>
      <w:r w:rsidRPr="00DC4DF8">
        <w:t>.</w:t>
      </w:r>
    </w:p>
    <w:p w14:paraId="7096024F" w14:textId="367BA21D" w:rsidR="00DC4DF8" w:rsidRPr="00DC4DF8" w:rsidRDefault="00DC4DF8" w:rsidP="006B5D22">
      <w:pPr>
        <w:pStyle w:val="NumberedParagraph"/>
      </w:pPr>
      <w:r w:rsidRPr="00DC4DF8">
        <w:t>Now suppose that we have a 28% company tax rate and capital expenditure can be expensed. Suppose that the same investment is once more equity</w:t>
      </w:r>
      <w:r w:rsidR="00E76949">
        <w:t>-</w:t>
      </w:r>
      <w:r w:rsidRPr="00DC4DF8">
        <w:t>financed. It is straightforward to see that this investment should still be marginal.</w:t>
      </w:r>
    </w:p>
    <w:p w14:paraId="45E386F0" w14:textId="77777777" w:rsidR="00DC4DF8" w:rsidRDefault="00DC4DF8" w:rsidP="006B5D22">
      <w:pPr>
        <w:pStyle w:val="NumberedParagraph"/>
      </w:pPr>
      <w:r w:rsidRPr="00DC4DF8">
        <w:t>Tax reduces all costs and all revenues in the same proportion. The cost of the investment, net of the tax benefit of expensing, is $720, which is 72% of its pre-tax cost. The revenue in each future year is just 72% of the pre-tax revenue. As costs and revenues fall in the same proportion, this investment will still be marginal because</w:t>
      </w:r>
    </w:p>
    <w:p w14:paraId="20B909C2" w14:textId="2C833BDC" w:rsidR="00155458" w:rsidRPr="00DC4DF8" w:rsidRDefault="00A0183C" w:rsidP="00993C65">
      <w:pPr>
        <w:pStyle w:val="NumberedParagraph"/>
        <w:numPr>
          <w:ilvl w:val="0"/>
          <w:numId w:val="0"/>
        </w:numPr>
        <w:ind w:left="851"/>
        <w:jc w:val="center"/>
      </w:pPr>
      <w:r w:rsidRPr="00F124AB">
        <w:rPr>
          <w:position w:val="-22"/>
        </w:rPr>
        <w:object w:dxaOrig="5480" w:dyaOrig="560" w14:anchorId="2A2224F9">
          <v:shape id="_x0000_i1081" type="#_x0000_t75" style="width:273.75pt;height:29.25pt" o:ole="">
            <v:imagedata r:id="rId132" o:title=""/>
          </v:shape>
          <o:OLEObject Type="Embed" ProgID="Equation.DSMT4" ShapeID="_x0000_i1081" DrawAspect="Content" ObjectID="_1723472680" r:id="rId133"/>
        </w:object>
      </w:r>
    </w:p>
    <w:p w14:paraId="0C459988" w14:textId="0098E9C2" w:rsidR="00DC4DF8" w:rsidRPr="00DC4DF8" w:rsidRDefault="00DC4DF8" w:rsidP="006B5D22">
      <w:pPr>
        <w:pStyle w:val="NumberedParagraph"/>
      </w:pPr>
      <w:r w:rsidRPr="00DC4DF8">
        <w:t xml:space="preserve">Thus, the cost of capital will remain 3% and the EMTR will remain 0%. As is recorded in table </w:t>
      </w:r>
      <w:r w:rsidR="004C548F">
        <w:t>A2</w:t>
      </w:r>
      <w:r w:rsidR="00CF43E0">
        <w:t>.</w:t>
      </w:r>
      <w:r w:rsidR="00C84860">
        <w:t>1</w:t>
      </w:r>
      <w:r w:rsidRPr="00DC4DF8">
        <w:t xml:space="preserve">, for a fully equity-financed investment, the EMTR will be zero. For equity-financed investment in assets that can be expensed, the </w:t>
      </w:r>
      <w:r w:rsidR="00272121">
        <w:t>g</w:t>
      </w:r>
      <w:r w:rsidRPr="00DC4DF8">
        <w:t>overnment is acting like a 28% partner in the investment. It bears 28% of the cost and reaps 28% of the benefits. Because pre- and post-tax rates of return are the same, expensing is not affecting the cost of capital for an equity-financed investment.</w:t>
      </w:r>
    </w:p>
    <w:p w14:paraId="651FB0EC" w14:textId="70F84B6D" w:rsidR="00DC4DF8" w:rsidRPr="00DC4DF8" w:rsidRDefault="00DC4DF8" w:rsidP="00C069B6">
      <w:pPr>
        <w:pStyle w:val="Heading2"/>
        <w:rPr>
          <w:rFonts w:eastAsia="Calibri"/>
          <w:lang w:eastAsia="en-US"/>
        </w:rPr>
      </w:pPr>
      <w:bookmarkStart w:id="23" w:name="_Toc108451961"/>
      <w:r w:rsidRPr="00DC4DF8">
        <w:rPr>
          <w:rFonts w:eastAsia="Calibri"/>
          <w:lang w:eastAsia="en-US"/>
        </w:rPr>
        <w:lastRenderedPageBreak/>
        <w:t>Debt-financed investment</w:t>
      </w:r>
      <w:bookmarkEnd w:id="23"/>
    </w:p>
    <w:p w14:paraId="0BD3489F" w14:textId="24332D9F" w:rsidR="00DC4DF8" w:rsidRPr="00DC4DF8" w:rsidRDefault="00DC4DF8" w:rsidP="006B5D22">
      <w:pPr>
        <w:pStyle w:val="NumberedParagraph"/>
      </w:pPr>
      <w:r w:rsidRPr="00DC4DF8">
        <w:t xml:space="preserve">Now consider a debt-financed investment. Once more assume that we have a 28% company tax rate. Suppose that firms can borrow at an interest rate of 3% (real and nominal) and the after-tax interest cost is 2.16% (that is, 3% x (1–0.28)). It will be a break-even investment for a firm to borrow at an interest rate of 3% to invest in an asset that earns just 2.16% if capital expenditure can be expensed, so long as the firm has profits against which it can set off any deductions. The EMTR will be </w:t>
      </w:r>
      <w:r w:rsidRPr="00DC4DF8">
        <w:noBreakHyphen/>
        <w:t xml:space="preserve">38.9% = (2.16%–3.00%)/2.16% (as was reported in </w:t>
      </w:r>
      <w:r w:rsidRPr="00224F36">
        <w:t xml:space="preserve">table </w:t>
      </w:r>
      <w:r w:rsidR="009753A9">
        <w:t>A2</w:t>
      </w:r>
      <w:r w:rsidR="00CF43E0">
        <w:t>.</w:t>
      </w:r>
      <w:r w:rsidR="00C14227">
        <w:t>1</w:t>
      </w:r>
      <w:r w:rsidRPr="0059107C">
        <w:t>)</w:t>
      </w:r>
      <w:r w:rsidRPr="00224F36">
        <w:t>.</w:t>
      </w:r>
    </w:p>
    <w:p w14:paraId="4395AB0B" w14:textId="77777777" w:rsidR="00DC4DF8" w:rsidRPr="00DC4DF8" w:rsidRDefault="00DC4DF8" w:rsidP="006B5D22">
      <w:pPr>
        <w:pStyle w:val="NumberedParagraph"/>
      </w:pPr>
      <w:r w:rsidRPr="00DC4DF8">
        <w:t>Suppose that an investment costs $1,000 at the end of year 0 and generates revenue of $221.60 at the end of year 1, $217.28 at the end of year 2, $212.96 at the end of year 3, $208.64 at the end of year 4, $204.32 at the end of year 5 and then expires. It is straightforward to check that this generates a 2.16% pre-tax rate of return.</w:t>
      </w:r>
    </w:p>
    <w:p w14:paraId="5FCF9013" w14:textId="77777777" w:rsidR="00DC4DF8" w:rsidRPr="00DC4DF8" w:rsidRDefault="00DC4DF8" w:rsidP="006B5D22">
      <w:pPr>
        <w:pStyle w:val="NumberedParagraph"/>
      </w:pPr>
      <w:r w:rsidRPr="00DC4DF8">
        <w:t>To finance the investment, the company borrows $720. Together with the $280 tax saving, this finances the investment. The loan is repaid evenly at a rate of $144 per annum over the next five years.</w:t>
      </w:r>
    </w:p>
    <w:p w14:paraId="38D702E4" w14:textId="7D6A5119" w:rsidR="00DC4DF8" w:rsidRPr="00DC4DF8" w:rsidRDefault="00DC4DF8" w:rsidP="006B5D22">
      <w:pPr>
        <w:pStyle w:val="NumberedParagraph"/>
      </w:pPr>
      <w:r w:rsidRPr="00DC4DF8">
        <w:t xml:space="preserve">Cash flows are provided in </w:t>
      </w:r>
      <w:r w:rsidRPr="00E73896">
        <w:t xml:space="preserve">table </w:t>
      </w:r>
      <w:r w:rsidR="00141D6F" w:rsidRPr="00E73896">
        <w:t>A</w:t>
      </w:r>
      <w:r w:rsidR="00157120">
        <w:t>5</w:t>
      </w:r>
      <w:r w:rsidRPr="00E73896">
        <w:t>.1</w:t>
      </w:r>
      <w:r w:rsidRPr="00DC4DF8">
        <w:t>.</w:t>
      </w:r>
    </w:p>
    <w:p w14:paraId="2B96C470" w14:textId="72B6247D" w:rsidR="00DC4DF8" w:rsidRPr="00DC4DF8" w:rsidRDefault="00DC4DF8" w:rsidP="001D7EF4">
      <w:pPr>
        <w:pStyle w:val="Caption-table"/>
      </w:pPr>
      <w:r w:rsidRPr="00DC4DF8">
        <w:t xml:space="preserve">Table </w:t>
      </w:r>
      <w:r w:rsidR="005053A7" w:rsidRPr="00E73896">
        <w:t>A</w:t>
      </w:r>
      <w:r w:rsidR="00157120">
        <w:t>5</w:t>
      </w:r>
      <w:r w:rsidRPr="00E73896">
        <w:t>.1</w:t>
      </w:r>
      <w:r w:rsidR="003A441F">
        <w:t xml:space="preserve">: </w:t>
      </w:r>
      <w:r w:rsidRPr="00DC4DF8">
        <w:t>Marginal debt-financed investment with expensing</w:t>
      </w:r>
    </w:p>
    <w:tbl>
      <w:tblPr>
        <w:tblStyle w:val="TableGrid"/>
        <w:tblW w:w="7938" w:type="dxa"/>
        <w:tblInd w:w="84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709"/>
        <w:gridCol w:w="992"/>
        <w:gridCol w:w="1417"/>
        <w:gridCol w:w="851"/>
        <w:gridCol w:w="992"/>
        <w:gridCol w:w="992"/>
        <w:gridCol w:w="992"/>
        <w:gridCol w:w="993"/>
      </w:tblGrid>
      <w:tr w:rsidR="00067DCF" w:rsidRPr="0063350C" w14:paraId="73A595BE" w14:textId="77777777" w:rsidTr="001262F9">
        <w:trPr>
          <w:tblHeader/>
        </w:trPr>
        <w:tc>
          <w:tcPr>
            <w:tcW w:w="709" w:type="dxa"/>
            <w:shd w:val="clear" w:color="auto" w:fill="232E36"/>
          </w:tcPr>
          <w:p w14:paraId="23B11FEC" w14:textId="78385934" w:rsidR="0063350C" w:rsidRPr="00CA0BF8" w:rsidRDefault="0063350C" w:rsidP="00CA0BF8">
            <w:pPr>
              <w:spacing w:before="120" w:after="120"/>
              <w:jc w:val="center"/>
              <w:rPr>
                <w:b/>
                <w:bCs/>
                <w:color w:val="FFFFFF" w:themeColor="background1"/>
                <w:sz w:val="16"/>
                <w:szCs w:val="16"/>
              </w:rPr>
            </w:pPr>
            <w:r w:rsidRPr="00CA0BF8">
              <w:rPr>
                <w:b/>
                <w:bCs/>
                <w:color w:val="FFFFFF" w:themeColor="background1"/>
                <w:sz w:val="16"/>
                <w:szCs w:val="16"/>
              </w:rPr>
              <w:t>Year</w:t>
            </w:r>
          </w:p>
        </w:tc>
        <w:tc>
          <w:tcPr>
            <w:tcW w:w="992" w:type="dxa"/>
            <w:shd w:val="clear" w:color="auto" w:fill="232E36"/>
          </w:tcPr>
          <w:p w14:paraId="037B8166" w14:textId="5D2D8AFD" w:rsidR="0063350C" w:rsidRPr="00CA0BF8" w:rsidRDefault="0063350C" w:rsidP="00CA0BF8">
            <w:pPr>
              <w:spacing w:before="120" w:after="120"/>
              <w:jc w:val="center"/>
              <w:rPr>
                <w:b/>
                <w:bCs/>
                <w:color w:val="FFFFFF" w:themeColor="background1"/>
                <w:sz w:val="16"/>
                <w:szCs w:val="16"/>
              </w:rPr>
            </w:pPr>
            <w:r w:rsidRPr="00CA0BF8">
              <w:rPr>
                <w:b/>
                <w:bCs/>
                <w:color w:val="FFFFFF" w:themeColor="background1"/>
                <w:sz w:val="16"/>
                <w:szCs w:val="16"/>
              </w:rPr>
              <w:t xml:space="preserve">Capital </w:t>
            </w:r>
            <w:r w:rsidRPr="0063350C">
              <w:rPr>
                <w:b/>
                <w:bCs/>
                <w:color w:val="FFFFFF" w:themeColor="background1"/>
                <w:sz w:val="16"/>
                <w:szCs w:val="16"/>
              </w:rPr>
              <w:br/>
            </w:r>
            <w:r w:rsidRPr="00CA0BF8">
              <w:rPr>
                <w:b/>
                <w:bCs/>
                <w:color w:val="FFFFFF" w:themeColor="background1"/>
                <w:sz w:val="16"/>
                <w:szCs w:val="16"/>
              </w:rPr>
              <w:t>outlay</w:t>
            </w:r>
          </w:p>
        </w:tc>
        <w:tc>
          <w:tcPr>
            <w:tcW w:w="1417" w:type="dxa"/>
            <w:shd w:val="clear" w:color="auto" w:fill="232E36"/>
          </w:tcPr>
          <w:p w14:paraId="7339F89F" w14:textId="491D9B89" w:rsidR="0063350C" w:rsidRPr="00CA0BF8" w:rsidRDefault="0063350C" w:rsidP="00CA0BF8">
            <w:pPr>
              <w:spacing w:before="120" w:after="120"/>
              <w:jc w:val="center"/>
              <w:rPr>
                <w:b/>
                <w:bCs/>
                <w:color w:val="FFFFFF" w:themeColor="background1"/>
                <w:sz w:val="16"/>
                <w:szCs w:val="16"/>
              </w:rPr>
            </w:pPr>
            <w:r w:rsidRPr="00CA0BF8">
              <w:rPr>
                <w:b/>
                <w:bCs/>
                <w:color w:val="FFFFFF" w:themeColor="background1"/>
                <w:sz w:val="16"/>
                <w:szCs w:val="16"/>
              </w:rPr>
              <w:t xml:space="preserve">Borrowing </w:t>
            </w:r>
            <w:r w:rsidR="00711E34">
              <w:rPr>
                <w:b/>
                <w:bCs/>
                <w:color w:val="FFFFFF" w:themeColor="background1"/>
                <w:sz w:val="16"/>
                <w:szCs w:val="16"/>
              </w:rPr>
              <w:br/>
            </w:r>
            <w:r w:rsidRPr="00CA0BF8">
              <w:rPr>
                <w:b/>
                <w:bCs/>
                <w:color w:val="FFFFFF" w:themeColor="background1"/>
                <w:sz w:val="16"/>
                <w:szCs w:val="16"/>
              </w:rPr>
              <w:t xml:space="preserve">and </w:t>
            </w:r>
            <w:r w:rsidR="006216EC">
              <w:rPr>
                <w:b/>
                <w:bCs/>
                <w:color w:val="FFFFFF" w:themeColor="background1"/>
                <w:sz w:val="16"/>
                <w:szCs w:val="16"/>
              </w:rPr>
              <w:t>(</w:t>
            </w:r>
            <w:r w:rsidRPr="00CA0BF8">
              <w:rPr>
                <w:b/>
                <w:bCs/>
                <w:color w:val="FFFFFF" w:themeColor="background1"/>
                <w:sz w:val="16"/>
                <w:szCs w:val="16"/>
              </w:rPr>
              <w:t>repayments)</w:t>
            </w:r>
          </w:p>
        </w:tc>
        <w:tc>
          <w:tcPr>
            <w:tcW w:w="851" w:type="dxa"/>
            <w:shd w:val="clear" w:color="auto" w:fill="232E36"/>
          </w:tcPr>
          <w:p w14:paraId="1203E7B2" w14:textId="5F55877B" w:rsidR="0063350C" w:rsidRPr="0063350C" w:rsidRDefault="0063350C" w:rsidP="00CA0BF8">
            <w:pPr>
              <w:spacing w:before="120" w:after="120"/>
              <w:jc w:val="center"/>
              <w:rPr>
                <w:rStyle w:val="Strong"/>
                <w:color w:val="FFFFFF" w:themeColor="background1"/>
                <w:sz w:val="16"/>
                <w:szCs w:val="16"/>
              </w:rPr>
            </w:pPr>
            <w:r w:rsidRPr="0063350C">
              <w:rPr>
                <w:rStyle w:val="Strong"/>
                <w:color w:val="FFFFFF" w:themeColor="background1"/>
                <w:sz w:val="16"/>
                <w:szCs w:val="16"/>
              </w:rPr>
              <w:t>Loan balance</w:t>
            </w:r>
          </w:p>
        </w:tc>
        <w:tc>
          <w:tcPr>
            <w:tcW w:w="992" w:type="dxa"/>
            <w:shd w:val="clear" w:color="auto" w:fill="232E36"/>
          </w:tcPr>
          <w:p w14:paraId="3ADC5BED" w14:textId="3F67A43C" w:rsidR="0063350C" w:rsidRPr="0063350C" w:rsidRDefault="0063350C" w:rsidP="00CA0BF8">
            <w:pPr>
              <w:spacing w:before="120" w:after="120"/>
              <w:jc w:val="center"/>
              <w:rPr>
                <w:rStyle w:val="Strong"/>
                <w:color w:val="FFFFFF" w:themeColor="background1"/>
                <w:sz w:val="16"/>
                <w:szCs w:val="16"/>
              </w:rPr>
            </w:pPr>
            <w:r w:rsidRPr="0063350C">
              <w:rPr>
                <w:rStyle w:val="Strong"/>
                <w:color w:val="FFFFFF" w:themeColor="background1"/>
                <w:sz w:val="16"/>
                <w:szCs w:val="16"/>
              </w:rPr>
              <w:t>Revenue</w:t>
            </w:r>
          </w:p>
        </w:tc>
        <w:tc>
          <w:tcPr>
            <w:tcW w:w="992" w:type="dxa"/>
            <w:shd w:val="clear" w:color="auto" w:fill="232E36"/>
          </w:tcPr>
          <w:p w14:paraId="32BF58C8" w14:textId="57B52772" w:rsidR="0063350C" w:rsidRPr="0063350C" w:rsidRDefault="0063350C" w:rsidP="00CA0BF8">
            <w:pPr>
              <w:spacing w:before="120" w:after="120"/>
              <w:jc w:val="center"/>
              <w:rPr>
                <w:rStyle w:val="Strong"/>
                <w:color w:val="FFFFFF" w:themeColor="background1"/>
                <w:sz w:val="16"/>
                <w:szCs w:val="16"/>
              </w:rPr>
            </w:pPr>
            <w:r w:rsidRPr="0063350C">
              <w:rPr>
                <w:rStyle w:val="Strong"/>
                <w:color w:val="FFFFFF" w:themeColor="background1"/>
                <w:sz w:val="16"/>
                <w:szCs w:val="16"/>
              </w:rPr>
              <w:t>Interest</w:t>
            </w:r>
          </w:p>
        </w:tc>
        <w:tc>
          <w:tcPr>
            <w:tcW w:w="992" w:type="dxa"/>
            <w:shd w:val="clear" w:color="auto" w:fill="232E36"/>
          </w:tcPr>
          <w:p w14:paraId="71BDC7A5" w14:textId="006E192C" w:rsidR="0063350C" w:rsidRPr="0063350C" w:rsidRDefault="0063350C" w:rsidP="00CA0BF8">
            <w:pPr>
              <w:spacing w:before="120" w:after="120"/>
              <w:jc w:val="center"/>
              <w:rPr>
                <w:rStyle w:val="Strong"/>
                <w:color w:val="FFFFFF" w:themeColor="background1"/>
                <w:sz w:val="16"/>
                <w:szCs w:val="16"/>
              </w:rPr>
            </w:pPr>
            <w:r w:rsidRPr="0063350C">
              <w:rPr>
                <w:rStyle w:val="Strong"/>
                <w:color w:val="FFFFFF" w:themeColor="background1"/>
                <w:sz w:val="16"/>
                <w:szCs w:val="16"/>
              </w:rPr>
              <w:t>Tax</w:t>
            </w:r>
          </w:p>
        </w:tc>
        <w:tc>
          <w:tcPr>
            <w:tcW w:w="993" w:type="dxa"/>
            <w:shd w:val="clear" w:color="auto" w:fill="232E36"/>
          </w:tcPr>
          <w:p w14:paraId="18A100BA" w14:textId="0EF2F8D2" w:rsidR="0063350C" w:rsidRPr="0063350C" w:rsidRDefault="0063350C" w:rsidP="00CA0BF8">
            <w:pPr>
              <w:spacing w:before="120" w:after="120"/>
              <w:jc w:val="center"/>
              <w:rPr>
                <w:rStyle w:val="Strong"/>
                <w:color w:val="FFFFFF" w:themeColor="background1"/>
                <w:sz w:val="16"/>
                <w:szCs w:val="16"/>
              </w:rPr>
            </w:pPr>
            <w:r w:rsidRPr="0063350C">
              <w:rPr>
                <w:rStyle w:val="Strong"/>
                <w:color w:val="FFFFFF" w:themeColor="background1"/>
                <w:sz w:val="16"/>
                <w:szCs w:val="16"/>
              </w:rPr>
              <w:t>After-tax cash flow</w:t>
            </w:r>
          </w:p>
        </w:tc>
      </w:tr>
      <w:tr w:rsidR="00CA0BF8" w:rsidRPr="0063350C" w14:paraId="7FE6C86E" w14:textId="77777777" w:rsidTr="001262F9">
        <w:tc>
          <w:tcPr>
            <w:tcW w:w="709" w:type="dxa"/>
          </w:tcPr>
          <w:p w14:paraId="0C8644F1" w14:textId="6A65012E" w:rsidR="0063350C" w:rsidRPr="0063350C" w:rsidRDefault="0063350C" w:rsidP="00CA0BF8">
            <w:pPr>
              <w:spacing w:before="60" w:after="60"/>
              <w:jc w:val="center"/>
              <w:rPr>
                <w:rStyle w:val="Strong"/>
                <w:sz w:val="16"/>
                <w:szCs w:val="16"/>
              </w:rPr>
            </w:pPr>
            <w:r w:rsidRPr="0063350C">
              <w:rPr>
                <w:rStyle w:val="Strong"/>
                <w:sz w:val="16"/>
                <w:szCs w:val="16"/>
              </w:rPr>
              <w:t>0</w:t>
            </w:r>
          </w:p>
        </w:tc>
        <w:tc>
          <w:tcPr>
            <w:tcW w:w="992" w:type="dxa"/>
          </w:tcPr>
          <w:p w14:paraId="471F4E9A" w14:textId="52A9DB29" w:rsidR="0063350C" w:rsidRPr="00CA0BF8" w:rsidRDefault="0063350C" w:rsidP="00C07D55">
            <w:pPr>
              <w:spacing w:before="60" w:after="60"/>
              <w:jc w:val="right"/>
              <w:rPr>
                <w:rStyle w:val="Strong"/>
                <w:b w:val="0"/>
                <w:bCs w:val="0"/>
                <w:sz w:val="16"/>
                <w:szCs w:val="16"/>
              </w:rPr>
            </w:pPr>
            <w:r w:rsidRPr="00CA0BF8">
              <w:rPr>
                <w:rStyle w:val="Strong"/>
                <w:b w:val="0"/>
                <w:bCs w:val="0"/>
                <w:sz w:val="16"/>
                <w:szCs w:val="16"/>
              </w:rPr>
              <w:t>-1,000</w:t>
            </w:r>
            <w:r w:rsidR="003F6A2F">
              <w:rPr>
                <w:rStyle w:val="Strong"/>
                <w:b w:val="0"/>
                <w:bCs w:val="0"/>
                <w:sz w:val="16"/>
                <w:szCs w:val="16"/>
              </w:rPr>
              <w:t>.00</w:t>
            </w:r>
          </w:p>
        </w:tc>
        <w:tc>
          <w:tcPr>
            <w:tcW w:w="1417" w:type="dxa"/>
            <w:shd w:val="clear" w:color="auto" w:fill="auto"/>
            <w:vAlign w:val="bottom"/>
          </w:tcPr>
          <w:p w14:paraId="326E8060" w14:textId="42FFC59A" w:rsidR="0063350C" w:rsidRPr="00CA0BF8" w:rsidRDefault="0063350C" w:rsidP="00C07D55">
            <w:pPr>
              <w:spacing w:before="60" w:after="60"/>
              <w:ind w:right="87"/>
              <w:jc w:val="right"/>
              <w:rPr>
                <w:rStyle w:val="Strong"/>
                <w:b w:val="0"/>
                <w:bCs w:val="0"/>
                <w:sz w:val="16"/>
                <w:szCs w:val="16"/>
              </w:rPr>
            </w:pPr>
            <w:r w:rsidRPr="0063350C">
              <w:rPr>
                <w:rStyle w:val="Strong"/>
                <w:b w:val="0"/>
                <w:bCs w:val="0"/>
                <w:sz w:val="16"/>
                <w:szCs w:val="16"/>
              </w:rPr>
              <w:t>720</w:t>
            </w:r>
            <w:r w:rsidR="003F6A2F">
              <w:rPr>
                <w:rStyle w:val="Strong"/>
                <w:b w:val="0"/>
                <w:bCs w:val="0"/>
                <w:sz w:val="16"/>
                <w:szCs w:val="16"/>
              </w:rPr>
              <w:t>.00</w:t>
            </w:r>
          </w:p>
        </w:tc>
        <w:tc>
          <w:tcPr>
            <w:tcW w:w="851" w:type="dxa"/>
            <w:vAlign w:val="center"/>
          </w:tcPr>
          <w:p w14:paraId="543FC182" w14:textId="52F7A4AA" w:rsidR="0063350C" w:rsidRPr="0063350C" w:rsidRDefault="0063350C" w:rsidP="00C07D55">
            <w:pPr>
              <w:spacing w:before="60" w:after="60"/>
              <w:jc w:val="right"/>
              <w:rPr>
                <w:sz w:val="16"/>
                <w:szCs w:val="16"/>
              </w:rPr>
            </w:pPr>
            <w:r w:rsidRPr="0063350C">
              <w:rPr>
                <w:sz w:val="16"/>
                <w:szCs w:val="16"/>
              </w:rPr>
              <w:t>720</w:t>
            </w:r>
            <w:r w:rsidR="003F6A2F">
              <w:rPr>
                <w:sz w:val="16"/>
                <w:szCs w:val="16"/>
              </w:rPr>
              <w:t>.00</w:t>
            </w:r>
          </w:p>
        </w:tc>
        <w:tc>
          <w:tcPr>
            <w:tcW w:w="992" w:type="dxa"/>
            <w:vAlign w:val="center"/>
          </w:tcPr>
          <w:p w14:paraId="2CEF81E0" w14:textId="0B6E321B" w:rsidR="0063350C" w:rsidRPr="0063350C" w:rsidRDefault="0063350C" w:rsidP="00C07D55">
            <w:pPr>
              <w:spacing w:before="60" w:after="60"/>
              <w:ind w:right="66"/>
              <w:jc w:val="right"/>
              <w:rPr>
                <w:sz w:val="16"/>
                <w:szCs w:val="16"/>
              </w:rPr>
            </w:pPr>
          </w:p>
        </w:tc>
        <w:tc>
          <w:tcPr>
            <w:tcW w:w="992" w:type="dxa"/>
            <w:vAlign w:val="center"/>
          </w:tcPr>
          <w:p w14:paraId="7B564C8E" w14:textId="3F145E30" w:rsidR="0063350C" w:rsidRPr="0063350C" w:rsidRDefault="0063350C" w:rsidP="00C07D55">
            <w:pPr>
              <w:spacing w:before="60" w:after="60"/>
              <w:ind w:right="66"/>
              <w:jc w:val="right"/>
              <w:rPr>
                <w:sz w:val="16"/>
                <w:szCs w:val="16"/>
              </w:rPr>
            </w:pPr>
          </w:p>
        </w:tc>
        <w:tc>
          <w:tcPr>
            <w:tcW w:w="992" w:type="dxa"/>
            <w:vAlign w:val="center"/>
          </w:tcPr>
          <w:p w14:paraId="38C3F027" w14:textId="50B146B3" w:rsidR="0063350C" w:rsidRPr="0063350C" w:rsidRDefault="0063350C" w:rsidP="00C07D55">
            <w:pPr>
              <w:spacing w:before="60" w:after="60"/>
              <w:ind w:right="66"/>
              <w:jc w:val="right"/>
              <w:rPr>
                <w:sz w:val="16"/>
                <w:szCs w:val="16"/>
              </w:rPr>
            </w:pPr>
            <w:r w:rsidRPr="0063350C">
              <w:rPr>
                <w:sz w:val="16"/>
                <w:szCs w:val="16"/>
              </w:rPr>
              <w:t>-280</w:t>
            </w:r>
            <w:r w:rsidR="003F6A2F">
              <w:rPr>
                <w:sz w:val="16"/>
                <w:szCs w:val="16"/>
              </w:rPr>
              <w:t>.00</w:t>
            </w:r>
          </w:p>
        </w:tc>
        <w:tc>
          <w:tcPr>
            <w:tcW w:w="993" w:type="dxa"/>
            <w:vAlign w:val="center"/>
          </w:tcPr>
          <w:p w14:paraId="4FE0D8B7" w14:textId="7180C671" w:rsidR="0063350C" w:rsidRPr="0063350C" w:rsidRDefault="00711E34" w:rsidP="00C07D55">
            <w:pPr>
              <w:spacing w:before="60" w:after="60"/>
              <w:ind w:right="52"/>
              <w:jc w:val="right"/>
              <w:rPr>
                <w:sz w:val="16"/>
                <w:szCs w:val="16"/>
              </w:rPr>
            </w:pPr>
            <w:r>
              <w:rPr>
                <w:sz w:val="16"/>
                <w:szCs w:val="16"/>
              </w:rPr>
              <w:t>0</w:t>
            </w:r>
            <w:r w:rsidR="003F6A2F">
              <w:rPr>
                <w:sz w:val="16"/>
                <w:szCs w:val="16"/>
              </w:rPr>
              <w:t>.00</w:t>
            </w:r>
          </w:p>
        </w:tc>
      </w:tr>
      <w:tr w:rsidR="00CA0BF8" w:rsidRPr="0063350C" w14:paraId="35494B66" w14:textId="77777777" w:rsidTr="001262F9">
        <w:tc>
          <w:tcPr>
            <w:tcW w:w="709" w:type="dxa"/>
          </w:tcPr>
          <w:p w14:paraId="6F26CFEA" w14:textId="4A4B1C19" w:rsidR="00711E34" w:rsidRPr="0063350C" w:rsidRDefault="00711E34" w:rsidP="00CA0BF8">
            <w:pPr>
              <w:spacing w:before="60" w:after="60"/>
              <w:jc w:val="center"/>
              <w:rPr>
                <w:rStyle w:val="Strong"/>
                <w:sz w:val="16"/>
                <w:szCs w:val="16"/>
              </w:rPr>
            </w:pPr>
            <w:r w:rsidRPr="0063350C">
              <w:rPr>
                <w:rStyle w:val="Strong"/>
                <w:sz w:val="16"/>
                <w:szCs w:val="16"/>
              </w:rPr>
              <w:t>1</w:t>
            </w:r>
          </w:p>
        </w:tc>
        <w:tc>
          <w:tcPr>
            <w:tcW w:w="992" w:type="dxa"/>
          </w:tcPr>
          <w:p w14:paraId="71907333" w14:textId="160F9729" w:rsidR="00711E34" w:rsidRPr="00CA0BF8" w:rsidRDefault="00711E34" w:rsidP="00CA0BF8">
            <w:pPr>
              <w:spacing w:before="60" w:after="60"/>
              <w:jc w:val="center"/>
              <w:rPr>
                <w:rStyle w:val="Strong"/>
                <w:b w:val="0"/>
                <w:bCs w:val="0"/>
                <w:sz w:val="16"/>
                <w:szCs w:val="16"/>
              </w:rPr>
            </w:pPr>
          </w:p>
        </w:tc>
        <w:tc>
          <w:tcPr>
            <w:tcW w:w="1417" w:type="dxa"/>
            <w:shd w:val="clear" w:color="auto" w:fill="auto"/>
            <w:vAlign w:val="bottom"/>
          </w:tcPr>
          <w:p w14:paraId="53A43000" w14:textId="66C4E4D1" w:rsidR="00711E34" w:rsidRPr="00CA0BF8" w:rsidRDefault="006216EC" w:rsidP="00C07D55">
            <w:pPr>
              <w:spacing w:before="60" w:after="60"/>
              <w:ind w:right="87"/>
              <w:jc w:val="right"/>
              <w:rPr>
                <w:rStyle w:val="Strong"/>
                <w:b w:val="0"/>
                <w:bCs w:val="0"/>
                <w:sz w:val="16"/>
                <w:szCs w:val="16"/>
              </w:rPr>
            </w:pPr>
            <w:r>
              <w:rPr>
                <w:rStyle w:val="Strong"/>
                <w:b w:val="0"/>
                <w:bCs w:val="0"/>
                <w:sz w:val="16"/>
                <w:szCs w:val="16"/>
              </w:rPr>
              <w:t>(</w:t>
            </w:r>
            <w:r w:rsidR="00711E34" w:rsidRPr="0063350C">
              <w:rPr>
                <w:rStyle w:val="Strong"/>
                <w:b w:val="0"/>
                <w:bCs w:val="0"/>
                <w:sz w:val="16"/>
                <w:szCs w:val="16"/>
              </w:rPr>
              <w:t>144</w:t>
            </w:r>
            <w:r w:rsidR="003F6A2F">
              <w:rPr>
                <w:rStyle w:val="Strong"/>
                <w:b w:val="0"/>
                <w:bCs w:val="0"/>
                <w:sz w:val="16"/>
                <w:szCs w:val="16"/>
              </w:rPr>
              <w:t>.00</w:t>
            </w:r>
            <w:r>
              <w:rPr>
                <w:rStyle w:val="Strong"/>
                <w:b w:val="0"/>
                <w:bCs w:val="0"/>
                <w:sz w:val="16"/>
                <w:szCs w:val="16"/>
              </w:rPr>
              <w:t>)</w:t>
            </w:r>
          </w:p>
        </w:tc>
        <w:tc>
          <w:tcPr>
            <w:tcW w:w="851" w:type="dxa"/>
            <w:vAlign w:val="center"/>
          </w:tcPr>
          <w:p w14:paraId="5CD25C92" w14:textId="33B7B0EE" w:rsidR="00711E34" w:rsidRPr="0063350C" w:rsidRDefault="00711E34" w:rsidP="00C07D55">
            <w:pPr>
              <w:spacing w:before="60" w:after="60"/>
              <w:jc w:val="right"/>
              <w:rPr>
                <w:sz w:val="16"/>
                <w:szCs w:val="16"/>
              </w:rPr>
            </w:pPr>
            <w:r w:rsidRPr="0063350C">
              <w:rPr>
                <w:sz w:val="16"/>
                <w:szCs w:val="16"/>
              </w:rPr>
              <w:t>576</w:t>
            </w:r>
            <w:r w:rsidR="003F6A2F">
              <w:rPr>
                <w:sz w:val="16"/>
                <w:szCs w:val="16"/>
              </w:rPr>
              <w:t>.00</w:t>
            </w:r>
          </w:p>
        </w:tc>
        <w:tc>
          <w:tcPr>
            <w:tcW w:w="992" w:type="dxa"/>
            <w:vAlign w:val="center"/>
          </w:tcPr>
          <w:p w14:paraId="0D362E73" w14:textId="7B966AD0" w:rsidR="00711E34" w:rsidRPr="0063350C" w:rsidRDefault="00711E34" w:rsidP="00C07D55">
            <w:pPr>
              <w:spacing w:before="60" w:after="60"/>
              <w:ind w:right="66"/>
              <w:jc w:val="right"/>
              <w:rPr>
                <w:sz w:val="16"/>
                <w:szCs w:val="16"/>
              </w:rPr>
            </w:pPr>
            <w:r w:rsidRPr="0063350C">
              <w:rPr>
                <w:sz w:val="16"/>
                <w:szCs w:val="16"/>
              </w:rPr>
              <w:t>221.60</w:t>
            </w:r>
          </w:p>
        </w:tc>
        <w:tc>
          <w:tcPr>
            <w:tcW w:w="992" w:type="dxa"/>
            <w:vAlign w:val="center"/>
          </w:tcPr>
          <w:p w14:paraId="72A0AA58" w14:textId="44741D73" w:rsidR="00711E34" w:rsidRPr="0063350C" w:rsidRDefault="00711E34" w:rsidP="00C07D55">
            <w:pPr>
              <w:spacing w:before="60" w:after="60"/>
              <w:ind w:right="66"/>
              <w:jc w:val="right"/>
              <w:rPr>
                <w:sz w:val="16"/>
                <w:szCs w:val="16"/>
              </w:rPr>
            </w:pPr>
            <w:r w:rsidRPr="0063350C">
              <w:rPr>
                <w:sz w:val="16"/>
                <w:szCs w:val="16"/>
              </w:rPr>
              <w:t>21.60</w:t>
            </w:r>
          </w:p>
        </w:tc>
        <w:tc>
          <w:tcPr>
            <w:tcW w:w="992" w:type="dxa"/>
            <w:vAlign w:val="center"/>
          </w:tcPr>
          <w:p w14:paraId="18B3F77E" w14:textId="49541557" w:rsidR="00711E34" w:rsidRPr="0063350C" w:rsidRDefault="00711E34" w:rsidP="00C07D55">
            <w:pPr>
              <w:spacing w:before="60" w:after="60"/>
              <w:ind w:right="66"/>
              <w:jc w:val="right"/>
              <w:rPr>
                <w:sz w:val="16"/>
                <w:szCs w:val="16"/>
              </w:rPr>
            </w:pPr>
            <w:r w:rsidRPr="0063350C">
              <w:rPr>
                <w:sz w:val="16"/>
                <w:szCs w:val="16"/>
              </w:rPr>
              <w:t>56</w:t>
            </w:r>
            <w:r w:rsidR="003F6A2F">
              <w:rPr>
                <w:sz w:val="16"/>
                <w:szCs w:val="16"/>
              </w:rPr>
              <w:t>.00</w:t>
            </w:r>
          </w:p>
        </w:tc>
        <w:tc>
          <w:tcPr>
            <w:tcW w:w="993" w:type="dxa"/>
          </w:tcPr>
          <w:p w14:paraId="4B2A6AA0" w14:textId="44AF9CA9" w:rsidR="00711E34" w:rsidRPr="0063350C" w:rsidRDefault="00711E34" w:rsidP="00C07D55">
            <w:pPr>
              <w:spacing w:before="60" w:after="60"/>
              <w:ind w:right="52"/>
              <w:jc w:val="right"/>
              <w:rPr>
                <w:sz w:val="16"/>
                <w:szCs w:val="16"/>
              </w:rPr>
            </w:pPr>
            <w:r w:rsidRPr="002A03F2">
              <w:rPr>
                <w:sz w:val="16"/>
                <w:szCs w:val="16"/>
              </w:rPr>
              <w:t>0</w:t>
            </w:r>
            <w:r w:rsidR="003F6A2F">
              <w:rPr>
                <w:sz w:val="16"/>
                <w:szCs w:val="16"/>
              </w:rPr>
              <w:t>.00</w:t>
            </w:r>
          </w:p>
        </w:tc>
      </w:tr>
      <w:tr w:rsidR="00711E34" w:rsidRPr="0063350C" w14:paraId="0D593583" w14:textId="77777777" w:rsidTr="001262F9">
        <w:tc>
          <w:tcPr>
            <w:tcW w:w="709" w:type="dxa"/>
          </w:tcPr>
          <w:p w14:paraId="7B511DE1" w14:textId="56CD6345" w:rsidR="00711E34" w:rsidRPr="0063350C" w:rsidRDefault="00711E34" w:rsidP="00CA0BF8">
            <w:pPr>
              <w:spacing w:before="60" w:after="60"/>
              <w:jc w:val="center"/>
              <w:rPr>
                <w:rStyle w:val="Strong"/>
                <w:sz w:val="16"/>
                <w:szCs w:val="16"/>
              </w:rPr>
            </w:pPr>
            <w:r w:rsidRPr="0063350C">
              <w:rPr>
                <w:rStyle w:val="Strong"/>
                <w:sz w:val="16"/>
                <w:szCs w:val="16"/>
              </w:rPr>
              <w:t>2</w:t>
            </w:r>
          </w:p>
        </w:tc>
        <w:tc>
          <w:tcPr>
            <w:tcW w:w="992" w:type="dxa"/>
          </w:tcPr>
          <w:p w14:paraId="1BB9B47B" w14:textId="3F0343E9" w:rsidR="00711E34" w:rsidRPr="00CA0BF8" w:rsidRDefault="00711E34" w:rsidP="00CA0BF8">
            <w:pPr>
              <w:spacing w:before="60" w:after="60"/>
              <w:jc w:val="center"/>
              <w:rPr>
                <w:rStyle w:val="Strong"/>
                <w:b w:val="0"/>
                <w:bCs w:val="0"/>
                <w:sz w:val="16"/>
                <w:szCs w:val="16"/>
              </w:rPr>
            </w:pPr>
          </w:p>
        </w:tc>
        <w:tc>
          <w:tcPr>
            <w:tcW w:w="1417" w:type="dxa"/>
            <w:shd w:val="clear" w:color="auto" w:fill="auto"/>
            <w:vAlign w:val="bottom"/>
          </w:tcPr>
          <w:p w14:paraId="57DE68A3" w14:textId="2A8B04DD" w:rsidR="00711E34" w:rsidRPr="00CA0BF8" w:rsidRDefault="006216EC" w:rsidP="00C07D55">
            <w:pPr>
              <w:spacing w:before="60" w:after="60"/>
              <w:ind w:right="87"/>
              <w:jc w:val="right"/>
              <w:rPr>
                <w:rStyle w:val="Strong"/>
                <w:b w:val="0"/>
                <w:bCs w:val="0"/>
                <w:sz w:val="16"/>
                <w:szCs w:val="16"/>
              </w:rPr>
            </w:pPr>
            <w:r>
              <w:rPr>
                <w:rStyle w:val="Strong"/>
                <w:b w:val="0"/>
                <w:bCs w:val="0"/>
                <w:sz w:val="16"/>
                <w:szCs w:val="16"/>
              </w:rPr>
              <w:t>(</w:t>
            </w:r>
            <w:r w:rsidR="00711E34" w:rsidRPr="0063350C">
              <w:rPr>
                <w:rStyle w:val="Strong"/>
                <w:b w:val="0"/>
                <w:bCs w:val="0"/>
                <w:sz w:val="16"/>
                <w:szCs w:val="16"/>
              </w:rPr>
              <w:t>144</w:t>
            </w:r>
            <w:r w:rsidR="003F6A2F">
              <w:rPr>
                <w:rStyle w:val="Strong"/>
                <w:b w:val="0"/>
                <w:bCs w:val="0"/>
                <w:sz w:val="16"/>
                <w:szCs w:val="16"/>
              </w:rPr>
              <w:t>.00</w:t>
            </w:r>
            <w:r>
              <w:rPr>
                <w:rStyle w:val="Strong"/>
                <w:b w:val="0"/>
                <w:bCs w:val="0"/>
                <w:sz w:val="16"/>
                <w:szCs w:val="16"/>
              </w:rPr>
              <w:t>)</w:t>
            </w:r>
          </w:p>
        </w:tc>
        <w:tc>
          <w:tcPr>
            <w:tcW w:w="851" w:type="dxa"/>
            <w:vAlign w:val="center"/>
          </w:tcPr>
          <w:p w14:paraId="0A61143A" w14:textId="3B57D25D" w:rsidR="00711E34" w:rsidRPr="0063350C" w:rsidRDefault="00711E34" w:rsidP="00C07D55">
            <w:pPr>
              <w:spacing w:before="60" w:after="60"/>
              <w:jc w:val="right"/>
              <w:rPr>
                <w:sz w:val="16"/>
                <w:szCs w:val="16"/>
              </w:rPr>
            </w:pPr>
            <w:r w:rsidRPr="0063350C">
              <w:rPr>
                <w:sz w:val="16"/>
                <w:szCs w:val="16"/>
              </w:rPr>
              <w:t>432</w:t>
            </w:r>
            <w:r w:rsidR="003F6A2F">
              <w:rPr>
                <w:sz w:val="16"/>
                <w:szCs w:val="16"/>
              </w:rPr>
              <w:t>.00</w:t>
            </w:r>
          </w:p>
        </w:tc>
        <w:tc>
          <w:tcPr>
            <w:tcW w:w="992" w:type="dxa"/>
            <w:vAlign w:val="center"/>
          </w:tcPr>
          <w:p w14:paraId="4951B4D6" w14:textId="3A45DCE4" w:rsidR="00711E34" w:rsidRPr="0063350C" w:rsidRDefault="00711E34" w:rsidP="00C07D55">
            <w:pPr>
              <w:spacing w:before="60" w:after="60"/>
              <w:ind w:right="66"/>
              <w:jc w:val="right"/>
              <w:rPr>
                <w:sz w:val="16"/>
                <w:szCs w:val="16"/>
              </w:rPr>
            </w:pPr>
            <w:r w:rsidRPr="0063350C">
              <w:rPr>
                <w:sz w:val="16"/>
                <w:szCs w:val="16"/>
              </w:rPr>
              <w:t>217.28</w:t>
            </w:r>
          </w:p>
        </w:tc>
        <w:tc>
          <w:tcPr>
            <w:tcW w:w="992" w:type="dxa"/>
            <w:vAlign w:val="center"/>
          </w:tcPr>
          <w:p w14:paraId="5E933F52" w14:textId="42EB1008" w:rsidR="00711E34" w:rsidRPr="0063350C" w:rsidRDefault="00711E34" w:rsidP="00C07D55">
            <w:pPr>
              <w:spacing w:before="60" w:after="60"/>
              <w:ind w:right="66"/>
              <w:jc w:val="right"/>
              <w:rPr>
                <w:sz w:val="16"/>
                <w:szCs w:val="16"/>
              </w:rPr>
            </w:pPr>
            <w:r w:rsidRPr="0063350C">
              <w:rPr>
                <w:sz w:val="16"/>
                <w:szCs w:val="16"/>
              </w:rPr>
              <w:t>17.28</w:t>
            </w:r>
          </w:p>
        </w:tc>
        <w:tc>
          <w:tcPr>
            <w:tcW w:w="992" w:type="dxa"/>
          </w:tcPr>
          <w:p w14:paraId="51F114DD" w14:textId="52589418" w:rsidR="00711E34" w:rsidRPr="0063350C" w:rsidRDefault="00711E34" w:rsidP="00C07D55">
            <w:pPr>
              <w:spacing w:before="60" w:after="60"/>
              <w:ind w:right="66"/>
              <w:jc w:val="right"/>
              <w:rPr>
                <w:sz w:val="16"/>
                <w:szCs w:val="16"/>
              </w:rPr>
            </w:pPr>
            <w:r w:rsidRPr="0063350C">
              <w:rPr>
                <w:sz w:val="16"/>
                <w:szCs w:val="16"/>
              </w:rPr>
              <w:t>56</w:t>
            </w:r>
            <w:r w:rsidR="003F6A2F">
              <w:rPr>
                <w:sz w:val="16"/>
                <w:szCs w:val="16"/>
              </w:rPr>
              <w:t>.00</w:t>
            </w:r>
          </w:p>
        </w:tc>
        <w:tc>
          <w:tcPr>
            <w:tcW w:w="993" w:type="dxa"/>
          </w:tcPr>
          <w:p w14:paraId="28BA4797" w14:textId="0B897C86" w:rsidR="00711E34" w:rsidRPr="0063350C" w:rsidRDefault="00711E34" w:rsidP="00C07D55">
            <w:pPr>
              <w:spacing w:before="60" w:after="60"/>
              <w:ind w:right="52"/>
              <w:jc w:val="right"/>
              <w:rPr>
                <w:sz w:val="16"/>
                <w:szCs w:val="16"/>
              </w:rPr>
            </w:pPr>
            <w:r w:rsidRPr="002A03F2">
              <w:rPr>
                <w:sz w:val="16"/>
                <w:szCs w:val="16"/>
              </w:rPr>
              <w:t>0</w:t>
            </w:r>
            <w:r w:rsidR="003F6A2F">
              <w:rPr>
                <w:sz w:val="16"/>
                <w:szCs w:val="16"/>
              </w:rPr>
              <w:t>.00</w:t>
            </w:r>
          </w:p>
        </w:tc>
      </w:tr>
      <w:tr w:rsidR="00711E34" w:rsidRPr="0063350C" w14:paraId="42587002" w14:textId="77777777" w:rsidTr="001262F9">
        <w:tc>
          <w:tcPr>
            <w:tcW w:w="709" w:type="dxa"/>
          </w:tcPr>
          <w:p w14:paraId="1C086CFC" w14:textId="158F6E1D" w:rsidR="00711E34" w:rsidRPr="0063350C" w:rsidRDefault="00711E34" w:rsidP="00CA0BF8">
            <w:pPr>
              <w:spacing w:before="60" w:after="60"/>
              <w:jc w:val="center"/>
              <w:rPr>
                <w:rStyle w:val="Strong"/>
                <w:sz w:val="16"/>
                <w:szCs w:val="16"/>
              </w:rPr>
            </w:pPr>
            <w:r w:rsidRPr="0063350C">
              <w:rPr>
                <w:rStyle w:val="Strong"/>
                <w:sz w:val="16"/>
                <w:szCs w:val="16"/>
              </w:rPr>
              <w:t>3</w:t>
            </w:r>
          </w:p>
        </w:tc>
        <w:tc>
          <w:tcPr>
            <w:tcW w:w="992" w:type="dxa"/>
          </w:tcPr>
          <w:p w14:paraId="0A49CE13" w14:textId="77777777" w:rsidR="00711E34" w:rsidRPr="00CA0BF8" w:rsidRDefault="00711E34" w:rsidP="00CA0BF8">
            <w:pPr>
              <w:spacing w:before="60" w:after="60"/>
              <w:jc w:val="center"/>
              <w:rPr>
                <w:rStyle w:val="Strong"/>
                <w:b w:val="0"/>
                <w:bCs w:val="0"/>
                <w:sz w:val="16"/>
                <w:szCs w:val="16"/>
              </w:rPr>
            </w:pPr>
          </w:p>
        </w:tc>
        <w:tc>
          <w:tcPr>
            <w:tcW w:w="1417" w:type="dxa"/>
            <w:shd w:val="clear" w:color="auto" w:fill="auto"/>
            <w:vAlign w:val="bottom"/>
          </w:tcPr>
          <w:p w14:paraId="4C73702A" w14:textId="32464B15" w:rsidR="003F6A2F" w:rsidRPr="00CA0BF8" w:rsidRDefault="006216EC" w:rsidP="00C07D55">
            <w:pPr>
              <w:spacing w:before="60" w:after="60"/>
              <w:ind w:right="87"/>
              <w:jc w:val="right"/>
              <w:rPr>
                <w:rStyle w:val="Strong"/>
                <w:b w:val="0"/>
                <w:bCs w:val="0"/>
                <w:sz w:val="16"/>
                <w:szCs w:val="16"/>
              </w:rPr>
            </w:pPr>
            <w:r>
              <w:rPr>
                <w:rStyle w:val="Strong"/>
                <w:b w:val="0"/>
                <w:bCs w:val="0"/>
                <w:sz w:val="16"/>
                <w:szCs w:val="16"/>
              </w:rPr>
              <w:t>(</w:t>
            </w:r>
            <w:r w:rsidR="00711E34" w:rsidRPr="0063350C">
              <w:rPr>
                <w:rStyle w:val="Strong"/>
                <w:b w:val="0"/>
                <w:bCs w:val="0"/>
                <w:sz w:val="16"/>
                <w:szCs w:val="16"/>
              </w:rPr>
              <w:t>144</w:t>
            </w:r>
            <w:r w:rsidR="003F6A2F">
              <w:rPr>
                <w:rStyle w:val="Strong"/>
                <w:b w:val="0"/>
                <w:bCs w:val="0"/>
                <w:sz w:val="16"/>
                <w:szCs w:val="16"/>
              </w:rPr>
              <w:t>.00</w:t>
            </w:r>
            <w:r>
              <w:rPr>
                <w:rStyle w:val="Strong"/>
                <w:b w:val="0"/>
                <w:bCs w:val="0"/>
                <w:sz w:val="16"/>
                <w:szCs w:val="16"/>
              </w:rPr>
              <w:t>)</w:t>
            </w:r>
          </w:p>
        </w:tc>
        <w:tc>
          <w:tcPr>
            <w:tcW w:w="851" w:type="dxa"/>
            <w:vAlign w:val="center"/>
          </w:tcPr>
          <w:p w14:paraId="03A2DD1E" w14:textId="3DDCF388" w:rsidR="00711E34" w:rsidRPr="0063350C" w:rsidRDefault="00711E34" w:rsidP="00C07D55">
            <w:pPr>
              <w:spacing w:before="60" w:after="60"/>
              <w:jc w:val="right"/>
              <w:rPr>
                <w:sz w:val="16"/>
                <w:szCs w:val="16"/>
              </w:rPr>
            </w:pPr>
            <w:r w:rsidRPr="0063350C">
              <w:rPr>
                <w:sz w:val="16"/>
                <w:szCs w:val="16"/>
              </w:rPr>
              <w:t>288</w:t>
            </w:r>
            <w:r w:rsidR="003F6A2F">
              <w:rPr>
                <w:sz w:val="16"/>
                <w:szCs w:val="16"/>
              </w:rPr>
              <w:t>.00</w:t>
            </w:r>
          </w:p>
        </w:tc>
        <w:tc>
          <w:tcPr>
            <w:tcW w:w="992" w:type="dxa"/>
            <w:vAlign w:val="center"/>
          </w:tcPr>
          <w:p w14:paraId="1A0983EB" w14:textId="3D3AD7D6" w:rsidR="00711E34" w:rsidRPr="0063350C" w:rsidRDefault="00711E34" w:rsidP="00C07D55">
            <w:pPr>
              <w:spacing w:before="60" w:after="60"/>
              <w:ind w:right="66"/>
              <w:jc w:val="right"/>
              <w:rPr>
                <w:sz w:val="16"/>
                <w:szCs w:val="16"/>
              </w:rPr>
            </w:pPr>
            <w:r w:rsidRPr="0063350C">
              <w:rPr>
                <w:sz w:val="16"/>
                <w:szCs w:val="16"/>
              </w:rPr>
              <w:t>212.96</w:t>
            </w:r>
          </w:p>
        </w:tc>
        <w:tc>
          <w:tcPr>
            <w:tcW w:w="992" w:type="dxa"/>
            <w:vAlign w:val="center"/>
          </w:tcPr>
          <w:p w14:paraId="7A1694CD" w14:textId="361D5DBE" w:rsidR="00711E34" w:rsidRPr="0063350C" w:rsidRDefault="00711E34" w:rsidP="00C07D55">
            <w:pPr>
              <w:spacing w:before="60" w:after="60"/>
              <w:ind w:right="66"/>
              <w:jc w:val="right"/>
              <w:rPr>
                <w:sz w:val="16"/>
                <w:szCs w:val="16"/>
              </w:rPr>
            </w:pPr>
            <w:r w:rsidRPr="0063350C">
              <w:rPr>
                <w:sz w:val="16"/>
                <w:szCs w:val="16"/>
              </w:rPr>
              <w:t>12.96</w:t>
            </w:r>
          </w:p>
        </w:tc>
        <w:tc>
          <w:tcPr>
            <w:tcW w:w="992" w:type="dxa"/>
          </w:tcPr>
          <w:p w14:paraId="4F5772C9" w14:textId="11C5F30D" w:rsidR="00711E34" w:rsidRPr="0063350C" w:rsidRDefault="00711E34" w:rsidP="00C07D55">
            <w:pPr>
              <w:spacing w:before="60" w:after="60"/>
              <w:ind w:right="66"/>
              <w:jc w:val="right"/>
              <w:rPr>
                <w:sz w:val="16"/>
                <w:szCs w:val="16"/>
              </w:rPr>
            </w:pPr>
            <w:r w:rsidRPr="0063350C">
              <w:rPr>
                <w:sz w:val="16"/>
                <w:szCs w:val="16"/>
              </w:rPr>
              <w:t>56</w:t>
            </w:r>
            <w:r w:rsidR="003F6A2F">
              <w:rPr>
                <w:sz w:val="16"/>
                <w:szCs w:val="16"/>
              </w:rPr>
              <w:t>.00</w:t>
            </w:r>
          </w:p>
        </w:tc>
        <w:tc>
          <w:tcPr>
            <w:tcW w:w="993" w:type="dxa"/>
          </w:tcPr>
          <w:p w14:paraId="68DB5BAA" w14:textId="6EDB30AC" w:rsidR="00711E34" w:rsidRPr="0063350C" w:rsidRDefault="00711E34" w:rsidP="00C07D55">
            <w:pPr>
              <w:spacing w:before="60" w:after="60"/>
              <w:ind w:right="52"/>
              <w:jc w:val="right"/>
              <w:rPr>
                <w:sz w:val="16"/>
                <w:szCs w:val="16"/>
              </w:rPr>
            </w:pPr>
            <w:r w:rsidRPr="002A03F2">
              <w:rPr>
                <w:sz w:val="16"/>
                <w:szCs w:val="16"/>
              </w:rPr>
              <w:t>0</w:t>
            </w:r>
            <w:r w:rsidR="003F6A2F">
              <w:rPr>
                <w:sz w:val="16"/>
                <w:szCs w:val="16"/>
              </w:rPr>
              <w:t>.00</w:t>
            </w:r>
          </w:p>
        </w:tc>
      </w:tr>
      <w:tr w:rsidR="00711E34" w:rsidRPr="0063350C" w14:paraId="5672562C" w14:textId="77777777" w:rsidTr="001262F9">
        <w:tc>
          <w:tcPr>
            <w:tcW w:w="709" w:type="dxa"/>
          </w:tcPr>
          <w:p w14:paraId="7B45E36F" w14:textId="3768817D" w:rsidR="00711E34" w:rsidRPr="0063350C" w:rsidRDefault="00711E34" w:rsidP="00CA0BF8">
            <w:pPr>
              <w:spacing w:before="60" w:after="60"/>
              <w:jc w:val="center"/>
              <w:rPr>
                <w:rStyle w:val="Strong"/>
                <w:sz w:val="16"/>
                <w:szCs w:val="16"/>
              </w:rPr>
            </w:pPr>
            <w:r w:rsidRPr="0063350C">
              <w:rPr>
                <w:rStyle w:val="Strong"/>
                <w:sz w:val="16"/>
                <w:szCs w:val="16"/>
              </w:rPr>
              <w:t>4</w:t>
            </w:r>
          </w:p>
        </w:tc>
        <w:tc>
          <w:tcPr>
            <w:tcW w:w="992" w:type="dxa"/>
          </w:tcPr>
          <w:p w14:paraId="433321EB" w14:textId="77777777" w:rsidR="00711E34" w:rsidRPr="00CA0BF8" w:rsidRDefault="00711E34" w:rsidP="00CA0BF8">
            <w:pPr>
              <w:spacing w:before="60" w:after="60"/>
              <w:jc w:val="center"/>
              <w:rPr>
                <w:rStyle w:val="Strong"/>
                <w:b w:val="0"/>
                <w:bCs w:val="0"/>
                <w:sz w:val="16"/>
                <w:szCs w:val="16"/>
              </w:rPr>
            </w:pPr>
          </w:p>
        </w:tc>
        <w:tc>
          <w:tcPr>
            <w:tcW w:w="1417" w:type="dxa"/>
            <w:shd w:val="clear" w:color="auto" w:fill="auto"/>
            <w:vAlign w:val="bottom"/>
          </w:tcPr>
          <w:p w14:paraId="1BA9134F" w14:textId="4DBB3254" w:rsidR="00711E34" w:rsidRPr="00CA0BF8" w:rsidRDefault="006216EC" w:rsidP="00C07D55">
            <w:pPr>
              <w:spacing w:before="60" w:after="60"/>
              <w:ind w:right="87"/>
              <w:jc w:val="right"/>
              <w:rPr>
                <w:rStyle w:val="Strong"/>
                <w:b w:val="0"/>
                <w:bCs w:val="0"/>
                <w:sz w:val="16"/>
                <w:szCs w:val="16"/>
              </w:rPr>
            </w:pPr>
            <w:r>
              <w:rPr>
                <w:rStyle w:val="Strong"/>
                <w:b w:val="0"/>
                <w:bCs w:val="0"/>
                <w:sz w:val="16"/>
                <w:szCs w:val="16"/>
              </w:rPr>
              <w:t>(</w:t>
            </w:r>
            <w:r w:rsidR="00711E34" w:rsidRPr="0063350C">
              <w:rPr>
                <w:rStyle w:val="Strong"/>
                <w:b w:val="0"/>
                <w:bCs w:val="0"/>
                <w:sz w:val="16"/>
                <w:szCs w:val="16"/>
              </w:rPr>
              <w:t>144</w:t>
            </w:r>
            <w:r w:rsidR="003F6A2F">
              <w:rPr>
                <w:rStyle w:val="Strong"/>
                <w:b w:val="0"/>
                <w:bCs w:val="0"/>
                <w:sz w:val="16"/>
                <w:szCs w:val="16"/>
              </w:rPr>
              <w:t>.00</w:t>
            </w:r>
            <w:r>
              <w:rPr>
                <w:rStyle w:val="Strong"/>
                <w:b w:val="0"/>
                <w:bCs w:val="0"/>
                <w:sz w:val="16"/>
                <w:szCs w:val="16"/>
              </w:rPr>
              <w:t>)</w:t>
            </w:r>
          </w:p>
        </w:tc>
        <w:tc>
          <w:tcPr>
            <w:tcW w:w="851" w:type="dxa"/>
            <w:vAlign w:val="center"/>
          </w:tcPr>
          <w:p w14:paraId="4056767F" w14:textId="2CC12C9B" w:rsidR="00711E34" w:rsidRPr="0063350C" w:rsidRDefault="00711E34" w:rsidP="00C07D55">
            <w:pPr>
              <w:spacing w:before="60" w:after="60"/>
              <w:jc w:val="right"/>
              <w:rPr>
                <w:sz w:val="16"/>
                <w:szCs w:val="16"/>
              </w:rPr>
            </w:pPr>
            <w:r w:rsidRPr="0063350C">
              <w:rPr>
                <w:sz w:val="16"/>
                <w:szCs w:val="16"/>
              </w:rPr>
              <w:t>144</w:t>
            </w:r>
            <w:r w:rsidR="003F6A2F">
              <w:rPr>
                <w:sz w:val="16"/>
                <w:szCs w:val="16"/>
              </w:rPr>
              <w:t>.00</w:t>
            </w:r>
          </w:p>
        </w:tc>
        <w:tc>
          <w:tcPr>
            <w:tcW w:w="992" w:type="dxa"/>
            <w:vAlign w:val="center"/>
          </w:tcPr>
          <w:p w14:paraId="500CB3D6" w14:textId="50BB925F" w:rsidR="00711E34" w:rsidRPr="0063350C" w:rsidRDefault="00711E34" w:rsidP="00C07D55">
            <w:pPr>
              <w:spacing w:before="60" w:after="60"/>
              <w:ind w:right="66"/>
              <w:jc w:val="right"/>
              <w:rPr>
                <w:sz w:val="16"/>
                <w:szCs w:val="16"/>
              </w:rPr>
            </w:pPr>
            <w:r w:rsidRPr="0063350C">
              <w:rPr>
                <w:sz w:val="16"/>
                <w:szCs w:val="16"/>
              </w:rPr>
              <w:t>208.64</w:t>
            </w:r>
          </w:p>
        </w:tc>
        <w:tc>
          <w:tcPr>
            <w:tcW w:w="992" w:type="dxa"/>
            <w:vAlign w:val="center"/>
          </w:tcPr>
          <w:p w14:paraId="125C0072" w14:textId="513D001A" w:rsidR="00711E34" w:rsidRPr="0063350C" w:rsidRDefault="00711E34" w:rsidP="00C07D55">
            <w:pPr>
              <w:spacing w:before="60" w:after="60"/>
              <w:ind w:right="66"/>
              <w:jc w:val="right"/>
              <w:rPr>
                <w:sz w:val="16"/>
                <w:szCs w:val="16"/>
              </w:rPr>
            </w:pPr>
            <w:r w:rsidRPr="0063350C">
              <w:rPr>
                <w:sz w:val="16"/>
                <w:szCs w:val="16"/>
              </w:rPr>
              <w:t>8.64</w:t>
            </w:r>
          </w:p>
        </w:tc>
        <w:tc>
          <w:tcPr>
            <w:tcW w:w="992" w:type="dxa"/>
          </w:tcPr>
          <w:p w14:paraId="6E89D7DF" w14:textId="54ED45F8" w:rsidR="00711E34" w:rsidRPr="0063350C" w:rsidRDefault="00711E34" w:rsidP="00C07D55">
            <w:pPr>
              <w:spacing w:before="60" w:after="60"/>
              <w:ind w:right="66"/>
              <w:jc w:val="right"/>
              <w:rPr>
                <w:sz w:val="16"/>
                <w:szCs w:val="16"/>
              </w:rPr>
            </w:pPr>
            <w:r w:rsidRPr="0063350C">
              <w:rPr>
                <w:sz w:val="16"/>
                <w:szCs w:val="16"/>
              </w:rPr>
              <w:t>56</w:t>
            </w:r>
            <w:r w:rsidR="003F6A2F">
              <w:rPr>
                <w:sz w:val="16"/>
                <w:szCs w:val="16"/>
              </w:rPr>
              <w:t>.00</w:t>
            </w:r>
          </w:p>
        </w:tc>
        <w:tc>
          <w:tcPr>
            <w:tcW w:w="993" w:type="dxa"/>
          </w:tcPr>
          <w:p w14:paraId="392B8AA3" w14:textId="0CF77BAD" w:rsidR="00711E34" w:rsidRPr="0063350C" w:rsidRDefault="00711E34" w:rsidP="00C07D55">
            <w:pPr>
              <w:spacing w:before="60" w:after="60"/>
              <w:ind w:right="52"/>
              <w:jc w:val="right"/>
              <w:rPr>
                <w:sz w:val="16"/>
                <w:szCs w:val="16"/>
              </w:rPr>
            </w:pPr>
            <w:r w:rsidRPr="002A03F2">
              <w:rPr>
                <w:sz w:val="16"/>
                <w:szCs w:val="16"/>
              </w:rPr>
              <w:t>0</w:t>
            </w:r>
            <w:r w:rsidR="003F6A2F">
              <w:rPr>
                <w:sz w:val="16"/>
                <w:szCs w:val="16"/>
              </w:rPr>
              <w:t>.00</w:t>
            </w:r>
          </w:p>
        </w:tc>
      </w:tr>
      <w:tr w:rsidR="00711E34" w:rsidRPr="0063350C" w14:paraId="1BA0D07A" w14:textId="77777777" w:rsidTr="001262F9">
        <w:tc>
          <w:tcPr>
            <w:tcW w:w="709" w:type="dxa"/>
          </w:tcPr>
          <w:p w14:paraId="4719DF37" w14:textId="3CB81488" w:rsidR="00711E34" w:rsidRPr="0063350C" w:rsidRDefault="00711E34" w:rsidP="00CA0BF8">
            <w:pPr>
              <w:spacing w:before="60" w:after="60"/>
              <w:jc w:val="center"/>
              <w:rPr>
                <w:rStyle w:val="Strong"/>
                <w:sz w:val="16"/>
                <w:szCs w:val="16"/>
              </w:rPr>
            </w:pPr>
            <w:r w:rsidRPr="0063350C">
              <w:rPr>
                <w:rStyle w:val="Strong"/>
                <w:sz w:val="16"/>
                <w:szCs w:val="16"/>
              </w:rPr>
              <w:t>5</w:t>
            </w:r>
          </w:p>
        </w:tc>
        <w:tc>
          <w:tcPr>
            <w:tcW w:w="992" w:type="dxa"/>
          </w:tcPr>
          <w:p w14:paraId="46950C5C" w14:textId="77777777" w:rsidR="00711E34" w:rsidRPr="00CA0BF8" w:rsidRDefault="00711E34" w:rsidP="00CA0BF8">
            <w:pPr>
              <w:spacing w:before="60" w:after="60"/>
              <w:jc w:val="center"/>
              <w:rPr>
                <w:rStyle w:val="Strong"/>
                <w:b w:val="0"/>
                <w:bCs w:val="0"/>
                <w:sz w:val="16"/>
                <w:szCs w:val="16"/>
              </w:rPr>
            </w:pPr>
          </w:p>
        </w:tc>
        <w:tc>
          <w:tcPr>
            <w:tcW w:w="1417" w:type="dxa"/>
            <w:shd w:val="clear" w:color="auto" w:fill="auto"/>
            <w:vAlign w:val="bottom"/>
          </w:tcPr>
          <w:p w14:paraId="5F07F4EB" w14:textId="2186A838" w:rsidR="00711E34" w:rsidRPr="00CA0BF8" w:rsidRDefault="006216EC" w:rsidP="00C07D55">
            <w:pPr>
              <w:spacing w:before="60" w:after="60"/>
              <w:ind w:right="87"/>
              <w:jc w:val="right"/>
              <w:rPr>
                <w:rStyle w:val="Strong"/>
                <w:b w:val="0"/>
                <w:bCs w:val="0"/>
                <w:sz w:val="16"/>
                <w:szCs w:val="16"/>
              </w:rPr>
            </w:pPr>
            <w:r>
              <w:rPr>
                <w:rStyle w:val="Strong"/>
                <w:b w:val="0"/>
                <w:bCs w:val="0"/>
                <w:sz w:val="16"/>
                <w:szCs w:val="16"/>
              </w:rPr>
              <w:t>(</w:t>
            </w:r>
            <w:r w:rsidR="00711E34" w:rsidRPr="0063350C">
              <w:rPr>
                <w:rStyle w:val="Strong"/>
                <w:b w:val="0"/>
                <w:bCs w:val="0"/>
                <w:sz w:val="16"/>
                <w:szCs w:val="16"/>
              </w:rPr>
              <w:t>144</w:t>
            </w:r>
            <w:r w:rsidR="003F6A2F">
              <w:rPr>
                <w:rStyle w:val="Strong"/>
                <w:b w:val="0"/>
                <w:bCs w:val="0"/>
                <w:sz w:val="16"/>
                <w:szCs w:val="16"/>
              </w:rPr>
              <w:t>.00</w:t>
            </w:r>
            <w:r>
              <w:rPr>
                <w:rStyle w:val="Strong"/>
                <w:b w:val="0"/>
                <w:bCs w:val="0"/>
                <w:sz w:val="16"/>
                <w:szCs w:val="16"/>
              </w:rPr>
              <w:t>)</w:t>
            </w:r>
          </w:p>
        </w:tc>
        <w:tc>
          <w:tcPr>
            <w:tcW w:w="851" w:type="dxa"/>
            <w:vAlign w:val="center"/>
          </w:tcPr>
          <w:p w14:paraId="4F4BD0DC" w14:textId="6522ABA8" w:rsidR="00711E34" w:rsidRPr="0063350C" w:rsidRDefault="00711E34" w:rsidP="00C07D55">
            <w:pPr>
              <w:spacing w:before="60" w:after="60"/>
              <w:jc w:val="right"/>
              <w:rPr>
                <w:sz w:val="16"/>
                <w:szCs w:val="16"/>
              </w:rPr>
            </w:pPr>
            <w:r w:rsidRPr="0063350C">
              <w:rPr>
                <w:sz w:val="16"/>
                <w:szCs w:val="16"/>
              </w:rPr>
              <w:t>0</w:t>
            </w:r>
            <w:r w:rsidR="003F6A2F">
              <w:rPr>
                <w:sz w:val="16"/>
                <w:szCs w:val="16"/>
              </w:rPr>
              <w:t>.00</w:t>
            </w:r>
          </w:p>
        </w:tc>
        <w:tc>
          <w:tcPr>
            <w:tcW w:w="992" w:type="dxa"/>
            <w:vAlign w:val="center"/>
          </w:tcPr>
          <w:p w14:paraId="2A985A92" w14:textId="70BEAFD0" w:rsidR="00711E34" w:rsidRPr="0063350C" w:rsidRDefault="00711E34" w:rsidP="00C07D55">
            <w:pPr>
              <w:spacing w:before="60" w:after="60"/>
              <w:ind w:right="66"/>
              <w:jc w:val="right"/>
              <w:rPr>
                <w:sz w:val="16"/>
                <w:szCs w:val="16"/>
              </w:rPr>
            </w:pPr>
            <w:r w:rsidRPr="0063350C">
              <w:rPr>
                <w:sz w:val="16"/>
                <w:szCs w:val="16"/>
              </w:rPr>
              <w:t>204.32</w:t>
            </w:r>
          </w:p>
        </w:tc>
        <w:tc>
          <w:tcPr>
            <w:tcW w:w="992" w:type="dxa"/>
            <w:vAlign w:val="center"/>
          </w:tcPr>
          <w:p w14:paraId="31D753EE" w14:textId="3DF45948" w:rsidR="00711E34" w:rsidRPr="0063350C" w:rsidRDefault="00711E34" w:rsidP="00C07D55">
            <w:pPr>
              <w:spacing w:before="60" w:after="60"/>
              <w:ind w:right="66"/>
              <w:jc w:val="right"/>
              <w:rPr>
                <w:sz w:val="16"/>
                <w:szCs w:val="16"/>
              </w:rPr>
            </w:pPr>
            <w:r w:rsidRPr="0063350C">
              <w:rPr>
                <w:sz w:val="16"/>
                <w:szCs w:val="16"/>
              </w:rPr>
              <w:t>4.32</w:t>
            </w:r>
          </w:p>
        </w:tc>
        <w:tc>
          <w:tcPr>
            <w:tcW w:w="992" w:type="dxa"/>
          </w:tcPr>
          <w:p w14:paraId="2CBB907A" w14:textId="2501A5C7" w:rsidR="00711E34" w:rsidRPr="0063350C" w:rsidRDefault="00711E34" w:rsidP="00C07D55">
            <w:pPr>
              <w:spacing w:before="60" w:after="60"/>
              <w:ind w:right="66"/>
              <w:jc w:val="right"/>
              <w:rPr>
                <w:sz w:val="16"/>
                <w:szCs w:val="16"/>
              </w:rPr>
            </w:pPr>
            <w:r w:rsidRPr="0063350C">
              <w:rPr>
                <w:sz w:val="16"/>
                <w:szCs w:val="16"/>
              </w:rPr>
              <w:t>56</w:t>
            </w:r>
            <w:r w:rsidR="003F6A2F">
              <w:rPr>
                <w:sz w:val="16"/>
                <w:szCs w:val="16"/>
              </w:rPr>
              <w:t>.00</w:t>
            </w:r>
          </w:p>
        </w:tc>
        <w:tc>
          <w:tcPr>
            <w:tcW w:w="993" w:type="dxa"/>
          </w:tcPr>
          <w:p w14:paraId="32A268F2" w14:textId="278C3188" w:rsidR="00711E34" w:rsidRPr="0063350C" w:rsidRDefault="00711E34" w:rsidP="00C07D55">
            <w:pPr>
              <w:spacing w:before="60" w:after="60"/>
              <w:ind w:right="52"/>
              <w:jc w:val="right"/>
              <w:rPr>
                <w:sz w:val="16"/>
                <w:szCs w:val="16"/>
              </w:rPr>
            </w:pPr>
            <w:r w:rsidRPr="002A03F2">
              <w:rPr>
                <w:sz w:val="16"/>
                <w:szCs w:val="16"/>
              </w:rPr>
              <w:t>0</w:t>
            </w:r>
            <w:r w:rsidR="003F6A2F">
              <w:rPr>
                <w:sz w:val="16"/>
                <w:szCs w:val="16"/>
              </w:rPr>
              <w:t>.00</w:t>
            </w:r>
          </w:p>
        </w:tc>
      </w:tr>
    </w:tbl>
    <w:p w14:paraId="5195FFB8" w14:textId="77777777" w:rsidR="00CF22E6" w:rsidRPr="001D7EF4" w:rsidRDefault="00CF22E6" w:rsidP="001D7EF4"/>
    <w:p w14:paraId="6D519CFE" w14:textId="00016BEC" w:rsidR="009A65A8" w:rsidRDefault="00C5301B" w:rsidP="006B5D22">
      <w:pPr>
        <w:pStyle w:val="NumberedParagraph"/>
      </w:pPr>
      <w:r w:rsidRPr="00C5301B">
        <w:t xml:space="preserve">This investment earns less than the cost of funds to the economy but is marginal on an after-tax basis. Borrowing at 3% to earn 2.16% is marginal and the EMTR is </w:t>
      </w:r>
      <w:r w:rsidRPr="00C5301B">
        <w:noBreakHyphen/>
        <w:t>38.9%</w:t>
      </w:r>
      <w:r w:rsidR="005F3A3C">
        <w:t>.</w:t>
      </w:r>
      <w:r w:rsidRPr="00C5301B">
        <w:t xml:space="preserve"> Just as in the equity-financed case, the firm undertaking the investment benefits from expensing. However, the firm also benefits from a stream of interest deductions in the debt-financed case.</w:t>
      </w:r>
    </w:p>
    <w:p w14:paraId="0A42C662" w14:textId="37A01D16" w:rsidR="00C5301B" w:rsidRPr="00C5301B" w:rsidRDefault="00C5301B" w:rsidP="00A4653C">
      <w:pPr>
        <w:pStyle w:val="Heading1-Appendix"/>
        <w:ind w:left="0"/>
        <w:rPr>
          <w:rFonts w:eastAsia="Calibri"/>
          <w:lang w:eastAsia="en-US"/>
        </w:rPr>
      </w:pPr>
      <w:r w:rsidRPr="00C5301B">
        <w:rPr>
          <w:rFonts w:eastAsia="Calibri"/>
          <w:lang w:eastAsia="en-US"/>
        </w:rPr>
        <w:lastRenderedPageBreak/>
        <w:br/>
      </w:r>
      <w:r w:rsidRPr="00C5301B">
        <w:rPr>
          <w:rFonts w:eastAsia="Calibri"/>
          <w:lang w:eastAsia="en-US"/>
        </w:rPr>
        <w:br/>
      </w:r>
      <w:bookmarkStart w:id="24" w:name="_Toc108451962"/>
      <w:r w:rsidRPr="00C5301B">
        <w:rPr>
          <w:rFonts w:eastAsia="Calibri"/>
          <w:lang w:eastAsia="en-US"/>
        </w:rPr>
        <w:t>Tax changes since the 2000/01 income year and their impact on corporate costs of capital and EMTRs</w:t>
      </w:r>
      <w:bookmarkEnd w:id="24"/>
    </w:p>
    <w:p w14:paraId="3EC15D11" w14:textId="77777777" w:rsidR="00C5301B" w:rsidRPr="00C5301B" w:rsidRDefault="00C5301B" w:rsidP="006B5D22">
      <w:pPr>
        <w:pStyle w:val="NumberedParagraph"/>
      </w:pPr>
      <w:r w:rsidRPr="00C5301B">
        <w:t xml:space="preserve">There have been several tax changes to depreciation allowances, company tax rates, the thin capitalisation </w:t>
      </w:r>
      <w:proofErr w:type="gramStart"/>
      <w:r w:rsidRPr="00C5301B">
        <w:t>rules</w:t>
      </w:r>
      <w:proofErr w:type="gramEnd"/>
      <w:r w:rsidRPr="00C5301B">
        <w:t xml:space="preserve"> and tax incentives for R&amp;D. All of these will have affected the levels and variability of both costs of capital and EMTRs. The aim of this appendix is to document what has happened and to estimate the impact of the various measures on costs of capital and EMTRs and how they have changed over time.</w:t>
      </w:r>
    </w:p>
    <w:p w14:paraId="1B1C293F" w14:textId="2C44D8FC" w:rsidR="00C5301B" w:rsidRPr="00C5301B" w:rsidRDefault="00C5301B" w:rsidP="006B5D22">
      <w:pPr>
        <w:pStyle w:val="NumberedParagraph"/>
      </w:pPr>
      <w:r w:rsidRPr="00C5301B">
        <w:t>This appendix should be considered as only a first step towards examining this issue. It provides a rough estimate of the effects on costs of capital and EMTRs of some of the larger tax changes that have taken place. However, there is much that we are unable to analyse.</w:t>
      </w:r>
      <w:r w:rsidR="00C808E9">
        <w:t xml:space="preserve"> In particular, we are unable to adequately examine the effects o</w:t>
      </w:r>
      <w:r w:rsidR="003D7040">
        <w:t>f</w:t>
      </w:r>
      <w:r w:rsidR="00C808E9">
        <w:t xml:space="preserve"> changes to thin capitalisation provisions or the restricted transfer pricing rules within this framework.</w:t>
      </w:r>
    </w:p>
    <w:p w14:paraId="22672816" w14:textId="61409A9E" w:rsidR="00C5301B" w:rsidRPr="00C5301B" w:rsidRDefault="00C5301B" w:rsidP="006B5D22">
      <w:pPr>
        <w:pStyle w:val="NumberedParagraph"/>
      </w:pPr>
      <w:r w:rsidRPr="00C5301B">
        <w:t xml:space="preserve">Costs of capital will vary for different assets. A difficulty in attempting to estimate costs of capital is not knowing </w:t>
      </w:r>
      <w:r w:rsidR="00741796">
        <w:t>the</w:t>
      </w:r>
      <w:r w:rsidRPr="00C5301B">
        <w:t xml:space="preserve"> rates of economic depreciation for the different broad groups of capital assets that make up New Zealand’s capital stock. Statistics NZ provides estimates of net capital stock for nine categories of assets: exploration; land improvements; non-residential buildings; other construction; plant, </w:t>
      </w:r>
      <w:proofErr w:type="gramStart"/>
      <w:r w:rsidRPr="00C5301B">
        <w:t>machinery</w:t>
      </w:r>
      <w:proofErr w:type="gramEnd"/>
      <w:r w:rsidRPr="00C5301B">
        <w:t xml:space="preserve"> and equipment</w:t>
      </w:r>
      <w:r w:rsidR="00185F89">
        <w:t xml:space="preserve"> (PME)</w:t>
      </w:r>
      <w:r w:rsidRPr="00C5301B">
        <w:t xml:space="preserve">; residential buildings; research and development; software; and transport equipment. It is difficult to estimate how quickly broad categories of asset (like land improvements, or plant, </w:t>
      </w:r>
      <w:proofErr w:type="gramStart"/>
      <w:r w:rsidRPr="00C5301B">
        <w:t>machinery</w:t>
      </w:r>
      <w:proofErr w:type="gramEnd"/>
      <w:r w:rsidRPr="00C5301B">
        <w:t xml:space="preserve"> and equipment) are likely to depreciate over time. It is also difficult to estimate what tax depreciation rates will apply to these various broad categories of asset. However, this is what we need to know if we are to estimate how tax provisions have been affecting costs of capital and EMTRs over time.</w:t>
      </w:r>
    </w:p>
    <w:p w14:paraId="6A79916E" w14:textId="77777777" w:rsidR="00C5301B" w:rsidRPr="0050297F" w:rsidRDefault="00C5301B" w:rsidP="00184AC1">
      <w:pPr>
        <w:pStyle w:val="NumberedParagraph"/>
      </w:pPr>
      <w:r w:rsidRPr="00184AC1">
        <w:t xml:space="preserve">Statistics NZ has provided Inland Revenue with data on consumption of fixed capital and net capital stock for what they describe as ‘market units’ in New Zealand. </w:t>
      </w:r>
      <w:r w:rsidRPr="0050297F">
        <w:t>A market unit’s main objective is to operate in the market by selling its goods and services at competitive prices that are sufficient to generate a profit or surplus in the long term. Tax changes, such as a change in the company tax rate or a change in depreciation provisions, are likely to have a significant effect on investment by market units but much less effect on investment by non-market units.</w:t>
      </w:r>
    </w:p>
    <w:p w14:paraId="54CD2710" w14:textId="50A2CBB7" w:rsidR="00C5301B" w:rsidRPr="00C5301B" w:rsidRDefault="00C5301B" w:rsidP="006B5D22">
      <w:pPr>
        <w:pStyle w:val="NumberedParagraph"/>
      </w:pPr>
      <w:r w:rsidRPr="00C5301B">
        <w:t xml:space="preserve">Data from Statistics NZ is provided in </w:t>
      </w:r>
      <w:r w:rsidRPr="00D941A8">
        <w:t xml:space="preserve">table </w:t>
      </w:r>
      <w:r w:rsidR="00496314" w:rsidRPr="00D941A8">
        <w:t>A</w:t>
      </w:r>
      <w:r w:rsidR="00CA20D8">
        <w:t>6</w:t>
      </w:r>
      <w:r w:rsidR="00496314" w:rsidRPr="00D941A8">
        <w:t>.1</w:t>
      </w:r>
      <w:r w:rsidRPr="00C5301B">
        <w:t xml:space="preserve">. This can be used to provide rough estimates of economic depreciation rates for different groups of assets. The data provided in the second column shows an average over three years (2017, 2018 and 2019) of gross fixed capital consumption (GFKC) to net capital stock (NKS) at the beginning of the year. Both variables are measured in constant dollar terms. We use these ratios to estimate average rates of economic depreciation for most of Statistics NZ’s asset types where the asset type is sufficiently broad that it would seem impractical to us to estimate economic depreciation rates in any other way. There are, however, two narrower groups of assets where the </w:t>
      </w:r>
      <w:r w:rsidR="008433FB" w:rsidRPr="000C0C83">
        <w:t xml:space="preserve">Bureau of Economic Analysis </w:t>
      </w:r>
      <w:r w:rsidR="005D5CA8">
        <w:t>(</w:t>
      </w:r>
      <w:r w:rsidRPr="00C5301B">
        <w:t>BEA</w:t>
      </w:r>
      <w:r w:rsidR="005D5CA8">
        <w:t>)</w:t>
      </w:r>
      <w:r w:rsidRPr="00C5301B">
        <w:t xml:space="preserve"> has provided estimates of economic depreciation for what appear to be comparable assets. These two groups of assets are non-residential buildings (mainly commercial and industrial buildings) and software.</w:t>
      </w:r>
    </w:p>
    <w:p w14:paraId="5D60858D" w14:textId="77777777" w:rsidR="00C5301B" w:rsidRPr="00C5301B" w:rsidRDefault="00C5301B" w:rsidP="006B5D22">
      <w:pPr>
        <w:pStyle w:val="NumberedParagraph"/>
      </w:pPr>
      <w:r w:rsidRPr="00C5301B">
        <w:lastRenderedPageBreak/>
        <w:t xml:space="preserve">Our estimates of economic depreciation rates are provided in the third columns. For non-residential buildings, we use an estimate of 2.69%. For software, we use the BEA </w:t>
      </w:r>
      <w:r w:rsidRPr="000E30EE">
        <w:t>estimate of 55%</w:t>
      </w:r>
      <w:r w:rsidRPr="001F0F59">
        <w:t>.</w:t>
      </w:r>
    </w:p>
    <w:p w14:paraId="4F9D13BE" w14:textId="106E1283" w:rsidR="00C5301B" w:rsidRDefault="00C5301B" w:rsidP="005C2266">
      <w:pPr>
        <w:pStyle w:val="Caption-table"/>
      </w:pPr>
      <w:r w:rsidRPr="00C5301B">
        <w:t xml:space="preserve">Table </w:t>
      </w:r>
      <w:r w:rsidR="00B23080" w:rsidRPr="00D941A8">
        <w:t>A</w:t>
      </w:r>
      <w:r w:rsidR="00CA20D8">
        <w:t>6</w:t>
      </w:r>
      <w:r w:rsidR="00B23080" w:rsidRPr="00D941A8">
        <w:t>.1</w:t>
      </w:r>
      <w:r w:rsidR="003A441F" w:rsidRPr="00D941A8">
        <w:t>:</w:t>
      </w:r>
      <w:r w:rsidR="003A441F">
        <w:t xml:space="preserve"> </w:t>
      </w:r>
      <w:r w:rsidRPr="00C5301B">
        <w:t>Data used in estimating costs of capital</w:t>
      </w:r>
    </w:p>
    <w:tbl>
      <w:tblPr>
        <w:tblStyle w:val="TableGrid"/>
        <w:tblW w:w="7938" w:type="dxa"/>
        <w:tblInd w:w="84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268"/>
        <w:gridCol w:w="1417"/>
        <w:gridCol w:w="1418"/>
        <w:gridCol w:w="1417"/>
        <w:gridCol w:w="1418"/>
      </w:tblGrid>
      <w:tr w:rsidR="0063350C" w:rsidRPr="00CA0BF8" w14:paraId="0D74C60C" w14:textId="77777777" w:rsidTr="006B011A">
        <w:trPr>
          <w:tblHeader/>
        </w:trPr>
        <w:tc>
          <w:tcPr>
            <w:tcW w:w="2268" w:type="dxa"/>
            <w:shd w:val="clear" w:color="auto" w:fill="232E36"/>
          </w:tcPr>
          <w:p w14:paraId="3E48F0B5" w14:textId="0CAE9552" w:rsidR="0063350C" w:rsidRPr="00CA0BF8" w:rsidRDefault="0063350C" w:rsidP="00C07D55">
            <w:pPr>
              <w:keepNext/>
              <w:keepLines/>
              <w:spacing w:before="120" w:after="120"/>
              <w:jc w:val="center"/>
              <w:rPr>
                <w:b/>
                <w:bCs/>
                <w:color w:val="FFFFFF" w:themeColor="background1"/>
                <w:sz w:val="16"/>
                <w:szCs w:val="16"/>
              </w:rPr>
            </w:pPr>
            <w:r w:rsidRPr="00CA0BF8">
              <w:rPr>
                <w:b/>
                <w:bCs/>
                <w:color w:val="FFFFFF" w:themeColor="background1"/>
                <w:sz w:val="16"/>
                <w:szCs w:val="16"/>
              </w:rPr>
              <w:t>Asset type</w:t>
            </w:r>
          </w:p>
        </w:tc>
        <w:tc>
          <w:tcPr>
            <w:tcW w:w="1417" w:type="dxa"/>
            <w:shd w:val="clear" w:color="auto" w:fill="232E36"/>
          </w:tcPr>
          <w:p w14:paraId="34CC23A8" w14:textId="38A1EE48" w:rsidR="0063350C" w:rsidRPr="0063350C" w:rsidRDefault="0063350C" w:rsidP="00C07D55">
            <w:pPr>
              <w:keepNext/>
              <w:keepLines/>
              <w:spacing w:before="120" w:after="120"/>
              <w:jc w:val="center"/>
              <w:rPr>
                <w:rStyle w:val="Strong"/>
                <w:color w:val="FFFFFF" w:themeColor="background1"/>
                <w:sz w:val="16"/>
                <w:szCs w:val="16"/>
              </w:rPr>
            </w:pPr>
            <w:r>
              <w:rPr>
                <w:rStyle w:val="Strong"/>
                <w:color w:val="FFFFFF" w:themeColor="background1"/>
                <w:sz w:val="16"/>
                <w:szCs w:val="16"/>
              </w:rPr>
              <w:t>Stats NZ GFKC/NKS</w:t>
            </w:r>
          </w:p>
        </w:tc>
        <w:tc>
          <w:tcPr>
            <w:tcW w:w="1418" w:type="dxa"/>
            <w:shd w:val="clear" w:color="auto" w:fill="232E36"/>
          </w:tcPr>
          <w:p w14:paraId="1680A526" w14:textId="76B9BD87" w:rsidR="0063350C" w:rsidRPr="0063350C" w:rsidRDefault="0063350C" w:rsidP="00C07D55">
            <w:pPr>
              <w:keepNext/>
              <w:keepLines/>
              <w:spacing w:before="120" w:after="120"/>
              <w:jc w:val="center"/>
              <w:rPr>
                <w:rStyle w:val="Strong"/>
                <w:color w:val="FFFFFF" w:themeColor="background1"/>
                <w:sz w:val="16"/>
                <w:szCs w:val="16"/>
              </w:rPr>
            </w:pPr>
            <w:r>
              <w:rPr>
                <w:rStyle w:val="Strong"/>
                <w:color w:val="FFFFFF" w:themeColor="background1"/>
                <w:sz w:val="16"/>
                <w:szCs w:val="16"/>
              </w:rPr>
              <w:t>Estimated rate of economic depreciation</w:t>
            </w:r>
          </w:p>
        </w:tc>
        <w:tc>
          <w:tcPr>
            <w:tcW w:w="1417" w:type="dxa"/>
            <w:shd w:val="clear" w:color="auto" w:fill="232E36"/>
          </w:tcPr>
          <w:p w14:paraId="604C505C" w14:textId="62AF132A" w:rsidR="0063350C" w:rsidRPr="0063350C" w:rsidRDefault="0063350C" w:rsidP="00C07D55">
            <w:pPr>
              <w:keepNext/>
              <w:keepLines/>
              <w:spacing w:before="120" w:after="120"/>
              <w:jc w:val="center"/>
              <w:rPr>
                <w:rStyle w:val="Strong"/>
                <w:color w:val="FFFFFF" w:themeColor="background1"/>
                <w:sz w:val="16"/>
                <w:szCs w:val="16"/>
              </w:rPr>
            </w:pPr>
            <w:r>
              <w:rPr>
                <w:rStyle w:val="Strong"/>
                <w:color w:val="FFFFFF" w:themeColor="background1"/>
                <w:sz w:val="16"/>
                <w:szCs w:val="16"/>
              </w:rPr>
              <w:t>Assumed tax depreciation rate</w:t>
            </w:r>
          </w:p>
        </w:tc>
        <w:tc>
          <w:tcPr>
            <w:tcW w:w="1418" w:type="dxa"/>
            <w:shd w:val="clear" w:color="auto" w:fill="232E36"/>
          </w:tcPr>
          <w:p w14:paraId="6AB3C40B" w14:textId="5D450FD0" w:rsidR="0063350C" w:rsidRPr="0063350C" w:rsidRDefault="0063350C" w:rsidP="00C07D55">
            <w:pPr>
              <w:keepNext/>
              <w:keepLines/>
              <w:spacing w:before="120" w:after="120"/>
              <w:jc w:val="center"/>
              <w:rPr>
                <w:rStyle w:val="Strong"/>
                <w:color w:val="FFFFFF" w:themeColor="background1"/>
                <w:sz w:val="16"/>
                <w:szCs w:val="16"/>
              </w:rPr>
            </w:pPr>
            <w:r>
              <w:rPr>
                <w:rStyle w:val="Strong"/>
                <w:color w:val="FFFFFF" w:themeColor="background1"/>
                <w:sz w:val="16"/>
                <w:szCs w:val="16"/>
              </w:rPr>
              <w:t>Weighting</w:t>
            </w:r>
          </w:p>
        </w:tc>
      </w:tr>
      <w:tr w:rsidR="004A7D86" w:rsidRPr="001331D1" w14:paraId="68E31C46" w14:textId="77777777" w:rsidTr="006B011A">
        <w:tc>
          <w:tcPr>
            <w:tcW w:w="2268" w:type="dxa"/>
            <w:shd w:val="clear" w:color="auto" w:fill="auto"/>
            <w:vAlign w:val="bottom"/>
          </w:tcPr>
          <w:p w14:paraId="53DE6AFD" w14:textId="4B49F670" w:rsidR="004A7D86" w:rsidRPr="00D96BEC" w:rsidRDefault="004A7D86" w:rsidP="00C07D55">
            <w:pPr>
              <w:keepNext/>
              <w:keepLines/>
              <w:spacing w:before="60" w:after="60"/>
              <w:jc w:val="left"/>
              <w:rPr>
                <w:rStyle w:val="Strong"/>
                <w:sz w:val="16"/>
                <w:szCs w:val="16"/>
              </w:rPr>
            </w:pPr>
            <w:r>
              <w:rPr>
                <w:rStyle w:val="Strong"/>
                <w:sz w:val="16"/>
                <w:szCs w:val="16"/>
              </w:rPr>
              <w:t>Exploration</w:t>
            </w:r>
          </w:p>
        </w:tc>
        <w:tc>
          <w:tcPr>
            <w:tcW w:w="1417" w:type="dxa"/>
          </w:tcPr>
          <w:p w14:paraId="28C6100E" w14:textId="7CFFF623" w:rsidR="004A7D86" w:rsidRPr="00D96BEC" w:rsidRDefault="004A7D86" w:rsidP="00C07D55">
            <w:pPr>
              <w:keepNext/>
              <w:keepLines/>
              <w:spacing w:before="60" w:after="60"/>
              <w:ind w:right="314"/>
              <w:jc w:val="right"/>
              <w:rPr>
                <w:sz w:val="16"/>
                <w:szCs w:val="16"/>
              </w:rPr>
            </w:pPr>
            <w:r>
              <w:rPr>
                <w:sz w:val="16"/>
                <w:szCs w:val="16"/>
              </w:rPr>
              <w:t>7.9</w:t>
            </w:r>
            <w:r w:rsidRPr="00E301BC">
              <w:rPr>
                <w:sz w:val="16"/>
                <w:szCs w:val="16"/>
              </w:rPr>
              <w:t>%</w:t>
            </w:r>
          </w:p>
        </w:tc>
        <w:tc>
          <w:tcPr>
            <w:tcW w:w="1418" w:type="dxa"/>
          </w:tcPr>
          <w:p w14:paraId="5162A913" w14:textId="1EE586F5" w:rsidR="004A7D86" w:rsidRPr="00D96BEC" w:rsidRDefault="004A7D86" w:rsidP="00C07D55">
            <w:pPr>
              <w:keepNext/>
              <w:keepLines/>
              <w:spacing w:before="60" w:after="60"/>
              <w:ind w:right="321"/>
              <w:jc w:val="right"/>
              <w:rPr>
                <w:sz w:val="16"/>
                <w:szCs w:val="16"/>
              </w:rPr>
            </w:pPr>
            <w:r>
              <w:rPr>
                <w:sz w:val="16"/>
                <w:szCs w:val="16"/>
              </w:rPr>
              <w:t>7.9</w:t>
            </w:r>
            <w:r w:rsidRPr="00E301BC">
              <w:rPr>
                <w:sz w:val="16"/>
                <w:szCs w:val="16"/>
              </w:rPr>
              <w:t>%</w:t>
            </w:r>
          </w:p>
        </w:tc>
        <w:tc>
          <w:tcPr>
            <w:tcW w:w="1417" w:type="dxa"/>
          </w:tcPr>
          <w:p w14:paraId="50FD1C63" w14:textId="590E369F" w:rsidR="004A7D86" w:rsidRPr="00D96BEC" w:rsidRDefault="004A7D86" w:rsidP="00C07D55">
            <w:pPr>
              <w:keepNext/>
              <w:keepLines/>
              <w:spacing w:before="60" w:after="60"/>
              <w:ind w:right="172"/>
              <w:jc w:val="right"/>
              <w:rPr>
                <w:sz w:val="16"/>
                <w:szCs w:val="16"/>
              </w:rPr>
            </w:pPr>
            <w:r>
              <w:rPr>
                <w:sz w:val="16"/>
                <w:szCs w:val="16"/>
              </w:rPr>
              <w:t>Expensed</w:t>
            </w:r>
          </w:p>
        </w:tc>
        <w:tc>
          <w:tcPr>
            <w:tcW w:w="1418" w:type="dxa"/>
          </w:tcPr>
          <w:p w14:paraId="1936DDAE" w14:textId="3DEC29F0" w:rsidR="004A7D86" w:rsidRPr="00D96BEC" w:rsidRDefault="004A7D86" w:rsidP="00C07D55">
            <w:pPr>
              <w:keepNext/>
              <w:keepLines/>
              <w:spacing w:before="60" w:after="60"/>
              <w:ind w:right="322"/>
              <w:jc w:val="right"/>
              <w:rPr>
                <w:sz w:val="16"/>
                <w:szCs w:val="16"/>
              </w:rPr>
            </w:pPr>
            <w:r>
              <w:rPr>
                <w:sz w:val="16"/>
                <w:szCs w:val="16"/>
              </w:rPr>
              <w:t>0.8</w:t>
            </w:r>
            <w:r w:rsidRPr="00E301BC">
              <w:rPr>
                <w:sz w:val="16"/>
                <w:szCs w:val="16"/>
              </w:rPr>
              <w:t>%</w:t>
            </w:r>
          </w:p>
        </w:tc>
      </w:tr>
      <w:tr w:rsidR="004A7D86" w:rsidRPr="001331D1" w14:paraId="5752194C" w14:textId="77777777" w:rsidTr="006B011A">
        <w:tc>
          <w:tcPr>
            <w:tcW w:w="2268" w:type="dxa"/>
            <w:shd w:val="clear" w:color="auto" w:fill="auto"/>
            <w:vAlign w:val="bottom"/>
          </w:tcPr>
          <w:p w14:paraId="6BC08EE1" w14:textId="0983BBEA" w:rsidR="004A7D86" w:rsidRPr="00D96BEC" w:rsidRDefault="004A7D86" w:rsidP="00C07D55">
            <w:pPr>
              <w:keepNext/>
              <w:keepLines/>
              <w:spacing w:before="60" w:after="60"/>
              <w:jc w:val="left"/>
              <w:rPr>
                <w:rStyle w:val="Strong"/>
                <w:sz w:val="16"/>
                <w:szCs w:val="16"/>
              </w:rPr>
            </w:pPr>
            <w:r>
              <w:rPr>
                <w:rStyle w:val="Strong"/>
                <w:sz w:val="16"/>
                <w:szCs w:val="16"/>
              </w:rPr>
              <w:t>Land improvements</w:t>
            </w:r>
          </w:p>
        </w:tc>
        <w:tc>
          <w:tcPr>
            <w:tcW w:w="1417" w:type="dxa"/>
          </w:tcPr>
          <w:p w14:paraId="1F02AC2E" w14:textId="58C6EAC7" w:rsidR="004A7D86" w:rsidRPr="00D96BEC" w:rsidRDefault="004A7D86" w:rsidP="00C07D55">
            <w:pPr>
              <w:keepNext/>
              <w:keepLines/>
              <w:spacing w:before="60" w:after="60"/>
              <w:ind w:right="314"/>
              <w:jc w:val="right"/>
              <w:rPr>
                <w:sz w:val="16"/>
                <w:szCs w:val="16"/>
              </w:rPr>
            </w:pPr>
            <w:r>
              <w:rPr>
                <w:sz w:val="16"/>
                <w:szCs w:val="16"/>
              </w:rPr>
              <w:t>5.8</w:t>
            </w:r>
            <w:r w:rsidRPr="00E301BC">
              <w:rPr>
                <w:sz w:val="16"/>
                <w:szCs w:val="16"/>
              </w:rPr>
              <w:t>%</w:t>
            </w:r>
          </w:p>
        </w:tc>
        <w:tc>
          <w:tcPr>
            <w:tcW w:w="1418" w:type="dxa"/>
          </w:tcPr>
          <w:p w14:paraId="4494233F" w14:textId="4487BE9A" w:rsidR="004A7D86" w:rsidRPr="00D96BEC" w:rsidRDefault="004A7D86" w:rsidP="00C07D55">
            <w:pPr>
              <w:keepNext/>
              <w:keepLines/>
              <w:spacing w:before="60" w:after="60"/>
              <w:ind w:right="321"/>
              <w:jc w:val="right"/>
              <w:rPr>
                <w:sz w:val="16"/>
                <w:szCs w:val="16"/>
              </w:rPr>
            </w:pPr>
            <w:r>
              <w:rPr>
                <w:sz w:val="16"/>
                <w:szCs w:val="16"/>
              </w:rPr>
              <w:t>5.8</w:t>
            </w:r>
            <w:r w:rsidRPr="00E301BC">
              <w:rPr>
                <w:sz w:val="16"/>
                <w:szCs w:val="16"/>
              </w:rPr>
              <w:t>%</w:t>
            </w:r>
          </w:p>
        </w:tc>
        <w:tc>
          <w:tcPr>
            <w:tcW w:w="1417" w:type="dxa"/>
          </w:tcPr>
          <w:p w14:paraId="02190D1E" w14:textId="1E791B96" w:rsidR="004A7D86" w:rsidRPr="00D96BEC" w:rsidRDefault="004A7D86" w:rsidP="00C07D55">
            <w:pPr>
              <w:keepNext/>
              <w:keepLines/>
              <w:spacing w:before="60" w:after="60"/>
              <w:ind w:right="172"/>
              <w:jc w:val="right"/>
              <w:rPr>
                <w:sz w:val="16"/>
                <w:szCs w:val="16"/>
              </w:rPr>
            </w:pPr>
            <w:r>
              <w:rPr>
                <w:sz w:val="16"/>
                <w:szCs w:val="16"/>
              </w:rPr>
              <w:t>5.8</w:t>
            </w:r>
            <w:r w:rsidRPr="00E301BC">
              <w:rPr>
                <w:sz w:val="16"/>
                <w:szCs w:val="16"/>
              </w:rPr>
              <w:t>%</w:t>
            </w:r>
          </w:p>
        </w:tc>
        <w:tc>
          <w:tcPr>
            <w:tcW w:w="1418" w:type="dxa"/>
          </w:tcPr>
          <w:p w14:paraId="1618FA96" w14:textId="48352C19" w:rsidR="004A7D86" w:rsidRPr="00D96BEC" w:rsidRDefault="004A7D86" w:rsidP="00C07D55">
            <w:pPr>
              <w:keepNext/>
              <w:keepLines/>
              <w:spacing w:before="60" w:after="60"/>
              <w:ind w:right="322"/>
              <w:jc w:val="right"/>
              <w:rPr>
                <w:sz w:val="16"/>
                <w:szCs w:val="16"/>
              </w:rPr>
            </w:pPr>
            <w:r>
              <w:rPr>
                <w:sz w:val="16"/>
                <w:szCs w:val="16"/>
              </w:rPr>
              <w:t>2.6</w:t>
            </w:r>
            <w:r w:rsidRPr="00E301BC">
              <w:rPr>
                <w:sz w:val="16"/>
                <w:szCs w:val="16"/>
              </w:rPr>
              <w:t>%</w:t>
            </w:r>
          </w:p>
        </w:tc>
      </w:tr>
      <w:tr w:rsidR="004A7D86" w:rsidRPr="001331D1" w14:paraId="3A3C742D" w14:textId="77777777" w:rsidTr="006B011A">
        <w:tc>
          <w:tcPr>
            <w:tcW w:w="2268" w:type="dxa"/>
            <w:shd w:val="clear" w:color="auto" w:fill="auto"/>
            <w:vAlign w:val="bottom"/>
          </w:tcPr>
          <w:p w14:paraId="03A14A0F" w14:textId="09A2EF22" w:rsidR="004A7D86" w:rsidRPr="00D96BEC" w:rsidRDefault="004A7D86" w:rsidP="00C07D55">
            <w:pPr>
              <w:keepNext/>
              <w:keepLines/>
              <w:spacing w:before="60" w:after="60"/>
              <w:jc w:val="left"/>
              <w:rPr>
                <w:rStyle w:val="Strong"/>
                <w:sz w:val="16"/>
                <w:szCs w:val="16"/>
              </w:rPr>
            </w:pPr>
            <w:r>
              <w:rPr>
                <w:rStyle w:val="Strong"/>
                <w:sz w:val="16"/>
                <w:szCs w:val="16"/>
              </w:rPr>
              <w:t>Non-residential buildings</w:t>
            </w:r>
          </w:p>
        </w:tc>
        <w:tc>
          <w:tcPr>
            <w:tcW w:w="1417" w:type="dxa"/>
          </w:tcPr>
          <w:p w14:paraId="4D5BDC69" w14:textId="7BC51A97" w:rsidR="004A7D86" w:rsidRPr="00D96BEC" w:rsidRDefault="004A7D86" w:rsidP="00C07D55">
            <w:pPr>
              <w:keepNext/>
              <w:keepLines/>
              <w:spacing w:before="60" w:after="60"/>
              <w:ind w:right="314"/>
              <w:jc w:val="right"/>
              <w:rPr>
                <w:sz w:val="16"/>
                <w:szCs w:val="16"/>
              </w:rPr>
            </w:pPr>
            <w:r>
              <w:rPr>
                <w:sz w:val="16"/>
                <w:szCs w:val="16"/>
              </w:rPr>
              <w:t>3.1</w:t>
            </w:r>
            <w:r w:rsidRPr="00E301BC">
              <w:rPr>
                <w:sz w:val="16"/>
                <w:szCs w:val="16"/>
              </w:rPr>
              <w:t>%</w:t>
            </w:r>
          </w:p>
        </w:tc>
        <w:tc>
          <w:tcPr>
            <w:tcW w:w="1418" w:type="dxa"/>
          </w:tcPr>
          <w:p w14:paraId="58239923" w14:textId="6A994A12" w:rsidR="004A7D86" w:rsidRPr="00D96BEC" w:rsidRDefault="004A7D86" w:rsidP="00C07D55">
            <w:pPr>
              <w:keepNext/>
              <w:keepLines/>
              <w:spacing w:before="60" w:after="60"/>
              <w:ind w:right="321"/>
              <w:jc w:val="right"/>
              <w:rPr>
                <w:sz w:val="16"/>
                <w:szCs w:val="16"/>
              </w:rPr>
            </w:pPr>
            <w:r>
              <w:rPr>
                <w:sz w:val="16"/>
                <w:szCs w:val="16"/>
              </w:rPr>
              <w:t>2.69</w:t>
            </w:r>
            <w:r w:rsidRPr="00E301BC">
              <w:rPr>
                <w:sz w:val="16"/>
                <w:szCs w:val="16"/>
              </w:rPr>
              <w:t>%</w:t>
            </w:r>
          </w:p>
        </w:tc>
        <w:tc>
          <w:tcPr>
            <w:tcW w:w="1417" w:type="dxa"/>
          </w:tcPr>
          <w:p w14:paraId="68B6AA41" w14:textId="4DA04979" w:rsidR="004A7D86" w:rsidRPr="00D96BEC" w:rsidRDefault="004A7D86" w:rsidP="00C07D55">
            <w:pPr>
              <w:keepNext/>
              <w:keepLines/>
              <w:spacing w:before="60" w:after="60"/>
              <w:ind w:right="172"/>
              <w:jc w:val="right"/>
              <w:rPr>
                <w:sz w:val="16"/>
                <w:szCs w:val="16"/>
              </w:rPr>
            </w:pPr>
            <w:r>
              <w:rPr>
                <w:sz w:val="16"/>
                <w:szCs w:val="16"/>
              </w:rPr>
              <w:t>2.0</w:t>
            </w:r>
            <w:r w:rsidRPr="00E301BC">
              <w:rPr>
                <w:sz w:val="16"/>
                <w:szCs w:val="16"/>
              </w:rPr>
              <w:t>%</w:t>
            </w:r>
          </w:p>
        </w:tc>
        <w:tc>
          <w:tcPr>
            <w:tcW w:w="1418" w:type="dxa"/>
          </w:tcPr>
          <w:p w14:paraId="42AE77F3" w14:textId="0E0D9763" w:rsidR="004A7D86" w:rsidRPr="00D96BEC" w:rsidRDefault="004A7D86" w:rsidP="00C07D55">
            <w:pPr>
              <w:keepNext/>
              <w:keepLines/>
              <w:spacing w:before="60" w:after="60"/>
              <w:ind w:right="322"/>
              <w:jc w:val="right"/>
              <w:rPr>
                <w:sz w:val="16"/>
                <w:szCs w:val="16"/>
              </w:rPr>
            </w:pPr>
            <w:r>
              <w:rPr>
                <w:sz w:val="16"/>
                <w:szCs w:val="16"/>
              </w:rPr>
              <w:t>23.4</w:t>
            </w:r>
            <w:r w:rsidRPr="00E301BC">
              <w:rPr>
                <w:sz w:val="16"/>
                <w:szCs w:val="16"/>
              </w:rPr>
              <w:t>%</w:t>
            </w:r>
          </w:p>
        </w:tc>
      </w:tr>
      <w:tr w:rsidR="004A7D86" w:rsidRPr="001331D1" w14:paraId="1A7622E8" w14:textId="77777777" w:rsidTr="006B011A">
        <w:tc>
          <w:tcPr>
            <w:tcW w:w="2268" w:type="dxa"/>
            <w:shd w:val="clear" w:color="auto" w:fill="auto"/>
            <w:vAlign w:val="bottom"/>
          </w:tcPr>
          <w:p w14:paraId="0728B2C4" w14:textId="59664861" w:rsidR="004A7D86" w:rsidRDefault="004A7D86" w:rsidP="00C07D55">
            <w:pPr>
              <w:keepNext/>
              <w:keepLines/>
              <w:spacing w:before="60" w:after="60"/>
              <w:jc w:val="left"/>
              <w:rPr>
                <w:rStyle w:val="Strong"/>
                <w:sz w:val="16"/>
                <w:szCs w:val="16"/>
              </w:rPr>
            </w:pPr>
            <w:r>
              <w:rPr>
                <w:rStyle w:val="Strong"/>
                <w:sz w:val="16"/>
                <w:szCs w:val="16"/>
              </w:rPr>
              <w:t>Other construction</w:t>
            </w:r>
          </w:p>
        </w:tc>
        <w:tc>
          <w:tcPr>
            <w:tcW w:w="1417" w:type="dxa"/>
          </w:tcPr>
          <w:p w14:paraId="3F5ED09C" w14:textId="3D9C77EC" w:rsidR="004A7D86" w:rsidRPr="00D96BEC" w:rsidRDefault="004A7D86" w:rsidP="00C07D55">
            <w:pPr>
              <w:keepNext/>
              <w:keepLines/>
              <w:spacing w:before="60" w:after="60"/>
              <w:ind w:right="314"/>
              <w:jc w:val="right"/>
              <w:rPr>
                <w:sz w:val="16"/>
                <w:szCs w:val="16"/>
              </w:rPr>
            </w:pPr>
            <w:r>
              <w:rPr>
                <w:sz w:val="16"/>
                <w:szCs w:val="16"/>
              </w:rPr>
              <w:t>3.3</w:t>
            </w:r>
            <w:r w:rsidRPr="00E301BC">
              <w:rPr>
                <w:sz w:val="16"/>
                <w:szCs w:val="16"/>
              </w:rPr>
              <w:t>%</w:t>
            </w:r>
          </w:p>
        </w:tc>
        <w:tc>
          <w:tcPr>
            <w:tcW w:w="1418" w:type="dxa"/>
          </w:tcPr>
          <w:p w14:paraId="3375CE7C" w14:textId="6635EAF1" w:rsidR="004A7D86" w:rsidRPr="00D96BEC" w:rsidRDefault="004A7D86" w:rsidP="00C07D55">
            <w:pPr>
              <w:keepNext/>
              <w:keepLines/>
              <w:spacing w:before="60" w:after="60"/>
              <w:ind w:right="321"/>
              <w:jc w:val="right"/>
              <w:rPr>
                <w:sz w:val="16"/>
                <w:szCs w:val="16"/>
              </w:rPr>
            </w:pPr>
            <w:r>
              <w:rPr>
                <w:sz w:val="16"/>
                <w:szCs w:val="16"/>
              </w:rPr>
              <w:t>3.3</w:t>
            </w:r>
            <w:r w:rsidRPr="00E301BC">
              <w:rPr>
                <w:sz w:val="16"/>
                <w:szCs w:val="16"/>
              </w:rPr>
              <w:t>%</w:t>
            </w:r>
          </w:p>
        </w:tc>
        <w:tc>
          <w:tcPr>
            <w:tcW w:w="1417" w:type="dxa"/>
          </w:tcPr>
          <w:p w14:paraId="497F2E68" w14:textId="23F031B4" w:rsidR="004A7D86" w:rsidRPr="00D96BEC" w:rsidRDefault="004A7D86" w:rsidP="00C07D55">
            <w:pPr>
              <w:keepNext/>
              <w:keepLines/>
              <w:spacing w:before="60" w:after="60"/>
              <w:ind w:right="172"/>
              <w:jc w:val="right"/>
              <w:rPr>
                <w:sz w:val="16"/>
                <w:szCs w:val="16"/>
              </w:rPr>
            </w:pPr>
            <w:r>
              <w:rPr>
                <w:sz w:val="16"/>
                <w:szCs w:val="16"/>
              </w:rPr>
              <w:t>3.3</w:t>
            </w:r>
            <w:r w:rsidRPr="00E301BC">
              <w:rPr>
                <w:sz w:val="16"/>
                <w:szCs w:val="16"/>
              </w:rPr>
              <w:t>%</w:t>
            </w:r>
          </w:p>
        </w:tc>
        <w:tc>
          <w:tcPr>
            <w:tcW w:w="1418" w:type="dxa"/>
          </w:tcPr>
          <w:p w14:paraId="2F2430F0" w14:textId="16B180D0" w:rsidR="004A7D86" w:rsidRPr="00D96BEC" w:rsidRDefault="004A7D86" w:rsidP="00C07D55">
            <w:pPr>
              <w:keepNext/>
              <w:keepLines/>
              <w:spacing w:before="60" w:after="60"/>
              <w:ind w:right="322"/>
              <w:jc w:val="right"/>
              <w:rPr>
                <w:sz w:val="16"/>
                <w:szCs w:val="16"/>
              </w:rPr>
            </w:pPr>
            <w:r>
              <w:rPr>
                <w:sz w:val="16"/>
                <w:szCs w:val="16"/>
              </w:rPr>
              <w:t>16.4</w:t>
            </w:r>
            <w:r w:rsidRPr="00E301BC">
              <w:rPr>
                <w:sz w:val="16"/>
                <w:szCs w:val="16"/>
              </w:rPr>
              <w:t>%</w:t>
            </w:r>
          </w:p>
        </w:tc>
      </w:tr>
      <w:tr w:rsidR="004A7D86" w:rsidRPr="001331D1" w14:paraId="57B3ACEB" w14:textId="77777777" w:rsidTr="006B011A">
        <w:tc>
          <w:tcPr>
            <w:tcW w:w="2268" w:type="dxa"/>
            <w:shd w:val="clear" w:color="auto" w:fill="auto"/>
            <w:vAlign w:val="bottom"/>
          </w:tcPr>
          <w:p w14:paraId="08C78E38" w14:textId="119CE5BC" w:rsidR="004A7D86" w:rsidRDefault="004A7D86" w:rsidP="00C07D55">
            <w:pPr>
              <w:keepNext/>
              <w:keepLines/>
              <w:spacing w:before="60" w:after="60"/>
              <w:jc w:val="left"/>
              <w:rPr>
                <w:rStyle w:val="Strong"/>
                <w:sz w:val="16"/>
                <w:szCs w:val="16"/>
              </w:rPr>
            </w:pPr>
            <w:r>
              <w:rPr>
                <w:rStyle w:val="Strong"/>
                <w:sz w:val="16"/>
                <w:szCs w:val="16"/>
              </w:rPr>
              <w:t xml:space="preserve">Plant, </w:t>
            </w:r>
            <w:proofErr w:type="gramStart"/>
            <w:r>
              <w:rPr>
                <w:rStyle w:val="Strong"/>
                <w:sz w:val="16"/>
                <w:szCs w:val="16"/>
              </w:rPr>
              <w:t>machinery</w:t>
            </w:r>
            <w:proofErr w:type="gramEnd"/>
            <w:r>
              <w:rPr>
                <w:rStyle w:val="Strong"/>
                <w:sz w:val="16"/>
                <w:szCs w:val="16"/>
              </w:rPr>
              <w:t xml:space="preserve"> and equipment</w:t>
            </w:r>
          </w:p>
        </w:tc>
        <w:tc>
          <w:tcPr>
            <w:tcW w:w="1417" w:type="dxa"/>
          </w:tcPr>
          <w:p w14:paraId="6AA7ABF2" w14:textId="4E9FE77B" w:rsidR="004A7D86" w:rsidRPr="00D96BEC" w:rsidRDefault="004A7D86" w:rsidP="00C07D55">
            <w:pPr>
              <w:keepNext/>
              <w:keepLines/>
              <w:spacing w:before="60" w:after="60"/>
              <w:ind w:right="314"/>
              <w:jc w:val="right"/>
              <w:rPr>
                <w:sz w:val="16"/>
                <w:szCs w:val="16"/>
              </w:rPr>
            </w:pPr>
            <w:r>
              <w:rPr>
                <w:sz w:val="16"/>
                <w:szCs w:val="16"/>
              </w:rPr>
              <w:t>16.8</w:t>
            </w:r>
            <w:r w:rsidRPr="00E301BC">
              <w:rPr>
                <w:sz w:val="16"/>
                <w:szCs w:val="16"/>
              </w:rPr>
              <w:t>%</w:t>
            </w:r>
          </w:p>
        </w:tc>
        <w:tc>
          <w:tcPr>
            <w:tcW w:w="1418" w:type="dxa"/>
          </w:tcPr>
          <w:p w14:paraId="3D7C4632" w14:textId="58837B00" w:rsidR="004A7D86" w:rsidRPr="00D96BEC" w:rsidRDefault="004A7D86" w:rsidP="00C07D55">
            <w:pPr>
              <w:keepNext/>
              <w:keepLines/>
              <w:spacing w:before="60" w:after="60"/>
              <w:ind w:right="321"/>
              <w:jc w:val="right"/>
              <w:rPr>
                <w:sz w:val="16"/>
                <w:szCs w:val="16"/>
              </w:rPr>
            </w:pPr>
            <w:r>
              <w:rPr>
                <w:sz w:val="16"/>
                <w:szCs w:val="16"/>
              </w:rPr>
              <w:t>16.8</w:t>
            </w:r>
            <w:r w:rsidRPr="00E301BC">
              <w:rPr>
                <w:sz w:val="16"/>
                <w:szCs w:val="16"/>
              </w:rPr>
              <w:t>%</w:t>
            </w:r>
          </w:p>
        </w:tc>
        <w:tc>
          <w:tcPr>
            <w:tcW w:w="1417" w:type="dxa"/>
          </w:tcPr>
          <w:p w14:paraId="639DB97D" w14:textId="7E26A1D6" w:rsidR="004A7D86" w:rsidRPr="00D96BEC" w:rsidRDefault="004A7D86" w:rsidP="00C07D55">
            <w:pPr>
              <w:keepNext/>
              <w:keepLines/>
              <w:spacing w:before="60" w:after="60"/>
              <w:ind w:right="172"/>
              <w:jc w:val="right"/>
              <w:rPr>
                <w:sz w:val="16"/>
                <w:szCs w:val="16"/>
              </w:rPr>
            </w:pPr>
            <w:r>
              <w:rPr>
                <w:sz w:val="16"/>
                <w:szCs w:val="16"/>
              </w:rPr>
              <w:t>16.8</w:t>
            </w:r>
            <w:r w:rsidRPr="00E301BC">
              <w:rPr>
                <w:sz w:val="16"/>
                <w:szCs w:val="16"/>
              </w:rPr>
              <w:t>%</w:t>
            </w:r>
          </w:p>
        </w:tc>
        <w:tc>
          <w:tcPr>
            <w:tcW w:w="1418" w:type="dxa"/>
          </w:tcPr>
          <w:p w14:paraId="34E1DBA2" w14:textId="351C63CD" w:rsidR="004A7D86" w:rsidRPr="00D96BEC" w:rsidRDefault="004A7D86" w:rsidP="00C07D55">
            <w:pPr>
              <w:keepNext/>
              <w:keepLines/>
              <w:spacing w:before="60" w:after="60"/>
              <w:ind w:right="322"/>
              <w:jc w:val="right"/>
              <w:rPr>
                <w:sz w:val="16"/>
                <w:szCs w:val="16"/>
              </w:rPr>
            </w:pPr>
            <w:r>
              <w:rPr>
                <w:sz w:val="16"/>
                <w:szCs w:val="16"/>
              </w:rPr>
              <w:t>19.9</w:t>
            </w:r>
            <w:r w:rsidRPr="00E301BC">
              <w:rPr>
                <w:sz w:val="16"/>
                <w:szCs w:val="16"/>
              </w:rPr>
              <w:t>%</w:t>
            </w:r>
          </w:p>
        </w:tc>
      </w:tr>
      <w:tr w:rsidR="004A7D86" w:rsidRPr="001331D1" w14:paraId="02E873FF" w14:textId="77777777" w:rsidTr="006B011A">
        <w:tc>
          <w:tcPr>
            <w:tcW w:w="2268" w:type="dxa"/>
            <w:shd w:val="clear" w:color="auto" w:fill="auto"/>
            <w:vAlign w:val="bottom"/>
          </w:tcPr>
          <w:p w14:paraId="0C502242" w14:textId="45E13502" w:rsidR="004A7D86" w:rsidRDefault="004A7D86" w:rsidP="00C07D55">
            <w:pPr>
              <w:keepNext/>
              <w:keepLines/>
              <w:spacing w:before="60" w:after="60"/>
              <w:jc w:val="left"/>
              <w:rPr>
                <w:rStyle w:val="Strong"/>
                <w:sz w:val="16"/>
                <w:szCs w:val="16"/>
              </w:rPr>
            </w:pPr>
            <w:r>
              <w:rPr>
                <w:rStyle w:val="Strong"/>
                <w:sz w:val="16"/>
                <w:szCs w:val="16"/>
              </w:rPr>
              <w:t>Residential buildings</w:t>
            </w:r>
          </w:p>
        </w:tc>
        <w:tc>
          <w:tcPr>
            <w:tcW w:w="1417" w:type="dxa"/>
          </w:tcPr>
          <w:p w14:paraId="793EEC81" w14:textId="2D2BFC7F" w:rsidR="004A7D86" w:rsidRPr="00D96BEC" w:rsidRDefault="004A7D86" w:rsidP="00C07D55">
            <w:pPr>
              <w:keepNext/>
              <w:keepLines/>
              <w:spacing w:before="60" w:after="60"/>
              <w:ind w:right="314"/>
              <w:jc w:val="right"/>
              <w:rPr>
                <w:sz w:val="16"/>
                <w:szCs w:val="16"/>
              </w:rPr>
            </w:pPr>
            <w:r>
              <w:rPr>
                <w:sz w:val="16"/>
                <w:szCs w:val="16"/>
              </w:rPr>
              <w:t>2.1</w:t>
            </w:r>
            <w:r w:rsidRPr="00E301BC">
              <w:rPr>
                <w:sz w:val="16"/>
                <w:szCs w:val="16"/>
              </w:rPr>
              <w:t>%</w:t>
            </w:r>
          </w:p>
        </w:tc>
        <w:tc>
          <w:tcPr>
            <w:tcW w:w="1418" w:type="dxa"/>
          </w:tcPr>
          <w:p w14:paraId="7E040958" w14:textId="6A00B822" w:rsidR="004A7D86" w:rsidRPr="00D96BEC" w:rsidRDefault="004A7D86" w:rsidP="00C07D55">
            <w:pPr>
              <w:keepNext/>
              <w:keepLines/>
              <w:spacing w:before="60" w:after="60"/>
              <w:ind w:right="321"/>
              <w:jc w:val="right"/>
              <w:rPr>
                <w:sz w:val="16"/>
                <w:szCs w:val="16"/>
              </w:rPr>
            </w:pPr>
            <w:r>
              <w:rPr>
                <w:sz w:val="16"/>
                <w:szCs w:val="16"/>
              </w:rPr>
              <w:t>2.1</w:t>
            </w:r>
            <w:r w:rsidRPr="00E301BC">
              <w:rPr>
                <w:sz w:val="16"/>
                <w:szCs w:val="16"/>
              </w:rPr>
              <w:t>%</w:t>
            </w:r>
          </w:p>
        </w:tc>
        <w:tc>
          <w:tcPr>
            <w:tcW w:w="1417" w:type="dxa"/>
          </w:tcPr>
          <w:p w14:paraId="7BE7782A" w14:textId="696ECC0C" w:rsidR="004A7D86" w:rsidRPr="00D96BEC" w:rsidRDefault="004A7D86" w:rsidP="00C07D55">
            <w:pPr>
              <w:keepNext/>
              <w:keepLines/>
              <w:spacing w:before="60" w:after="60"/>
              <w:ind w:right="172"/>
              <w:jc w:val="right"/>
              <w:rPr>
                <w:sz w:val="16"/>
                <w:szCs w:val="16"/>
              </w:rPr>
            </w:pPr>
            <w:r>
              <w:rPr>
                <w:sz w:val="16"/>
                <w:szCs w:val="16"/>
              </w:rPr>
              <w:t>0.0</w:t>
            </w:r>
            <w:r w:rsidRPr="00E301BC">
              <w:rPr>
                <w:sz w:val="16"/>
                <w:szCs w:val="16"/>
              </w:rPr>
              <w:t>%</w:t>
            </w:r>
          </w:p>
        </w:tc>
        <w:tc>
          <w:tcPr>
            <w:tcW w:w="1418" w:type="dxa"/>
          </w:tcPr>
          <w:p w14:paraId="79F9E58E" w14:textId="5AF099A5" w:rsidR="004A7D86" w:rsidRPr="00D96BEC" w:rsidRDefault="004A7D86" w:rsidP="00C07D55">
            <w:pPr>
              <w:keepNext/>
              <w:keepLines/>
              <w:spacing w:before="60" w:after="60"/>
              <w:ind w:right="322"/>
              <w:jc w:val="right"/>
              <w:rPr>
                <w:sz w:val="16"/>
                <w:szCs w:val="16"/>
              </w:rPr>
            </w:pPr>
            <w:r>
              <w:rPr>
                <w:sz w:val="16"/>
                <w:szCs w:val="16"/>
              </w:rPr>
              <w:t>24.4</w:t>
            </w:r>
            <w:r w:rsidRPr="00E301BC">
              <w:rPr>
                <w:sz w:val="16"/>
                <w:szCs w:val="16"/>
              </w:rPr>
              <w:t>%</w:t>
            </w:r>
          </w:p>
        </w:tc>
      </w:tr>
      <w:tr w:rsidR="004A7D86" w:rsidRPr="001331D1" w14:paraId="64663C99" w14:textId="77777777" w:rsidTr="006B011A">
        <w:tc>
          <w:tcPr>
            <w:tcW w:w="2268" w:type="dxa"/>
            <w:shd w:val="clear" w:color="auto" w:fill="auto"/>
            <w:vAlign w:val="bottom"/>
          </w:tcPr>
          <w:p w14:paraId="58AC9C22" w14:textId="2ED6F06A" w:rsidR="004A7D86" w:rsidRDefault="004A7D86" w:rsidP="00C07D55">
            <w:pPr>
              <w:keepNext/>
              <w:keepLines/>
              <w:spacing w:before="60" w:after="60"/>
              <w:jc w:val="left"/>
              <w:rPr>
                <w:rStyle w:val="Strong"/>
                <w:sz w:val="16"/>
                <w:szCs w:val="16"/>
              </w:rPr>
            </w:pPr>
            <w:r>
              <w:rPr>
                <w:rStyle w:val="Strong"/>
                <w:sz w:val="16"/>
                <w:szCs w:val="16"/>
              </w:rPr>
              <w:t>Research and development</w:t>
            </w:r>
          </w:p>
        </w:tc>
        <w:tc>
          <w:tcPr>
            <w:tcW w:w="1417" w:type="dxa"/>
          </w:tcPr>
          <w:p w14:paraId="70EEA5E8" w14:textId="5D03FDE0" w:rsidR="004A7D86" w:rsidRPr="00D96BEC" w:rsidRDefault="004A7D86" w:rsidP="00C07D55">
            <w:pPr>
              <w:keepNext/>
              <w:keepLines/>
              <w:spacing w:before="60" w:after="60"/>
              <w:ind w:right="314"/>
              <w:jc w:val="right"/>
              <w:rPr>
                <w:sz w:val="16"/>
                <w:szCs w:val="16"/>
              </w:rPr>
            </w:pPr>
            <w:r>
              <w:rPr>
                <w:sz w:val="16"/>
                <w:szCs w:val="16"/>
              </w:rPr>
              <w:t>14.6</w:t>
            </w:r>
            <w:r w:rsidRPr="00E301BC">
              <w:rPr>
                <w:sz w:val="16"/>
                <w:szCs w:val="16"/>
              </w:rPr>
              <w:t>%</w:t>
            </w:r>
          </w:p>
        </w:tc>
        <w:tc>
          <w:tcPr>
            <w:tcW w:w="1418" w:type="dxa"/>
          </w:tcPr>
          <w:p w14:paraId="0E5FA228" w14:textId="3BE2EECB" w:rsidR="004A7D86" w:rsidRPr="00D96BEC" w:rsidRDefault="004A7D86" w:rsidP="00C07D55">
            <w:pPr>
              <w:keepNext/>
              <w:keepLines/>
              <w:spacing w:before="60" w:after="60"/>
              <w:ind w:right="321"/>
              <w:jc w:val="right"/>
              <w:rPr>
                <w:sz w:val="16"/>
                <w:szCs w:val="16"/>
              </w:rPr>
            </w:pPr>
            <w:r>
              <w:rPr>
                <w:sz w:val="16"/>
                <w:szCs w:val="16"/>
              </w:rPr>
              <w:t>14.6</w:t>
            </w:r>
            <w:r w:rsidRPr="00E301BC">
              <w:rPr>
                <w:sz w:val="16"/>
                <w:szCs w:val="16"/>
              </w:rPr>
              <w:t>%</w:t>
            </w:r>
          </w:p>
        </w:tc>
        <w:tc>
          <w:tcPr>
            <w:tcW w:w="1417" w:type="dxa"/>
          </w:tcPr>
          <w:p w14:paraId="05DC892A" w14:textId="2641F2B2" w:rsidR="004A7D86" w:rsidRPr="00D96BEC" w:rsidRDefault="004A7D86" w:rsidP="00C07D55">
            <w:pPr>
              <w:keepNext/>
              <w:keepLines/>
              <w:spacing w:before="60" w:after="60"/>
              <w:ind w:right="172"/>
              <w:jc w:val="right"/>
              <w:rPr>
                <w:sz w:val="16"/>
                <w:szCs w:val="16"/>
              </w:rPr>
            </w:pPr>
            <w:r>
              <w:rPr>
                <w:sz w:val="16"/>
                <w:szCs w:val="16"/>
              </w:rPr>
              <w:t>Expensed</w:t>
            </w:r>
          </w:p>
        </w:tc>
        <w:tc>
          <w:tcPr>
            <w:tcW w:w="1418" w:type="dxa"/>
          </w:tcPr>
          <w:p w14:paraId="7886BF4F" w14:textId="34D36C0E" w:rsidR="004A7D86" w:rsidRPr="00D96BEC" w:rsidRDefault="004A7D86" w:rsidP="00C07D55">
            <w:pPr>
              <w:keepNext/>
              <w:keepLines/>
              <w:spacing w:before="60" w:after="60"/>
              <w:ind w:right="322"/>
              <w:jc w:val="right"/>
              <w:rPr>
                <w:sz w:val="16"/>
                <w:szCs w:val="16"/>
              </w:rPr>
            </w:pPr>
            <w:r>
              <w:rPr>
                <w:sz w:val="16"/>
                <w:szCs w:val="16"/>
              </w:rPr>
              <w:t>2.4</w:t>
            </w:r>
            <w:r w:rsidRPr="00E301BC">
              <w:rPr>
                <w:sz w:val="16"/>
                <w:szCs w:val="16"/>
              </w:rPr>
              <w:t>%</w:t>
            </w:r>
          </w:p>
        </w:tc>
      </w:tr>
      <w:tr w:rsidR="004A7D86" w:rsidRPr="001331D1" w14:paraId="4E605DF2" w14:textId="77777777" w:rsidTr="006B011A">
        <w:tc>
          <w:tcPr>
            <w:tcW w:w="2268" w:type="dxa"/>
            <w:shd w:val="clear" w:color="auto" w:fill="auto"/>
            <w:vAlign w:val="bottom"/>
          </w:tcPr>
          <w:p w14:paraId="36431FDA" w14:textId="2062F039" w:rsidR="004A7D86" w:rsidRDefault="004A7D86" w:rsidP="00C07D55">
            <w:pPr>
              <w:keepNext/>
              <w:keepLines/>
              <w:spacing w:before="60" w:after="60"/>
              <w:jc w:val="left"/>
              <w:rPr>
                <w:rStyle w:val="Strong"/>
                <w:sz w:val="16"/>
                <w:szCs w:val="16"/>
              </w:rPr>
            </w:pPr>
            <w:r>
              <w:rPr>
                <w:rStyle w:val="Strong"/>
                <w:sz w:val="16"/>
                <w:szCs w:val="16"/>
              </w:rPr>
              <w:t>Software</w:t>
            </w:r>
          </w:p>
        </w:tc>
        <w:tc>
          <w:tcPr>
            <w:tcW w:w="1417" w:type="dxa"/>
          </w:tcPr>
          <w:p w14:paraId="4829CF87" w14:textId="134051E0" w:rsidR="004A7D86" w:rsidRPr="00D96BEC" w:rsidRDefault="004A7D86" w:rsidP="00C07D55">
            <w:pPr>
              <w:keepNext/>
              <w:keepLines/>
              <w:spacing w:before="60" w:after="60"/>
              <w:ind w:right="314"/>
              <w:jc w:val="right"/>
              <w:rPr>
                <w:sz w:val="16"/>
                <w:szCs w:val="16"/>
              </w:rPr>
            </w:pPr>
            <w:r>
              <w:rPr>
                <w:sz w:val="16"/>
                <w:szCs w:val="16"/>
              </w:rPr>
              <w:t>35.4</w:t>
            </w:r>
            <w:r w:rsidRPr="00E301BC">
              <w:rPr>
                <w:sz w:val="16"/>
                <w:szCs w:val="16"/>
              </w:rPr>
              <w:t>%</w:t>
            </w:r>
          </w:p>
        </w:tc>
        <w:tc>
          <w:tcPr>
            <w:tcW w:w="1418" w:type="dxa"/>
          </w:tcPr>
          <w:p w14:paraId="070B4603" w14:textId="28251532" w:rsidR="004A7D86" w:rsidRPr="00D96BEC" w:rsidRDefault="004A7D86" w:rsidP="00C07D55">
            <w:pPr>
              <w:keepNext/>
              <w:keepLines/>
              <w:spacing w:before="60" w:after="60"/>
              <w:ind w:right="321"/>
              <w:jc w:val="right"/>
              <w:rPr>
                <w:sz w:val="16"/>
                <w:szCs w:val="16"/>
              </w:rPr>
            </w:pPr>
            <w:r>
              <w:rPr>
                <w:sz w:val="16"/>
                <w:szCs w:val="16"/>
              </w:rPr>
              <w:t>55.0</w:t>
            </w:r>
            <w:r w:rsidRPr="00E301BC">
              <w:rPr>
                <w:sz w:val="16"/>
                <w:szCs w:val="16"/>
              </w:rPr>
              <w:t>%</w:t>
            </w:r>
          </w:p>
        </w:tc>
        <w:tc>
          <w:tcPr>
            <w:tcW w:w="1417" w:type="dxa"/>
          </w:tcPr>
          <w:p w14:paraId="56899E01" w14:textId="2BFDDF25" w:rsidR="004A7D86" w:rsidRPr="00D96BEC" w:rsidRDefault="004A7D86" w:rsidP="00C07D55">
            <w:pPr>
              <w:keepNext/>
              <w:keepLines/>
              <w:spacing w:before="60" w:after="60"/>
              <w:ind w:right="172"/>
              <w:jc w:val="right"/>
              <w:rPr>
                <w:sz w:val="16"/>
                <w:szCs w:val="16"/>
              </w:rPr>
            </w:pPr>
            <w:r>
              <w:rPr>
                <w:sz w:val="16"/>
                <w:szCs w:val="16"/>
              </w:rPr>
              <w:t>50.0</w:t>
            </w:r>
            <w:r w:rsidRPr="00E301BC">
              <w:rPr>
                <w:sz w:val="16"/>
                <w:szCs w:val="16"/>
              </w:rPr>
              <w:t>%</w:t>
            </w:r>
          </w:p>
        </w:tc>
        <w:tc>
          <w:tcPr>
            <w:tcW w:w="1418" w:type="dxa"/>
          </w:tcPr>
          <w:p w14:paraId="787F800D" w14:textId="0F1C4663" w:rsidR="004A7D86" w:rsidRPr="00D96BEC" w:rsidRDefault="004A7D86" w:rsidP="00C07D55">
            <w:pPr>
              <w:keepNext/>
              <w:keepLines/>
              <w:spacing w:before="60" w:after="60"/>
              <w:ind w:right="322"/>
              <w:jc w:val="right"/>
              <w:rPr>
                <w:sz w:val="16"/>
                <w:szCs w:val="16"/>
              </w:rPr>
            </w:pPr>
            <w:r>
              <w:rPr>
                <w:sz w:val="16"/>
                <w:szCs w:val="16"/>
              </w:rPr>
              <w:t>3.7</w:t>
            </w:r>
            <w:r w:rsidRPr="00E301BC">
              <w:rPr>
                <w:sz w:val="16"/>
                <w:szCs w:val="16"/>
              </w:rPr>
              <w:t>%</w:t>
            </w:r>
          </w:p>
        </w:tc>
      </w:tr>
      <w:tr w:rsidR="004A7D86" w:rsidRPr="001331D1" w14:paraId="517338E6" w14:textId="77777777" w:rsidTr="006B011A">
        <w:tc>
          <w:tcPr>
            <w:tcW w:w="2268" w:type="dxa"/>
            <w:shd w:val="clear" w:color="auto" w:fill="auto"/>
            <w:vAlign w:val="bottom"/>
          </w:tcPr>
          <w:p w14:paraId="00AFDD0F" w14:textId="02A66A8F" w:rsidR="004A7D86" w:rsidRDefault="004A7D86" w:rsidP="00C07D55">
            <w:pPr>
              <w:keepNext/>
              <w:keepLines/>
              <w:spacing w:before="60" w:after="60"/>
              <w:jc w:val="left"/>
              <w:rPr>
                <w:rStyle w:val="Strong"/>
                <w:sz w:val="16"/>
                <w:szCs w:val="16"/>
              </w:rPr>
            </w:pPr>
            <w:r>
              <w:rPr>
                <w:rStyle w:val="Strong"/>
                <w:sz w:val="16"/>
                <w:szCs w:val="16"/>
              </w:rPr>
              <w:t>Transport equipment</w:t>
            </w:r>
          </w:p>
        </w:tc>
        <w:tc>
          <w:tcPr>
            <w:tcW w:w="1417" w:type="dxa"/>
          </w:tcPr>
          <w:p w14:paraId="75C0382D" w14:textId="70E9AB7F" w:rsidR="004A7D86" w:rsidRPr="00D96BEC" w:rsidRDefault="004A7D86" w:rsidP="00C07D55">
            <w:pPr>
              <w:keepNext/>
              <w:keepLines/>
              <w:spacing w:before="60" w:after="60"/>
              <w:ind w:right="314"/>
              <w:jc w:val="right"/>
              <w:rPr>
                <w:sz w:val="16"/>
                <w:szCs w:val="16"/>
              </w:rPr>
            </w:pPr>
            <w:r>
              <w:rPr>
                <w:sz w:val="16"/>
                <w:szCs w:val="16"/>
              </w:rPr>
              <w:t>19.8</w:t>
            </w:r>
            <w:r w:rsidRPr="00E301BC">
              <w:rPr>
                <w:sz w:val="16"/>
                <w:szCs w:val="16"/>
              </w:rPr>
              <w:t>%</w:t>
            </w:r>
          </w:p>
        </w:tc>
        <w:tc>
          <w:tcPr>
            <w:tcW w:w="1418" w:type="dxa"/>
          </w:tcPr>
          <w:p w14:paraId="6A380B3C" w14:textId="5D5391B1" w:rsidR="004A7D86" w:rsidRPr="00D96BEC" w:rsidRDefault="004A7D86" w:rsidP="00C07D55">
            <w:pPr>
              <w:keepNext/>
              <w:keepLines/>
              <w:spacing w:before="60" w:after="60"/>
              <w:ind w:right="321"/>
              <w:jc w:val="right"/>
              <w:rPr>
                <w:sz w:val="16"/>
                <w:szCs w:val="16"/>
              </w:rPr>
            </w:pPr>
            <w:r>
              <w:rPr>
                <w:sz w:val="16"/>
                <w:szCs w:val="16"/>
              </w:rPr>
              <w:t>19.8</w:t>
            </w:r>
            <w:r w:rsidRPr="00E301BC">
              <w:rPr>
                <w:sz w:val="16"/>
                <w:szCs w:val="16"/>
              </w:rPr>
              <w:t>%</w:t>
            </w:r>
          </w:p>
        </w:tc>
        <w:tc>
          <w:tcPr>
            <w:tcW w:w="1417" w:type="dxa"/>
          </w:tcPr>
          <w:p w14:paraId="0313EFF7" w14:textId="20D313AF" w:rsidR="004A7D86" w:rsidRPr="00D96BEC" w:rsidRDefault="004A7D86" w:rsidP="00C07D55">
            <w:pPr>
              <w:keepNext/>
              <w:keepLines/>
              <w:spacing w:before="60" w:after="60"/>
              <w:ind w:right="172"/>
              <w:jc w:val="right"/>
              <w:rPr>
                <w:sz w:val="16"/>
                <w:szCs w:val="16"/>
              </w:rPr>
            </w:pPr>
            <w:r>
              <w:rPr>
                <w:sz w:val="16"/>
                <w:szCs w:val="16"/>
              </w:rPr>
              <w:t>19.8</w:t>
            </w:r>
            <w:r w:rsidRPr="00E301BC">
              <w:rPr>
                <w:sz w:val="16"/>
                <w:szCs w:val="16"/>
              </w:rPr>
              <w:t>%</w:t>
            </w:r>
          </w:p>
        </w:tc>
        <w:tc>
          <w:tcPr>
            <w:tcW w:w="1418" w:type="dxa"/>
          </w:tcPr>
          <w:p w14:paraId="2EE9912D" w14:textId="05444AFF" w:rsidR="004A7D86" w:rsidRPr="00D96BEC" w:rsidRDefault="004A7D86" w:rsidP="00C07D55">
            <w:pPr>
              <w:keepNext/>
              <w:keepLines/>
              <w:spacing w:before="60" w:after="60"/>
              <w:ind w:right="322"/>
              <w:jc w:val="right"/>
              <w:rPr>
                <w:sz w:val="16"/>
                <w:szCs w:val="16"/>
              </w:rPr>
            </w:pPr>
            <w:r>
              <w:rPr>
                <w:sz w:val="16"/>
                <w:szCs w:val="16"/>
              </w:rPr>
              <w:t>6.4</w:t>
            </w:r>
            <w:r w:rsidRPr="00E301BC">
              <w:rPr>
                <w:sz w:val="16"/>
                <w:szCs w:val="16"/>
              </w:rPr>
              <w:t>%</w:t>
            </w:r>
          </w:p>
        </w:tc>
      </w:tr>
      <w:tr w:rsidR="004A7D86" w:rsidRPr="001331D1" w14:paraId="0706CAC9" w14:textId="77777777" w:rsidTr="006B011A">
        <w:tc>
          <w:tcPr>
            <w:tcW w:w="2268" w:type="dxa"/>
            <w:shd w:val="clear" w:color="auto" w:fill="auto"/>
            <w:vAlign w:val="bottom"/>
          </w:tcPr>
          <w:p w14:paraId="6BF439C8" w14:textId="7F7A0CA0" w:rsidR="004A7D86" w:rsidRDefault="004A7D86" w:rsidP="00C07D55">
            <w:pPr>
              <w:keepNext/>
              <w:keepLines/>
              <w:spacing w:before="60" w:after="60"/>
              <w:jc w:val="left"/>
              <w:rPr>
                <w:rStyle w:val="Strong"/>
                <w:sz w:val="16"/>
                <w:szCs w:val="16"/>
              </w:rPr>
            </w:pPr>
            <w:r>
              <w:rPr>
                <w:rStyle w:val="Strong"/>
                <w:sz w:val="16"/>
                <w:szCs w:val="16"/>
              </w:rPr>
              <w:t>Total</w:t>
            </w:r>
          </w:p>
        </w:tc>
        <w:tc>
          <w:tcPr>
            <w:tcW w:w="1417" w:type="dxa"/>
            <w:vAlign w:val="center"/>
          </w:tcPr>
          <w:p w14:paraId="1359A745" w14:textId="77777777" w:rsidR="004A7D86" w:rsidRPr="00D96BEC" w:rsidRDefault="004A7D86" w:rsidP="00C07D55">
            <w:pPr>
              <w:keepNext/>
              <w:keepLines/>
              <w:spacing w:before="60" w:after="60"/>
              <w:ind w:right="314"/>
              <w:jc w:val="right"/>
              <w:rPr>
                <w:sz w:val="16"/>
                <w:szCs w:val="16"/>
              </w:rPr>
            </w:pPr>
          </w:p>
        </w:tc>
        <w:tc>
          <w:tcPr>
            <w:tcW w:w="1418" w:type="dxa"/>
            <w:vAlign w:val="center"/>
          </w:tcPr>
          <w:p w14:paraId="7172AE0C" w14:textId="77777777" w:rsidR="004A7D86" w:rsidRPr="00D96BEC" w:rsidRDefault="004A7D86" w:rsidP="00C07D55">
            <w:pPr>
              <w:keepNext/>
              <w:keepLines/>
              <w:spacing w:before="60" w:after="60"/>
              <w:ind w:right="321"/>
              <w:jc w:val="right"/>
              <w:rPr>
                <w:sz w:val="16"/>
                <w:szCs w:val="16"/>
              </w:rPr>
            </w:pPr>
          </w:p>
        </w:tc>
        <w:tc>
          <w:tcPr>
            <w:tcW w:w="1417" w:type="dxa"/>
            <w:vAlign w:val="center"/>
          </w:tcPr>
          <w:p w14:paraId="578BF419" w14:textId="77777777" w:rsidR="004A7D86" w:rsidRPr="00D96BEC" w:rsidRDefault="004A7D86" w:rsidP="00C07D55">
            <w:pPr>
              <w:keepNext/>
              <w:keepLines/>
              <w:spacing w:before="60" w:after="60"/>
              <w:ind w:right="172"/>
              <w:jc w:val="right"/>
              <w:rPr>
                <w:sz w:val="16"/>
                <w:szCs w:val="16"/>
              </w:rPr>
            </w:pPr>
          </w:p>
        </w:tc>
        <w:tc>
          <w:tcPr>
            <w:tcW w:w="1418" w:type="dxa"/>
            <w:vAlign w:val="center"/>
          </w:tcPr>
          <w:p w14:paraId="2F205918" w14:textId="22754DC0" w:rsidR="004A7D86" w:rsidRPr="00CA0BF8" w:rsidRDefault="004A7D86" w:rsidP="00C07D55">
            <w:pPr>
              <w:keepNext/>
              <w:keepLines/>
              <w:spacing w:before="60" w:after="60"/>
              <w:ind w:right="322"/>
              <w:jc w:val="right"/>
              <w:rPr>
                <w:b/>
                <w:bCs/>
                <w:sz w:val="16"/>
                <w:szCs w:val="16"/>
              </w:rPr>
            </w:pPr>
            <w:r w:rsidRPr="00CA0BF8">
              <w:rPr>
                <w:b/>
                <w:bCs/>
                <w:sz w:val="16"/>
                <w:szCs w:val="16"/>
              </w:rPr>
              <w:t>100.0%</w:t>
            </w:r>
          </w:p>
        </w:tc>
      </w:tr>
    </w:tbl>
    <w:p w14:paraId="2A89D745" w14:textId="77777777" w:rsidR="003A6515" w:rsidRPr="001D7EF4" w:rsidRDefault="003A6515" w:rsidP="00C5355E">
      <w:pPr>
        <w:spacing w:before="0"/>
      </w:pPr>
    </w:p>
    <w:p w14:paraId="79C9C39E" w14:textId="03C2E1F2" w:rsidR="00937CBA" w:rsidRPr="00937CBA" w:rsidRDefault="00937CBA" w:rsidP="006B5D22">
      <w:pPr>
        <w:pStyle w:val="NumberedParagraph"/>
      </w:pPr>
      <w:r w:rsidRPr="00937CBA">
        <w:t>Assumed tax depreciation rates are provided in the fourth column. For some types of asset</w:t>
      </w:r>
      <w:r w:rsidR="000A0755">
        <w:t>s</w:t>
      </w:r>
      <w:r w:rsidRPr="00937CBA">
        <w:t>, it is possible to identify what the tax depreciation rate in New Zealand is likely to be. For example, exploration expenditure and R&amp;D expenditure can normally be deducted immediately (expensed). Non-residential buildings (commercial and industrial buildings) can be depreciated at a rate of 2.0% DV. Residential buildings receive no depreciation deductions.</w:t>
      </w:r>
    </w:p>
    <w:p w14:paraId="4C628546" w14:textId="1A36474A" w:rsidR="00937CBA" w:rsidRPr="00937CBA" w:rsidRDefault="00937CBA" w:rsidP="006B5D22">
      <w:pPr>
        <w:pStyle w:val="NumberedParagraph"/>
      </w:pPr>
      <w:r w:rsidRPr="00937CBA">
        <w:t xml:space="preserve">For other assets, we assume an </w:t>
      </w:r>
      <w:r w:rsidR="00665487">
        <w:t>‘</w:t>
      </w:r>
      <w:r w:rsidRPr="00937CBA">
        <w:t>average tax depreciation rate</w:t>
      </w:r>
      <w:r w:rsidR="00665487">
        <w:t>’</w:t>
      </w:r>
      <w:r w:rsidRPr="00937CBA">
        <w:t xml:space="preserve"> equal to the estimated rate of economic depreciation.</w:t>
      </w:r>
      <w:r w:rsidRPr="00937CBA">
        <w:rPr>
          <w:vertAlign w:val="superscript"/>
        </w:rPr>
        <w:footnoteReference w:id="25"/>
      </w:r>
      <w:r w:rsidRPr="00937CBA">
        <w:t xml:space="preserve"> The weightings for the different assets are provided in the fifth column. These are averages over the three-year period (2017–2019) from Statistics NZ’s net capital stock figures.</w:t>
      </w:r>
    </w:p>
    <w:p w14:paraId="7A9FB873" w14:textId="69C8D5B3" w:rsidR="00937CBA" w:rsidRPr="00937CBA" w:rsidRDefault="00937CBA" w:rsidP="006B5D22">
      <w:pPr>
        <w:pStyle w:val="NumberedParagraph"/>
      </w:pPr>
      <w:r w:rsidRPr="00937CBA">
        <w:t xml:space="preserve">We use the economic depreciation rates and the weightings from table </w:t>
      </w:r>
      <w:r w:rsidR="00F46470">
        <w:t>A</w:t>
      </w:r>
      <w:r w:rsidR="00CA20D8">
        <w:t>6</w:t>
      </w:r>
      <w:r w:rsidR="008D4BA5">
        <w:t>.1</w:t>
      </w:r>
      <w:r w:rsidRPr="00937CBA">
        <w:t xml:space="preserve"> to estimate the cost of capital for an aggregate asset that is a weighted average of the nine different types of capital asset. Tax depreciation rates in the table are used to estimate costs of capital at present. Tax depreciation rates applicable in earlier years are used to estimate costs of capital in those earlier years. In addition, we estimate how costs of capital for inventories have changed over time because of changes in the company tax rate.</w:t>
      </w:r>
    </w:p>
    <w:p w14:paraId="5C7414CD" w14:textId="59157DC0" w:rsidR="00937CBA" w:rsidRPr="00937CBA" w:rsidRDefault="00937CBA" w:rsidP="00B76F76">
      <w:pPr>
        <w:pStyle w:val="Heading2"/>
        <w:rPr>
          <w:rFonts w:eastAsia="Calibri"/>
          <w:lang w:eastAsia="en-US"/>
        </w:rPr>
      </w:pPr>
      <w:bookmarkStart w:id="25" w:name="_Toc108451963"/>
      <w:r w:rsidRPr="00937CBA">
        <w:rPr>
          <w:rFonts w:eastAsia="Calibri"/>
          <w:lang w:eastAsia="en-US"/>
        </w:rPr>
        <w:t>Tax parameters that have changed since the 2000/01 year</w:t>
      </w:r>
      <w:bookmarkEnd w:id="25"/>
    </w:p>
    <w:p w14:paraId="6C4EF495" w14:textId="77777777" w:rsidR="00937CBA" w:rsidRPr="00937CBA" w:rsidRDefault="00937CBA" w:rsidP="006B5D22">
      <w:pPr>
        <w:pStyle w:val="NumberedParagraph"/>
      </w:pPr>
      <w:r w:rsidRPr="00937CBA">
        <w:t>We allow for the following changes in tax parameters over time.</w:t>
      </w:r>
    </w:p>
    <w:p w14:paraId="2C09D87D" w14:textId="0D72E69A" w:rsidR="00937CBA" w:rsidRPr="00937CBA" w:rsidRDefault="00937CBA" w:rsidP="00B76F76">
      <w:pPr>
        <w:pStyle w:val="Heading3"/>
        <w:rPr>
          <w:rFonts w:eastAsia="Calibri"/>
          <w:lang w:eastAsia="en-US"/>
        </w:rPr>
      </w:pPr>
      <w:r w:rsidRPr="00937CBA">
        <w:rPr>
          <w:rFonts w:eastAsia="Calibri"/>
          <w:lang w:eastAsia="en-US"/>
        </w:rPr>
        <w:lastRenderedPageBreak/>
        <w:t>Company tax rate</w:t>
      </w:r>
    </w:p>
    <w:p w14:paraId="10C2FDAB" w14:textId="4B50019D" w:rsidR="00937CBA" w:rsidRPr="00937CBA" w:rsidRDefault="00937CBA" w:rsidP="006B5D22">
      <w:pPr>
        <w:pStyle w:val="NumberedParagraph"/>
      </w:pPr>
      <w:r w:rsidRPr="00937CBA">
        <w:t xml:space="preserve">In the 2000/01 </w:t>
      </w:r>
      <w:r w:rsidR="00C400B1">
        <w:t xml:space="preserve">income </w:t>
      </w:r>
      <w:r w:rsidRPr="00937CBA">
        <w:t>year, the company tax rate was 33% (which it had been since the late 1980s). It was reduced to 30% from the 2008/09 income year</w:t>
      </w:r>
      <w:r w:rsidR="00B11187">
        <w:t>,</w:t>
      </w:r>
      <w:r w:rsidRPr="00937CBA">
        <w:t xml:space="preserve"> and then to 28% from the 2011/12 income year.</w:t>
      </w:r>
    </w:p>
    <w:p w14:paraId="238A3CD3" w14:textId="196E392B" w:rsidR="00937CBA" w:rsidRPr="00937CBA" w:rsidRDefault="00937CBA" w:rsidP="00B76F76">
      <w:pPr>
        <w:pStyle w:val="Heading3"/>
        <w:rPr>
          <w:rFonts w:eastAsia="Calibri"/>
          <w:lang w:eastAsia="en-US"/>
        </w:rPr>
      </w:pPr>
      <w:r w:rsidRPr="00937CBA">
        <w:rPr>
          <w:rFonts w:eastAsia="Calibri"/>
          <w:lang w:eastAsia="en-US"/>
        </w:rPr>
        <w:t>Depreciation</w:t>
      </w:r>
    </w:p>
    <w:p w14:paraId="094C2ADF" w14:textId="73AF250C" w:rsidR="00937CBA" w:rsidRPr="00937CBA" w:rsidRDefault="00937CBA" w:rsidP="006B5D22">
      <w:pPr>
        <w:pStyle w:val="NumberedParagraph"/>
      </w:pPr>
      <w:r w:rsidRPr="00937CBA">
        <w:t>There have been several changes to the depreciation rules. From the 2000/01 income year until the 2004/05 income year, assets could be written off under one set of depreciation rules. In addition, a 20% depreciation loading applied for qualifying assets (that is, most depreciable assets other than buildings and land improvements). Buildings could be depreciated at a rate of 4% DV. From the 2005/06 income year, depreciation rates were changed in a way that spe</w:t>
      </w:r>
      <w:r w:rsidR="0002709F">
        <w:t>d</w:t>
      </w:r>
      <w:r w:rsidRPr="00937CBA">
        <w:t xml:space="preserve"> up depreciation deductions for most PME (especially short-lived PME) but reduced the depreciation rate on buildings. The 20% loading for qualifying assets continued. Budget 2010 announced several changes. Depreciation loading was terminated for assets acquired from 21 May 2010. This occur</w:t>
      </w:r>
      <w:r w:rsidR="00C3512C">
        <w:t>red</w:t>
      </w:r>
      <w:r w:rsidRPr="00937CBA">
        <w:t xml:space="preserve"> in different income years for firms with different balance dates</w:t>
      </w:r>
      <w:r w:rsidR="00AF6B94">
        <w:t>,</w:t>
      </w:r>
      <w:r w:rsidRPr="00937CBA">
        <w:t xml:space="preserve"> but it</w:t>
      </w:r>
      <w:r w:rsidR="00590B5F">
        <w:t xml:space="preserve"> </w:t>
      </w:r>
      <w:r w:rsidRPr="00937CBA">
        <w:t>appl</w:t>
      </w:r>
      <w:r w:rsidR="00746374">
        <w:t>ied</w:t>
      </w:r>
      <w:r w:rsidRPr="00937CBA">
        <w:t xml:space="preserve"> for the majority of </w:t>
      </w:r>
      <w:r w:rsidR="00BE1FBC">
        <w:t xml:space="preserve">the </w:t>
      </w:r>
      <w:r w:rsidRPr="00937CBA">
        <w:t>20</w:t>
      </w:r>
      <w:r w:rsidR="00E3713A">
        <w:t>1</w:t>
      </w:r>
      <w:r w:rsidRPr="00937CBA">
        <w:t>0/</w:t>
      </w:r>
      <w:r w:rsidR="00E3713A">
        <w:t>1</w:t>
      </w:r>
      <w:r w:rsidRPr="00937CBA">
        <w:t xml:space="preserve">1 </w:t>
      </w:r>
      <w:r w:rsidR="00BE1FBC">
        <w:t xml:space="preserve">income year </w:t>
      </w:r>
      <w:r w:rsidRPr="00937CBA">
        <w:t>for companies with a standard balance date of 31 March. In our estimates</w:t>
      </w:r>
      <w:r w:rsidR="00847E4B">
        <w:t>,</w:t>
      </w:r>
      <w:r w:rsidRPr="00937CBA">
        <w:t xml:space="preserve"> we treat this as applying to assets acquired from the 2010/11 income year. In addition, depreciation deductions on buildings were removed with effect from the 2011/12 income year.</w:t>
      </w:r>
    </w:p>
    <w:p w14:paraId="4A1553AD" w14:textId="77777777" w:rsidR="00937CBA" w:rsidRPr="00937CBA" w:rsidRDefault="00937CBA" w:rsidP="006B5D22">
      <w:pPr>
        <w:pStyle w:val="NumberedParagraph"/>
      </w:pPr>
      <w:r w:rsidRPr="00937CBA">
        <w:t>Depreciation deductions for non-residential buildings were restored at a rate of 2% DV from the beginning of the 2020/21 income year.</w:t>
      </w:r>
    </w:p>
    <w:p w14:paraId="0E13DCB8" w14:textId="601EB596" w:rsidR="00937CBA" w:rsidRDefault="00937CBA" w:rsidP="00180EDE">
      <w:pPr>
        <w:pStyle w:val="Caption-table"/>
      </w:pPr>
      <w:r w:rsidRPr="00D941A8">
        <w:t xml:space="preserve">Table </w:t>
      </w:r>
      <w:r w:rsidR="006A17F4" w:rsidRPr="00D941A8">
        <w:t>A</w:t>
      </w:r>
      <w:r w:rsidR="00CA20D8">
        <w:t>6</w:t>
      </w:r>
      <w:r w:rsidR="006A17F4" w:rsidRPr="00D941A8">
        <w:t>.</w:t>
      </w:r>
      <w:r w:rsidR="00F66F90" w:rsidRPr="00D941A8">
        <w:t>2</w:t>
      </w:r>
      <w:r w:rsidR="003A441F" w:rsidRPr="00D941A8">
        <w:t>:</w:t>
      </w:r>
      <w:r w:rsidR="003A441F">
        <w:t xml:space="preserve"> </w:t>
      </w:r>
      <w:r w:rsidRPr="00937CBA">
        <w:t>Tax depreciation rates</w:t>
      </w:r>
    </w:p>
    <w:tbl>
      <w:tblPr>
        <w:tblStyle w:val="TableGrid"/>
        <w:tblW w:w="7938" w:type="dxa"/>
        <w:tblInd w:w="84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268"/>
        <w:gridCol w:w="1134"/>
        <w:gridCol w:w="1134"/>
        <w:gridCol w:w="1134"/>
        <w:gridCol w:w="1134"/>
        <w:gridCol w:w="1134"/>
      </w:tblGrid>
      <w:tr w:rsidR="00FF7BCF" w:rsidRPr="00D96BEC" w14:paraId="37E1F661" w14:textId="59EFD586" w:rsidTr="00E237BD">
        <w:trPr>
          <w:tblHeader/>
        </w:trPr>
        <w:tc>
          <w:tcPr>
            <w:tcW w:w="2268" w:type="dxa"/>
            <w:shd w:val="clear" w:color="auto" w:fill="232E36"/>
          </w:tcPr>
          <w:p w14:paraId="3F08B374" w14:textId="77777777" w:rsidR="00FF7BCF" w:rsidRPr="00D96BEC" w:rsidRDefault="00FF7BCF" w:rsidP="00D90B48">
            <w:pPr>
              <w:spacing w:before="120" w:after="120"/>
              <w:jc w:val="center"/>
              <w:rPr>
                <w:b/>
                <w:bCs/>
                <w:color w:val="FFFFFF" w:themeColor="background1"/>
                <w:sz w:val="16"/>
                <w:szCs w:val="16"/>
              </w:rPr>
            </w:pPr>
            <w:r w:rsidRPr="00D96BEC">
              <w:rPr>
                <w:b/>
                <w:bCs/>
                <w:color w:val="FFFFFF" w:themeColor="background1"/>
                <w:sz w:val="16"/>
                <w:szCs w:val="16"/>
              </w:rPr>
              <w:t>Asset type</w:t>
            </w:r>
          </w:p>
        </w:tc>
        <w:tc>
          <w:tcPr>
            <w:tcW w:w="1134" w:type="dxa"/>
            <w:shd w:val="clear" w:color="auto" w:fill="232E36"/>
          </w:tcPr>
          <w:p w14:paraId="4BD93FAF" w14:textId="1C2BF412" w:rsidR="00FF7BCF" w:rsidRPr="0063350C" w:rsidRDefault="00FF7BCF" w:rsidP="00D90B48">
            <w:pPr>
              <w:spacing w:before="120" w:after="120"/>
              <w:jc w:val="center"/>
              <w:rPr>
                <w:rStyle w:val="Strong"/>
                <w:color w:val="FFFFFF" w:themeColor="background1"/>
                <w:sz w:val="16"/>
                <w:szCs w:val="16"/>
              </w:rPr>
            </w:pPr>
            <w:r>
              <w:rPr>
                <w:rStyle w:val="Strong"/>
                <w:color w:val="FFFFFF" w:themeColor="background1"/>
                <w:sz w:val="16"/>
                <w:szCs w:val="16"/>
              </w:rPr>
              <w:t>2000/01 to 2004/05</w:t>
            </w:r>
          </w:p>
        </w:tc>
        <w:tc>
          <w:tcPr>
            <w:tcW w:w="1134" w:type="dxa"/>
            <w:shd w:val="clear" w:color="auto" w:fill="232E36"/>
          </w:tcPr>
          <w:p w14:paraId="686CEE8B" w14:textId="3075EA01" w:rsidR="00FF7BCF" w:rsidRPr="0063350C" w:rsidRDefault="00FF7BCF" w:rsidP="00D90B48">
            <w:pPr>
              <w:spacing w:before="120" w:after="120"/>
              <w:jc w:val="center"/>
              <w:rPr>
                <w:rStyle w:val="Strong"/>
                <w:color w:val="FFFFFF" w:themeColor="background1"/>
                <w:sz w:val="16"/>
                <w:szCs w:val="16"/>
              </w:rPr>
            </w:pPr>
            <w:r>
              <w:rPr>
                <w:rStyle w:val="Strong"/>
                <w:color w:val="FFFFFF" w:themeColor="background1"/>
                <w:sz w:val="16"/>
                <w:szCs w:val="16"/>
              </w:rPr>
              <w:t>2005/06 to 2009/10</w:t>
            </w:r>
          </w:p>
        </w:tc>
        <w:tc>
          <w:tcPr>
            <w:tcW w:w="1134" w:type="dxa"/>
            <w:shd w:val="clear" w:color="auto" w:fill="232E36"/>
          </w:tcPr>
          <w:p w14:paraId="36083FC3" w14:textId="4E4DC2BA" w:rsidR="00FF7BCF" w:rsidRPr="0063350C" w:rsidRDefault="00FF7BCF" w:rsidP="00D90B48">
            <w:pPr>
              <w:spacing w:before="120" w:after="120"/>
              <w:jc w:val="center"/>
              <w:rPr>
                <w:rStyle w:val="Strong"/>
                <w:color w:val="FFFFFF" w:themeColor="background1"/>
                <w:sz w:val="16"/>
                <w:szCs w:val="16"/>
              </w:rPr>
            </w:pPr>
            <w:r>
              <w:rPr>
                <w:rStyle w:val="Strong"/>
                <w:color w:val="FFFFFF" w:themeColor="background1"/>
                <w:sz w:val="16"/>
                <w:szCs w:val="16"/>
              </w:rPr>
              <w:t>2010/11</w:t>
            </w:r>
          </w:p>
        </w:tc>
        <w:tc>
          <w:tcPr>
            <w:tcW w:w="1134" w:type="dxa"/>
            <w:shd w:val="clear" w:color="auto" w:fill="232E36"/>
          </w:tcPr>
          <w:p w14:paraId="7582D994" w14:textId="60AC323B" w:rsidR="00FF7BCF" w:rsidRPr="0063350C" w:rsidRDefault="00FF7BCF" w:rsidP="00D90B48">
            <w:pPr>
              <w:spacing w:before="120" w:after="120"/>
              <w:jc w:val="center"/>
              <w:rPr>
                <w:rStyle w:val="Strong"/>
                <w:color w:val="FFFFFF" w:themeColor="background1"/>
                <w:sz w:val="16"/>
                <w:szCs w:val="16"/>
              </w:rPr>
            </w:pPr>
            <w:r>
              <w:rPr>
                <w:rStyle w:val="Strong"/>
                <w:color w:val="FFFFFF" w:themeColor="background1"/>
                <w:sz w:val="16"/>
                <w:szCs w:val="16"/>
              </w:rPr>
              <w:t>2011/12 to 2019/20</w:t>
            </w:r>
          </w:p>
        </w:tc>
        <w:tc>
          <w:tcPr>
            <w:tcW w:w="1134" w:type="dxa"/>
            <w:shd w:val="clear" w:color="auto" w:fill="232E36"/>
          </w:tcPr>
          <w:p w14:paraId="60DF4C98" w14:textId="762BB68E" w:rsidR="00FF7BCF" w:rsidRPr="0063350C" w:rsidRDefault="00FF7BCF" w:rsidP="00D90B48">
            <w:pPr>
              <w:spacing w:before="120" w:after="120"/>
              <w:jc w:val="center"/>
              <w:rPr>
                <w:rStyle w:val="Strong"/>
                <w:color w:val="FFFFFF" w:themeColor="background1"/>
                <w:sz w:val="16"/>
                <w:szCs w:val="16"/>
              </w:rPr>
            </w:pPr>
            <w:r>
              <w:rPr>
                <w:rStyle w:val="Strong"/>
                <w:color w:val="FFFFFF" w:themeColor="background1"/>
                <w:sz w:val="16"/>
                <w:szCs w:val="16"/>
              </w:rPr>
              <w:t>2020/21</w:t>
            </w:r>
          </w:p>
        </w:tc>
      </w:tr>
      <w:tr w:rsidR="00FF7BCF" w:rsidRPr="001331D1" w14:paraId="77879BE6" w14:textId="718A5807" w:rsidTr="00E237BD">
        <w:tc>
          <w:tcPr>
            <w:tcW w:w="2268" w:type="dxa"/>
            <w:shd w:val="clear" w:color="auto" w:fill="auto"/>
            <w:vAlign w:val="bottom"/>
          </w:tcPr>
          <w:p w14:paraId="72B5CB91" w14:textId="77777777" w:rsidR="00FF7BCF" w:rsidRPr="00D96BEC" w:rsidRDefault="00FF7BCF" w:rsidP="00D90B48">
            <w:pPr>
              <w:spacing w:before="60" w:after="60"/>
              <w:jc w:val="left"/>
              <w:rPr>
                <w:rStyle w:val="Strong"/>
                <w:sz w:val="16"/>
                <w:szCs w:val="16"/>
              </w:rPr>
            </w:pPr>
            <w:r>
              <w:rPr>
                <w:rStyle w:val="Strong"/>
                <w:sz w:val="16"/>
                <w:szCs w:val="16"/>
              </w:rPr>
              <w:t>Exploration</w:t>
            </w:r>
          </w:p>
        </w:tc>
        <w:tc>
          <w:tcPr>
            <w:tcW w:w="1134" w:type="dxa"/>
            <w:tcMar>
              <w:right w:w="142" w:type="dxa"/>
            </w:tcMar>
          </w:tcPr>
          <w:p w14:paraId="434F5BD5" w14:textId="25CDA72D" w:rsidR="00FF7BCF" w:rsidRPr="00D96BEC" w:rsidRDefault="00FF7BCF" w:rsidP="00CA0BF8">
            <w:pPr>
              <w:spacing w:before="60" w:after="60"/>
              <w:jc w:val="right"/>
              <w:rPr>
                <w:sz w:val="16"/>
                <w:szCs w:val="16"/>
              </w:rPr>
            </w:pPr>
            <w:r>
              <w:rPr>
                <w:sz w:val="16"/>
                <w:szCs w:val="16"/>
              </w:rPr>
              <w:t>Expensed</w:t>
            </w:r>
          </w:p>
        </w:tc>
        <w:tc>
          <w:tcPr>
            <w:tcW w:w="1134" w:type="dxa"/>
            <w:tcMar>
              <w:right w:w="142" w:type="dxa"/>
            </w:tcMar>
          </w:tcPr>
          <w:p w14:paraId="5682D26B" w14:textId="5F261F4B" w:rsidR="00FF7BCF" w:rsidRPr="00D96BEC" w:rsidRDefault="00FF7BCF" w:rsidP="00CA0BF8">
            <w:pPr>
              <w:spacing w:before="60" w:after="60"/>
              <w:jc w:val="right"/>
              <w:rPr>
                <w:sz w:val="16"/>
                <w:szCs w:val="16"/>
              </w:rPr>
            </w:pPr>
            <w:r>
              <w:rPr>
                <w:sz w:val="16"/>
                <w:szCs w:val="16"/>
              </w:rPr>
              <w:t>Expensed</w:t>
            </w:r>
          </w:p>
        </w:tc>
        <w:tc>
          <w:tcPr>
            <w:tcW w:w="1134" w:type="dxa"/>
            <w:tcMar>
              <w:right w:w="142" w:type="dxa"/>
            </w:tcMar>
          </w:tcPr>
          <w:p w14:paraId="73CF3D1E" w14:textId="6A784B54" w:rsidR="00FF7BCF" w:rsidRPr="00D96BEC" w:rsidRDefault="00FF7BCF" w:rsidP="00CA0BF8">
            <w:pPr>
              <w:spacing w:before="60" w:after="60"/>
              <w:jc w:val="right"/>
              <w:rPr>
                <w:sz w:val="16"/>
                <w:szCs w:val="16"/>
              </w:rPr>
            </w:pPr>
            <w:r>
              <w:rPr>
                <w:sz w:val="16"/>
                <w:szCs w:val="16"/>
              </w:rPr>
              <w:t>Expensed</w:t>
            </w:r>
          </w:p>
        </w:tc>
        <w:tc>
          <w:tcPr>
            <w:tcW w:w="1134" w:type="dxa"/>
            <w:tcMar>
              <w:right w:w="142" w:type="dxa"/>
            </w:tcMar>
          </w:tcPr>
          <w:p w14:paraId="70689777" w14:textId="40C46A2E" w:rsidR="00FF7BCF" w:rsidRPr="00D96BEC" w:rsidRDefault="00FF7BCF" w:rsidP="00CA0BF8">
            <w:pPr>
              <w:spacing w:before="60" w:after="60"/>
              <w:jc w:val="right"/>
              <w:rPr>
                <w:sz w:val="16"/>
                <w:szCs w:val="16"/>
              </w:rPr>
            </w:pPr>
            <w:r>
              <w:rPr>
                <w:sz w:val="16"/>
                <w:szCs w:val="16"/>
              </w:rPr>
              <w:t>Expensed</w:t>
            </w:r>
          </w:p>
        </w:tc>
        <w:tc>
          <w:tcPr>
            <w:tcW w:w="1134" w:type="dxa"/>
            <w:tcMar>
              <w:right w:w="142" w:type="dxa"/>
            </w:tcMar>
          </w:tcPr>
          <w:p w14:paraId="63600B90" w14:textId="5A0A6D42" w:rsidR="00FF7BCF" w:rsidRPr="00D96BEC" w:rsidRDefault="00FF7BCF" w:rsidP="00CA0BF8">
            <w:pPr>
              <w:spacing w:before="60" w:after="60"/>
              <w:jc w:val="right"/>
              <w:rPr>
                <w:sz w:val="16"/>
                <w:szCs w:val="16"/>
              </w:rPr>
            </w:pPr>
            <w:r>
              <w:rPr>
                <w:sz w:val="16"/>
                <w:szCs w:val="16"/>
              </w:rPr>
              <w:t>Expensed</w:t>
            </w:r>
          </w:p>
        </w:tc>
      </w:tr>
      <w:tr w:rsidR="00D82914" w:rsidRPr="001331D1" w14:paraId="47E9E30A" w14:textId="76A87970" w:rsidTr="00E237BD">
        <w:tc>
          <w:tcPr>
            <w:tcW w:w="2268" w:type="dxa"/>
            <w:shd w:val="clear" w:color="auto" w:fill="auto"/>
            <w:vAlign w:val="bottom"/>
          </w:tcPr>
          <w:p w14:paraId="2874C782" w14:textId="77777777" w:rsidR="00D82914" w:rsidRPr="00D96BEC" w:rsidRDefault="00D82914" w:rsidP="00D82914">
            <w:pPr>
              <w:spacing w:before="60" w:after="60"/>
              <w:jc w:val="left"/>
              <w:rPr>
                <w:rStyle w:val="Strong"/>
                <w:sz w:val="16"/>
                <w:szCs w:val="16"/>
              </w:rPr>
            </w:pPr>
            <w:r>
              <w:rPr>
                <w:rStyle w:val="Strong"/>
                <w:sz w:val="16"/>
                <w:szCs w:val="16"/>
              </w:rPr>
              <w:t>Land improvements</w:t>
            </w:r>
          </w:p>
        </w:tc>
        <w:tc>
          <w:tcPr>
            <w:tcW w:w="1134" w:type="dxa"/>
            <w:tcMar>
              <w:right w:w="142" w:type="dxa"/>
            </w:tcMar>
          </w:tcPr>
          <w:p w14:paraId="231690EF" w14:textId="3024C6D2" w:rsidR="00D82914" w:rsidRPr="00D96BEC" w:rsidRDefault="00D82914" w:rsidP="00CA0BF8">
            <w:pPr>
              <w:spacing w:before="60" w:after="60"/>
              <w:jc w:val="right"/>
              <w:rPr>
                <w:sz w:val="16"/>
                <w:szCs w:val="16"/>
              </w:rPr>
            </w:pPr>
            <w:r>
              <w:rPr>
                <w:sz w:val="16"/>
                <w:szCs w:val="16"/>
              </w:rPr>
              <w:t>5.60</w:t>
            </w:r>
            <w:r w:rsidRPr="00CD3B98">
              <w:rPr>
                <w:sz w:val="16"/>
                <w:szCs w:val="16"/>
              </w:rPr>
              <w:t>%</w:t>
            </w:r>
          </w:p>
        </w:tc>
        <w:tc>
          <w:tcPr>
            <w:tcW w:w="1134" w:type="dxa"/>
            <w:tcMar>
              <w:right w:w="142" w:type="dxa"/>
            </w:tcMar>
          </w:tcPr>
          <w:p w14:paraId="33C2D7F9" w14:textId="24B58C1D" w:rsidR="00D82914" w:rsidRPr="00D96BEC" w:rsidRDefault="00D82914" w:rsidP="00CA0BF8">
            <w:pPr>
              <w:spacing w:before="60" w:after="60"/>
              <w:jc w:val="right"/>
              <w:rPr>
                <w:sz w:val="16"/>
                <w:szCs w:val="16"/>
              </w:rPr>
            </w:pPr>
            <w:r>
              <w:rPr>
                <w:sz w:val="16"/>
                <w:szCs w:val="16"/>
              </w:rPr>
              <w:t>5.80</w:t>
            </w:r>
            <w:r w:rsidRPr="00CD3B98">
              <w:rPr>
                <w:sz w:val="16"/>
                <w:szCs w:val="16"/>
              </w:rPr>
              <w:t>%</w:t>
            </w:r>
          </w:p>
        </w:tc>
        <w:tc>
          <w:tcPr>
            <w:tcW w:w="1134" w:type="dxa"/>
            <w:tcMar>
              <w:right w:w="142" w:type="dxa"/>
            </w:tcMar>
          </w:tcPr>
          <w:p w14:paraId="54E4394E" w14:textId="5DE0272D" w:rsidR="00D82914" w:rsidRPr="00D96BEC" w:rsidRDefault="00D82914" w:rsidP="00CA0BF8">
            <w:pPr>
              <w:spacing w:before="60" w:after="60"/>
              <w:jc w:val="right"/>
              <w:rPr>
                <w:sz w:val="16"/>
                <w:szCs w:val="16"/>
              </w:rPr>
            </w:pPr>
            <w:r>
              <w:rPr>
                <w:sz w:val="16"/>
                <w:szCs w:val="16"/>
              </w:rPr>
              <w:t>5.80</w:t>
            </w:r>
            <w:r w:rsidRPr="00CD3B98">
              <w:rPr>
                <w:sz w:val="16"/>
                <w:szCs w:val="16"/>
              </w:rPr>
              <w:t>%</w:t>
            </w:r>
          </w:p>
        </w:tc>
        <w:tc>
          <w:tcPr>
            <w:tcW w:w="1134" w:type="dxa"/>
            <w:tcMar>
              <w:right w:w="142" w:type="dxa"/>
            </w:tcMar>
          </w:tcPr>
          <w:p w14:paraId="52775AF9" w14:textId="1CC39869" w:rsidR="00D82914" w:rsidRPr="00D96BEC" w:rsidRDefault="00D82914" w:rsidP="00CA0BF8">
            <w:pPr>
              <w:spacing w:before="60" w:after="60"/>
              <w:jc w:val="right"/>
              <w:rPr>
                <w:sz w:val="16"/>
                <w:szCs w:val="16"/>
              </w:rPr>
            </w:pPr>
            <w:r>
              <w:rPr>
                <w:sz w:val="16"/>
                <w:szCs w:val="16"/>
              </w:rPr>
              <w:t>5.80</w:t>
            </w:r>
            <w:r w:rsidRPr="00CD3B98">
              <w:rPr>
                <w:sz w:val="16"/>
                <w:szCs w:val="16"/>
              </w:rPr>
              <w:t>%</w:t>
            </w:r>
          </w:p>
        </w:tc>
        <w:tc>
          <w:tcPr>
            <w:tcW w:w="1134" w:type="dxa"/>
            <w:tcMar>
              <w:right w:w="142" w:type="dxa"/>
            </w:tcMar>
          </w:tcPr>
          <w:p w14:paraId="3847ADA2" w14:textId="2829836A" w:rsidR="00D82914" w:rsidRPr="00D96BEC" w:rsidRDefault="00D82914" w:rsidP="00CA0BF8">
            <w:pPr>
              <w:spacing w:before="60" w:after="60"/>
              <w:jc w:val="right"/>
              <w:rPr>
                <w:sz w:val="16"/>
                <w:szCs w:val="16"/>
              </w:rPr>
            </w:pPr>
            <w:r>
              <w:rPr>
                <w:sz w:val="16"/>
                <w:szCs w:val="16"/>
              </w:rPr>
              <w:t>5.80</w:t>
            </w:r>
            <w:r w:rsidRPr="00CD3B98">
              <w:rPr>
                <w:sz w:val="16"/>
                <w:szCs w:val="16"/>
              </w:rPr>
              <w:t>%</w:t>
            </w:r>
          </w:p>
        </w:tc>
      </w:tr>
      <w:tr w:rsidR="00D82914" w:rsidRPr="001331D1" w14:paraId="00BB29C7" w14:textId="30DCE1B7" w:rsidTr="00E237BD">
        <w:tc>
          <w:tcPr>
            <w:tcW w:w="2268" w:type="dxa"/>
            <w:shd w:val="clear" w:color="auto" w:fill="auto"/>
            <w:vAlign w:val="bottom"/>
          </w:tcPr>
          <w:p w14:paraId="72B7D5A4" w14:textId="77777777" w:rsidR="00D82914" w:rsidRPr="00D96BEC" w:rsidRDefault="00D82914" w:rsidP="00D82914">
            <w:pPr>
              <w:spacing w:before="60" w:after="60"/>
              <w:jc w:val="left"/>
              <w:rPr>
                <w:rStyle w:val="Strong"/>
                <w:sz w:val="16"/>
                <w:szCs w:val="16"/>
              </w:rPr>
            </w:pPr>
            <w:r>
              <w:rPr>
                <w:rStyle w:val="Strong"/>
                <w:sz w:val="16"/>
                <w:szCs w:val="16"/>
              </w:rPr>
              <w:t>Non-residential buildings</w:t>
            </w:r>
          </w:p>
        </w:tc>
        <w:tc>
          <w:tcPr>
            <w:tcW w:w="1134" w:type="dxa"/>
            <w:tcMar>
              <w:right w:w="142" w:type="dxa"/>
            </w:tcMar>
          </w:tcPr>
          <w:p w14:paraId="118BDAB5" w14:textId="0064242B" w:rsidR="00D82914" w:rsidRPr="00D96BEC" w:rsidRDefault="00D82914" w:rsidP="00CA0BF8">
            <w:pPr>
              <w:spacing w:before="60" w:after="60"/>
              <w:jc w:val="right"/>
              <w:rPr>
                <w:sz w:val="16"/>
                <w:szCs w:val="16"/>
              </w:rPr>
            </w:pPr>
            <w:r>
              <w:rPr>
                <w:sz w:val="16"/>
                <w:szCs w:val="16"/>
              </w:rPr>
              <w:t>4.00</w:t>
            </w:r>
            <w:r w:rsidRPr="00CD3B98">
              <w:rPr>
                <w:sz w:val="16"/>
                <w:szCs w:val="16"/>
              </w:rPr>
              <w:t>%</w:t>
            </w:r>
          </w:p>
        </w:tc>
        <w:tc>
          <w:tcPr>
            <w:tcW w:w="1134" w:type="dxa"/>
            <w:tcMar>
              <w:right w:w="142" w:type="dxa"/>
            </w:tcMar>
          </w:tcPr>
          <w:p w14:paraId="3D521B69" w14:textId="589229C4" w:rsidR="00D82914" w:rsidRPr="00D96BEC" w:rsidRDefault="00D82914" w:rsidP="00CA0BF8">
            <w:pPr>
              <w:spacing w:before="60" w:after="60"/>
              <w:jc w:val="right"/>
              <w:rPr>
                <w:sz w:val="16"/>
                <w:szCs w:val="16"/>
              </w:rPr>
            </w:pPr>
            <w:r>
              <w:rPr>
                <w:sz w:val="16"/>
                <w:szCs w:val="16"/>
              </w:rPr>
              <w:t>3.00</w:t>
            </w:r>
            <w:r w:rsidRPr="00CD3B98">
              <w:rPr>
                <w:sz w:val="16"/>
                <w:szCs w:val="16"/>
              </w:rPr>
              <w:t>%</w:t>
            </w:r>
          </w:p>
        </w:tc>
        <w:tc>
          <w:tcPr>
            <w:tcW w:w="1134" w:type="dxa"/>
            <w:tcMar>
              <w:right w:w="142" w:type="dxa"/>
            </w:tcMar>
          </w:tcPr>
          <w:p w14:paraId="11F253D4" w14:textId="1B10C2D7" w:rsidR="00D82914" w:rsidRPr="00D96BEC" w:rsidRDefault="00D82914" w:rsidP="00CA0BF8">
            <w:pPr>
              <w:spacing w:before="60" w:after="60"/>
              <w:jc w:val="right"/>
              <w:rPr>
                <w:sz w:val="16"/>
                <w:szCs w:val="16"/>
              </w:rPr>
            </w:pPr>
            <w:r>
              <w:rPr>
                <w:sz w:val="16"/>
                <w:szCs w:val="16"/>
              </w:rPr>
              <w:t>3.00</w:t>
            </w:r>
            <w:r w:rsidRPr="00CD3B98">
              <w:rPr>
                <w:sz w:val="16"/>
                <w:szCs w:val="16"/>
              </w:rPr>
              <w:t>%</w:t>
            </w:r>
          </w:p>
        </w:tc>
        <w:tc>
          <w:tcPr>
            <w:tcW w:w="1134" w:type="dxa"/>
            <w:tcMar>
              <w:right w:w="142" w:type="dxa"/>
            </w:tcMar>
          </w:tcPr>
          <w:p w14:paraId="1886A6D6" w14:textId="759F9BF3" w:rsidR="00D82914" w:rsidRPr="00D96BEC" w:rsidRDefault="00D82914" w:rsidP="00CA0BF8">
            <w:pPr>
              <w:spacing w:before="60" w:after="60"/>
              <w:jc w:val="right"/>
              <w:rPr>
                <w:sz w:val="16"/>
                <w:szCs w:val="16"/>
              </w:rPr>
            </w:pPr>
            <w:r>
              <w:rPr>
                <w:sz w:val="16"/>
                <w:szCs w:val="16"/>
              </w:rPr>
              <w:t>0.00</w:t>
            </w:r>
            <w:r w:rsidRPr="00CD3B98">
              <w:rPr>
                <w:sz w:val="16"/>
                <w:szCs w:val="16"/>
              </w:rPr>
              <w:t>%</w:t>
            </w:r>
          </w:p>
        </w:tc>
        <w:tc>
          <w:tcPr>
            <w:tcW w:w="1134" w:type="dxa"/>
            <w:tcMar>
              <w:right w:w="142" w:type="dxa"/>
            </w:tcMar>
          </w:tcPr>
          <w:p w14:paraId="24CBF65C" w14:textId="3393DEF1" w:rsidR="00D82914" w:rsidRPr="00D96BEC" w:rsidRDefault="00D82914" w:rsidP="00CA0BF8">
            <w:pPr>
              <w:spacing w:before="60" w:after="60"/>
              <w:jc w:val="right"/>
              <w:rPr>
                <w:sz w:val="16"/>
                <w:szCs w:val="16"/>
              </w:rPr>
            </w:pPr>
            <w:r>
              <w:rPr>
                <w:sz w:val="16"/>
                <w:szCs w:val="16"/>
              </w:rPr>
              <w:t>2.00</w:t>
            </w:r>
            <w:r w:rsidRPr="00CD3B98">
              <w:rPr>
                <w:sz w:val="16"/>
                <w:szCs w:val="16"/>
              </w:rPr>
              <w:t>%</w:t>
            </w:r>
          </w:p>
        </w:tc>
      </w:tr>
      <w:tr w:rsidR="00D82914" w:rsidRPr="001331D1" w14:paraId="4B73FE65" w14:textId="3FB6E8D6" w:rsidTr="00E237BD">
        <w:tc>
          <w:tcPr>
            <w:tcW w:w="2268" w:type="dxa"/>
            <w:shd w:val="clear" w:color="auto" w:fill="auto"/>
            <w:vAlign w:val="bottom"/>
          </w:tcPr>
          <w:p w14:paraId="273E5617" w14:textId="77777777" w:rsidR="00D82914" w:rsidRDefault="00D82914" w:rsidP="00D82914">
            <w:pPr>
              <w:spacing w:before="60" w:after="60"/>
              <w:jc w:val="left"/>
              <w:rPr>
                <w:rStyle w:val="Strong"/>
                <w:sz w:val="16"/>
                <w:szCs w:val="16"/>
              </w:rPr>
            </w:pPr>
            <w:r>
              <w:rPr>
                <w:rStyle w:val="Strong"/>
                <w:sz w:val="16"/>
                <w:szCs w:val="16"/>
              </w:rPr>
              <w:t>Other construction</w:t>
            </w:r>
          </w:p>
        </w:tc>
        <w:tc>
          <w:tcPr>
            <w:tcW w:w="1134" w:type="dxa"/>
            <w:tcMar>
              <w:right w:w="142" w:type="dxa"/>
            </w:tcMar>
          </w:tcPr>
          <w:p w14:paraId="1D797CF0" w14:textId="4CE9E008" w:rsidR="00D82914" w:rsidRPr="00D96BEC" w:rsidRDefault="00D82914" w:rsidP="00CA0BF8">
            <w:pPr>
              <w:spacing w:before="60" w:after="60"/>
              <w:jc w:val="right"/>
              <w:rPr>
                <w:sz w:val="16"/>
                <w:szCs w:val="16"/>
              </w:rPr>
            </w:pPr>
            <w:r>
              <w:rPr>
                <w:sz w:val="16"/>
                <w:szCs w:val="16"/>
              </w:rPr>
              <w:t>4.00</w:t>
            </w:r>
            <w:r w:rsidRPr="00CD3B98">
              <w:rPr>
                <w:sz w:val="16"/>
                <w:szCs w:val="16"/>
              </w:rPr>
              <w:t>%</w:t>
            </w:r>
          </w:p>
        </w:tc>
        <w:tc>
          <w:tcPr>
            <w:tcW w:w="1134" w:type="dxa"/>
            <w:tcMar>
              <w:right w:w="142" w:type="dxa"/>
            </w:tcMar>
          </w:tcPr>
          <w:p w14:paraId="58BAB43A" w14:textId="3618E787" w:rsidR="00D82914" w:rsidRPr="00D96BEC" w:rsidRDefault="00D82914" w:rsidP="00CA0BF8">
            <w:pPr>
              <w:spacing w:before="60" w:after="60"/>
              <w:jc w:val="right"/>
              <w:rPr>
                <w:sz w:val="16"/>
                <w:szCs w:val="16"/>
              </w:rPr>
            </w:pPr>
            <w:r>
              <w:rPr>
                <w:sz w:val="16"/>
                <w:szCs w:val="16"/>
              </w:rPr>
              <w:t>4.00</w:t>
            </w:r>
            <w:r w:rsidRPr="00CD3B98">
              <w:rPr>
                <w:sz w:val="16"/>
                <w:szCs w:val="16"/>
              </w:rPr>
              <w:t>%</w:t>
            </w:r>
          </w:p>
        </w:tc>
        <w:tc>
          <w:tcPr>
            <w:tcW w:w="1134" w:type="dxa"/>
            <w:tcMar>
              <w:right w:w="142" w:type="dxa"/>
            </w:tcMar>
          </w:tcPr>
          <w:p w14:paraId="0DA0FDA3" w14:textId="4BF108D0" w:rsidR="00D82914" w:rsidRPr="00D96BEC" w:rsidRDefault="00D82914" w:rsidP="00CA0BF8">
            <w:pPr>
              <w:spacing w:before="60" w:after="60"/>
              <w:jc w:val="right"/>
              <w:rPr>
                <w:sz w:val="16"/>
                <w:szCs w:val="16"/>
              </w:rPr>
            </w:pPr>
            <w:r>
              <w:rPr>
                <w:sz w:val="16"/>
                <w:szCs w:val="16"/>
              </w:rPr>
              <w:t>3.30</w:t>
            </w:r>
            <w:r w:rsidRPr="00CD3B98">
              <w:rPr>
                <w:sz w:val="16"/>
                <w:szCs w:val="16"/>
              </w:rPr>
              <w:t>%</w:t>
            </w:r>
          </w:p>
        </w:tc>
        <w:tc>
          <w:tcPr>
            <w:tcW w:w="1134" w:type="dxa"/>
            <w:tcMar>
              <w:right w:w="142" w:type="dxa"/>
            </w:tcMar>
          </w:tcPr>
          <w:p w14:paraId="742F08DD" w14:textId="438969CA" w:rsidR="00D82914" w:rsidRPr="00D96BEC" w:rsidRDefault="00D82914" w:rsidP="00CA0BF8">
            <w:pPr>
              <w:spacing w:before="60" w:after="60"/>
              <w:jc w:val="right"/>
              <w:rPr>
                <w:sz w:val="16"/>
                <w:szCs w:val="16"/>
              </w:rPr>
            </w:pPr>
            <w:r>
              <w:rPr>
                <w:sz w:val="16"/>
                <w:szCs w:val="16"/>
              </w:rPr>
              <w:t>3.30</w:t>
            </w:r>
            <w:r w:rsidRPr="00CD3B98">
              <w:rPr>
                <w:sz w:val="16"/>
                <w:szCs w:val="16"/>
              </w:rPr>
              <w:t>%</w:t>
            </w:r>
          </w:p>
        </w:tc>
        <w:tc>
          <w:tcPr>
            <w:tcW w:w="1134" w:type="dxa"/>
            <w:tcMar>
              <w:right w:w="142" w:type="dxa"/>
            </w:tcMar>
          </w:tcPr>
          <w:p w14:paraId="670F232B" w14:textId="694FDA77" w:rsidR="00D82914" w:rsidRPr="00D96BEC" w:rsidRDefault="00D82914" w:rsidP="00CA0BF8">
            <w:pPr>
              <w:spacing w:before="60" w:after="60"/>
              <w:jc w:val="right"/>
              <w:rPr>
                <w:sz w:val="16"/>
                <w:szCs w:val="16"/>
              </w:rPr>
            </w:pPr>
            <w:r>
              <w:rPr>
                <w:sz w:val="16"/>
                <w:szCs w:val="16"/>
              </w:rPr>
              <w:t>3.30</w:t>
            </w:r>
            <w:r w:rsidRPr="00CD3B98">
              <w:rPr>
                <w:sz w:val="16"/>
                <w:szCs w:val="16"/>
              </w:rPr>
              <w:t>%</w:t>
            </w:r>
          </w:p>
        </w:tc>
      </w:tr>
      <w:tr w:rsidR="00D82914" w:rsidRPr="001331D1" w14:paraId="1449D692" w14:textId="4AC5291F" w:rsidTr="00E237BD">
        <w:tc>
          <w:tcPr>
            <w:tcW w:w="2268" w:type="dxa"/>
            <w:shd w:val="clear" w:color="auto" w:fill="auto"/>
            <w:vAlign w:val="bottom"/>
          </w:tcPr>
          <w:p w14:paraId="3BF34920" w14:textId="77777777" w:rsidR="00D82914" w:rsidRDefault="00D82914" w:rsidP="00D82914">
            <w:pPr>
              <w:spacing w:before="60" w:after="60"/>
              <w:jc w:val="left"/>
              <w:rPr>
                <w:rStyle w:val="Strong"/>
                <w:sz w:val="16"/>
                <w:szCs w:val="16"/>
              </w:rPr>
            </w:pPr>
            <w:r>
              <w:rPr>
                <w:rStyle w:val="Strong"/>
                <w:sz w:val="16"/>
                <w:szCs w:val="16"/>
              </w:rPr>
              <w:t xml:space="preserve">Plant, </w:t>
            </w:r>
            <w:proofErr w:type="gramStart"/>
            <w:r>
              <w:rPr>
                <w:rStyle w:val="Strong"/>
                <w:sz w:val="16"/>
                <w:szCs w:val="16"/>
              </w:rPr>
              <w:t>machinery</w:t>
            </w:r>
            <w:proofErr w:type="gramEnd"/>
            <w:r>
              <w:rPr>
                <w:rStyle w:val="Strong"/>
                <w:sz w:val="16"/>
                <w:szCs w:val="16"/>
              </w:rPr>
              <w:t xml:space="preserve"> and equipment</w:t>
            </w:r>
          </w:p>
        </w:tc>
        <w:tc>
          <w:tcPr>
            <w:tcW w:w="1134" w:type="dxa"/>
            <w:tcMar>
              <w:right w:w="142" w:type="dxa"/>
            </w:tcMar>
          </w:tcPr>
          <w:p w14:paraId="7F4921B2" w14:textId="198D2B45" w:rsidR="00D82914" w:rsidRPr="00D96BEC" w:rsidRDefault="00D82914" w:rsidP="00CA0BF8">
            <w:pPr>
              <w:spacing w:before="60" w:after="60"/>
              <w:jc w:val="right"/>
              <w:rPr>
                <w:sz w:val="16"/>
                <w:szCs w:val="16"/>
              </w:rPr>
            </w:pPr>
            <w:r>
              <w:rPr>
                <w:sz w:val="16"/>
                <w:szCs w:val="16"/>
              </w:rPr>
              <w:t>18.60</w:t>
            </w:r>
            <w:r w:rsidRPr="00CD3B98">
              <w:rPr>
                <w:sz w:val="16"/>
                <w:szCs w:val="16"/>
              </w:rPr>
              <w:t>%</w:t>
            </w:r>
          </w:p>
        </w:tc>
        <w:tc>
          <w:tcPr>
            <w:tcW w:w="1134" w:type="dxa"/>
            <w:tcMar>
              <w:right w:w="142" w:type="dxa"/>
            </w:tcMar>
          </w:tcPr>
          <w:p w14:paraId="339E9809" w14:textId="045C0DDE" w:rsidR="00D82914" w:rsidRPr="00D96BEC" w:rsidRDefault="00D82914" w:rsidP="00CA0BF8">
            <w:pPr>
              <w:spacing w:before="60" w:after="60"/>
              <w:jc w:val="right"/>
              <w:rPr>
                <w:sz w:val="16"/>
                <w:szCs w:val="16"/>
              </w:rPr>
            </w:pPr>
            <w:r>
              <w:rPr>
                <w:sz w:val="16"/>
                <w:szCs w:val="16"/>
              </w:rPr>
              <w:t>20.20</w:t>
            </w:r>
            <w:r w:rsidRPr="00CD3B98">
              <w:rPr>
                <w:sz w:val="16"/>
                <w:szCs w:val="16"/>
              </w:rPr>
              <w:t>%</w:t>
            </w:r>
          </w:p>
        </w:tc>
        <w:tc>
          <w:tcPr>
            <w:tcW w:w="1134" w:type="dxa"/>
            <w:tcMar>
              <w:right w:w="142" w:type="dxa"/>
            </w:tcMar>
          </w:tcPr>
          <w:p w14:paraId="663B5A2C" w14:textId="0E685F23" w:rsidR="00D82914" w:rsidRPr="00D96BEC" w:rsidRDefault="00D82914" w:rsidP="00CA0BF8">
            <w:pPr>
              <w:spacing w:before="60" w:after="60"/>
              <w:jc w:val="right"/>
              <w:rPr>
                <w:sz w:val="16"/>
                <w:szCs w:val="16"/>
              </w:rPr>
            </w:pPr>
            <w:r>
              <w:rPr>
                <w:sz w:val="16"/>
                <w:szCs w:val="16"/>
              </w:rPr>
              <w:t>16.80</w:t>
            </w:r>
            <w:r w:rsidRPr="00CD3B98">
              <w:rPr>
                <w:sz w:val="16"/>
                <w:szCs w:val="16"/>
              </w:rPr>
              <w:t>%</w:t>
            </w:r>
          </w:p>
        </w:tc>
        <w:tc>
          <w:tcPr>
            <w:tcW w:w="1134" w:type="dxa"/>
            <w:tcMar>
              <w:right w:w="142" w:type="dxa"/>
            </w:tcMar>
          </w:tcPr>
          <w:p w14:paraId="0DFF4013" w14:textId="33FD76FB" w:rsidR="00D82914" w:rsidRPr="00D96BEC" w:rsidRDefault="00D82914" w:rsidP="00CA0BF8">
            <w:pPr>
              <w:spacing w:before="60" w:after="60"/>
              <w:jc w:val="right"/>
              <w:rPr>
                <w:sz w:val="16"/>
                <w:szCs w:val="16"/>
              </w:rPr>
            </w:pPr>
            <w:r>
              <w:rPr>
                <w:sz w:val="16"/>
                <w:szCs w:val="16"/>
              </w:rPr>
              <w:t>16.80</w:t>
            </w:r>
            <w:r w:rsidRPr="00CD3B98">
              <w:rPr>
                <w:sz w:val="16"/>
                <w:szCs w:val="16"/>
              </w:rPr>
              <w:t>%</w:t>
            </w:r>
          </w:p>
        </w:tc>
        <w:tc>
          <w:tcPr>
            <w:tcW w:w="1134" w:type="dxa"/>
            <w:tcMar>
              <w:right w:w="142" w:type="dxa"/>
            </w:tcMar>
          </w:tcPr>
          <w:p w14:paraId="08C777D0" w14:textId="3BFBB390" w:rsidR="00D82914" w:rsidRPr="00D96BEC" w:rsidRDefault="00D82914" w:rsidP="00CA0BF8">
            <w:pPr>
              <w:spacing w:before="60" w:after="60"/>
              <w:jc w:val="right"/>
              <w:rPr>
                <w:sz w:val="16"/>
                <w:szCs w:val="16"/>
              </w:rPr>
            </w:pPr>
            <w:r>
              <w:rPr>
                <w:sz w:val="16"/>
                <w:szCs w:val="16"/>
              </w:rPr>
              <w:t>16.80</w:t>
            </w:r>
            <w:r w:rsidRPr="00CD3B98">
              <w:rPr>
                <w:sz w:val="16"/>
                <w:szCs w:val="16"/>
              </w:rPr>
              <w:t>%</w:t>
            </w:r>
          </w:p>
        </w:tc>
      </w:tr>
      <w:tr w:rsidR="00D82914" w:rsidRPr="001331D1" w14:paraId="7DCE32EC" w14:textId="674C091A" w:rsidTr="00E237BD">
        <w:tc>
          <w:tcPr>
            <w:tcW w:w="2268" w:type="dxa"/>
            <w:shd w:val="clear" w:color="auto" w:fill="auto"/>
            <w:vAlign w:val="bottom"/>
          </w:tcPr>
          <w:p w14:paraId="6FB96552" w14:textId="77777777" w:rsidR="00D82914" w:rsidRDefault="00D82914" w:rsidP="00D82914">
            <w:pPr>
              <w:spacing w:before="60" w:after="60"/>
              <w:jc w:val="left"/>
              <w:rPr>
                <w:rStyle w:val="Strong"/>
                <w:sz w:val="16"/>
                <w:szCs w:val="16"/>
              </w:rPr>
            </w:pPr>
            <w:r>
              <w:rPr>
                <w:rStyle w:val="Strong"/>
                <w:sz w:val="16"/>
                <w:szCs w:val="16"/>
              </w:rPr>
              <w:t>Residential buildings</w:t>
            </w:r>
          </w:p>
        </w:tc>
        <w:tc>
          <w:tcPr>
            <w:tcW w:w="1134" w:type="dxa"/>
            <w:tcMar>
              <w:right w:w="142" w:type="dxa"/>
            </w:tcMar>
          </w:tcPr>
          <w:p w14:paraId="3670E32A" w14:textId="2B10F936" w:rsidR="00D82914" w:rsidRPr="00D96BEC" w:rsidRDefault="00D82914" w:rsidP="00CA0BF8">
            <w:pPr>
              <w:spacing w:before="60" w:after="60"/>
              <w:jc w:val="right"/>
              <w:rPr>
                <w:sz w:val="16"/>
                <w:szCs w:val="16"/>
              </w:rPr>
            </w:pPr>
            <w:r>
              <w:rPr>
                <w:sz w:val="16"/>
                <w:szCs w:val="16"/>
              </w:rPr>
              <w:t>4.00</w:t>
            </w:r>
            <w:r w:rsidRPr="00CD3B98">
              <w:rPr>
                <w:sz w:val="16"/>
                <w:szCs w:val="16"/>
              </w:rPr>
              <w:t>%</w:t>
            </w:r>
          </w:p>
        </w:tc>
        <w:tc>
          <w:tcPr>
            <w:tcW w:w="1134" w:type="dxa"/>
            <w:tcMar>
              <w:right w:w="142" w:type="dxa"/>
            </w:tcMar>
          </w:tcPr>
          <w:p w14:paraId="23C79D26" w14:textId="2B0702D7" w:rsidR="00D82914" w:rsidRPr="00D96BEC" w:rsidRDefault="00D82914" w:rsidP="00CA0BF8">
            <w:pPr>
              <w:spacing w:before="60" w:after="60"/>
              <w:jc w:val="right"/>
              <w:rPr>
                <w:sz w:val="16"/>
                <w:szCs w:val="16"/>
              </w:rPr>
            </w:pPr>
            <w:r>
              <w:rPr>
                <w:sz w:val="16"/>
                <w:szCs w:val="16"/>
              </w:rPr>
              <w:t>3.00</w:t>
            </w:r>
            <w:r w:rsidRPr="00CD3B98">
              <w:rPr>
                <w:sz w:val="16"/>
                <w:szCs w:val="16"/>
              </w:rPr>
              <w:t>%</w:t>
            </w:r>
          </w:p>
        </w:tc>
        <w:tc>
          <w:tcPr>
            <w:tcW w:w="1134" w:type="dxa"/>
            <w:tcMar>
              <w:right w:w="142" w:type="dxa"/>
            </w:tcMar>
          </w:tcPr>
          <w:p w14:paraId="3BE47AF2" w14:textId="0F059F0E" w:rsidR="00D82914" w:rsidRPr="00D96BEC" w:rsidRDefault="00D82914" w:rsidP="00CA0BF8">
            <w:pPr>
              <w:spacing w:before="60" w:after="60"/>
              <w:jc w:val="right"/>
              <w:rPr>
                <w:sz w:val="16"/>
                <w:szCs w:val="16"/>
              </w:rPr>
            </w:pPr>
            <w:r>
              <w:rPr>
                <w:sz w:val="16"/>
                <w:szCs w:val="16"/>
              </w:rPr>
              <w:t>3.00</w:t>
            </w:r>
            <w:r w:rsidRPr="00CD3B98">
              <w:rPr>
                <w:sz w:val="16"/>
                <w:szCs w:val="16"/>
              </w:rPr>
              <w:t>%</w:t>
            </w:r>
          </w:p>
        </w:tc>
        <w:tc>
          <w:tcPr>
            <w:tcW w:w="1134" w:type="dxa"/>
            <w:tcMar>
              <w:right w:w="142" w:type="dxa"/>
            </w:tcMar>
          </w:tcPr>
          <w:p w14:paraId="474D5BF9" w14:textId="0BADDB36" w:rsidR="00D82914" w:rsidRPr="00D96BEC" w:rsidRDefault="00D82914" w:rsidP="00CA0BF8">
            <w:pPr>
              <w:spacing w:before="60" w:after="60"/>
              <w:jc w:val="right"/>
              <w:rPr>
                <w:sz w:val="16"/>
                <w:szCs w:val="16"/>
              </w:rPr>
            </w:pPr>
            <w:r>
              <w:rPr>
                <w:sz w:val="16"/>
                <w:szCs w:val="16"/>
              </w:rPr>
              <w:t>0.00</w:t>
            </w:r>
            <w:r w:rsidRPr="00CD3B98">
              <w:rPr>
                <w:sz w:val="16"/>
                <w:szCs w:val="16"/>
              </w:rPr>
              <w:t>%</w:t>
            </w:r>
          </w:p>
        </w:tc>
        <w:tc>
          <w:tcPr>
            <w:tcW w:w="1134" w:type="dxa"/>
            <w:tcMar>
              <w:right w:w="142" w:type="dxa"/>
            </w:tcMar>
          </w:tcPr>
          <w:p w14:paraId="6B062088" w14:textId="3689D720" w:rsidR="00D82914" w:rsidRPr="00D96BEC" w:rsidRDefault="00D82914" w:rsidP="00CA0BF8">
            <w:pPr>
              <w:spacing w:before="60" w:after="60"/>
              <w:jc w:val="right"/>
              <w:rPr>
                <w:sz w:val="16"/>
                <w:szCs w:val="16"/>
              </w:rPr>
            </w:pPr>
            <w:r>
              <w:rPr>
                <w:sz w:val="16"/>
                <w:szCs w:val="16"/>
              </w:rPr>
              <w:t>0.00</w:t>
            </w:r>
            <w:r w:rsidRPr="00CD3B98">
              <w:rPr>
                <w:sz w:val="16"/>
                <w:szCs w:val="16"/>
              </w:rPr>
              <w:t>%</w:t>
            </w:r>
          </w:p>
        </w:tc>
      </w:tr>
      <w:tr w:rsidR="00FF7BCF" w:rsidRPr="001331D1" w14:paraId="00BD6B10" w14:textId="651AE56F" w:rsidTr="00E237BD">
        <w:tc>
          <w:tcPr>
            <w:tcW w:w="2268" w:type="dxa"/>
            <w:shd w:val="clear" w:color="auto" w:fill="auto"/>
            <w:vAlign w:val="bottom"/>
          </w:tcPr>
          <w:p w14:paraId="6A849546" w14:textId="77777777" w:rsidR="00FF7BCF" w:rsidRDefault="00FF7BCF" w:rsidP="00D90B48">
            <w:pPr>
              <w:spacing w:before="60" w:after="60"/>
              <w:jc w:val="left"/>
              <w:rPr>
                <w:rStyle w:val="Strong"/>
                <w:sz w:val="16"/>
                <w:szCs w:val="16"/>
              </w:rPr>
            </w:pPr>
            <w:r>
              <w:rPr>
                <w:rStyle w:val="Strong"/>
                <w:sz w:val="16"/>
                <w:szCs w:val="16"/>
              </w:rPr>
              <w:t>Research and development</w:t>
            </w:r>
          </w:p>
        </w:tc>
        <w:tc>
          <w:tcPr>
            <w:tcW w:w="1134" w:type="dxa"/>
            <w:tcMar>
              <w:right w:w="142" w:type="dxa"/>
            </w:tcMar>
          </w:tcPr>
          <w:p w14:paraId="7B5F7CE9" w14:textId="0E091B52" w:rsidR="00FF7BCF" w:rsidRPr="00D96BEC" w:rsidRDefault="00D82914" w:rsidP="00CA0BF8">
            <w:pPr>
              <w:spacing w:before="60" w:after="60"/>
              <w:jc w:val="right"/>
              <w:rPr>
                <w:sz w:val="16"/>
                <w:szCs w:val="16"/>
              </w:rPr>
            </w:pPr>
            <w:r>
              <w:rPr>
                <w:sz w:val="16"/>
                <w:szCs w:val="16"/>
              </w:rPr>
              <w:t>Expensed</w:t>
            </w:r>
          </w:p>
        </w:tc>
        <w:tc>
          <w:tcPr>
            <w:tcW w:w="1134" w:type="dxa"/>
            <w:tcMar>
              <w:right w:w="142" w:type="dxa"/>
            </w:tcMar>
          </w:tcPr>
          <w:p w14:paraId="1947F8B9" w14:textId="01B53D0D" w:rsidR="00FF7BCF" w:rsidRPr="00D96BEC" w:rsidRDefault="00D82914" w:rsidP="00CA0BF8">
            <w:pPr>
              <w:spacing w:before="60" w:after="60"/>
              <w:jc w:val="right"/>
              <w:rPr>
                <w:sz w:val="16"/>
                <w:szCs w:val="16"/>
              </w:rPr>
            </w:pPr>
            <w:r>
              <w:rPr>
                <w:sz w:val="16"/>
                <w:szCs w:val="16"/>
              </w:rPr>
              <w:t>Expensed</w:t>
            </w:r>
          </w:p>
        </w:tc>
        <w:tc>
          <w:tcPr>
            <w:tcW w:w="1134" w:type="dxa"/>
            <w:tcMar>
              <w:right w:w="142" w:type="dxa"/>
            </w:tcMar>
          </w:tcPr>
          <w:p w14:paraId="791D9144" w14:textId="0EC57189" w:rsidR="00FF7BCF" w:rsidRPr="00D96BEC" w:rsidRDefault="00D82914" w:rsidP="00CA0BF8">
            <w:pPr>
              <w:spacing w:before="60" w:after="60"/>
              <w:jc w:val="right"/>
              <w:rPr>
                <w:sz w:val="16"/>
                <w:szCs w:val="16"/>
              </w:rPr>
            </w:pPr>
            <w:r>
              <w:rPr>
                <w:sz w:val="16"/>
                <w:szCs w:val="16"/>
              </w:rPr>
              <w:t>Expensed</w:t>
            </w:r>
          </w:p>
        </w:tc>
        <w:tc>
          <w:tcPr>
            <w:tcW w:w="1134" w:type="dxa"/>
            <w:tcMar>
              <w:right w:w="142" w:type="dxa"/>
            </w:tcMar>
          </w:tcPr>
          <w:p w14:paraId="7E5AE984" w14:textId="2A3AA2FE" w:rsidR="00FF7BCF" w:rsidRPr="00D96BEC" w:rsidRDefault="00D82914" w:rsidP="00CA0BF8">
            <w:pPr>
              <w:spacing w:before="60" w:after="60"/>
              <w:jc w:val="right"/>
              <w:rPr>
                <w:sz w:val="16"/>
                <w:szCs w:val="16"/>
              </w:rPr>
            </w:pPr>
            <w:r>
              <w:rPr>
                <w:sz w:val="16"/>
                <w:szCs w:val="16"/>
              </w:rPr>
              <w:t>Expensed</w:t>
            </w:r>
          </w:p>
        </w:tc>
        <w:tc>
          <w:tcPr>
            <w:tcW w:w="1134" w:type="dxa"/>
            <w:tcMar>
              <w:right w:w="142" w:type="dxa"/>
            </w:tcMar>
          </w:tcPr>
          <w:p w14:paraId="53E0C00B" w14:textId="1B07ED98" w:rsidR="00FF7BCF" w:rsidRPr="00D96BEC" w:rsidRDefault="00D82914" w:rsidP="00CA0BF8">
            <w:pPr>
              <w:spacing w:before="60" w:after="60"/>
              <w:jc w:val="right"/>
              <w:rPr>
                <w:sz w:val="16"/>
                <w:szCs w:val="16"/>
              </w:rPr>
            </w:pPr>
            <w:r>
              <w:rPr>
                <w:sz w:val="16"/>
                <w:szCs w:val="16"/>
              </w:rPr>
              <w:t>Expensed</w:t>
            </w:r>
          </w:p>
        </w:tc>
      </w:tr>
      <w:tr w:rsidR="00D82914" w:rsidRPr="001331D1" w14:paraId="791B18D9" w14:textId="70345556" w:rsidTr="00E237BD">
        <w:tc>
          <w:tcPr>
            <w:tcW w:w="2268" w:type="dxa"/>
            <w:shd w:val="clear" w:color="auto" w:fill="auto"/>
            <w:vAlign w:val="bottom"/>
          </w:tcPr>
          <w:p w14:paraId="7DC0ECE5" w14:textId="77777777" w:rsidR="00D82914" w:rsidRDefault="00D82914" w:rsidP="00D82914">
            <w:pPr>
              <w:spacing w:before="60" w:after="60"/>
              <w:jc w:val="left"/>
              <w:rPr>
                <w:rStyle w:val="Strong"/>
                <w:sz w:val="16"/>
                <w:szCs w:val="16"/>
              </w:rPr>
            </w:pPr>
            <w:r>
              <w:rPr>
                <w:rStyle w:val="Strong"/>
                <w:sz w:val="16"/>
                <w:szCs w:val="16"/>
              </w:rPr>
              <w:t>Software</w:t>
            </w:r>
          </w:p>
        </w:tc>
        <w:tc>
          <w:tcPr>
            <w:tcW w:w="1134" w:type="dxa"/>
            <w:tcMar>
              <w:right w:w="142" w:type="dxa"/>
            </w:tcMar>
          </w:tcPr>
          <w:p w14:paraId="6D4D1436" w14:textId="1E14E801" w:rsidR="00D82914" w:rsidRPr="00D96BEC" w:rsidRDefault="00D82914" w:rsidP="00CA0BF8">
            <w:pPr>
              <w:spacing w:before="60" w:after="60"/>
              <w:jc w:val="right"/>
              <w:rPr>
                <w:sz w:val="16"/>
                <w:szCs w:val="16"/>
              </w:rPr>
            </w:pPr>
            <w:r>
              <w:rPr>
                <w:sz w:val="16"/>
                <w:szCs w:val="16"/>
              </w:rPr>
              <w:t>47.30</w:t>
            </w:r>
            <w:r w:rsidRPr="00CC73D4">
              <w:rPr>
                <w:sz w:val="16"/>
                <w:szCs w:val="16"/>
              </w:rPr>
              <w:t>%</w:t>
            </w:r>
          </w:p>
        </w:tc>
        <w:tc>
          <w:tcPr>
            <w:tcW w:w="1134" w:type="dxa"/>
            <w:tcMar>
              <w:right w:w="142" w:type="dxa"/>
            </w:tcMar>
          </w:tcPr>
          <w:p w14:paraId="410D4D22" w14:textId="171435E9" w:rsidR="00D82914" w:rsidRPr="00D96BEC" w:rsidRDefault="00D82914" w:rsidP="00CA0BF8">
            <w:pPr>
              <w:spacing w:before="60" w:after="60"/>
              <w:jc w:val="right"/>
              <w:rPr>
                <w:sz w:val="16"/>
                <w:szCs w:val="16"/>
              </w:rPr>
            </w:pPr>
            <w:r>
              <w:rPr>
                <w:sz w:val="16"/>
                <w:szCs w:val="16"/>
              </w:rPr>
              <w:t>60.00</w:t>
            </w:r>
            <w:r w:rsidRPr="00CC73D4">
              <w:rPr>
                <w:sz w:val="16"/>
                <w:szCs w:val="16"/>
              </w:rPr>
              <w:t>%</w:t>
            </w:r>
          </w:p>
        </w:tc>
        <w:tc>
          <w:tcPr>
            <w:tcW w:w="1134" w:type="dxa"/>
            <w:tcMar>
              <w:right w:w="142" w:type="dxa"/>
            </w:tcMar>
          </w:tcPr>
          <w:p w14:paraId="3654F262" w14:textId="684A5872" w:rsidR="00D82914" w:rsidRPr="00D96BEC" w:rsidRDefault="00D82914" w:rsidP="00CA0BF8">
            <w:pPr>
              <w:spacing w:before="60" w:after="60"/>
              <w:jc w:val="right"/>
              <w:rPr>
                <w:sz w:val="16"/>
                <w:szCs w:val="16"/>
              </w:rPr>
            </w:pPr>
            <w:r>
              <w:rPr>
                <w:sz w:val="16"/>
                <w:szCs w:val="16"/>
              </w:rPr>
              <w:t>50.00</w:t>
            </w:r>
            <w:r w:rsidRPr="00CC73D4">
              <w:rPr>
                <w:sz w:val="16"/>
                <w:szCs w:val="16"/>
              </w:rPr>
              <w:t>%</w:t>
            </w:r>
          </w:p>
        </w:tc>
        <w:tc>
          <w:tcPr>
            <w:tcW w:w="1134" w:type="dxa"/>
            <w:tcMar>
              <w:right w:w="142" w:type="dxa"/>
            </w:tcMar>
          </w:tcPr>
          <w:p w14:paraId="73E37C0E" w14:textId="7D54CB6E" w:rsidR="00D82914" w:rsidRPr="00D96BEC" w:rsidRDefault="00D82914" w:rsidP="00CA0BF8">
            <w:pPr>
              <w:spacing w:before="60" w:after="60"/>
              <w:jc w:val="right"/>
              <w:rPr>
                <w:sz w:val="16"/>
                <w:szCs w:val="16"/>
              </w:rPr>
            </w:pPr>
            <w:r>
              <w:rPr>
                <w:sz w:val="16"/>
                <w:szCs w:val="16"/>
              </w:rPr>
              <w:t>50.00</w:t>
            </w:r>
            <w:r w:rsidRPr="00CC73D4">
              <w:rPr>
                <w:sz w:val="16"/>
                <w:szCs w:val="16"/>
              </w:rPr>
              <w:t>%</w:t>
            </w:r>
          </w:p>
        </w:tc>
        <w:tc>
          <w:tcPr>
            <w:tcW w:w="1134" w:type="dxa"/>
            <w:tcMar>
              <w:right w:w="142" w:type="dxa"/>
            </w:tcMar>
          </w:tcPr>
          <w:p w14:paraId="22BAC14D" w14:textId="7837AA4A" w:rsidR="00D82914" w:rsidRPr="00D96BEC" w:rsidRDefault="00D82914" w:rsidP="00CA0BF8">
            <w:pPr>
              <w:spacing w:before="60" w:after="60"/>
              <w:jc w:val="right"/>
              <w:rPr>
                <w:sz w:val="16"/>
                <w:szCs w:val="16"/>
              </w:rPr>
            </w:pPr>
            <w:r>
              <w:rPr>
                <w:sz w:val="16"/>
                <w:szCs w:val="16"/>
              </w:rPr>
              <w:t>50.00</w:t>
            </w:r>
            <w:r w:rsidRPr="00CC73D4">
              <w:rPr>
                <w:sz w:val="16"/>
                <w:szCs w:val="16"/>
              </w:rPr>
              <w:t>%</w:t>
            </w:r>
          </w:p>
        </w:tc>
      </w:tr>
      <w:tr w:rsidR="00D82914" w:rsidRPr="001331D1" w14:paraId="64CA4D1B" w14:textId="71966097" w:rsidTr="00E237BD">
        <w:tc>
          <w:tcPr>
            <w:tcW w:w="2268" w:type="dxa"/>
            <w:shd w:val="clear" w:color="auto" w:fill="auto"/>
            <w:vAlign w:val="bottom"/>
          </w:tcPr>
          <w:p w14:paraId="1F952F1A" w14:textId="77777777" w:rsidR="00D82914" w:rsidRDefault="00D82914" w:rsidP="00D82914">
            <w:pPr>
              <w:spacing w:before="60" w:after="60"/>
              <w:jc w:val="left"/>
              <w:rPr>
                <w:rStyle w:val="Strong"/>
                <w:sz w:val="16"/>
                <w:szCs w:val="16"/>
              </w:rPr>
            </w:pPr>
            <w:r>
              <w:rPr>
                <w:rStyle w:val="Strong"/>
                <w:sz w:val="16"/>
                <w:szCs w:val="16"/>
              </w:rPr>
              <w:t>Transport equipment</w:t>
            </w:r>
          </w:p>
        </w:tc>
        <w:tc>
          <w:tcPr>
            <w:tcW w:w="1134" w:type="dxa"/>
            <w:tcMar>
              <w:right w:w="142" w:type="dxa"/>
            </w:tcMar>
          </w:tcPr>
          <w:p w14:paraId="393CAC12" w14:textId="035983D0" w:rsidR="00D82914" w:rsidRPr="00D96BEC" w:rsidRDefault="00D82914" w:rsidP="00CA0BF8">
            <w:pPr>
              <w:spacing w:before="60" w:after="60"/>
              <w:jc w:val="right"/>
              <w:rPr>
                <w:sz w:val="16"/>
                <w:szCs w:val="16"/>
              </w:rPr>
            </w:pPr>
            <w:r>
              <w:rPr>
                <w:sz w:val="16"/>
                <w:szCs w:val="16"/>
              </w:rPr>
              <w:t>21.60</w:t>
            </w:r>
            <w:r w:rsidRPr="00CC73D4">
              <w:rPr>
                <w:sz w:val="16"/>
                <w:szCs w:val="16"/>
              </w:rPr>
              <w:t>%</w:t>
            </w:r>
          </w:p>
        </w:tc>
        <w:tc>
          <w:tcPr>
            <w:tcW w:w="1134" w:type="dxa"/>
            <w:tcMar>
              <w:right w:w="142" w:type="dxa"/>
            </w:tcMar>
          </w:tcPr>
          <w:p w14:paraId="67A20E25" w14:textId="383010C7" w:rsidR="00D82914" w:rsidRPr="00D96BEC" w:rsidRDefault="00D82914" w:rsidP="00CA0BF8">
            <w:pPr>
              <w:spacing w:before="60" w:after="60"/>
              <w:jc w:val="right"/>
              <w:rPr>
                <w:sz w:val="16"/>
                <w:szCs w:val="16"/>
              </w:rPr>
            </w:pPr>
            <w:r>
              <w:rPr>
                <w:sz w:val="16"/>
                <w:szCs w:val="16"/>
              </w:rPr>
              <w:t>23.80</w:t>
            </w:r>
            <w:r w:rsidRPr="00CC73D4">
              <w:rPr>
                <w:sz w:val="16"/>
                <w:szCs w:val="16"/>
              </w:rPr>
              <w:t>%</w:t>
            </w:r>
          </w:p>
        </w:tc>
        <w:tc>
          <w:tcPr>
            <w:tcW w:w="1134" w:type="dxa"/>
            <w:tcMar>
              <w:right w:w="142" w:type="dxa"/>
            </w:tcMar>
          </w:tcPr>
          <w:p w14:paraId="4F0598F4" w14:textId="26D25922" w:rsidR="00D82914" w:rsidRPr="00D96BEC" w:rsidRDefault="00D82914" w:rsidP="00CA0BF8">
            <w:pPr>
              <w:spacing w:before="60" w:after="60"/>
              <w:jc w:val="right"/>
              <w:rPr>
                <w:sz w:val="16"/>
                <w:szCs w:val="16"/>
              </w:rPr>
            </w:pPr>
            <w:r>
              <w:rPr>
                <w:sz w:val="16"/>
                <w:szCs w:val="16"/>
              </w:rPr>
              <w:t>19.80</w:t>
            </w:r>
            <w:r w:rsidRPr="00CC73D4">
              <w:rPr>
                <w:sz w:val="16"/>
                <w:szCs w:val="16"/>
              </w:rPr>
              <w:t>%</w:t>
            </w:r>
          </w:p>
        </w:tc>
        <w:tc>
          <w:tcPr>
            <w:tcW w:w="1134" w:type="dxa"/>
            <w:tcMar>
              <w:right w:w="142" w:type="dxa"/>
            </w:tcMar>
          </w:tcPr>
          <w:p w14:paraId="24C9979E" w14:textId="7C365E39" w:rsidR="00D82914" w:rsidRPr="00D96BEC" w:rsidRDefault="00D82914" w:rsidP="00CA0BF8">
            <w:pPr>
              <w:spacing w:before="60" w:after="60"/>
              <w:jc w:val="right"/>
              <w:rPr>
                <w:sz w:val="16"/>
                <w:szCs w:val="16"/>
              </w:rPr>
            </w:pPr>
            <w:r>
              <w:rPr>
                <w:sz w:val="16"/>
                <w:szCs w:val="16"/>
              </w:rPr>
              <w:t>19.80</w:t>
            </w:r>
            <w:r w:rsidRPr="00CC73D4">
              <w:rPr>
                <w:sz w:val="16"/>
                <w:szCs w:val="16"/>
              </w:rPr>
              <w:t>%</w:t>
            </w:r>
          </w:p>
        </w:tc>
        <w:tc>
          <w:tcPr>
            <w:tcW w:w="1134" w:type="dxa"/>
            <w:tcMar>
              <w:right w:w="142" w:type="dxa"/>
            </w:tcMar>
          </w:tcPr>
          <w:p w14:paraId="310474D8" w14:textId="232BD0E3" w:rsidR="00D82914" w:rsidRPr="00D96BEC" w:rsidRDefault="00D82914" w:rsidP="00CA0BF8">
            <w:pPr>
              <w:spacing w:before="60" w:after="60"/>
              <w:jc w:val="right"/>
              <w:rPr>
                <w:sz w:val="16"/>
                <w:szCs w:val="16"/>
              </w:rPr>
            </w:pPr>
            <w:r>
              <w:rPr>
                <w:sz w:val="16"/>
                <w:szCs w:val="16"/>
              </w:rPr>
              <w:t>19.80</w:t>
            </w:r>
            <w:r w:rsidRPr="00CC73D4">
              <w:rPr>
                <w:sz w:val="16"/>
                <w:szCs w:val="16"/>
              </w:rPr>
              <w:t>%</w:t>
            </w:r>
          </w:p>
        </w:tc>
      </w:tr>
    </w:tbl>
    <w:p w14:paraId="7C9D57FC" w14:textId="77777777" w:rsidR="001F0E02" w:rsidRPr="002B603E" w:rsidRDefault="001F0E02" w:rsidP="002B603E">
      <w:pPr>
        <w:rPr>
          <w:rFonts w:eastAsia="Calibri"/>
        </w:rPr>
      </w:pPr>
    </w:p>
    <w:p w14:paraId="141A71BD" w14:textId="77777777" w:rsidR="00045A04" w:rsidRPr="00937CBA" w:rsidRDefault="00045A04" w:rsidP="00045A04">
      <w:pPr>
        <w:pStyle w:val="NumberedParagraph"/>
      </w:pPr>
      <w:r w:rsidRPr="00937CBA">
        <w:t xml:space="preserve">Table </w:t>
      </w:r>
      <w:r w:rsidRPr="00D941A8">
        <w:t>A</w:t>
      </w:r>
      <w:r>
        <w:t>6</w:t>
      </w:r>
      <w:r w:rsidRPr="00D941A8">
        <w:t>.2</w:t>
      </w:r>
      <w:r w:rsidRPr="00937CBA">
        <w:t xml:space="preserve"> shows the applicable depreciation rates at the end of the income years that relate to when the above changes were made. The figures in the last column come from table </w:t>
      </w:r>
      <w:r w:rsidRPr="00D941A8">
        <w:t>A</w:t>
      </w:r>
      <w:r>
        <w:t>6</w:t>
      </w:r>
      <w:r w:rsidRPr="00D941A8">
        <w:t>.1</w:t>
      </w:r>
      <w:r w:rsidRPr="00937CBA">
        <w:t xml:space="preserve">. Currently the DV rate of depreciation allowed for plant, machinery and equipment is given by </w:t>
      </w:r>
      <w:r w:rsidRPr="00937CBA">
        <w:rPr>
          <w:i/>
          <w:iCs/>
        </w:rPr>
        <w:t>d</w:t>
      </w:r>
      <w:r w:rsidRPr="00937CBA">
        <w:t xml:space="preserve"> = 2/</w:t>
      </w:r>
      <w:r w:rsidRPr="00937CBA">
        <w:rPr>
          <w:i/>
          <w:iCs/>
        </w:rPr>
        <w:t>T</w:t>
      </w:r>
      <w:r w:rsidRPr="00937CBA">
        <w:t xml:space="preserve"> where </w:t>
      </w:r>
      <w:r w:rsidRPr="00937CBA">
        <w:rPr>
          <w:i/>
          <w:iCs/>
        </w:rPr>
        <w:t>T</w:t>
      </w:r>
      <w:r w:rsidRPr="00937CBA">
        <w:t xml:space="preserve"> is the estimated useful life. Before the end of the 2004/05 income year, depreciation allowed was given by </w:t>
      </w:r>
      <w:r w:rsidRPr="00937CBA">
        <w:rPr>
          <w:position w:val="-6"/>
        </w:rPr>
        <w:object w:dxaOrig="1560" w:dyaOrig="300" w14:anchorId="23DDEEAF">
          <v:shape id="_x0000_i1082" type="#_x0000_t75" style="width:67.5pt;height:15pt" o:ole="">
            <v:imagedata r:id="rId134" o:title=""/>
          </v:shape>
          <o:OLEObject Type="Embed" ProgID="Equation.DSMT4" ShapeID="_x0000_i1082" DrawAspect="Content" ObjectID="_1723472681" r:id="rId135"/>
        </w:object>
      </w:r>
      <w:r w:rsidRPr="00937CBA">
        <w:t xml:space="preserve">. This allows us to estimate average depreciation </w:t>
      </w:r>
      <w:r w:rsidRPr="00937CBA">
        <w:lastRenderedPageBreak/>
        <w:t>rates in prior years.</w:t>
      </w:r>
      <w:r w:rsidRPr="00937CBA">
        <w:rPr>
          <w:vertAlign w:val="superscript"/>
        </w:rPr>
        <w:footnoteReference w:id="26"/>
      </w:r>
      <w:r w:rsidRPr="00937CBA">
        <w:t xml:space="preserve"> Figures reported in table </w:t>
      </w:r>
      <w:r w:rsidRPr="00D941A8">
        <w:t>A</w:t>
      </w:r>
      <w:r>
        <w:t>6.2</w:t>
      </w:r>
      <w:r w:rsidRPr="00937CBA">
        <w:t xml:space="preserve"> are inclusive of the 20% loading, if any.</w:t>
      </w:r>
    </w:p>
    <w:p w14:paraId="018E5C44" w14:textId="496D2E7D" w:rsidR="00B914E1" w:rsidRPr="00B914E1" w:rsidRDefault="00B914E1" w:rsidP="00B76F76">
      <w:pPr>
        <w:pStyle w:val="Heading3"/>
        <w:rPr>
          <w:rFonts w:eastAsia="Calibri"/>
          <w:lang w:eastAsia="en-US"/>
        </w:rPr>
      </w:pPr>
      <w:r w:rsidRPr="00B914E1">
        <w:rPr>
          <w:rFonts w:eastAsia="Calibri"/>
          <w:lang w:eastAsia="en-US"/>
        </w:rPr>
        <w:t>R&amp;D tax credits</w:t>
      </w:r>
    </w:p>
    <w:p w14:paraId="4D764EE8" w14:textId="44C77C95" w:rsidR="00B914E1" w:rsidRPr="00B914E1" w:rsidRDefault="00B914E1" w:rsidP="006B5D22">
      <w:pPr>
        <w:pStyle w:val="NumberedParagraph"/>
      </w:pPr>
      <w:r w:rsidRPr="00B914E1">
        <w:t>Before the 2008/09 income year, R&amp;D could normally be expensed and there were no additional tax credits for R&amp;D. In the 2008/09 income year, a 15</w:t>
      </w:r>
      <w:r w:rsidR="00E53134" w:rsidRPr="00B914E1">
        <w:t>%</w:t>
      </w:r>
      <w:r w:rsidR="00E53134">
        <w:t> </w:t>
      </w:r>
      <w:r w:rsidRPr="00B914E1">
        <w:t>R&amp;D tax credit was introduced, but this was repealed the following year. A 15% R&amp;D tax credit was reintroduced in the 2019/20 income year.</w:t>
      </w:r>
    </w:p>
    <w:p w14:paraId="4EBDE895" w14:textId="7AA5014C" w:rsidR="00B914E1" w:rsidRPr="00B914E1" w:rsidRDefault="00B914E1" w:rsidP="00B76F76">
      <w:pPr>
        <w:pStyle w:val="Heading3"/>
        <w:rPr>
          <w:rFonts w:eastAsia="Calibri"/>
          <w:lang w:eastAsia="en-US"/>
        </w:rPr>
      </w:pPr>
      <w:r w:rsidRPr="00B914E1">
        <w:rPr>
          <w:rFonts w:eastAsia="Calibri"/>
          <w:lang w:eastAsia="en-US"/>
        </w:rPr>
        <w:t>Thin capitalisation rules</w:t>
      </w:r>
    </w:p>
    <w:p w14:paraId="66907A50" w14:textId="080CECFE" w:rsidR="00B914E1" w:rsidRPr="00B914E1" w:rsidRDefault="00B914E1" w:rsidP="006B5D22">
      <w:pPr>
        <w:pStyle w:val="NumberedParagraph"/>
      </w:pPr>
      <w:r w:rsidRPr="00B914E1">
        <w:t>Several changes made to the thin capitalisation rules could have affected costs of capital</w:t>
      </w:r>
      <w:r w:rsidR="00320FBB">
        <w:t>, and</w:t>
      </w:r>
      <w:r w:rsidRPr="00B914E1">
        <w:t xml:space="preserve"> </w:t>
      </w:r>
      <w:r w:rsidR="00320FBB">
        <w:t>w</w:t>
      </w:r>
      <w:r w:rsidRPr="00B914E1">
        <w:t>e cannot be confident about their overall effects</w:t>
      </w:r>
      <w:r w:rsidR="003C0D08">
        <w:t>,</w:t>
      </w:r>
      <w:r w:rsidR="00AC2A0E">
        <w:t xml:space="preserve"> as has been discussed in </w:t>
      </w:r>
      <w:r w:rsidR="00E53134" w:rsidRPr="00BD166D">
        <w:t xml:space="preserve">appendix </w:t>
      </w:r>
      <w:r w:rsidR="005D3DE1" w:rsidRPr="00BD166D">
        <w:t>2</w:t>
      </w:r>
      <w:r w:rsidRPr="00B914E1">
        <w:t>. Our estimates may therefore understate increases in costs of capital over time to the extent that changes to the thin capitalisation rules have pushed up costs of capital.</w:t>
      </w:r>
      <w:r w:rsidR="005D3DE1">
        <w:t xml:space="preserve"> The estimates also do not take account of </w:t>
      </w:r>
      <w:r w:rsidR="004663B1">
        <w:t xml:space="preserve">other </w:t>
      </w:r>
      <w:r w:rsidR="005D3DE1">
        <w:t xml:space="preserve">changes </w:t>
      </w:r>
      <w:r w:rsidR="000D0357">
        <w:t xml:space="preserve">that are </w:t>
      </w:r>
      <w:r w:rsidR="00A30ABE">
        <w:t xml:space="preserve">also </w:t>
      </w:r>
      <w:r w:rsidR="000D0357">
        <w:t xml:space="preserve">difficult to model, </w:t>
      </w:r>
      <w:r w:rsidR="005D3DE1">
        <w:t>such as the restricted transfer pricing rules.</w:t>
      </w:r>
    </w:p>
    <w:p w14:paraId="4FB13544" w14:textId="652BCD42" w:rsidR="00B914E1" w:rsidRPr="00B914E1" w:rsidRDefault="00B914E1" w:rsidP="00B76F76">
      <w:pPr>
        <w:pStyle w:val="Heading3"/>
        <w:rPr>
          <w:rFonts w:eastAsia="Calibri"/>
          <w:lang w:eastAsia="en-US"/>
        </w:rPr>
      </w:pPr>
      <w:r w:rsidRPr="00B914E1">
        <w:rPr>
          <w:rFonts w:eastAsia="Calibri"/>
          <w:lang w:eastAsia="en-US"/>
        </w:rPr>
        <w:t>Other assumptions</w:t>
      </w:r>
    </w:p>
    <w:p w14:paraId="5C554240" w14:textId="77777777" w:rsidR="00B914E1" w:rsidRDefault="00B914E1" w:rsidP="006B5D22">
      <w:pPr>
        <w:pStyle w:val="NumberedParagraph"/>
      </w:pPr>
      <w:r w:rsidRPr="00B914E1">
        <w:t>Costs of capital can be affected not only by tax changes but also by changes in other variables, such as corporate debt levels, real interest rates or inflation. Our focus is on how changes in tax parameters have affected costs of capital.</w:t>
      </w:r>
    </w:p>
    <w:p w14:paraId="5A1B74D0" w14:textId="77777777" w:rsidR="00E619BC" w:rsidRPr="00F52546" w:rsidRDefault="00E619BC" w:rsidP="006B5D22">
      <w:pPr>
        <w:pStyle w:val="NumberedParagraph"/>
      </w:pPr>
      <w:r w:rsidRPr="00F52546">
        <w:t>A potential difficulty is the number of different cases that can arise for firms in slightly different positions, such as foreign-controlled companies or domestic companies. In our estimates, we focus solely on the case of a domestic company with marginal foreign shareholders. This means that costs of capital and EMTRs are impacted by AIL but not by NRWT on interest.</w:t>
      </w:r>
    </w:p>
    <w:p w14:paraId="6A5D23EE" w14:textId="33A94192" w:rsidR="00E619BC" w:rsidRPr="00F52546" w:rsidRDefault="00E619BC" w:rsidP="006B5D22">
      <w:pPr>
        <w:pStyle w:val="NumberedParagraph"/>
      </w:pPr>
      <w:r>
        <w:t xml:space="preserve">Costs of capital will tend to be very slightly lower for foreign-controlled companies that can make use of tax credits for NRWT and somewhat higher for </w:t>
      </w:r>
      <w:r w:rsidRPr="00BD166D">
        <w:t xml:space="preserve">foreign-controlled companies that cannot. However, as was discussed in </w:t>
      </w:r>
      <w:r w:rsidR="00E53134" w:rsidRPr="00BD166D">
        <w:t>a</w:t>
      </w:r>
      <w:r w:rsidR="00AC029A" w:rsidRPr="00BD166D">
        <w:t xml:space="preserve">ppendix </w:t>
      </w:r>
      <w:r w:rsidR="007313C7" w:rsidRPr="00BD166D">
        <w:t>2</w:t>
      </w:r>
      <w:r w:rsidRPr="00BD166D">
        <w:t>, differences</w:t>
      </w:r>
      <w:r>
        <w:t xml:space="preserve"> in costs of capital between these different types of firms are unlikely to be very large. Also, </w:t>
      </w:r>
      <w:r w:rsidR="00E651F5">
        <w:t>changes over time</w:t>
      </w:r>
      <w:r>
        <w:t xml:space="preserve"> in costs of capital and EMTRs are likely to be much the same for the different types of firms.</w:t>
      </w:r>
    </w:p>
    <w:p w14:paraId="4DDB7534" w14:textId="75216BEC" w:rsidR="00B914E1" w:rsidRPr="00B914E1" w:rsidRDefault="00B914E1" w:rsidP="00B76F76">
      <w:pPr>
        <w:pStyle w:val="Heading2"/>
        <w:rPr>
          <w:rFonts w:eastAsia="Calibri"/>
          <w:lang w:eastAsia="en-US"/>
        </w:rPr>
      </w:pPr>
      <w:bookmarkStart w:id="26" w:name="_Toc108451964"/>
      <w:r w:rsidRPr="00B914E1">
        <w:rPr>
          <w:rFonts w:eastAsia="Calibri"/>
          <w:lang w:eastAsia="en-US"/>
        </w:rPr>
        <w:t>Our estimates</w:t>
      </w:r>
      <w:bookmarkEnd w:id="26"/>
    </w:p>
    <w:p w14:paraId="772C3191" w14:textId="71840092" w:rsidR="00B914E1" w:rsidRPr="00B914E1" w:rsidRDefault="00B914E1" w:rsidP="006B5D22">
      <w:pPr>
        <w:pStyle w:val="NumberedParagraph"/>
      </w:pPr>
      <w:r w:rsidRPr="00B914E1">
        <w:t xml:space="preserve">Our estimates of the impact </w:t>
      </w:r>
      <w:r w:rsidR="00BA6B73">
        <w:t xml:space="preserve">on costs of capital </w:t>
      </w:r>
      <w:r w:rsidRPr="00B914E1">
        <w:t xml:space="preserve">of changes to company tax rates, depreciation provisions and R&amp;D tax credits are presented in </w:t>
      </w:r>
      <w:r w:rsidRPr="00DB7D73">
        <w:t xml:space="preserve">table </w:t>
      </w:r>
      <w:r w:rsidR="00995542" w:rsidRPr="00DB7D73">
        <w:t>A</w:t>
      </w:r>
      <w:r w:rsidR="00745E9F">
        <w:t>6</w:t>
      </w:r>
      <w:r w:rsidR="00995542" w:rsidRPr="00DB7D73">
        <w:t>.3</w:t>
      </w:r>
      <w:r w:rsidRPr="00DB7D73">
        <w:t>.</w:t>
      </w:r>
      <w:r w:rsidRPr="00B914E1">
        <w:t xml:space="preserve"> Columns 2–10 provide estimates of costs of capital over time for the nine different types of assets for which Statistics NZ provides data on net capital stock. In making these estimates, we assume a constant world real cost of debt and equity of 3% and 2% per annum inflation. As a result of New Zealand’s 2%</w:t>
      </w:r>
      <w:r w:rsidR="00E82061">
        <w:t> </w:t>
      </w:r>
      <w:r w:rsidRPr="00B914E1">
        <w:t>AIL, the domestic real interest rate is 3.10%. We assume that investment is 43% debt</w:t>
      </w:r>
      <w:r w:rsidR="00D925E7">
        <w:t>-</w:t>
      </w:r>
      <w:r w:rsidRPr="00B914E1">
        <w:t>financed. Our estimates are for domestic companies with foreign portfolio shareholders.</w:t>
      </w:r>
    </w:p>
    <w:p w14:paraId="7576742B" w14:textId="57A33A33" w:rsidR="00B914E1" w:rsidRPr="00B914E1" w:rsidRDefault="00B914E1" w:rsidP="006B5D22">
      <w:pPr>
        <w:pStyle w:val="NumberedParagraph"/>
      </w:pPr>
      <w:r w:rsidRPr="00B914E1">
        <w:t>The eleventh column then aggregates these costs of capital into a weighted average for the nine types of asset</w:t>
      </w:r>
      <w:r w:rsidR="00655321">
        <w:t>s</w:t>
      </w:r>
      <w:r w:rsidRPr="00B914E1">
        <w:t xml:space="preserve">. The weightings for net capital stock are averages over the last three years for </w:t>
      </w:r>
      <w:r w:rsidR="00CB0B08">
        <w:t>‘</w:t>
      </w:r>
      <w:r w:rsidRPr="00B914E1">
        <w:t>market activities</w:t>
      </w:r>
      <w:r w:rsidR="00CB0B08">
        <w:t>’</w:t>
      </w:r>
      <w:r w:rsidRPr="00B914E1">
        <w:t xml:space="preserve"> provided by Statistics </w:t>
      </w:r>
      <w:r w:rsidRPr="00B914E1">
        <w:lastRenderedPageBreak/>
        <w:t>NZ. Restricting our data to market activities affects our estimates. For example, the estimates for residential buildings exclude owner-occupied residential housing and government assets, such as schools and hospitals, that are not employed in market activities.</w:t>
      </w:r>
    </w:p>
    <w:p w14:paraId="5C53966C" w14:textId="6EF35D1D" w:rsidR="00B914E1" w:rsidRPr="00B914E1" w:rsidRDefault="00B914E1" w:rsidP="006B5D22">
      <w:pPr>
        <w:pStyle w:val="NumberedParagraph"/>
      </w:pPr>
      <w:r w:rsidRPr="00B914E1">
        <w:t xml:space="preserve">Over the 20-year period, our estimates suggest there has been a slight increase </w:t>
      </w:r>
      <w:r w:rsidR="007D1682">
        <w:t>–</w:t>
      </w:r>
      <w:r w:rsidRPr="00B914E1">
        <w:t xml:space="preserve"> from 3.75% to 3.83% </w:t>
      </w:r>
      <w:r w:rsidR="007D1682">
        <w:t>–</w:t>
      </w:r>
      <w:r w:rsidRPr="00B914E1">
        <w:t xml:space="preserve"> in the weighted average cost of capital for the nine types of asset</w:t>
      </w:r>
      <w:r w:rsidR="004A4CD3">
        <w:t>s</w:t>
      </w:r>
      <w:r w:rsidRPr="00B914E1">
        <w:t xml:space="preserve"> that Statistic</w:t>
      </w:r>
      <w:r w:rsidR="00A70A92">
        <w:t>s</w:t>
      </w:r>
      <w:r w:rsidRPr="00B914E1">
        <w:t xml:space="preserve"> NZ includes in its estimates of net capital stock. The weighted average rose slightly to 3.78% in 2005/06 </w:t>
      </w:r>
      <w:r w:rsidR="00F17925">
        <w:t>(</w:t>
      </w:r>
      <w:r w:rsidRPr="00B914E1">
        <w:t>when depreciation rates were scaled back for buildings but increased for short-lived machinery and equipment</w:t>
      </w:r>
      <w:r w:rsidR="00F17925">
        <w:t>)</w:t>
      </w:r>
      <w:r w:rsidRPr="00B914E1">
        <w:t>. It dropped to 3.59% in 2008/09 (when the company tax rate was cut from 33% to 30% and the 15% R&amp;D tax credit was introduced). It climbed back to 3.68% in 2009/10 (when the R&amp;D tax credit was repealed) and then to 3.77% in 2010/11 (when depreciation loading was removed). Despite a further cut in the company tax rate to 28%, the weighted average increased to 4.06% in 2011/12 because of the removal of building depreciation. In the last couple of years, there has been some decline in costs of capital because of the reintroduction of an R&amp;D tax credit and the restoration of depreciation deductions for commercial and industrial buildings.</w:t>
      </w:r>
    </w:p>
    <w:p w14:paraId="0DBE905E" w14:textId="77777777" w:rsidR="00B914E1" w:rsidRPr="00B914E1" w:rsidRDefault="00B914E1" w:rsidP="006B5D22">
      <w:pPr>
        <w:pStyle w:val="NumberedParagraph"/>
      </w:pPr>
      <w:r w:rsidRPr="00B914E1">
        <w:t>The final column shows costs of capital for inventories. They are estimated to have fallen from 4.44% to 4.14% over this period because of the cut in the company tax rate in 2008/09 and again in 2011/12.</w:t>
      </w:r>
    </w:p>
    <w:p w14:paraId="5A6DEC3C" w14:textId="4C201CA4" w:rsidR="00B914E1" w:rsidRPr="00B914E1" w:rsidRDefault="00B914E1" w:rsidP="000C1827">
      <w:pPr>
        <w:pStyle w:val="Caption"/>
        <w:rPr>
          <w:rFonts w:eastAsia="Calibri"/>
        </w:rPr>
      </w:pPr>
      <w:r w:rsidRPr="00B914E1">
        <w:rPr>
          <w:rFonts w:eastAsia="Calibri"/>
        </w:rPr>
        <w:t xml:space="preserve">Table </w:t>
      </w:r>
      <w:r w:rsidR="009A377D" w:rsidRPr="00DB7D73">
        <w:rPr>
          <w:rFonts w:eastAsia="Calibri"/>
        </w:rPr>
        <w:t>A</w:t>
      </w:r>
      <w:r w:rsidR="00745E9F">
        <w:rPr>
          <w:rFonts w:eastAsia="Calibri"/>
        </w:rPr>
        <w:t>6</w:t>
      </w:r>
      <w:r w:rsidR="009A377D" w:rsidRPr="00DB7D73">
        <w:rPr>
          <w:rFonts w:eastAsia="Calibri"/>
        </w:rPr>
        <w:t>.3</w:t>
      </w:r>
      <w:r w:rsidR="003A441F" w:rsidRPr="00DB7D73">
        <w:rPr>
          <w:rFonts w:eastAsia="Calibri"/>
        </w:rPr>
        <w:t>:</w:t>
      </w:r>
      <w:r w:rsidR="003A441F">
        <w:rPr>
          <w:rFonts w:eastAsia="Calibri"/>
        </w:rPr>
        <w:t xml:space="preserve"> </w:t>
      </w:r>
      <w:r w:rsidRPr="00B914E1">
        <w:rPr>
          <w:rFonts w:eastAsia="Calibri"/>
        </w:rPr>
        <w:t>Costs of capital: r</w:t>
      </w:r>
      <w:r w:rsidR="00FA7DC2">
        <w:rPr>
          <w:rFonts w:eastAsia="Calibri"/>
        </w:rPr>
        <w:t>*</w:t>
      </w:r>
      <w:r w:rsidRPr="00B914E1">
        <w:rPr>
          <w:rFonts w:eastAsia="Calibri"/>
        </w:rPr>
        <w:t xml:space="preserve"> = 3%, </w:t>
      </w:r>
      <w:r w:rsidR="00A70A92">
        <w:rPr>
          <w:rFonts w:eastAsia="Calibri"/>
        </w:rPr>
        <w:t xml:space="preserve">inflation </w:t>
      </w:r>
      <w:r w:rsidRPr="00B914E1">
        <w:rPr>
          <w:rFonts w:eastAsia="Calibri"/>
        </w:rPr>
        <w:t>= 2%, b = 0.43</w:t>
      </w:r>
      <w:r w:rsidR="00C939D5">
        <w:rPr>
          <w:rFonts w:eastAsia="Calibri"/>
        </w:rPr>
        <w:t xml:space="preserve"> </w:t>
      </w:r>
      <w:r w:rsidRPr="00B914E1">
        <w:rPr>
          <w:rFonts w:eastAsia="Calibri"/>
        </w:rPr>
        <w:t>and AIL</w:t>
      </w:r>
      <w:r w:rsidR="00520029">
        <w:rPr>
          <w:rFonts w:eastAsia="Calibri"/>
        </w:rPr>
        <w:t xml:space="preserve"> = 2%</w:t>
      </w:r>
    </w:p>
    <w:tbl>
      <w:tblPr>
        <w:tblStyle w:val="TableGrid"/>
        <w:tblW w:w="10348" w:type="dxa"/>
        <w:tblInd w:w="-71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28" w:type="dxa"/>
          <w:right w:w="28" w:type="dxa"/>
        </w:tblCellMar>
        <w:tblLook w:val="04A0" w:firstRow="1" w:lastRow="0" w:firstColumn="1" w:lastColumn="0" w:noHBand="0" w:noVBand="1"/>
      </w:tblPr>
      <w:tblGrid>
        <w:gridCol w:w="851"/>
        <w:gridCol w:w="992"/>
        <w:gridCol w:w="850"/>
        <w:gridCol w:w="851"/>
        <w:gridCol w:w="850"/>
        <w:gridCol w:w="851"/>
        <w:gridCol w:w="850"/>
        <w:gridCol w:w="851"/>
        <w:gridCol w:w="850"/>
        <w:gridCol w:w="851"/>
        <w:gridCol w:w="850"/>
        <w:gridCol w:w="851"/>
      </w:tblGrid>
      <w:tr w:rsidR="00B5280A" w:rsidRPr="00400694" w14:paraId="481A0F7D" w14:textId="77777777" w:rsidTr="00587B96">
        <w:trPr>
          <w:tblHeader/>
        </w:trPr>
        <w:tc>
          <w:tcPr>
            <w:tcW w:w="851" w:type="dxa"/>
            <w:shd w:val="clear" w:color="auto" w:fill="232E36"/>
          </w:tcPr>
          <w:p w14:paraId="7C15F987" w14:textId="77777777" w:rsidR="00B5280A" w:rsidRPr="00400694" w:rsidRDefault="00B5280A" w:rsidP="00D90B48">
            <w:pPr>
              <w:spacing w:before="120" w:after="120"/>
              <w:jc w:val="center"/>
              <w:rPr>
                <w:b/>
                <w:bCs/>
                <w:color w:val="FFFFFF" w:themeColor="background1"/>
                <w:sz w:val="14"/>
                <w:szCs w:val="14"/>
              </w:rPr>
            </w:pPr>
          </w:p>
        </w:tc>
        <w:tc>
          <w:tcPr>
            <w:tcW w:w="992" w:type="dxa"/>
            <w:shd w:val="clear" w:color="auto" w:fill="232E36"/>
          </w:tcPr>
          <w:p w14:paraId="72129EEF" w14:textId="77777777" w:rsidR="00B5280A" w:rsidRPr="00400694" w:rsidRDefault="00B5280A" w:rsidP="00D90B48">
            <w:pPr>
              <w:spacing w:before="120" w:after="120"/>
              <w:jc w:val="left"/>
              <w:rPr>
                <w:b/>
                <w:bCs/>
                <w:color w:val="FFFFFF" w:themeColor="background1"/>
                <w:sz w:val="14"/>
                <w:szCs w:val="14"/>
              </w:rPr>
            </w:pPr>
            <w:r w:rsidRPr="00400694">
              <w:rPr>
                <w:b/>
                <w:bCs/>
                <w:color w:val="FFFFFF" w:themeColor="background1"/>
                <w:sz w:val="14"/>
                <w:szCs w:val="14"/>
              </w:rPr>
              <w:t>Exploration</w:t>
            </w:r>
          </w:p>
        </w:tc>
        <w:tc>
          <w:tcPr>
            <w:tcW w:w="850" w:type="dxa"/>
            <w:shd w:val="clear" w:color="auto" w:fill="232E36"/>
          </w:tcPr>
          <w:p w14:paraId="4F68306F" w14:textId="77777777" w:rsidR="00B5280A" w:rsidRPr="00400694" w:rsidRDefault="00B5280A" w:rsidP="00D90B48">
            <w:pPr>
              <w:spacing w:before="120" w:after="120"/>
              <w:jc w:val="left"/>
              <w:rPr>
                <w:b/>
                <w:bCs/>
                <w:color w:val="FFFFFF" w:themeColor="background1"/>
                <w:sz w:val="14"/>
                <w:szCs w:val="14"/>
              </w:rPr>
            </w:pPr>
            <w:r w:rsidRPr="00400694">
              <w:rPr>
                <w:b/>
                <w:bCs/>
                <w:color w:val="FFFFFF" w:themeColor="background1"/>
                <w:sz w:val="14"/>
                <w:szCs w:val="14"/>
              </w:rPr>
              <w:t>Land improve-</w:t>
            </w:r>
            <w:proofErr w:type="spellStart"/>
            <w:r w:rsidRPr="00400694">
              <w:rPr>
                <w:b/>
                <w:bCs/>
                <w:color w:val="FFFFFF" w:themeColor="background1"/>
                <w:sz w:val="14"/>
                <w:szCs w:val="14"/>
              </w:rPr>
              <w:t>ments</w:t>
            </w:r>
            <w:proofErr w:type="spellEnd"/>
          </w:p>
        </w:tc>
        <w:tc>
          <w:tcPr>
            <w:tcW w:w="851" w:type="dxa"/>
            <w:shd w:val="clear" w:color="auto" w:fill="232E36"/>
          </w:tcPr>
          <w:p w14:paraId="6B16E4AB" w14:textId="77777777" w:rsidR="00B5280A" w:rsidRPr="00400694" w:rsidRDefault="00B5280A" w:rsidP="00D90B48">
            <w:pPr>
              <w:spacing w:before="120" w:after="120"/>
              <w:jc w:val="left"/>
              <w:rPr>
                <w:b/>
                <w:bCs/>
                <w:color w:val="FFFFFF" w:themeColor="background1"/>
                <w:sz w:val="14"/>
                <w:szCs w:val="14"/>
              </w:rPr>
            </w:pPr>
            <w:r w:rsidRPr="00400694">
              <w:rPr>
                <w:b/>
                <w:bCs/>
                <w:color w:val="FFFFFF" w:themeColor="background1"/>
                <w:sz w:val="14"/>
                <w:szCs w:val="14"/>
              </w:rPr>
              <w:t>Non-res buildings</w:t>
            </w:r>
          </w:p>
        </w:tc>
        <w:tc>
          <w:tcPr>
            <w:tcW w:w="850" w:type="dxa"/>
            <w:shd w:val="clear" w:color="auto" w:fill="232E36"/>
          </w:tcPr>
          <w:p w14:paraId="684F65DC" w14:textId="77777777" w:rsidR="00B5280A" w:rsidRPr="00400694" w:rsidRDefault="00B5280A" w:rsidP="00D90B48">
            <w:pPr>
              <w:spacing w:before="120" w:after="120"/>
              <w:jc w:val="left"/>
              <w:rPr>
                <w:b/>
                <w:bCs/>
                <w:color w:val="FFFFFF" w:themeColor="background1"/>
                <w:sz w:val="14"/>
                <w:szCs w:val="14"/>
              </w:rPr>
            </w:pPr>
            <w:proofErr w:type="gramStart"/>
            <w:r w:rsidRPr="00400694">
              <w:rPr>
                <w:b/>
                <w:bCs/>
                <w:color w:val="FFFFFF" w:themeColor="background1"/>
                <w:sz w:val="14"/>
                <w:szCs w:val="14"/>
              </w:rPr>
              <w:t>Other</w:t>
            </w:r>
            <w:proofErr w:type="gramEnd"/>
            <w:r w:rsidRPr="00400694">
              <w:rPr>
                <w:b/>
                <w:bCs/>
                <w:color w:val="FFFFFF" w:themeColor="background1"/>
                <w:sz w:val="14"/>
                <w:szCs w:val="14"/>
              </w:rPr>
              <w:t xml:space="preserve"> construct</w:t>
            </w:r>
          </w:p>
        </w:tc>
        <w:tc>
          <w:tcPr>
            <w:tcW w:w="851" w:type="dxa"/>
            <w:shd w:val="clear" w:color="auto" w:fill="232E36"/>
          </w:tcPr>
          <w:p w14:paraId="49039EEF" w14:textId="77777777" w:rsidR="00B5280A" w:rsidRPr="00400694" w:rsidRDefault="00B5280A" w:rsidP="00D90B48">
            <w:pPr>
              <w:spacing w:before="120" w:after="120"/>
              <w:jc w:val="left"/>
              <w:rPr>
                <w:b/>
                <w:bCs/>
                <w:color w:val="FFFFFF" w:themeColor="background1"/>
                <w:sz w:val="14"/>
                <w:szCs w:val="14"/>
              </w:rPr>
            </w:pPr>
            <w:r w:rsidRPr="00400694">
              <w:rPr>
                <w:b/>
                <w:bCs/>
                <w:color w:val="FFFFFF" w:themeColor="background1"/>
                <w:sz w:val="14"/>
                <w:szCs w:val="14"/>
              </w:rPr>
              <w:t>PM&amp;E</w:t>
            </w:r>
          </w:p>
        </w:tc>
        <w:tc>
          <w:tcPr>
            <w:tcW w:w="850" w:type="dxa"/>
            <w:shd w:val="clear" w:color="auto" w:fill="232E36"/>
          </w:tcPr>
          <w:p w14:paraId="2AF513E3" w14:textId="77777777" w:rsidR="00B5280A" w:rsidRPr="00400694" w:rsidRDefault="00B5280A" w:rsidP="00D90B48">
            <w:pPr>
              <w:spacing w:before="120" w:after="120"/>
              <w:jc w:val="left"/>
              <w:rPr>
                <w:b/>
                <w:bCs/>
                <w:color w:val="FFFFFF" w:themeColor="background1"/>
                <w:sz w:val="14"/>
                <w:szCs w:val="14"/>
              </w:rPr>
            </w:pPr>
            <w:proofErr w:type="gramStart"/>
            <w:r w:rsidRPr="00400694">
              <w:rPr>
                <w:b/>
                <w:bCs/>
                <w:color w:val="FFFFFF" w:themeColor="background1"/>
                <w:sz w:val="14"/>
                <w:szCs w:val="14"/>
              </w:rPr>
              <w:t>Res</w:t>
            </w:r>
            <w:proofErr w:type="gramEnd"/>
            <w:r w:rsidRPr="00400694">
              <w:rPr>
                <w:b/>
                <w:bCs/>
                <w:color w:val="FFFFFF" w:themeColor="background1"/>
                <w:sz w:val="14"/>
                <w:szCs w:val="14"/>
              </w:rPr>
              <w:t xml:space="preserve"> buildings</w:t>
            </w:r>
          </w:p>
        </w:tc>
        <w:tc>
          <w:tcPr>
            <w:tcW w:w="851" w:type="dxa"/>
            <w:shd w:val="clear" w:color="auto" w:fill="232E36"/>
          </w:tcPr>
          <w:p w14:paraId="1708B5DF" w14:textId="77777777" w:rsidR="00B5280A" w:rsidRPr="00400694" w:rsidRDefault="00B5280A" w:rsidP="00D90B48">
            <w:pPr>
              <w:spacing w:before="120" w:after="120"/>
              <w:jc w:val="center"/>
              <w:rPr>
                <w:rStyle w:val="Strong"/>
                <w:color w:val="FFFFFF" w:themeColor="background1"/>
                <w:sz w:val="14"/>
                <w:szCs w:val="14"/>
              </w:rPr>
            </w:pPr>
            <w:r w:rsidRPr="00400694">
              <w:rPr>
                <w:rStyle w:val="Strong"/>
                <w:color w:val="FFFFFF" w:themeColor="background1"/>
                <w:sz w:val="14"/>
                <w:szCs w:val="14"/>
              </w:rPr>
              <w:t>R&amp;D</w:t>
            </w:r>
          </w:p>
        </w:tc>
        <w:tc>
          <w:tcPr>
            <w:tcW w:w="850" w:type="dxa"/>
            <w:shd w:val="clear" w:color="auto" w:fill="232E36"/>
          </w:tcPr>
          <w:p w14:paraId="4435EDA6" w14:textId="77777777" w:rsidR="00B5280A" w:rsidRPr="00400694" w:rsidRDefault="00B5280A" w:rsidP="00D90B48">
            <w:pPr>
              <w:spacing w:before="120" w:after="120"/>
              <w:jc w:val="center"/>
              <w:rPr>
                <w:rStyle w:val="Strong"/>
                <w:color w:val="FFFFFF" w:themeColor="background1"/>
                <w:sz w:val="14"/>
                <w:szCs w:val="14"/>
              </w:rPr>
            </w:pPr>
            <w:r w:rsidRPr="00400694">
              <w:rPr>
                <w:rStyle w:val="Strong"/>
                <w:color w:val="FFFFFF" w:themeColor="background1"/>
                <w:sz w:val="14"/>
                <w:szCs w:val="14"/>
              </w:rPr>
              <w:t>Software</w:t>
            </w:r>
          </w:p>
        </w:tc>
        <w:tc>
          <w:tcPr>
            <w:tcW w:w="851" w:type="dxa"/>
            <w:shd w:val="clear" w:color="auto" w:fill="232E36"/>
          </w:tcPr>
          <w:p w14:paraId="63EAD7A3" w14:textId="77777777" w:rsidR="00B5280A" w:rsidRPr="00400694" w:rsidRDefault="00B5280A" w:rsidP="00D90B48">
            <w:pPr>
              <w:spacing w:before="120" w:after="120"/>
              <w:jc w:val="center"/>
              <w:rPr>
                <w:rStyle w:val="Strong"/>
                <w:color w:val="FFFFFF" w:themeColor="background1"/>
                <w:sz w:val="14"/>
                <w:szCs w:val="14"/>
              </w:rPr>
            </w:pPr>
            <w:r w:rsidRPr="00400694">
              <w:rPr>
                <w:rStyle w:val="Strong"/>
                <w:color w:val="FFFFFF" w:themeColor="background1"/>
                <w:sz w:val="14"/>
                <w:szCs w:val="14"/>
              </w:rPr>
              <w:t>Trans equip</w:t>
            </w:r>
          </w:p>
        </w:tc>
        <w:tc>
          <w:tcPr>
            <w:tcW w:w="850" w:type="dxa"/>
            <w:shd w:val="clear" w:color="auto" w:fill="232E36"/>
          </w:tcPr>
          <w:p w14:paraId="435F7C5B" w14:textId="77777777" w:rsidR="00B5280A" w:rsidRPr="00400694" w:rsidRDefault="00B5280A" w:rsidP="00D90B48">
            <w:pPr>
              <w:spacing w:before="120" w:after="120"/>
              <w:jc w:val="center"/>
              <w:rPr>
                <w:rStyle w:val="Strong"/>
                <w:color w:val="FFFFFF" w:themeColor="background1"/>
                <w:sz w:val="14"/>
                <w:szCs w:val="14"/>
              </w:rPr>
            </w:pPr>
            <w:proofErr w:type="spellStart"/>
            <w:r w:rsidRPr="00400694">
              <w:rPr>
                <w:rStyle w:val="Strong"/>
                <w:color w:val="FFFFFF" w:themeColor="background1"/>
                <w:sz w:val="14"/>
                <w:szCs w:val="14"/>
              </w:rPr>
              <w:t>Wtd</w:t>
            </w:r>
            <w:proofErr w:type="spellEnd"/>
            <w:r w:rsidRPr="00400694">
              <w:rPr>
                <w:rStyle w:val="Strong"/>
                <w:color w:val="FFFFFF" w:themeColor="background1"/>
                <w:sz w:val="14"/>
                <w:szCs w:val="14"/>
              </w:rPr>
              <w:t xml:space="preserve"> </w:t>
            </w:r>
            <w:proofErr w:type="spellStart"/>
            <w:r w:rsidRPr="00400694">
              <w:rPr>
                <w:rStyle w:val="Strong"/>
                <w:color w:val="FFFFFF" w:themeColor="background1"/>
                <w:sz w:val="14"/>
                <w:szCs w:val="14"/>
              </w:rPr>
              <w:t>avge</w:t>
            </w:r>
            <w:proofErr w:type="spellEnd"/>
          </w:p>
        </w:tc>
        <w:tc>
          <w:tcPr>
            <w:tcW w:w="851" w:type="dxa"/>
            <w:shd w:val="clear" w:color="auto" w:fill="232E36"/>
          </w:tcPr>
          <w:p w14:paraId="4132775D" w14:textId="77777777" w:rsidR="00B5280A" w:rsidRPr="00400694" w:rsidRDefault="00B5280A" w:rsidP="00D90B48">
            <w:pPr>
              <w:spacing w:before="120" w:after="120"/>
              <w:jc w:val="center"/>
              <w:rPr>
                <w:rStyle w:val="Strong"/>
                <w:color w:val="FFFFFF" w:themeColor="background1"/>
                <w:sz w:val="14"/>
                <w:szCs w:val="14"/>
              </w:rPr>
            </w:pPr>
            <w:proofErr w:type="spellStart"/>
            <w:r w:rsidRPr="00400694">
              <w:rPr>
                <w:rStyle w:val="Strong"/>
                <w:color w:val="FFFFFF" w:themeColor="background1"/>
                <w:sz w:val="14"/>
                <w:szCs w:val="14"/>
              </w:rPr>
              <w:t>Inven-tories</w:t>
            </w:r>
            <w:proofErr w:type="spellEnd"/>
          </w:p>
        </w:tc>
      </w:tr>
      <w:tr w:rsidR="00B5280A" w:rsidRPr="00400694" w14:paraId="2CFF11E0" w14:textId="77777777" w:rsidTr="00587B96">
        <w:tc>
          <w:tcPr>
            <w:tcW w:w="851" w:type="dxa"/>
            <w:shd w:val="clear" w:color="auto" w:fill="BFBFBF" w:themeFill="background1" w:themeFillShade="BF"/>
          </w:tcPr>
          <w:p w14:paraId="2AD10D0C" w14:textId="77777777" w:rsidR="00B5280A" w:rsidRPr="00400694" w:rsidRDefault="00B5280A" w:rsidP="00D90B48">
            <w:pPr>
              <w:spacing w:before="60" w:after="60"/>
              <w:jc w:val="center"/>
              <w:rPr>
                <w:rStyle w:val="Strong"/>
                <w:b w:val="0"/>
                <w:bCs w:val="0"/>
                <w:sz w:val="14"/>
                <w:szCs w:val="14"/>
              </w:rPr>
            </w:pPr>
            <w:r w:rsidRPr="00400694">
              <w:rPr>
                <w:rStyle w:val="Strong"/>
                <w:b w:val="0"/>
                <w:bCs w:val="0"/>
                <w:sz w:val="14"/>
                <w:szCs w:val="14"/>
              </w:rPr>
              <w:t>Weight</w:t>
            </w:r>
          </w:p>
        </w:tc>
        <w:tc>
          <w:tcPr>
            <w:tcW w:w="992" w:type="dxa"/>
            <w:shd w:val="clear" w:color="auto" w:fill="BFBFBF" w:themeFill="background1" w:themeFillShade="BF"/>
          </w:tcPr>
          <w:p w14:paraId="30EE48A5" w14:textId="77777777" w:rsidR="00B5280A" w:rsidRPr="00400694" w:rsidRDefault="00B5280A" w:rsidP="00D90B48">
            <w:pPr>
              <w:spacing w:before="60" w:after="60"/>
              <w:jc w:val="right"/>
              <w:rPr>
                <w:rStyle w:val="Strong"/>
                <w:b w:val="0"/>
                <w:bCs w:val="0"/>
                <w:sz w:val="14"/>
                <w:szCs w:val="14"/>
              </w:rPr>
            </w:pPr>
            <w:r w:rsidRPr="00400694">
              <w:rPr>
                <w:rStyle w:val="Strong"/>
                <w:b w:val="0"/>
                <w:bCs w:val="0"/>
                <w:sz w:val="14"/>
                <w:szCs w:val="14"/>
              </w:rPr>
              <w:t>0.80%</w:t>
            </w:r>
          </w:p>
        </w:tc>
        <w:tc>
          <w:tcPr>
            <w:tcW w:w="850" w:type="dxa"/>
            <w:shd w:val="clear" w:color="auto" w:fill="BFBFBF" w:themeFill="background1" w:themeFillShade="BF"/>
          </w:tcPr>
          <w:p w14:paraId="4065C020" w14:textId="77777777" w:rsidR="00B5280A" w:rsidRPr="00400694" w:rsidRDefault="00B5280A" w:rsidP="00D90B48">
            <w:pPr>
              <w:spacing w:before="60" w:after="60"/>
              <w:jc w:val="right"/>
              <w:rPr>
                <w:rStyle w:val="Strong"/>
                <w:b w:val="0"/>
                <w:bCs w:val="0"/>
                <w:sz w:val="14"/>
                <w:szCs w:val="14"/>
              </w:rPr>
            </w:pPr>
            <w:r w:rsidRPr="00400694">
              <w:rPr>
                <w:rStyle w:val="Strong"/>
                <w:b w:val="0"/>
                <w:bCs w:val="0"/>
                <w:sz w:val="14"/>
                <w:szCs w:val="14"/>
              </w:rPr>
              <w:t>2.60%</w:t>
            </w:r>
          </w:p>
        </w:tc>
        <w:tc>
          <w:tcPr>
            <w:tcW w:w="851" w:type="dxa"/>
            <w:shd w:val="clear" w:color="auto" w:fill="BFBFBF" w:themeFill="background1" w:themeFillShade="BF"/>
          </w:tcPr>
          <w:p w14:paraId="1A8871D4" w14:textId="77777777" w:rsidR="00B5280A" w:rsidRPr="00400694" w:rsidRDefault="00B5280A" w:rsidP="00D90B48">
            <w:pPr>
              <w:spacing w:before="60" w:after="60"/>
              <w:jc w:val="right"/>
              <w:rPr>
                <w:rStyle w:val="Strong"/>
                <w:b w:val="0"/>
                <w:bCs w:val="0"/>
                <w:sz w:val="14"/>
                <w:szCs w:val="14"/>
              </w:rPr>
            </w:pPr>
            <w:r w:rsidRPr="00400694">
              <w:rPr>
                <w:rStyle w:val="Strong"/>
                <w:b w:val="0"/>
                <w:bCs w:val="0"/>
                <w:sz w:val="14"/>
                <w:szCs w:val="14"/>
              </w:rPr>
              <w:t>23.40%</w:t>
            </w:r>
          </w:p>
        </w:tc>
        <w:tc>
          <w:tcPr>
            <w:tcW w:w="850" w:type="dxa"/>
            <w:shd w:val="clear" w:color="auto" w:fill="BFBFBF" w:themeFill="background1" w:themeFillShade="BF"/>
          </w:tcPr>
          <w:p w14:paraId="7F83A28F" w14:textId="77777777" w:rsidR="00B5280A" w:rsidRPr="00400694" w:rsidRDefault="00B5280A" w:rsidP="00D90B48">
            <w:pPr>
              <w:spacing w:before="60" w:after="60"/>
              <w:jc w:val="right"/>
              <w:rPr>
                <w:rStyle w:val="Strong"/>
                <w:b w:val="0"/>
                <w:bCs w:val="0"/>
                <w:sz w:val="14"/>
                <w:szCs w:val="14"/>
              </w:rPr>
            </w:pPr>
            <w:r w:rsidRPr="00400694">
              <w:rPr>
                <w:rStyle w:val="Strong"/>
                <w:b w:val="0"/>
                <w:bCs w:val="0"/>
                <w:sz w:val="14"/>
                <w:szCs w:val="14"/>
              </w:rPr>
              <w:t>16.40%</w:t>
            </w:r>
          </w:p>
        </w:tc>
        <w:tc>
          <w:tcPr>
            <w:tcW w:w="851" w:type="dxa"/>
            <w:shd w:val="clear" w:color="auto" w:fill="BFBFBF" w:themeFill="background1" w:themeFillShade="BF"/>
          </w:tcPr>
          <w:p w14:paraId="78005244" w14:textId="77777777" w:rsidR="00B5280A" w:rsidRPr="00400694" w:rsidRDefault="00B5280A" w:rsidP="00D90B48">
            <w:pPr>
              <w:spacing w:before="60" w:after="60"/>
              <w:jc w:val="right"/>
              <w:rPr>
                <w:rStyle w:val="Strong"/>
                <w:b w:val="0"/>
                <w:bCs w:val="0"/>
                <w:sz w:val="14"/>
                <w:szCs w:val="14"/>
              </w:rPr>
            </w:pPr>
            <w:r w:rsidRPr="00400694">
              <w:rPr>
                <w:rStyle w:val="Strong"/>
                <w:b w:val="0"/>
                <w:bCs w:val="0"/>
                <w:sz w:val="14"/>
                <w:szCs w:val="14"/>
              </w:rPr>
              <w:t>19.90%</w:t>
            </w:r>
          </w:p>
        </w:tc>
        <w:tc>
          <w:tcPr>
            <w:tcW w:w="850" w:type="dxa"/>
            <w:shd w:val="clear" w:color="auto" w:fill="BFBFBF" w:themeFill="background1" w:themeFillShade="BF"/>
          </w:tcPr>
          <w:p w14:paraId="3F60E088" w14:textId="77777777" w:rsidR="00B5280A" w:rsidRPr="00400694" w:rsidRDefault="00B5280A" w:rsidP="00D90B48">
            <w:pPr>
              <w:spacing w:before="60" w:after="60"/>
              <w:jc w:val="right"/>
              <w:rPr>
                <w:rStyle w:val="Strong"/>
                <w:b w:val="0"/>
                <w:bCs w:val="0"/>
                <w:sz w:val="14"/>
                <w:szCs w:val="14"/>
              </w:rPr>
            </w:pPr>
            <w:r w:rsidRPr="00400694">
              <w:rPr>
                <w:rStyle w:val="Strong"/>
                <w:b w:val="0"/>
                <w:bCs w:val="0"/>
                <w:sz w:val="14"/>
                <w:szCs w:val="14"/>
              </w:rPr>
              <w:t>24.40%</w:t>
            </w:r>
          </w:p>
        </w:tc>
        <w:tc>
          <w:tcPr>
            <w:tcW w:w="851" w:type="dxa"/>
            <w:shd w:val="clear" w:color="auto" w:fill="BFBFBF" w:themeFill="background1" w:themeFillShade="BF"/>
          </w:tcPr>
          <w:p w14:paraId="0292958E" w14:textId="77777777" w:rsidR="00B5280A" w:rsidRPr="00400694" w:rsidRDefault="00B5280A" w:rsidP="00D90B48">
            <w:pPr>
              <w:spacing w:before="60" w:after="60"/>
              <w:jc w:val="right"/>
              <w:rPr>
                <w:sz w:val="14"/>
                <w:szCs w:val="14"/>
              </w:rPr>
            </w:pPr>
            <w:r w:rsidRPr="00400694">
              <w:rPr>
                <w:rStyle w:val="Strong"/>
                <w:b w:val="0"/>
                <w:bCs w:val="0"/>
                <w:sz w:val="14"/>
                <w:szCs w:val="14"/>
              </w:rPr>
              <w:t>2.40%</w:t>
            </w:r>
          </w:p>
        </w:tc>
        <w:tc>
          <w:tcPr>
            <w:tcW w:w="850" w:type="dxa"/>
            <w:shd w:val="clear" w:color="auto" w:fill="BFBFBF" w:themeFill="background1" w:themeFillShade="BF"/>
          </w:tcPr>
          <w:p w14:paraId="4C801B63" w14:textId="77777777" w:rsidR="00B5280A" w:rsidRPr="00400694" w:rsidRDefault="00B5280A" w:rsidP="00D90B48">
            <w:pPr>
              <w:spacing w:before="60" w:after="60"/>
              <w:jc w:val="right"/>
              <w:rPr>
                <w:sz w:val="14"/>
                <w:szCs w:val="14"/>
              </w:rPr>
            </w:pPr>
            <w:r w:rsidRPr="00400694">
              <w:rPr>
                <w:rStyle w:val="Strong"/>
                <w:b w:val="0"/>
                <w:bCs w:val="0"/>
                <w:sz w:val="14"/>
                <w:szCs w:val="14"/>
              </w:rPr>
              <w:t>3.70%</w:t>
            </w:r>
          </w:p>
        </w:tc>
        <w:tc>
          <w:tcPr>
            <w:tcW w:w="851" w:type="dxa"/>
            <w:shd w:val="clear" w:color="auto" w:fill="BFBFBF" w:themeFill="background1" w:themeFillShade="BF"/>
          </w:tcPr>
          <w:p w14:paraId="69A784A6" w14:textId="77777777" w:rsidR="00B5280A" w:rsidRPr="00400694" w:rsidRDefault="00B5280A" w:rsidP="00D90B48">
            <w:pPr>
              <w:spacing w:before="60" w:after="60"/>
              <w:jc w:val="right"/>
              <w:rPr>
                <w:sz w:val="14"/>
                <w:szCs w:val="14"/>
              </w:rPr>
            </w:pPr>
            <w:r w:rsidRPr="00400694">
              <w:rPr>
                <w:rStyle w:val="Strong"/>
                <w:b w:val="0"/>
                <w:bCs w:val="0"/>
                <w:sz w:val="14"/>
                <w:szCs w:val="14"/>
              </w:rPr>
              <w:t>6.40%</w:t>
            </w:r>
          </w:p>
        </w:tc>
        <w:tc>
          <w:tcPr>
            <w:tcW w:w="850" w:type="dxa"/>
            <w:shd w:val="clear" w:color="auto" w:fill="BFBFBF" w:themeFill="background1" w:themeFillShade="BF"/>
          </w:tcPr>
          <w:p w14:paraId="5A98C36C" w14:textId="77777777" w:rsidR="00B5280A" w:rsidRPr="00400694" w:rsidRDefault="00B5280A" w:rsidP="00D90B48">
            <w:pPr>
              <w:spacing w:before="60" w:after="60"/>
              <w:jc w:val="right"/>
              <w:rPr>
                <w:sz w:val="14"/>
                <w:szCs w:val="14"/>
              </w:rPr>
            </w:pPr>
          </w:p>
        </w:tc>
        <w:tc>
          <w:tcPr>
            <w:tcW w:w="851" w:type="dxa"/>
            <w:shd w:val="clear" w:color="auto" w:fill="BFBFBF" w:themeFill="background1" w:themeFillShade="BF"/>
          </w:tcPr>
          <w:p w14:paraId="318DEE63" w14:textId="77777777" w:rsidR="00B5280A" w:rsidRPr="00400694" w:rsidRDefault="00B5280A" w:rsidP="00D90B48">
            <w:pPr>
              <w:spacing w:before="60" w:after="60"/>
              <w:jc w:val="right"/>
              <w:rPr>
                <w:sz w:val="14"/>
                <w:szCs w:val="14"/>
              </w:rPr>
            </w:pPr>
          </w:p>
        </w:tc>
      </w:tr>
      <w:tr w:rsidR="00B5280A" w:rsidRPr="00400694" w14:paraId="65923F00" w14:textId="77777777" w:rsidTr="00587B96">
        <w:tc>
          <w:tcPr>
            <w:tcW w:w="851" w:type="dxa"/>
            <w:shd w:val="clear" w:color="auto" w:fill="BFBFBF" w:themeFill="background1" w:themeFillShade="BF"/>
          </w:tcPr>
          <w:p w14:paraId="505D83E8" w14:textId="77777777" w:rsidR="00B5280A" w:rsidRPr="00400694" w:rsidRDefault="00B5280A" w:rsidP="00B5280A">
            <w:pPr>
              <w:spacing w:before="60" w:after="60"/>
              <w:jc w:val="center"/>
              <w:rPr>
                <w:rStyle w:val="Strong"/>
                <w:b w:val="0"/>
                <w:bCs w:val="0"/>
                <w:sz w:val="14"/>
                <w:szCs w:val="14"/>
              </w:rPr>
            </w:pPr>
            <w:r w:rsidRPr="00400694">
              <w:rPr>
                <w:rStyle w:val="Strong"/>
                <w:b w:val="0"/>
                <w:bCs w:val="0"/>
                <w:sz w:val="14"/>
                <w:szCs w:val="14"/>
              </w:rPr>
              <w:t>2000/01</w:t>
            </w:r>
          </w:p>
        </w:tc>
        <w:tc>
          <w:tcPr>
            <w:tcW w:w="992" w:type="dxa"/>
          </w:tcPr>
          <w:p w14:paraId="2E9A4AB3" w14:textId="78EDD694" w:rsidR="00B5280A" w:rsidRPr="00400694" w:rsidRDefault="00B5280A" w:rsidP="00B5280A">
            <w:pPr>
              <w:spacing w:before="60" w:after="60"/>
              <w:jc w:val="right"/>
              <w:rPr>
                <w:rStyle w:val="Strong"/>
                <w:b w:val="0"/>
                <w:bCs w:val="0"/>
                <w:sz w:val="14"/>
                <w:szCs w:val="14"/>
              </w:rPr>
            </w:pPr>
            <w:r w:rsidRPr="00400694">
              <w:rPr>
                <w:rStyle w:val="Strong"/>
                <w:b w:val="0"/>
                <w:bCs w:val="0"/>
                <w:sz w:val="14"/>
                <w:szCs w:val="14"/>
              </w:rPr>
              <w:t>2.33%</w:t>
            </w:r>
          </w:p>
        </w:tc>
        <w:tc>
          <w:tcPr>
            <w:tcW w:w="850" w:type="dxa"/>
          </w:tcPr>
          <w:p w14:paraId="703092AF" w14:textId="7C6EB735" w:rsidR="00B5280A" w:rsidRPr="00400694" w:rsidRDefault="00B5280A" w:rsidP="00B5280A">
            <w:pPr>
              <w:spacing w:before="60" w:after="60"/>
              <w:jc w:val="right"/>
              <w:rPr>
                <w:rStyle w:val="Strong"/>
                <w:b w:val="0"/>
                <w:bCs w:val="0"/>
                <w:sz w:val="14"/>
                <w:szCs w:val="14"/>
              </w:rPr>
            </w:pPr>
            <w:r w:rsidRPr="00400694">
              <w:rPr>
                <w:rStyle w:val="Strong"/>
                <w:b w:val="0"/>
                <w:bCs w:val="0"/>
                <w:sz w:val="14"/>
                <w:szCs w:val="14"/>
              </w:rPr>
              <w:t>4.08%</w:t>
            </w:r>
          </w:p>
        </w:tc>
        <w:tc>
          <w:tcPr>
            <w:tcW w:w="851" w:type="dxa"/>
          </w:tcPr>
          <w:p w14:paraId="127845BA" w14:textId="738610DD" w:rsidR="00B5280A" w:rsidRPr="00400694" w:rsidRDefault="00B5280A" w:rsidP="00B5280A">
            <w:pPr>
              <w:spacing w:before="60" w:after="60"/>
              <w:jc w:val="right"/>
              <w:rPr>
                <w:rStyle w:val="Strong"/>
                <w:b w:val="0"/>
                <w:bCs w:val="0"/>
                <w:sz w:val="14"/>
                <w:szCs w:val="14"/>
              </w:rPr>
            </w:pPr>
            <w:r w:rsidRPr="00400694">
              <w:rPr>
                <w:rStyle w:val="Strong"/>
                <w:b w:val="0"/>
                <w:bCs w:val="0"/>
                <w:sz w:val="14"/>
                <w:szCs w:val="14"/>
              </w:rPr>
              <w:t>3.62%</w:t>
            </w:r>
          </w:p>
        </w:tc>
        <w:tc>
          <w:tcPr>
            <w:tcW w:w="850" w:type="dxa"/>
          </w:tcPr>
          <w:p w14:paraId="2B17B7AE" w14:textId="7536944D" w:rsidR="00B5280A" w:rsidRPr="00400694" w:rsidRDefault="00B5280A" w:rsidP="00B5280A">
            <w:pPr>
              <w:spacing w:before="60" w:after="60"/>
              <w:jc w:val="right"/>
              <w:rPr>
                <w:rStyle w:val="Strong"/>
                <w:b w:val="0"/>
                <w:bCs w:val="0"/>
                <w:sz w:val="14"/>
                <w:szCs w:val="14"/>
              </w:rPr>
            </w:pPr>
            <w:r w:rsidRPr="00400694">
              <w:rPr>
                <w:rStyle w:val="Strong"/>
                <w:b w:val="0"/>
                <w:bCs w:val="0"/>
                <w:sz w:val="14"/>
                <w:szCs w:val="14"/>
              </w:rPr>
              <w:t>3.77%</w:t>
            </w:r>
          </w:p>
        </w:tc>
        <w:tc>
          <w:tcPr>
            <w:tcW w:w="851" w:type="dxa"/>
          </w:tcPr>
          <w:p w14:paraId="47EE5026" w14:textId="7A22323C" w:rsidR="00B5280A" w:rsidRPr="00400694" w:rsidRDefault="00B5280A" w:rsidP="00B5280A">
            <w:pPr>
              <w:spacing w:before="60" w:after="60"/>
              <w:jc w:val="right"/>
              <w:rPr>
                <w:rStyle w:val="Strong"/>
                <w:b w:val="0"/>
                <w:bCs w:val="0"/>
                <w:sz w:val="14"/>
                <w:szCs w:val="14"/>
              </w:rPr>
            </w:pPr>
            <w:r w:rsidRPr="00400694">
              <w:rPr>
                <w:rStyle w:val="Strong"/>
                <w:b w:val="0"/>
                <w:bCs w:val="0"/>
                <w:sz w:val="14"/>
                <w:szCs w:val="14"/>
              </w:rPr>
              <w:t>4.12%</w:t>
            </w:r>
          </w:p>
        </w:tc>
        <w:tc>
          <w:tcPr>
            <w:tcW w:w="850" w:type="dxa"/>
            <w:shd w:val="clear" w:color="auto" w:fill="auto"/>
          </w:tcPr>
          <w:p w14:paraId="1C8595A7" w14:textId="6DCE4847" w:rsidR="00B5280A" w:rsidRPr="00400694" w:rsidRDefault="00EF1E00" w:rsidP="00B5280A">
            <w:pPr>
              <w:spacing w:before="60" w:after="60"/>
              <w:jc w:val="right"/>
              <w:rPr>
                <w:rStyle w:val="Strong"/>
                <w:b w:val="0"/>
                <w:bCs w:val="0"/>
                <w:sz w:val="14"/>
                <w:szCs w:val="14"/>
              </w:rPr>
            </w:pPr>
            <w:r w:rsidRPr="00400694">
              <w:rPr>
                <w:rStyle w:val="Strong"/>
                <w:b w:val="0"/>
                <w:bCs w:val="0"/>
                <w:sz w:val="14"/>
                <w:szCs w:val="14"/>
              </w:rPr>
              <w:t>3.46</w:t>
            </w:r>
            <w:r w:rsidR="00B5280A" w:rsidRPr="00400694">
              <w:rPr>
                <w:rStyle w:val="Strong"/>
                <w:b w:val="0"/>
                <w:bCs w:val="0"/>
                <w:sz w:val="14"/>
                <w:szCs w:val="14"/>
              </w:rPr>
              <w:t>%</w:t>
            </w:r>
          </w:p>
        </w:tc>
        <w:tc>
          <w:tcPr>
            <w:tcW w:w="851" w:type="dxa"/>
          </w:tcPr>
          <w:p w14:paraId="4BCAE4F5" w14:textId="34708C22" w:rsidR="00B5280A" w:rsidRPr="00400694" w:rsidRDefault="00EF1E00" w:rsidP="00B5280A">
            <w:pPr>
              <w:spacing w:before="60" w:after="60"/>
              <w:jc w:val="right"/>
              <w:rPr>
                <w:sz w:val="14"/>
                <w:szCs w:val="14"/>
              </w:rPr>
            </w:pPr>
            <w:r w:rsidRPr="00400694">
              <w:rPr>
                <w:rStyle w:val="Strong"/>
                <w:b w:val="0"/>
                <w:bCs w:val="0"/>
                <w:sz w:val="14"/>
                <w:szCs w:val="14"/>
              </w:rPr>
              <w:t>2.33</w:t>
            </w:r>
            <w:r w:rsidR="00B5280A" w:rsidRPr="00400694">
              <w:rPr>
                <w:rStyle w:val="Strong"/>
                <w:b w:val="0"/>
                <w:bCs w:val="0"/>
                <w:sz w:val="14"/>
                <w:szCs w:val="14"/>
              </w:rPr>
              <w:t>%</w:t>
            </w:r>
          </w:p>
        </w:tc>
        <w:tc>
          <w:tcPr>
            <w:tcW w:w="850" w:type="dxa"/>
          </w:tcPr>
          <w:p w14:paraId="41BE7B2C" w14:textId="027BB9F4" w:rsidR="00B5280A" w:rsidRPr="00400694" w:rsidRDefault="00EF1E00" w:rsidP="00B5280A">
            <w:pPr>
              <w:spacing w:before="60" w:after="60"/>
              <w:jc w:val="right"/>
              <w:rPr>
                <w:sz w:val="14"/>
                <w:szCs w:val="14"/>
              </w:rPr>
            </w:pPr>
            <w:r w:rsidRPr="00400694">
              <w:rPr>
                <w:rStyle w:val="Strong"/>
                <w:b w:val="0"/>
                <w:bCs w:val="0"/>
                <w:sz w:val="14"/>
                <w:szCs w:val="14"/>
              </w:rPr>
              <w:t>4.71</w:t>
            </w:r>
            <w:r w:rsidR="00B5280A" w:rsidRPr="00400694">
              <w:rPr>
                <w:rStyle w:val="Strong"/>
                <w:b w:val="0"/>
                <w:bCs w:val="0"/>
                <w:sz w:val="14"/>
                <w:szCs w:val="14"/>
              </w:rPr>
              <w:t>%</w:t>
            </w:r>
          </w:p>
        </w:tc>
        <w:tc>
          <w:tcPr>
            <w:tcW w:w="851" w:type="dxa"/>
          </w:tcPr>
          <w:p w14:paraId="43881D9A" w14:textId="16F1E4FD" w:rsidR="00B5280A" w:rsidRPr="00400694" w:rsidRDefault="00EF1E00" w:rsidP="00B5280A">
            <w:pPr>
              <w:spacing w:before="60" w:after="60"/>
              <w:jc w:val="right"/>
              <w:rPr>
                <w:sz w:val="14"/>
                <w:szCs w:val="14"/>
              </w:rPr>
            </w:pPr>
            <w:r w:rsidRPr="00400694">
              <w:rPr>
                <w:rStyle w:val="Strong"/>
                <w:b w:val="0"/>
                <w:bCs w:val="0"/>
                <w:sz w:val="14"/>
                <w:szCs w:val="14"/>
              </w:rPr>
              <w:t>4.16</w:t>
            </w:r>
            <w:r w:rsidR="00B5280A" w:rsidRPr="00400694">
              <w:rPr>
                <w:rStyle w:val="Strong"/>
                <w:b w:val="0"/>
                <w:bCs w:val="0"/>
                <w:sz w:val="14"/>
                <w:szCs w:val="14"/>
              </w:rPr>
              <w:t>%</w:t>
            </w:r>
          </w:p>
        </w:tc>
        <w:tc>
          <w:tcPr>
            <w:tcW w:w="850" w:type="dxa"/>
          </w:tcPr>
          <w:p w14:paraId="57E475E2" w14:textId="0B7E520A" w:rsidR="00B5280A" w:rsidRPr="00400694" w:rsidRDefault="00EF1E00" w:rsidP="00B5280A">
            <w:pPr>
              <w:spacing w:before="60" w:after="60"/>
              <w:jc w:val="right"/>
              <w:rPr>
                <w:sz w:val="14"/>
                <w:szCs w:val="14"/>
              </w:rPr>
            </w:pPr>
            <w:r w:rsidRPr="00400694">
              <w:rPr>
                <w:rStyle w:val="Strong"/>
                <w:b w:val="0"/>
                <w:bCs w:val="0"/>
                <w:sz w:val="14"/>
                <w:szCs w:val="14"/>
              </w:rPr>
              <w:t>3.75</w:t>
            </w:r>
            <w:r w:rsidR="00B5280A" w:rsidRPr="00400694">
              <w:rPr>
                <w:rStyle w:val="Strong"/>
                <w:b w:val="0"/>
                <w:bCs w:val="0"/>
                <w:sz w:val="14"/>
                <w:szCs w:val="14"/>
              </w:rPr>
              <w:t>%</w:t>
            </w:r>
          </w:p>
        </w:tc>
        <w:tc>
          <w:tcPr>
            <w:tcW w:w="851" w:type="dxa"/>
          </w:tcPr>
          <w:p w14:paraId="728B503E" w14:textId="65BC5AE9" w:rsidR="00B5280A" w:rsidRPr="00400694" w:rsidRDefault="00EF1E00" w:rsidP="00B5280A">
            <w:pPr>
              <w:spacing w:before="60" w:after="60"/>
              <w:jc w:val="right"/>
              <w:rPr>
                <w:sz w:val="14"/>
                <w:szCs w:val="14"/>
              </w:rPr>
            </w:pPr>
            <w:r w:rsidRPr="00400694">
              <w:rPr>
                <w:rStyle w:val="Strong"/>
                <w:b w:val="0"/>
                <w:bCs w:val="0"/>
                <w:sz w:val="14"/>
                <w:szCs w:val="14"/>
              </w:rPr>
              <w:t>4.44</w:t>
            </w:r>
            <w:r w:rsidR="00B5280A" w:rsidRPr="00400694">
              <w:rPr>
                <w:rStyle w:val="Strong"/>
                <w:b w:val="0"/>
                <w:bCs w:val="0"/>
                <w:sz w:val="14"/>
                <w:szCs w:val="14"/>
              </w:rPr>
              <w:t>%</w:t>
            </w:r>
          </w:p>
        </w:tc>
      </w:tr>
      <w:tr w:rsidR="00EF1E00" w:rsidRPr="00400694" w14:paraId="35456EC1" w14:textId="77777777" w:rsidTr="00587B96">
        <w:tc>
          <w:tcPr>
            <w:tcW w:w="851" w:type="dxa"/>
            <w:shd w:val="clear" w:color="auto" w:fill="BFBFBF" w:themeFill="background1" w:themeFillShade="BF"/>
          </w:tcPr>
          <w:p w14:paraId="3687D32B" w14:textId="77777777" w:rsidR="00EF1E00" w:rsidRPr="00400694" w:rsidRDefault="00EF1E00" w:rsidP="00EF1E00">
            <w:pPr>
              <w:spacing w:before="60" w:after="60"/>
              <w:jc w:val="center"/>
              <w:rPr>
                <w:rStyle w:val="Strong"/>
                <w:b w:val="0"/>
                <w:bCs w:val="0"/>
                <w:sz w:val="14"/>
                <w:szCs w:val="14"/>
              </w:rPr>
            </w:pPr>
            <w:r w:rsidRPr="00400694">
              <w:rPr>
                <w:rStyle w:val="Strong"/>
                <w:b w:val="0"/>
                <w:bCs w:val="0"/>
                <w:sz w:val="14"/>
                <w:szCs w:val="14"/>
              </w:rPr>
              <w:t>01/02</w:t>
            </w:r>
          </w:p>
        </w:tc>
        <w:tc>
          <w:tcPr>
            <w:tcW w:w="992" w:type="dxa"/>
          </w:tcPr>
          <w:p w14:paraId="13BCEF3E" w14:textId="3B5371EB"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2.33%</w:t>
            </w:r>
          </w:p>
        </w:tc>
        <w:tc>
          <w:tcPr>
            <w:tcW w:w="850" w:type="dxa"/>
          </w:tcPr>
          <w:p w14:paraId="5232D019" w14:textId="76319B4C"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4.08%</w:t>
            </w:r>
          </w:p>
        </w:tc>
        <w:tc>
          <w:tcPr>
            <w:tcW w:w="851" w:type="dxa"/>
          </w:tcPr>
          <w:p w14:paraId="0266403A" w14:textId="2FFBE122"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3.62%</w:t>
            </w:r>
          </w:p>
        </w:tc>
        <w:tc>
          <w:tcPr>
            <w:tcW w:w="850" w:type="dxa"/>
          </w:tcPr>
          <w:p w14:paraId="27BAAF30" w14:textId="4157774C"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3.77%</w:t>
            </w:r>
          </w:p>
        </w:tc>
        <w:tc>
          <w:tcPr>
            <w:tcW w:w="851" w:type="dxa"/>
          </w:tcPr>
          <w:p w14:paraId="3FDF8E2B" w14:textId="6F59D911"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4.12%</w:t>
            </w:r>
          </w:p>
        </w:tc>
        <w:tc>
          <w:tcPr>
            <w:tcW w:w="850" w:type="dxa"/>
            <w:shd w:val="clear" w:color="auto" w:fill="auto"/>
          </w:tcPr>
          <w:p w14:paraId="7E5DEE45" w14:textId="4C56DA8D"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3.46%</w:t>
            </w:r>
          </w:p>
        </w:tc>
        <w:tc>
          <w:tcPr>
            <w:tcW w:w="851" w:type="dxa"/>
          </w:tcPr>
          <w:p w14:paraId="748AC76C" w14:textId="787D74F6" w:rsidR="00EF1E00" w:rsidRPr="00400694" w:rsidRDefault="00EF1E00" w:rsidP="00EF1E00">
            <w:pPr>
              <w:spacing w:before="60" w:after="60"/>
              <w:jc w:val="right"/>
              <w:rPr>
                <w:sz w:val="14"/>
                <w:szCs w:val="14"/>
              </w:rPr>
            </w:pPr>
            <w:r w:rsidRPr="00400694">
              <w:rPr>
                <w:rStyle w:val="Strong"/>
                <w:b w:val="0"/>
                <w:bCs w:val="0"/>
                <w:sz w:val="14"/>
                <w:szCs w:val="14"/>
              </w:rPr>
              <w:t>2.33%</w:t>
            </w:r>
          </w:p>
        </w:tc>
        <w:tc>
          <w:tcPr>
            <w:tcW w:w="850" w:type="dxa"/>
          </w:tcPr>
          <w:p w14:paraId="0B116BE7" w14:textId="5AE2D2BD" w:rsidR="00EF1E00" w:rsidRPr="00400694" w:rsidRDefault="00EF1E00" w:rsidP="00EF1E00">
            <w:pPr>
              <w:spacing w:before="60" w:after="60"/>
              <w:jc w:val="right"/>
              <w:rPr>
                <w:sz w:val="14"/>
                <w:szCs w:val="14"/>
              </w:rPr>
            </w:pPr>
            <w:r w:rsidRPr="00400694">
              <w:rPr>
                <w:rStyle w:val="Strong"/>
                <w:b w:val="0"/>
                <w:bCs w:val="0"/>
                <w:sz w:val="14"/>
                <w:szCs w:val="14"/>
              </w:rPr>
              <w:t>4.71%</w:t>
            </w:r>
          </w:p>
        </w:tc>
        <w:tc>
          <w:tcPr>
            <w:tcW w:w="851" w:type="dxa"/>
          </w:tcPr>
          <w:p w14:paraId="36654586" w14:textId="785047A1" w:rsidR="00EF1E00" w:rsidRPr="00400694" w:rsidRDefault="00EF1E00" w:rsidP="00EF1E00">
            <w:pPr>
              <w:spacing w:before="60" w:after="60"/>
              <w:jc w:val="right"/>
              <w:rPr>
                <w:sz w:val="14"/>
                <w:szCs w:val="14"/>
              </w:rPr>
            </w:pPr>
            <w:r w:rsidRPr="00400694">
              <w:rPr>
                <w:rStyle w:val="Strong"/>
                <w:b w:val="0"/>
                <w:bCs w:val="0"/>
                <w:sz w:val="14"/>
                <w:szCs w:val="14"/>
              </w:rPr>
              <w:t>4.16%</w:t>
            </w:r>
          </w:p>
        </w:tc>
        <w:tc>
          <w:tcPr>
            <w:tcW w:w="850" w:type="dxa"/>
          </w:tcPr>
          <w:p w14:paraId="6628FFE4" w14:textId="1DD303CD" w:rsidR="00EF1E00" w:rsidRPr="00400694" w:rsidRDefault="00EF1E00" w:rsidP="00EF1E00">
            <w:pPr>
              <w:spacing w:before="60" w:after="60"/>
              <w:jc w:val="right"/>
              <w:rPr>
                <w:sz w:val="14"/>
                <w:szCs w:val="14"/>
              </w:rPr>
            </w:pPr>
            <w:r w:rsidRPr="00400694">
              <w:rPr>
                <w:rStyle w:val="Strong"/>
                <w:b w:val="0"/>
                <w:bCs w:val="0"/>
                <w:sz w:val="14"/>
                <w:szCs w:val="14"/>
              </w:rPr>
              <w:t>3.75%</w:t>
            </w:r>
          </w:p>
        </w:tc>
        <w:tc>
          <w:tcPr>
            <w:tcW w:w="851" w:type="dxa"/>
          </w:tcPr>
          <w:p w14:paraId="4DEDC257" w14:textId="3FD4E5F5" w:rsidR="00EF1E00" w:rsidRPr="00400694" w:rsidRDefault="00EF1E00" w:rsidP="00EF1E00">
            <w:pPr>
              <w:spacing w:before="60" w:after="60"/>
              <w:jc w:val="right"/>
              <w:rPr>
                <w:sz w:val="14"/>
                <w:szCs w:val="14"/>
              </w:rPr>
            </w:pPr>
            <w:r w:rsidRPr="00400694">
              <w:rPr>
                <w:rStyle w:val="Strong"/>
                <w:b w:val="0"/>
                <w:bCs w:val="0"/>
                <w:sz w:val="14"/>
                <w:szCs w:val="14"/>
              </w:rPr>
              <w:t>4.44%</w:t>
            </w:r>
          </w:p>
        </w:tc>
      </w:tr>
      <w:tr w:rsidR="00EF1E00" w:rsidRPr="00400694" w14:paraId="17002F80" w14:textId="77777777" w:rsidTr="00587B96">
        <w:tc>
          <w:tcPr>
            <w:tcW w:w="851" w:type="dxa"/>
            <w:shd w:val="clear" w:color="auto" w:fill="BFBFBF" w:themeFill="background1" w:themeFillShade="BF"/>
          </w:tcPr>
          <w:p w14:paraId="43B6B236" w14:textId="77777777" w:rsidR="00EF1E00" w:rsidRPr="00400694" w:rsidRDefault="00EF1E00" w:rsidP="00EF1E00">
            <w:pPr>
              <w:spacing w:before="60" w:after="60"/>
              <w:jc w:val="center"/>
              <w:rPr>
                <w:rStyle w:val="Strong"/>
                <w:b w:val="0"/>
                <w:bCs w:val="0"/>
                <w:sz w:val="14"/>
                <w:szCs w:val="14"/>
              </w:rPr>
            </w:pPr>
            <w:r w:rsidRPr="00400694">
              <w:rPr>
                <w:rStyle w:val="Strong"/>
                <w:b w:val="0"/>
                <w:bCs w:val="0"/>
                <w:sz w:val="14"/>
                <w:szCs w:val="14"/>
              </w:rPr>
              <w:t>02/03</w:t>
            </w:r>
          </w:p>
        </w:tc>
        <w:tc>
          <w:tcPr>
            <w:tcW w:w="992" w:type="dxa"/>
          </w:tcPr>
          <w:p w14:paraId="52DFA220" w14:textId="0B460A5C"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2.33%</w:t>
            </w:r>
          </w:p>
        </w:tc>
        <w:tc>
          <w:tcPr>
            <w:tcW w:w="850" w:type="dxa"/>
          </w:tcPr>
          <w:p w14:paraId="685B7DAA" w14:textId="2332A647"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4.08%</w:t>
            </w:r>
          </w:p>
        </w:tc>
        <w:tc>
          <w:tcPr>
            <w:tcW w:w="851" w:type="dxa"/>
          </w:tcPr>
          <w:p w14:paraId="18F0CD02" w14:textId="19B0D022"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3.62%</w:t>
            </w:r>
          </w:p>
        </w:tc>
        <w:tc>
          <w:tcPr>
            <w:tcW w:w="850" w:type="dxa"/>
          </w:tcPr>
          <w:p w14:paraId="68F58EEE" w14:textId="35876531"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3.77%</w:t>
            </w:r>
          </w:p>
        </w:tc>
        <w:tc>
          <w:tcPr>
            <w:tcW w:w="851" w:type="dxa"/>
          </w:tcPr>
          <w:p w14:paraId="2F792C0F" w14:textId="6732C49A"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4.12%</w:t>
            </w:r>
          </w:p>
        </w:tc>
        <w:tc>
          <w:tcPr>
            <w:tcW w:w="850" w:type="dxa"/>
            <w:shd w:val="clear" w:color="auto" w:fill="auto"/>
          </w:tcPr>
          <w:p w14:paraId="569C0EFE" w14:textId="37ACC666"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3.46%</w:t>
            </w:r>
          </w:p>
        </w:tc>
        <w:tc>
          <w:tcPr>
            <w:tcW w:w="851" w:type="dxa"/>
          </w:tcPr>
          <w:p w14:paraId="3BF8146B" w14:textId="2529F2B5" w:rsidR="00EF1E00" w:rsidRPr="00400694" w:rsidRDefault="00EF1E00" w:rsidP="00EF1E00">
            <w:pPr>
              <w:spacing w:before="60" w:after="60"/>
              <w:jc w:val="right"/>
              <w:rPr>
                <w:sz w:val="14"/>
                <w:szCs w:val="14"/>
              </w:rPr>
            </w:pPr>
            <w:r w:rsidRPr="00400694">
              <w:rPr>
                <w:rStyle w:val="Strong"/>
                <w:b w:val="0"/>
                <w:bCs w:val="0"/>
                <w:sz w:val="14"/>
                <w:szCs w:val="14"/>
              </w:rPr>
              <w:t>2.33%</w:t>
            </w:r>
          </w:p>
        </w:tc>
        <w:tc>
          <w:tcPr>
            <w:tcW w:w="850" w:type="dxa"/>
          </w:tcPr>
          <w:p w14:paraId="37342729" w14:textId="16AC47EE" w:rsidR="00EF1E00" w:rsidRPr="00400694" w:rsidRDefault="00EF1E00" w:rsidP="00EF1E00">
            <w:pPr>
              <w:spacing w:before="60" w:after="60"/>
              <w:jc w:val="right"/>
              <w:rPr>
                <w:sz w:val="14"/>
                <w:szCs w:val="14"/>
              </w:rPr>
            </w:pPr>
            <w:r w:rsidRPr="00400694">
              <w:rPr>
                <w:rStyle w:val="Strong"/>
                <w:b w:val="0"/>
                <w:bCs w:val="0"/>
                <w:sz w:val="14"/>
                <w:szCs w:val="14"/>
              </w:rPr>
              <w:t>4.71%</w:t>
            </w:r>
          </w:p>
        </w:tc>
        <w:tc>
          <w:tcPr>
            <w:tcW w:w="851" w:type="dxa"/>
          </w:tcPr>
          <w:p w14:paraId="66CF2503" w14:textId="2B3360F3" w:rsidR="00EF1E00" w:rsidRPr="00400694" w:rsidRDefault="00EF1E00" w:rsidP="00EF1E00">
            <w:pPr>
              <w:spacing w:before="60" w:after="60"/>
              <w:jc w:val="right"/>
              <w:rPr>
                <w:sz w:val="14"/>
                <w:szCs w:val="14"/>
              </w:rPr>
            </w:pPr>
            <w:r w:rsidRPr="00400694">
              <w:rPr>
                <w:rStyle w:val="Strong"/>
                <w:b w:val="0"/>
                <w:bCs w:val="0"/>
                <w:sz w:val="14"/>
                <w:szCs w:val="14"/>
              </w:rPr>
              <w:t>4.16%</w:t>
            </w:r>
          </w:p>
        </w:tc>
        <w:tc>
          <w:tcPr>
            <w:tcW w:w="850" w:type="dxa"/>
          </w:tcPr>
          <w:p w14:paraId="33CBCB1E" w14:textId="5C13DD94" w:rsidR="00EF1E00" w:rsidRPr="00400694" w:rsidRDefault="00EF1E00" w:rsidP="00EF1E00">
            <w:pPr>
              <w:spacing w:before="60" w:after="60"/>
              <w:jc w:val="right"/>
              <w:rPr>
                <w:sz w:val="14"/>
                <w:szCs w:val="14"/>
              </w:rPr>
            </w:pPr>
            <w:r w:rsidRPr="00400694">
              <w:rPr>
                <w:rStyle w:val="Strong"/>
                <w:b w:val="0"/>
                <w:bCs w:val="0"/>
                <w:sz w:val="14"/>
                <w:szCs w:val="14"/>
              </w:rPr>
              <w:t>3.75%</w:t>
            </w:r>
          </w:p>
        </w:tc>
        <w:tc>
          <w:tcPr>
            <w:tcW w:w="851" w:type="dxa"/>
          </w:tcPr>
          <w:p w14:paraId="2C3C0E5F" w14:textId="7AD06F48" w:rsidR="00EF1E00" w:rsidRPr="00400694" w:rsidRDefault="00EF1E00" w:rsidP="00EF1E00">
            <w:pPr>
              <w:spacing w:before="60" w:after="60"/>
              <w:jc w:val="right"/>
              <w:rPr>
                <w:sz w:val="14"/>
                <w:szCs w:val="14"/>
              </w:rPr>
            </w:pPr>
            <w:r w:rsidRPr="00400694">
              <w:rPr>
                <w:rStyle w:val="Strong"/>
                <w:b w:val="0"/>
                <w:bCs w:val="0"/>
                <w:sz w:val="14"/>
                <w:szCs w:val="14"/>
              </w:rPr>
              <w:t>4.44%</w:t>
            </w:r>
          </w:p>
        </w:tc>
      </w:tr>
      <w:tr w:rsidR="00EF1E00" w:rsidRPr="00400694" w14:paraId="3479E6D1" w14:textId="77777777" w:rsidTr="00587B96">
        <w:tc>
          <w:tcPr>
            <w:tcW w:w="851" w:type="dxa"/>
            <w:shd w:val="clear" w:color="auto" w:fill="BFBFBF" w:themeFill="background1" w:themeFillShade="BF"/>
          </w:tcPr>
          <w:p w14:paraId="7D2B04EF" w14:textId="77777777" w:rsidR="00EF1E00" w:rsidRPr="00400694" w:rsidRDefault="00EF1E00" w:rsidP="00EF1E00">
            <w:pPr>
              <w:spacing w:before="60" w:after="60"/>
              <w:jc w:val="center"/>
              <w:rPr>
                <w:rStyle w:val="Strong"/>
                <w:b w:val="0"/>
                <w:bCs w:val="0"/>
                <w:sz w:val="14"/>
                <w:szCs w:val="14"/>
              </w:rPr>
            </w:pPr>
            <w:r w:rsidRPr="00400694">
              <w:rPr>
                <w:rStyle w:val="Strong"/>
                <w:b w:val="0"/>
                <w:bCs w:val="0"/>
                <w:sz w:val="14"/>
                <w:szCs w:val="14"/>
              </w:rPr>
              <w:t>03/04</w:t>
            </w:r>
          </w:p>
        </w:tc>
        <w:tc>
          <w:tcPr>
            <w:tcW w:w="992" w:type="dxa"/>
          </w:tcPr>
          <w:p w14:paraId="766930F1" w14:textId="19081190"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2.33%</w:t>
            </w:r>
          </w:p>
        </w:tc>
        <w:tc>
          <w:tcPr>
            <w:tcW w:w="850" w:type="dxa"/>
          </w:tcPr>
          <w:p w14:paraId="3C8791F3" w14:textId="4C97252D"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4.08%</w:t>
            </w:r>
          </w:p>
        </w:tc>
        <w:tc>
          <w:tcPr>
            <w:tcW w:w="851" w:type="dxa"/>
          </w:tcPr>
          <w:p w14:paraId="37F6EF9E" w14:textId="7C00107A"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3.62%</w:t>
            </w:r>
          </w:p>
        </w:tc>
        <w:tc>
          <w:tcPr>
            <w:tcW w:w="850" w:type="dxa"/>
          </w:tcPr>
          <w:p w14:paraId="17536029" w14:textId="47530E40"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3.77%</w:t>
            </w:r>
          </w:p>
        </w:tc>
        <w:tc>
          <w:tcPr>
            <w:tcW w:w="851" w:type="dxa"/>
          </w:tcPr>
          <w:p w14:paraId="749CBD9D" w14:textId="0E655A9C"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4.12%</w:t>
            </w:r>
          </w:p>
        </w:tc>
        <w:tc>
          <w:tcPr>
            <w:tcW w:w="850" w:type="dxa"/>
            <w:shd w:val="clear" w:color="auto" w:fill="auto"/>
          </w:tcPr>
          <w:p w14:paraId="3C231D22" w14:textId="1E0A0CBB"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3.46%</w:t>
            </w:r>
          </w:p>
        </w:tc>
        <w:tc>
          <w:tcPr>
            <w:tcW w:w="851" w:type="dxa"/>
          </w:tcPr>
          <w:p w14:paraId="2A2166D0" w14:textId="167B0678" w:rsidR="00EF1E00" w:rsidRPr="00400694" w:rsidRDefault="00EF1E00" w:rsidP="00EF1E00">
            <w:pPr>
              <w:spacing w:before="60" w:after="60"/>
              <w:jc w:val="right"/>
              <w:rPr>
                <w:sz w:val="14"/>
                <w:szCs w:val="14"/>
              </w:rPr>
            </w:pPr>
            <w:r w:rsidRPr="00400694">
              <w:rPr>
                <w:rStyle w:val="Strong"/>
                <w:b w:val="0"/>
                <w:bCs w:val="0"/>
                <w:sz w:val="14"/>
                <w:szCs w:val="14"/>
              </w:rPr>
              <w:t>2.33%</w:t>
            </w:r>
          </w:p>
        </w:tc>
        <w:tc>
          <w:tcPr>
            <w:tcW w:w="850" w:type="dxa"/>
          </w:tcPr>
          <w:p w14:paraId="5E71FBA6" w14:textId="23306EFA" w:rsidR="00EF1E00" w:rsidRPr="00400694" w:rsidRDefault="00EF1E00" w:rsidP="00EF1E00">
            <w:pPr>
              <w:spacing w:before="60" w:after="60"/>
              <w:jc w:val="right"/>
              <w:rPr>
                <w:sz w:val="14"/>
                <w:szCs w:val="14"/>
              </w:rPr>
            </w:pPr>
            <w:r w:rsidRPr="00400694">
              <w:rPr>
                <w:rStyle w:val="Strong"/>
                <w:b w:val="0"/>
                <w:bCs w:val="0"/>
                <w:sz w:val="14"/>
                <w:szCs w:val="14"/>
              </w:rPr>
              <w:t>4.71%</w:t>
            </w:r>
          </w:p>
        </w:tc>
        <w:tc>
          <w:tcPr>
            <w:tcW w:w="851" w:type="dxa"/>
          </w:tcPr>
          <w:p w14:paraId="55CFF116" w14:textId="45200640" w:rsidR="00EF1E00" w:rsidRPr="00400694" w:rsidRDefault="00EF1E00" w:rsidP="00EF1E00">
            <w:pPr>
              <w:spacing w:before="60" w:after="60"/>
              <w:jc w:val="right"/>
              <w:rPr>
                <w:sz w:val="14"/>
                <w:szCs w:val="14"/>
              </w:rPr>
            </w:pPr>
            <w:r w:rsidRPr="00400694">
              <w:rPr>
                <w:rStyle w:val="Strong"/>
                <w:b w:val="0"/>
                <w:bCs w:val="0"/>
                <w:sz w:val="14"/>
                <w:szCs w:val="14"/>
              </w:rPr>
              <w:t>4.16%</w:t>
            </w:r>
          </w:p>
        </w:tc>
        <w:tc>
          <w:tcPr>
            <w:tcW w:w="850" w:type="dxa"/>
          </w:tcPr>
          <w:p w14:paraId="2560B468" w14:textId="04892663" w:rsidR="00EF1E00" w:rsidRPr="00400694" w:rsidRDefault="00EF1E00" w:rsidP="00EF1E00">
            <w:pPr>
              <w:spacing w:before="60" w:after="60"/>
              <w:jc w:val="right"/>
              <w:rPr>
                <w:sz w:val="14"/>
                <w:szCs w:val="14"/>
              </w:rPr>
            </w:pPr>
            <w:r w:rsidRPr="00400694">
              <w:rPr>
                <w:rStyle w:val="Strong"/>
                <w:b w:val="0"/>
                <w:bCs w:val="0"/>
                <w:sz w:val="14"/>
                <w:szCs w:val="14"/>
              </w:rPr>
              <w:t>3.75%</w:t>
            </w:r>
          </w:p>
        </w:tc>
        <w:tc>
          <w:tcPr>
            <w:tcW w:w="851" w:type="dxa"/>
          </w:tcPr>
          <w:p w14:paraId="09F5C457" w14:textId="17950F5E" w:rsidR="00EF1E00" w:rsidRPr="00400694" w:rsidRDefault="00EF1E00" w:rsidP="00EF1E00">
            <w:pPr>
              <w:spacing w:before="60" w:after="60"/>
              <w:jc w:val="right"/>
              <w:rPr>
                <w:sz w:val="14"/>
                <w:szCs w:val="14"/>
              </w:rPr>
            </w:pPr>
            <w:r w:rsidRPr="00400694">
              <w:rPr>
                <w:rStyle w:val="Strong"/>
                <w:b w:val="0"/>
                <w:bCs w:val="0"/>
                <w:sz w:val="14"/>
                <w:szCs w:val="14"/>
              </w:rPr>
              <w:t>4.44%</w:t>
            </w:r>
          </w:p>
        </w:tc>
      </w:tr>
      <w:tr w:rsidR="00EF1E00" w:rsidRPr="00400694" w14:paraId="7F58E2A1" w14:textId="77777777" w:rsidTr="00587B96">
        <w:tc>
          <w:tcPr>
            <w:tcW w:w="851" w:type="dxa"/>
            <w:shd w:val="clear" w:color="auto" w:fill="BFBFBF" w:themeFill="background1" w:themeFillShade="BF"/>
          </w:tcPr>
          <w:p w14:paraId="4398B605" w14:textId="77777777" w:rsidR="00EF1E00" w:rsidRPr="00400694" w:rsidRDefault="00EF1E00" w:rsidP="00EF1E00">
            <w:pPr>
              <w:spacing w:before="60" w:after="60"/>
              <w:jc w:val="center"/>
              <w:rPr>
                <w:rStyle w:val="Strong"/>
                <w:b w:val="0"/>
                <w:bCs w:val="0"/>
                <w:sz w:val="14"/>
                <w:szCs w:val="14"/>
              </w:rPr>
            </w:pPr>
            <w:r w:rsidRPr="00400694">
              <w:rPr>
                <w:rStyle w:val="Strong"/>
                <w:b w:val="0"/>
                <w:bCs w:val="0"/>
                <w:sz w:val="14"/>
                <w:szCs w:val="14"/>
              </w:rPr>
              <w:t>04/05</w:t>
            </w:r>
          </w:p>
        </w:tc>
        <w:tc>
          <w:tcPr>
            <w:tcW w:w="992" w:type="dxa"/>
          </w:tcPr>
          <w:p w14:paraId="548BAC57" w14:textId="6596863F"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2.33%</w:t>
            </w:r>
          </w:p>
        </w:tc>
        <w:tc>
          <w:tcPr>
            <w:tcW w:w="850" w:type="dxa"/>
          </w:tcPr>
          <w:p w14:paraId="0D5F6D3C" w14:textId="164D4CAC"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4.05%</w:t>
            </w:r>
          </w:p>
        </w:tc>
        <w:tc>
          <w:tcPr>
            <w:tcW w:w="851" w:type="dxa"/>
          </w:tcPr>
          <w:p w14:paraId="20EE524B" w14:textId="6E6D0811"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3.62%</w:t>
            </w:r>
          </w:p>
        </w:tc>
        <w:tc>
          <w:tcPr>
            <w:tcW w:w="850" w:type="dxa"/>
          </w:tcPr>
          <w:p w14:paraId="71D7C343" w14:textId="0D1E7149"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3.77%</w:t>
            </w:r>
          </w:p>
        </w:tc>
        <w:tc>
          <w:tcPr>
            <w:tcW w:w="851" w:type="dxa"/>
          </w:tcPr>
          <w:p w14:paraId="7D6ACE22" w14:textId="1C5EAC9F"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4.12%</w:t>
            </w:r>
          </w:p>
        </w:tc>
        <w:tc>
          <w:tcPr>
            <w:tcW w:w="850" w:type="dxa"/>
            <w:shd w:val="clear" w:color="auto" w:fill="auto"/>
          </w:tcPr>
          <w:p w14:paraId="0572E4AB" w14:textId="7BDA8F42"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3.46%</w:t>
            </w:r>
          </w:p>
        </w:tc>
        <w:tc>
          <w:tcPr>
            <w:tcW w:w="851" w:type="dxa"/>
          </w:tcPr>
          <w:p w14:paraId="23BB2068" w14:textId="790C3800" w:rsidR="00EF1E00" w:rsidRPr="00400694" w:rsidRDefault="00EF1E00" w:rsidP="00EF1E00">
            <w:pPr>
              <w:spacing w:before="60" w:after="60"/>
              <w:jc w:val="right"/>
              <w:rPr>
                <w:sz w:val="14"/>
                <w:szCs w:val="14"/>
              </w:rPr>
            </w:pPr>
            <w:r w:rsidRPr="00400694">
              <w:rPr>
                <w:rStyle w:val="Strong"/>
                <w:b w:val="0"/>
                <w:bCs w:val="0"/>
                <w:sz w:val="14"/>
                <w:szCs w:val="14"/>
              </w:rPr>
              <w:t>2.33%</w:t>
            </w:r>
          </w:p>
        </w:tc>
        <w:tc>
          <w:tcPr>
            <w:tcW w:w="850" w:type="dxa"/>
          </w:tcPr>
          <w:p w14:paraId="5CD6F6AB" w14:textId="67A39D69" w:rsidR="00EF1E00" w:rsidRPr="00400694" w:rsidRDefault="00EF1E00" w:rsidP="00EF1E00">
            <w:pPr>
              <w:spacing w:before="60" w:after="60"/>
              <w:jc w:val="right"/>
              <w:rPr>
                <w:sz w:val="14"/>
                <w:szCs w:val="14"/>
              </w:rPr>
            </w:pPr>
            <w:r w:rsidRPr="00400694">
              <w:rPr>
                <w:rStyle w:val="Strong"/>
                <w:b w:val="0"/>
                <w:bCs w:val="0"/>
                <w:sz w:val="14"/>
                <w:szCs w:val="14"/>
              </w:rPr>
              <w:t>4.71%</w:t>
            </w:r>
          </w:p>
        </w:tc>
        <w:tc>
          <w:tcPr>
            <w:tcW w:w="851" w:type="dxa"/>
          </w:tcPr>
          <w:p w14:paraId="3DC1E380" w14:textId="2DC92D6C" w:rsidR="00EF1E00" w:rsidRPr="00400694" w:rsidRDefault="00EF1E00" w:rsidP="00EF1E00">
            <w:pPr>
              <w:spacing w:before="60" w:after="60"/>
              <w:jc w:val="right"/>
              <w:rPr>
                <w:sz w:val="14"/>
                <w:szCs w:val="14"/>
              </w:rPr>
            </w:pPr>
            <w:r w:rsidRPr="00400694">
              <w:rPr>
                <w:rStyle w:val="Strong"/>
                <w:b w:val="0"/>
                <w:bCs w:val="0"/>
                <w:sz w:val="14"/>
                <w:szCs w:val="14"/>
              </w:rPr>
              <w:t>4.16%</w:t>
            </w:r>
          </w:p>
        </w:tc>
        <w:tc>
          <w:tcPr>
            <w:tcW w:w="850" w:type="dxa"/>
          </w:tcPr>
          <w:p w14:paraId="5241761F" w14:textId="357943FD" w:rsidR="00EF1E00" w:rsidRPr="00400694" w:rsidRDefault="00EF1E00" w:rsidP="00EF1E00">
            <w:pPr>
              <w:spacing w:before="60" w:after="60"/>
              <w:jc w:val="right"/>
              <w:rPr>
                <w:sz w:val="14"/>
                <w:szCs w:val="14"/>
              </w:rPr>
            </w:pPr>
            <w:r w:rsidRPr="00400694">
              <w:rPr>
                <w:rStyle w:val="Strong"/>
                <w:b w:val="0"/>
                <w:bCs w:val="0"/>
                <w:sz w:val="14"/>
                <w:szCs w:val="14"/>
              </w:rPr>
              <w:t>3.75%</w:t>
            </w:r>
          </w:p>
        </w:tc>
        <w:tc>
          <w:tcPr>
            <w:tcW w:w="851" w:type="dxa"/>
          </w:tcPr>
          <w:p w14:paraId="345D6E2F" w14:textId="2F197491" w:rsidR="00EF1E00" w:rsidRPr="00400694" w:rsidRDefault="00EF1E00" w:rsidP="00EF1E00">
            <w:pPr>
              <w:spacing w:before="60" w:after="60"/>
              <w:jc w:val="right"/>
              <w:rPr>
                <w:sz w:val="14"/>
                <w:szCs w:val="14"/>
              </w:rPr>
            </w:pPr>
            <w:r w:rsidRPr="00400694">
              <w:rPr>
                <w:rStyle w:val="Strong"/>
                <w:b w:val="0"/>
                <w:bCs w:val="0"/>
                <w:sz w:val="14"/>
                <w:szCs w:val="14"/>
              </w:rPr>
              <w:t>4.44%</w:t>
            </w:r>
          </w:p>
        </w:tc>
      </w:tr>
      <w:tr w:rsidR="00EF1E00" w:rsidRPr="00400694" w14:paraId="6AD7BFC6" w14:textId="77777777" w:rsidTr="00587B96">
        <w:tc>
          <w:tcPr>
            <w:tcW w:w="851" w:type="dxa"/>
            <w:shd w:val="clear" w:color="auto" w:fill="BFBFBF" w:themeFill="background1" w:themeFillShade="BF"/>
          </w:tcPr>
          <w:p w14:paraId="0FFB275D" w14:textId="77777777" w:rsidR="00EF1E00" w:rsidRPr="00400694" w:rsidRDefault="00EF1E00" w:rsidP="00EF1E00">
            <w:pPr>
              <w:spacing w:before="60" w:after="60"/>
              <w:jc w:val="center"/>
              <w:rPr>
                <w:rStyle w:val="Strong"/>
                <w:b w:val="0"/>
                <w:bCs w:val="0"/>
                <w:sz w:val="14"/>
                <w:szCs w:val="14"/>
              </w:rPr>
            </w:pPr>
            <w:r w:rsidRPr="00400694">
              <w:rPr>
                <w:rStyle w:val="Strong"/>
                <w:b w:val="0"/>
                <w:bCs w:val="0"/>
                <w:sz w:val="14"/>
                <w:szCs w:val="14"/>
              </w:rPr>
              <w:t>05/06</w:t>
            </w:r>
          </w:p>
        </w:tc>
        <w:tc>
          <w:tcPr>
            <w:tcW w:w="992" w:type="dxa"/>
          </w:tcPr>
          <w:p w14:paraId="3121CB6A" w14:textId="5AA8FCEC"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2.33%</w:t>
            </w:r>
          </w:p>
        </w:tc>
        <w:tc>
          <w:tcPr>
            <w:tcW w:w="850" w:type="dxa"/>
          </w:tcPr>
          <w:p w14:paraId="788576EC" w14:textId="0B148B8C"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4.05%</w:t>
            </w:r>
          </w:p>
        </w:tc>
        <w:tc>
          <w:tcPr>
            <w:tcW w:w="851" w:type="dxa"/>
          </w:tcPr>
          <w:p w14:paraId="33303EA3" w14:textId="3920C6DC"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3.79%</w:t>
            </w:r>
          </w:p>
        </w:tc>
        <w:tc>
          <w:tcPr>
            <w:tcW w:w="850" w:type="dxa"/>
          </w:tcPr>
          <w:p w14:paraId="5CDFB347" w14:textId="0BECE5B0"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3.77%</w:t>
            </w:r>
          </w:p>
        </w:tc>
        <w:tc>
          <w:tcPr>
            <w:tcW w:w="851" w:type="dxa"/>
          </w:tcPr>
          <w:p w14:paraId="0CED9040" w14:textId="03D0E056"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4.00%</w:t>
            </w:r>
          </w:p>
        </w:tc>
        <w:tc>
          <w:tcPr>
            <w:tcW w:w="850" w:type="dxa"/>
            <w:shd w:val="clear" w:color="auto" w:fill="auto"/>
          </w:tcPr>
          <w:p w14:paraId="10C3987B" w14:textId="2CE11691"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3.62%</w:t>
            </w:r>
          </w:p>
        </w:tc>
        <w:tc>
          <w:tcPr>
            <w:tcW w:w="851" w:type="dxa"/>
          </w:tcPr>
          <w:p w14:paraId="3ABD671F" w14:textId="311FFE48" w:rsidR="00EF1E00" w:rsidRPr="00400694" w:rsidRDefault="00EF1E00" w:rsidP="00EF1E00">
            <w:pPr>
              <w:spacing w:before="60" w:after="60"/>
              <w:jc w:val="right"/>
              <w:rPr>
                <w:sz w:val="14"/>
                <w:szCs w:val="14"/>
              </w:rPr>
            </w:pPr>
            <w:r w:rsidRPr="00400694">
              <w:rPr>
                <w:rStyle w:val="Strong"/>
                <w:b w:val="0"/>
                <w:bCs w:val="0"/>
                <w:sz w:val="14"/>
                <w:szCs w:val="14"/>
              </w:rPr>
              <w:t>2.33%</w:t>
            </w:r>
          </w:p>
        </w:tc>
        <w:tc>
          <w:tcPr>
            <w:tcW w:w="850" w:type="dxa"/>
          </w:tcPr>
          <w:p w14:paraId="0F29F232" w14:textId="0A4A59E6" w:rsidR="00EF1E00" w:rsidRPr="00400694" w:rsidRDefault="00EF1E00" w:rsidP="00EF1E00">
            <w:pPr>
              <w:spacing w:before="60" w:after="60"/>
              <w:jc w:val="right"/>
              <w:rPr>
                <w:sz w:val="14"/>
                <w:szCs w:val="14"/>
              </w:rPr>
            </w:pPr>
            <w:r w:rsidRPr="00400694">
              <w:rPr>
                <w:rStyle w:val="Strong"/>
                <w:b w:val="0"/>
                <w:bCs w:val="0"/>
                <w:sz w:val="14"/>
                <w:szCs w:val="14"/>
              </w:rPr>
              <w:t>4.24%</w:t>
            </w:r>
          </w:p>
        </w:tc>
        <w:tc>
          <w:tcPr>
            <w:tcW w:w="851" w:type="dxa"/>
          </w:tcPr>
          <w:p w14:paraId="573D2B26" w14:textId="69B825E0" w:rsidR="00EF1E00" w:rsidRPr="00400694" w:rsidRDefault="00EF1E00" w:rsidP="00EF1E00">
            <w:pPr>
              <w:spacing w:before="60" w:after="60"/>
              <w:jc w:val="right"/>
              <w:rPr>
                <w:sz w:val="14"/>
                <w:szCs w:val="14"/>
              </w:rPr>
            </w:pPr>
            <w:r w:rsidRPr="00400694">
              <w:rPr>
                <w:rStyle w:val="Strong"/>
                <w:b w:val="0"/>
                <w:bCs w:val="0"/>
                <w:sz w:val="14"/>
                <w:szCs w:val="14"/>
              </w:rPr>
              <w:t>4.02%</w:t>
            </w:r>
          </w:p>
        </w:tc>
        <w:tc>
          <w:tcPr>
            <w:tcW w:w="850" w:type="dxa"/>
          </w:tcPr>
          <w:p w14:paraId="60AD397A" w14:textId="4E557279" w:rsidR="00EF1E00" w:rsidRPr="00400694" w:rsidRDefault="00EF1E00" w:rsidP="00EF1E00">
            <w:pPr>
              <w:spacing w:before="60" w:after="60"/>
              <w:jc w:val="right"/>
              <w:rPr>
                <w:sz w:val="14"/>
                <w:szCs w:val="14"/>
              </w:rPr>
            </w:pPr>
            <w:r w:rsidRPr="00400694">
              <w:rPr>
                <w:rStyle w:val="Strong"/>
                <w:b w:val="0"/>
                <w:bCs w:val="0"/>
                <w:sz w:val="14"/>
                <w:szCs w:val="14"/>
              </w:rPr>
              <w:t>3.78%</w:t>
            </w:r>
          </w:p>
        </w:tc>
        <w:tc>
          <w:tcPr>
            <w:tcW w:w="851" w:type="dxa"/>
          </w:tcPr>
          <w:p w14:paraId="7082F401" w14:textId="66463FCB" w:rsidR="00EF1E00" w:rsidRPr="00400694" w:rsidRDefault="00EF1E00" w:rsidP="00EF1E00">
            <w:pPr>
              <w:spacing w:before="60" w:after="60"/>
              <w:jc w:val="right"/>
              <w:rPr>
                <w:sz w:val="14"/>
                <w:szCs w:val="14"/>
              </w:rPr>
            </w:pPr>
            <w:r w:rsidRPr="00400694">
              <w:rPr>
                <w:rStyle w:val="Strong"/>
                <w:b w:val="0"/>
                <w:bCs w:val="0"/>
                <w:sz w:val="14"/>
                <w:szCs w:val="14"/>
              </w:rPr>
              <w:t>4.44%</w:t>
            </w:r>
          </w:p>
        </w:tc>
      </w:tr>
      <w:tr w:rsidR="00EF1E00" w:rsidRPr="00400694" w14:paraId="4F9C55FB" w14:textId="77777777" w:rsidTr="00587B96">
        <w:tc>
          <w:tcPr>
            <w:tcW w:w="851" w:type="dxa"/>
            <w:shd w:val="clear" w:color="auto" w:fill="BFBFBF" w:themeFill="background1" w:themeFillShade="BF"/>
          </w:tcPr>
          <w:p w14:paraId="71E5010B" w14:textId="77777777" w:rsidR="00EF1E00" w:rsidRPr="00400694" w:rsidRDefault="00EF1E00" w:rsidP="00EF1E00">
            <w:pPr>
              <w:spacing w:before="60" w:after="60"/>
              <w:jc w:val="center"/>
              <w:rPr>
                <w:rStyle w:val="Strong"/>
                <w:b w:val="0"/>
                <w:bCs w:val="0"/>
                <w:sz w:val="14"/>
                <w:szCs w:val="14"/>
              </w:rPr>
            </w:pPr>
            <w:r w:rsidRPr="00400694">
              <w:rPr>
                <w:rStyle w:val="Strong"/>
                <w:b w:val="0"/>
                <w:bCs w:val="0"/>
                <w:sz w:val="14"/>
                <w:szCs w:val="14"/>
              </w:rPr>
              <w:t>06/07</w:t>
            </w:r>
          </w:p>
        </w:tc>
        <w:tc>
          <w:tcPr>
            <w:tcW w:w="992" w:type="dxa"/>
          </w:tcPr>
          <w:p w14:paraId="7965F569" w14:textId="1FFBC201"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2.33%</w:t>
            </w:r>
          </w:p>
        </w:tc>
        <w:tc>
          <w:tcPr>
            <w:tcW w:w="850" w:type="dxa"/>
          </w:tcPr>
          <w:p w14:paraId="5784A512" w14:textId="0B683135"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4.05%</w:t>
            </w:r>
          </w:p>
        </w:tc>
        <w:tc>
          <w:tcPr>
            <w:tcW w:w="851" w:type="dxa"/>
          </w:tcPr>
          <w:p w14:paraId="16BD7AFC" w14:textId="70C743AD"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3.79%</w:t>
            </w:r>
          </w:p>
        </w:tc>
        <w:tc>
          <w:tcPr>
            <w:tcW w:w="850" w:type="dxa"/>
          </w:tcPr>
          <w:p w14:paraId="7E23C80C" w14:textId="652E05C7"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3.77%</w:t>
            </w:r>
          </w:p>
        </w:tc>
        <w:tc>
          <w:tcPr>
            <w:tcW w:w="851" w:type="dxa"/>
          </w:tcPr>
          <w:p w14:paraId="3DBE5E89" w14:textId="376D03BF"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4.00%</w:t>
            </w:r>
          </w:p>
        </w:tc>
        <w:tc>
          <w:tcPr>
            <w:tcW w:w="850" w:type="dxa"/>
            <w:shd w:val="clear" w:color="auto" w:fill="auto"/>
          </w:tcPr>
          <w:p w14:paraId="4B3D7015" w14:textId="6FAA3D1F"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3.62%</w:t>
            </w:r>
          </w:p>
        </w:tc>
        <w:tc>
          <w:tcPr>
            <w:tcW w:w="851" w:type="dxa"/>
          </w:tcPr>
          <w:p w14:paraId="0F01A5F5" w14:textId="263E1D38" w:rsidR="00EF1E00" w:rsidRPr="00400694" w:rsidRDefault="00EF1E00" w:rsidP="00EF1E00">
            <w:pPr>
              <w:spacing w:before="60" w:after="60"/>
              <w:jc w:val="right"/>
              <w:rPr>
                <w:sz w:val="14"/>
                <w:szCs w:val="14"/>
              </w:rPr>
            </w:pPr>
            <w:r w:rsidRPr="00400694">
              <w:rPr>
                <w:rStyle w:val="Strong"/>
                <w:b w:val="0"/>
                <w:bCs w:val="0"/>
                <w:sz w:val="14"/>
                <w:szCs w:val="14"/>
              </w:rPr>
              <w:t>2.33%</w:t>
            </w:r>
          </w:p>
        </w:tc>
        <w:tc>
          <w:tcPr>
            <w:tcW w:w="850" w:type="dxa"/>
          </w:tcPr>
          <w:p w14:paraId="4D4850B1" w14:textId="7E6192B2" w:rsidR="00EF1E00" w:rsidRPr="00400694" w:rsidRDefault="00EF1E00" w:rsidP="00EF1E00">
            <w:pPr>
              <w:spacing w:before="60" w:after="60"/>
              <w:jc w:val="right"/>
              <w:rPr>
                <w:sz w:val="14"/>
                <w:szCs w:val="14"/>
              </w:rPr>
            </w:pPr>
            <w:r w:rsidRPr="00400694">
              <w:rPr>
                <w:rStyle w:val="Strong"/>
                <w:b w:val="0"/>
                <w:bCs w:val="0"/>
                <w:sz w:val="14"/>
                <w:szCs w:val="14"/>
              </w:rPr>
              <w:t>4.24%</w:t>
            </w:r>
          </w:p>
        </w:tc>
        <w:tc>
          <w:tcPr>
            <w:tcW w:w="851" w:type="dxa"/>
          </w:tcPr>
          <w:p w14:paraId="6A4C61FA" w14:textId="24B2929D" w:rsidR="00EF1E00" w:rsidRPr="00400694" w:rsidRDefault="00EF1E00" w:rsidP="00EF1E00">
            <w:pPr>
              <w:spacing w:before="60" w:after="60"/>
              <w:jc w:val="right"/>
              <w:rPr>
                <w:sz w:val="14"/>
                <w:szCs w:val="14"/>
              </w:rPr>
            </w:pPr>
            <w:r w:rsidRPr="00400694">
              <w:rPr>
                <w:rStyle w:val="Strong"/>
                <w:b w:val="0"/>
                <w:bCs w:val="0"/>
                <w:sz w:val="14"/>
                <w:szCs w:val="14"/>
              </w:rPr>
              <w:t>4.02%</w:t>
            </w:r>
          </w:p>
        </w:tc>
        <w:tc>
          <w:tcPr>
            <w:tcW w:w="850" w:type="dxa"/>
          </w:tcPr>
          <w:p w14:paraId="0F579F32" w14:textId="5B40A570" w:rsidR="00EF1E00" w:rsidRPr="00400694" w:rsidRDefault="00EF1E00" w:rsidP="00EF1E00">
            <w:pPr>
              <w:spacing w:before="60" w:after="60"/>
              <w:jc w:val="right"/>
              <w:rPr>
                <w:sz w:val="14"/>
                <w:szCs w:val="14"/>
              </w:rPr>
            </w:pPr>
            <w:r w:rsidRPr="00400694">
              <w:rPr>
                <w:rStyle w:val="Strong"/>
                <w:b w:val="0"/>
                <w:bCs w:val="0"/>
                <w:sz w:val="14"/>
                <w:szCs w:val="14"/>
              </w:rPr>
              <w:t>3.78%</w:t>
            </w:r>
          </w:p>
        </w:tc>
        <w:tc>
          <w:tcPr>
            <w:tcW w:w="851" w:type="dxa"/>
          </w:tcPr>
          <w:p w14:paraId="2F82FFCE" w14:textId="12B7FDAA" w:rsidR="00EF1E00" w:rsidRPr="00400694" w:rsidRDefault="00EF1E00" w:rsidP="00EF1E00">
            <w:pPr>
              <w:spacing w:before="60" w:after="60"/>
              <w:jc w:val="right"/>
              <w:rPr>
                <w:sz w:val="14"/>
                <w:szCs w:val="14"/>
              </w:rPr>
            </w:pPr>
            <w:r w:rsidRPr="00400694">
              <w:rPr>
                <w:rStyle w:val="Strong"/>
                <w:b w:val="0"/>
                <w:bCs w:val="0"/>
                <w:sz w:val="14"/>
                <w:szCs w:val="14"/>
              </w:rPr>
              <w:t>4.44%</w:t>
            </w:r>
          </w:p>
        </w:tc>
      </w:tr>
      <w:tr w:rsidR="00EF1E00" w:rsidRPr="00400694" w14:paraId="73FEF80A" w14:textId="77777777" w:rsidTr="00587B96">
        <w:tc>
          <w:tcPr>
            <w:tcW w:w="851" w:type="dxa"/>
            <w:shd w:val="clear" w:color="auto" w:fill="BFBFBF" w:themeFill="background1" w:themeFillShade="BF"/>
          </w:tcPr>
          <w:p w14:paraId="3B9B5759" w14:textId="77777777" w:rsidR="00EF1E00" w:rsidRPr="00400694" w:rsidRDefault="00EF1E00" w:rsidP="00EF1E00">
            <w:pPr>
              <w:spacing w:before="60" w:after="60"/>
              <w:jc w:val="center"/>
              <w:rPr>
                <w:rStyle w:val="Strong"/>
                <w:b w:val="0"/>
                <w:bCs w:val="0"/>
                <w:sz w:val="14"/>
                <w:szCs w:val="14"/>
              </w:rPr>
            </w:pPr>
            <w:r w:rsidRPr="00400694">
              <w:rPr>
                <w:rStyle w:val="Strong"/>
                <w:b w:val="0"/>
                <w:bCs w:val="0"/>
                <w:sz w:val="14"/>
                <w:szCs w:val="14"/>
              </w:rPr>
              <w:t>07/08</w:t>
            </w:r>
          </w:p>
        </w:tc>
        <w:tc>
          <w:tcPr>
            <w:tcW w:w="992" w:type="dxa"/>
          </w:tcPr>
          <w:p w14:paraId="5172D104" w14:textId="184E52CB"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2.33%</w:t>
            </w:r>
          </w:p>
        </w:tc>
        <w:tc>
          <w:tcPr>
            <w:tcW w:w="850" w:type="dxa"/>
          </w:tcPr>
          <w:p w14:paraId="3CC95E92" w14:textId="72CADB4B"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4.05%</w:t>
            </w:r>
          </w:p>
        </w:tc>
        <w:tc>
          <w:tcPr>
            <w:tcW w:w="851" w:type="dxa"/>
          </w:tcPr>
          <w:p w14:paraId="143DD1E5" w14:textId="64E6DCEB"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3.79%</w:t>
            </w:r>
          </w:p>
        </w:tc>
        <w:tc>
          <w:tcPr>
            <w:tcW w:w="850" w:type="dxa"/>
          </w:tcPr>
          <w:p w14:paraId="22AA0347" w14:textId="774EB79A"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3.77%</w:t>
            </w:r>
          </w:p>
        </w:tc>
        <w:tc>
          <w:tcPr>
            <w:tcW w:w="851" w:type="dxa"/>
          </w:tcPr>
          <w:p w14:paraId="6F4C8066" w14:textId="77124DB9"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4.00%</w:t>
            </w:r>
          </w:p>
        </w:tc>
        <w:tc>
          <w:tcPr>
            <w:tcW w:w="850" w:type="dxa"/>
            <w:shd w:val="clear" w:color="auto" w:fill="auto"/>
          </w:tcPr>
          <w:p w14:paraId="64E6BF71" w14:textId="6E483682"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3.62%</w:t>
            </w:r>
          </w:p>
        </w:tc>
        <w:tc>
          <w:tcPr>
            <w:tcW w:w="851" w:type="dxa"/>
          </w:tcPr>
          <w:p w14:paraId="034B2B98" w14:textId="19957CA5"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2.33%</w:t>
            </w:r>
          </w:p>
        </w:tc>
        <w:tc>
          <w:tcPr>
            <w:tcW w:w="850" w:type="dxa"/>
          </w:tcPr>
          <w:p w14:paraId="75D41C04" w14:textId="0D0C79D5"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4.24%</w:t>
            </w:r>
          </w:p>
        </w:tc>
        <w:tc>
          <w:tcPr>
            <w:tcW w:w="851" w:type="dxa"/>
          </w:tcPr>
          <w:p w14:paraId="6543AF54" w14:textId="52730DB1"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4.02%</w:t>
            </w:r>
          </w:p>
        </w:tc>
        <w:tc>
          <w:tcPr>
            <w:tcW w:w="850" w:type="dxa"/>
          </w:tcPr>
          <w:p w14:paraId="70AA0D3E" w14:textId="576EFD99"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3.78%</w:t>
            </w:r>
          </w:p>
        </w:tc>
        <w:tc>
          <w:tcPr>
            <w:tcW w:w="851" w:type="dxa"/>
          </w:tcPr>
          <w:p w14:paraId="46CAFAA9" w14:textId="6F95B9CF"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4.44%</w:t>
            </w:r>
          </w:p>
        </w:tc>
      </w:tr>
      <w:tr w:rsidR="00B5280A" w:rsidRPr="00400694" w14:paraId="00681A38" w14:textId="77777777" w:rsidTr="00587B96">
        <w:tc>
          <w:tcPr>
            <w:tcW w:w="851" w:type="dxa"/>
            <w:shd w:val="clear" w:color="auto" w:fill="BFBFBF" w:themeFill="background1" w:themeFillShade="BF"/>
          </w:tcPr>
          <w:p w14:paraId="177E7EE3" w14:textId="77777777" w:rsidR="00B5280A" w:rsidRPr="00400694" w:rsidRDefault="00B5280A" w:rsidP="00B5280A">
            <w:pPr>
              <w:spacing w:before="60" w:after="60"/>
              <w:jc w:val="center"/>
              <w:rPr>
                <w:rStyle w:val="Strong"/>
                <w:b w:val="0"/>
                <w:bCs w:val="0"/>
                <w:sz w:val="14"/>
                <w:szCs w:val="14"/>
              </w:rPr>
            </w:pPr>
            <w:r w:rsidRPr="00400694">
              <w:rPr>
                <w:rStyle w:val="Strong"/>
                <w:b w:val="0"/>
                <w:bCs w:val="0"/>
                <w:sz w:val="14"/>
                <w:szCs w:val="14"/>
              </w:rPr>
              <w:t>08/09</w:t>
            </w:r>
          </w:p>
        </w:tc>
        <w:tc>
          <w:tcPr>
            <w:tcW w:w="992" w:type="dxa"/>
          </w:tcPr>
          <w:p w14:paraId="6AD689A1" w14:textId="1C68EA75" w:rsidR="00B5280A" w:rsidRPr="00400694" w:rsidRDefault="00B5280A" w:rsidP="00B5280A">
            <w:pPr>
              <w:spacing w:before="60" w:after="60"/>
              <w:jc w:val="right"/>
              <w:rPr>
                <w:rStyle w:val="Strong"/>
                <w:b w:val="0"/>
                <w:bCs w:val="0"/>
                <w:sz w:val="14"/>
                <w:szCs w:val="14"/>
              </w:rPr>
            </w:pPr>
            <w:r w:rsidRPr="00400694">
              <w:rPr>
                <w:rStyle w:val="Strong"/>
                <w:b w:val="0"/>
                <w:bCs w:val="0"/>
                <w:sz w:val="14"/>
                <w:szCs w:val="14"/>
              </w:rPr>
              <w:t>2.39%</w:t>
            </w:r>
          </w:p>
        </w:tc>
        <w:tc>
          <w:tcPr>
            <w:tcW w:w="850" w:type="dxa"/>
          </w:tcPr>
          <w:p w14:paraId="436AC40C" w14:textId="1AAD4673" w:rsidR="00B5280A" w:rsidRPr="00400694" w:rsidRDefault="00B5280A" w:rsidP="00B5280A">
            <w:pPr>
              <w:spacing w:before="60" w:after="60"/>
              <w:jc w:val="right"/>
              <w:rPr>
                <w:rStyle w:val="Strong"/>
                <w:b w:val="0"/>
                <w:bCs w:val="0"/>
                <w:sz w:val="14"/>
                <w:szCs w:val="14"/>
              </w:rPr>
            </w:pPr>
            <w:r w:rsidRPr="00400694">
              <w:rPr>
                <w:rStyle w:val="Strong"/>
                <w:b w:val="0"/>
                <w:bCs w:val="0"/>
                <w:sz w:val="14"/>
                <w:szCs w:val="14"/>
              </w:rPr>
              <w:t>3.91%</w:t>
            </w:r>
          </w:p>
        </w:tc>
        <w:tc>
          <w:tcPr>
            <w:tcW w:w="851" w:type="dxa"/>
          </w:tcPr>
          <w:p w14:paraId="71EFE330" w14:textId="60D3BC0C" w:rsidR="00B5280A" w:rsidRPr="00400694" w:rsidRDefault="00B5280A" w:rsidP="00B5280A">
            <w:pPr>
              <w:spacing w:before="60" w:after="60"/>
              <w:jc w:val="right"/>
              <w:rPr>
                <w:rStyle w:val="Strong"/>
                <w:b w:val="0"/>
                <w:bCs w:val="0"/>
                <w:sz w:val="14"/>
                <w:szCs w:val="14"/>
              </w:rPr>
            </w:pPr>
            <w:r w:rsidRPr="00400694">
              <w:rPr>
                <w:rStyle w:val="Strong"/>
                <w:b w:val="0"/>
                <w:bCs w:val="0"/>
                <w:sz w:val="14"/>
                <w:szCs w:val="14"/>
              </w:rPr>
              <w:t>3.69%</w:t>
            </w:r>
          </w:p>
        </w:tc>
        <w:tc>
          <w:tcPr>
            <w:tcW w:w="850" w:type="dxa"/>
          </w:tcPr>
          <w:p w14:paraId="1AEB98AF" w14:textId="7994F3A8" w:rsidR="00B5280A" w:rsidRPr="00400694" w:rsidRDefault="00B5280A" w:rsidP="00B5280A">
            <w:pPr>
              <w:spacing w:before="60" w:after="60"/>
              <w:jc w:val="right"/>
              <w:rPr>
                <w:rStyle w:val="Strong"/>
                <w:b w:val="0"/>
                <w:bCs w:val="0"/>
                <w:sz w:val="14"/>
                <w:szCs w:val="14"/>
              </w:rPr>
            </w:pPr>
            <w:r w:rsidRPr="00400694">
              <w:rPr>
                <w:rStyle w:val="Strong"/>
                <w:b w:val="0"/>
                <w:bCs w:val="0"/>
                <w:sz w:val="14"/>
                <w:szCs w:val="14"/>
              </w:rPr>
              <w:t>3.67%</w:t>
            </w:r>
          </w:p>
        </w:tc>
        <w:tc>
          <w:tcPr>
            <w:tcW w:w="851" w:type="dxa"/>
          </w:tcPr>
          <w:p w14:paraId="5B4D28F2" w14:textId="3089B225" w:rsidR="00B5280A" w:rsidRPr="00400694" w:rsidRDefault="00EF1E00" w:rsidP="00B5280A">
            <w:pPr>
              <w:spacing w:before="60" w:after="60"/>
              <w:jc w:val="right"/>
              <w:rPr>
                <w:rStyle w:val="Strong"/>
                <w:b w:val="0"/>
                <w:bCs w:val="0"/>
                <w:sz w:val="14"/>
                <w:szCs w:val="14"/>
              </w:rPr>
            </w:pPr>
            <w:r w:rsidRPr="00400694">
              <w:rPr>
                <w:rStyle w:val="Strong"/>
                <w:b w:val="0"/>
                <w:bCs w:val="0"/>
                <w:sz w:val="14"/>
                <w:szCs w:val="14"/>
              </w:rPr>
              <w:t>3.87</w:t>
            </w:r>
            <w:r w:rsidR="00B5280A" w:rsidRPr="00400694">
              <w:rPr>
                <w:rStyle w:val="Strong"/>
                <w:b w:val="0"/>
                <w:bCs w:val="0"/>
                <w:sz w:val="14"/>
                <w:szCs w:val="14"/>
              </w:rPr>
              <w:t>%</w:t>
            </w:r>
          </w:p>
        </w:tc>
        <w:tc>
          <w:tcPr>
            <w:tcW w:w="850" w:type="dxa"/>
            <w:shd w:val="clear" w:color="auto" w:fill="auto"/>
          </w:tcPr>
          <w:p w14:paraId="3A28AEAC" w14:textId="321F8EE4" w:rsidR="00B5280A" w:rsidRPr="00400694" w:rsidRDefault="00EF1E00" w:rsidP="00B5280A">
            <w:pPr>
              <w:spacing w:before="60" w:after="60"/>
              <w:jc w:val="right"/>
              <w:rPr>
                <w:rStyle w:val="Strong"/>
                <w:b w:val="0"/>
                <w:bCs w:val="0"/>
                <w:sz w:val="14"/>
                <w:szCs w:val="14"/>
              </w:rPr>
            </w:pPr>
            <w:r w:rsidRPr="00400694">
              <w:rPr>
                <w:rStyle w:val="Strong"/>
                <w:b w:val="0"/>
                <w:bCs w:val="0"/>
                <w:sz w:val="14"/>
                <w:szCs w:val="14"/>
              </w:rPr>
              <w:t>3.54</w:t>
            </w:r>
            <w:r w:rsidR="00B5280A" w:rsidRPr="00400694">
              <w:rPr>
                <w:rStyle w:val="Strong"/>
                <w:b w:val="0"/>
                <w:bCs w:val="0"/>
                <w:sz w:val="14"/>
                <w:szCs w:val="14"/>
              </w:rPr>
              <w:t>%</w:t>
            </w:r>
          </w:p>
        </w:tc>
        <w:tc>
          <w:tcPr>
            <w:tcW w:w="851" w:type="dxa"/>
          </w:tcPr>
          <w:p w14:paraId="45C1BF65" w14:textId="0EA1511E" w:rsidR="00B5280A" w:rsidRPr="00400694" w:rsidRDefault="00EF1E00" w:rsidP="00B5280A">
            <w:pPr>
              <w:spacing w:before="60" w:after="60"/>
              <w:jc w:val="right"/>
              <w:rPr>
                <w:sz w:val="14"/>
                <w:szCs w:val="14"/>
              </w:rPr>
            </w:pPr>
            <w:r w:rsidRPr="00400694">
              <w:rPr>
                <w:rStyle w:val="Strong"/>
                <w:b w:val="0"/>
                <w:bCs w:val="0"/>
                <w:sz w:val="14"/>
                <w:szCs w:val="14"/>
              </w:rPr>
              <w:t>-1.25</w:t>
            </w:r>
            <w:r w:rsidR="00B5280A" w:rsidRPr="00400694">
              <w:rPr>
                <w:rStyle w:val="Strong"/>
                <w:b w:val="0"/>
                <w:bCs w:val="0"/>
                <w:sz w:val="14"/>
                <w:szCs w:val="14"/>
              </w:rPr>
              <w:t>%</w:t>
            </w:r>
          </w:p>
        </w:tc>
        <w:tc>
          <w:tcPr>
            <w:tcW w:w="850" w:type="dxa"/>
          </w:tcPr>
          <w:p w14:paraId="34D86766" w14:textId="2B389C5E" w:rsidR="00B5280A" w:rsidRPr="00400694" w:rsidRDefault="00EF1E00" w:rsidP="00B5280A">
            <w:pPr>
              <w:spacing w:before="60" w:after="60"/>
              <w:jc w:val="right"/>
              <w:rPr>
                <w:sz w:val="14"/>
                <w:szCs w:val="14"/>
              </w:rPr>
            </w:pPr>
            <w:r w:rsidRPr="00400694">
              <w:rPr>
                <w:rStyle w:val="Strong"/>
                <w:b w:val="0"/>
                <w:bCs w:val="0"/>
                <w:sz w:val="14"/>
                <w:szCs w:val="14"/>
              </w:rPr>
              <w:t>4.08</w:t>
            </w:r>
            <w:r w:rsidR="00B5280A" w:rsidRPr="00400694">
              <w:rPr>
                <w:rStyle w:val="Strong"/>
                <w:b w:val="0"/>
                <w:bCs w:val="0"/>
                <w:sz w:val="14"/>
                <w:szCs w:val="14"/>
              </w:rPr>
              <w:t>%</w:t>
            </w:r>
          </w:p>
        </w:tc>
        <w:tc>
          <w:tcPr>
            <w:tcW w:w="851" w:type="dxa"/>
          </w:tcPr>
          <w:p w14:paraId="6D03887F" w14:textId="4DE1E5D0" w:rsidR="00B5280A" w:rsidRPr="00400694" w:rsidRDefault="00EF1E00" w:rsidP="00B5280A">
            <w:pPr>
              <w:spacing w:before="60" w:after="60"/>
              <w:jc w:val="right"/>
              <w:rPr>
                <w:sz w:val="14"/>
                <w:szCs w:val="14"/>
              </w:rPr>
            </w:pPr>
            <w:r w:rsidRPr="00400694">
              <w:rPr>
                <w:rStyle w:val="Strong"/>
                <w:b w:val="0"/>
                <w:bCs w:val="0"/>
                <w:sz w:val="14"/>
                <w:szCs w:val="14"/>
              </w:rPr>
              <w:t>3.89</w:t>
            </w:r>
            <w:r w:rsidR="00B5280A" w:rsidRPr="00400694">
              <w:rPr>
                <w:rStyle w:val="Strong"/>
                <w:b w:val="0"/>
                <w:bCs w:val="0"/>
                <w:sz w:val="14"/>
                <w:szCs w:val="14"/>
              </w:rPr>
              <w:t>%</w:t>
            </w:r>
          </w:p>
        </w:tc>
        <w:tc>
          <w:tcPr>
            <w:tcW w:w="850" w:type="dxa"/>
          </w:tcPr>
          <w:p w14:paraId="3B98652D" w14:textId="5DE65F49" w:rsidR="00B5280A" w:rsidRPr="00400694" w:rsidRDefault="00EF1E00" w:rsidP="00B5280A">
            <w:pPr>
              <w:spacing w:before="60" w:after="60"/>
              <w:jc w:val="right"/>
              <w:rPr>
                <w:sz w:val="14"/>
                <w:szCs w:val="14"/>
              </w:rPr>
            </w:pPr>
            <w:r w:rsidRPr="00400694">
              <w:rPr>
                <w:rStyle w:val="Strong"/>
                <w:b w:val="0"/>
                <w:bCs w:val="0"/>
                <w:sz w:val="14"/>
                <w:szCs w:val="14"/>
              </w:rPr>
              <w:t>3.59</w:t>
            </w:r>
            <w:r w:rsidR="00B5280A" w:rsidRPr="00400694">
              <w:rPr>
                <w:rStyle w:val="Strong"/>
                <w:b w:val="0"/>
                <w:bCs w:val="0"/>
                <w:sz w:val="14"/>
                <w:szCs w:val="14"/>
              </w:rPr>
              <w:t>%</w:t>
            </w:r>
          </w:p>
        </w:tc>
        <w:tc>
          <w:tcPr>
            <w:tcW w:w="851" w:type="dxa"/>
          </w:tcPr>
          <w:p w14:paraId="606E3EB2" w14:textId="7BE3D040" w:rsidR="00B5280A" w:rsidRPr="00400694" w:rsidRDefault="00EF1E00" w:rsidP="00B5280A">
            <w:pPr>
              <w:spacing w:before="60" w:after="60"/>
              <w:jc w:val="right"/>
              <w:rPr>
                <w:sz w:val="14"/>
                <w:szCs w:val="14"/>
              </w:rPr>
            </w:pPr>
            <w:r w:rsidRPr="00400694">
              <w:rPr>
                <w:rStyle w:val="Strong"/>
                <w:b w:val="0"/>
                <w:bCs w:val="0"/>
                <w:sz w:val="14"/>
                <w:szCs w:val="14"/>
              </w:rPr>
              <w:t>4.26</w:t>
            </w:r>
            <w:r w:rsidR="00B5280A" w:rsidRPr="00400694">
              <w:rPr>
                <w:rStyle w:val="Strong"/>
                <w:b w:val="0"/>
                <w:bCs w:val="0"/>
                <w:sz w:val="14"/>
                <w:szCs w:val="14"/>
              </w:rPr>
              <w:t>%</w:t>
            </w:r>
          </w:p>
        </w:tc>
      </w:tr>
      <w:tr w:rsidR="00EF1E00" w:rsidRPr="00400694" w14:paraId="6288BA38" w14:textId="77777777" w:rsidTr="00587B96">
        <w:tc>
          <w:tcPr>
            <w:tcW w:w="851" w:type="dxa"/>
            <w:shd w:val="clear" w:color="auto" w:fill="BFBFBF" w:themeFill="background1" w:themeFillShade="BF"/>
          </w:tcPr>
          <w:p w14:paraId="34C28ADF" w14:textId="77777777" w:rsidR="00EF1E00" w:rsidRPr="00400694" w:rsidRDefault="00EF1E00" w:rsidP="00EF1E00">
            <w:pPr>
              <w:spacing w:before="60" w:after="60"/>
              <w:jc w:val="center"/>
              <w:rPr>
                <w:rStyle w:val="Strong"/>
                <w:b w:val="0"/>
                <w:bCs w:val="0"/>
                <w:sz w:val="14"/>
                <w:szCs w:val="14"/>
              </w:rPr>
            </w:pPr>
            <w:r w:rsidRPr="00400694">
              <w:rPr>
                <w:rStyle w:val="Strong"/>
                <w:b w:val="0"/>
                <w:bCs w:val="0"/>
                <w:sz w:val="14"/>
                <w:szCs w:val="14"/>
              </w:rPr>
              <w:t>09/10</w:t>
            </w:r>
          </w:p>
        </w:tc>
        <w:tc>
          <w:tcPr>
            <w:tcW w:w="992" w:type="dxa"/>
          </w:tcPr>
          <w:p w14:paraId="26564D27" w14:textId="0B72F05E"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2.39%</w:t>
            </w:r>
          </w:p>
        </w:tc>
        <w:tc>
          <w:tcPr>
            <w:tcW w:w="850" w:type="dxa"/>
          </w:tcPr>
          <w:p w14:paraId="57DAA59C" w14:textId="0C8C6BBA"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3.91%</w:t>
            </w:r>
          </w:p>
        </w:tc>
        <w:tc>
          <w:tcPr>
            <w:tcW w:w="851" w:type="dxa"/>
          </w:tcPr>
          <w:p w14:paraId="7A1046B5" w14:textId="41BE69D0"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3.69%</w:t>
            </w:r>
          </w:p>
        </w:tc>
        <w:tc>
          <w:tcPr>
            <w:tcW w:w="850" w:type="dxa"/>
          </w:tcPr>
          <w:p w14:paraId="5D758351" w14:textId="76EB978C"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3.67%</w:t>
            </w:r>
          </w:p>
        </w:tc>
        <w:tc>
          <w:tcPr>
            <w:tcW w:w="851" w:type="dxa"/>
          </w:tcPr>
          <w:p w14:paraId="003B941F" w14:textId="1F61BDC8"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3.87%</w:t>
            </w:r>
          </w:p>
        </w:tc>
        <w:tc>
          <w:tcPr>
            <w:tcW w:w="850" w:type="dxa"/>
            <w:shd w:val="clear" w:color="auto" w:fill="auto"/>
          </w:tcPr>
          <w:p w14:paraId="08AE06A3" w14:textId="3B7E3CA4"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3.54%</w:t>
            </w:r>
          </w:p>
        </w:tc>
        <w:tc>
          <w:tcPr>
            <w:tcW w:w="851" w:type="dxa"/>
          </w:tcPr>
          <w:p w14:paraId="1741567D" w14:textId="385E3CD1" w:rsidR="00EF1E00" w:rsidRPr="00400694" w:rsidRDefault="00EF1E00" w:rsidP="00EF1E00">
            <w:pPr>
              <w:spacing w:before="60" w:after="60"/>
              <w:jc w:val="right"/>
              <w:rPr>
                <w:sz w:val="14"/>
                <w:szCs w:val="14"/>
              </w:rPr>
            </w:pPr>
            <w:r w:rsidRPr="00400694">
              <w:rPr>
                <w:rStyle w:val="Strong"/>
                <w:b w:val="0"/>
                <w:bCs w:val="0"/>
                <w:sz w:val="14"/>
                <w:szCs w:val="14"/>
              </w:rPr>
              <w:t>2.39%</w:t>
            </w:r>
          </w:p>
        </w:tc>
        <w:tc>
          <w:tcPr>
            <w:tcW w:w="850" w:type="dxa"/>
          </w:tcPr>
          <w:p w14:paraId="409FAEE6" w14:textId="1E870D10" w:rsidR="00EF1E00" w:rsidRPr="00400694" w:rsidRDefault="00EF1E00" w:rsidP="00EF1E00">
            <w:pPr>
              <w:spacing w:before="60" w:after="60"/>
              <w:jc w:val="right"/>
              <w:rPr>
                <w:sz w:val="14"/>
                <w:szCs w:val="14"/>
              </w:rPr>
            </w:pPr>
            <w:r w:rsidRPr="00400694">
              <w:rPr>
                <w:rStyle w:val="Strong"/>
                <w:b w:val="0"/>
                <w:bCs w:val="0"/>
                <w:sz w:val="14"/>
                <w:szCs w:val="14"/>
              </w:rPr>
              <w:t>4.08%</w:t>
            </w:r>
          </w:p>
        </w:tc>
        <w:tc>
          <w:tcPr>
            <w:tcW w:w="851" w:type="dxa"/>
          </w:tcPr>
          <w:p w14:paraId="490592AC" w14:textId="0E5EF40B" w:rsidR="00EF1E00" w:rsidRPr="00400694" w:rsidRDefault="00EF1E00" w:rsidP="00EF1E00">
            <w:pPr>
              <w:spacing w:before="60" w:after="60"/>
              <w:jc w:val="right"/>
              <w:rPr>
                <w:sz w:val="14"/>
                <w:szCs w:val="14"/>
              </w:rPr>
            </w:pPr>
            <w:r w:rsidRPr="00400694">
              <w:rPr>
                <w:rStyle w:val="Strong"/>
                <w:b w:val="0"/>
                <w:bCs w:val="0"/>
                <w:sz w:val="14"/>
                <w:szCs w:val="14"/>
              </w:rPr>
              <w:t>3.89%</w:t>
            </w:r>
          </w:p>
        </w:tc>
        <w:tc>
          <w:tcPr>
            <w:tcW w:w="850" w:type="dxa"/>
          </w:tcPr>
          <w:p w14:paraId="75D89BDC" w14:textId="205FF752" w:rsidR="00EF1E00" w:rsidRPr="00400694" w:rsidRDefault="00EF1E00" w:rsidP="00EF1E00">
            <w:pPr>
              <w:spacing w:before="60" w:after="60"/>
              <w:jc w:val="right"/>
              <w:rPr>
                <w:sz w:val="14"/>
                <w:szCs w:val="14"/>
              </w:rPr>
            </w:pPr>
            <w:r w:rsidRPr="00400694">
              <w:rPr>
                <w:rStyle w:val="Strong"/>
                <w:b w:val="0"/>
                <w:bCs w:val="0"/>
                <w:sz w:val="14"/>
                <w:szCs w:val="14"/>
              </w:rPr>
              <w:t>3.68%</w:t>
            </w:r>
          </w:p>
        </w:tc>
        <w:tc>
          <w:tcPr>
            <w:tcW w:w="851" w:type="dxa"/>
          </w:tcPr>
          <w:p w14:paraId="11E03CCA" w14:textId="543A6B10" w:rsidR="00EF1E00" w:rsidRPr="00400694" w:rsidRDefault="00EF1E00" w:rsidP="00EF1E00">
            <w:pPr>
              <w:spacing w:before="60" w:after="60"/>
              <w:jc w:val="right"/>
              <w:rPr>
                <w:sz w:val="14"/>
                <w:szCs w:val="14"/>
              </w:rPr>
            </w:pPr>
            <w:r w:rsidRPr="00400694">
              <w:rPr>
                <w:rStyle w:val="Strong"/>
                <w:b w:val="0"/>
                <w:bCs w:val="0"/>
                <w:sz w:val="14"/>
                <w:szCs w:val="14"/>
              </w:rPr>
              <w:t>4.26%</w:t>
            </w:r>
          </w:p>
        </w:tc>
      </w:tr>
      <w:tr w:rsidR="00EF1E00" w:rsidRPr="00400694" w14:paraId="37CF23EA" w14:textId="77777777" w:rsidTr="00587B96">
        <w:tc>
          <w:tcPr>
            <w:tcW w:w="851" w:type="dxa"/>
            <w:shd w:val="clear" w:color="auto" w:fill="BFBFBF" w:themeFill="background1" w:themeFillShade="BF"/>
          </w:tcPr>
          <w:p w14:paraId="325CCFF6" w14:textId="77777777" w:rsidR="00EF1E00" w:rsidRPr="00400694" w:rsidRDefault="00EF1E00" w:rsidP="00EF1E00">
            <w:pPr>
              <w:spacing w:before="60" w:after="60"/>
              <w:jc w:val="center"/>
              <w:rPr>
                <w:rStyle w:val="Strong"/>
                <w:b w:val="0"/>
                <w:bCs w:val="0"/>
                <w:sz w:val="14"/>
                <w:szCs w:val="14"/>
              </w:rPr>
            </w:pPr>
            <w:r w:rsidRPr="00400694">
              <w:rPr>
                <w:rStyle w:val="Strong"/>
                <w:b w:val="0"/>
                <w:bCs w:val="0"/>
                <w:sz w:val="14"/>
                <w:szCs w:val="14"/>
              </w:rPr>
              <w:t>10/11</w:t>
            </w:r>
          </w:p>
        </w:tc>
        <w:tc>
          <w:tcPr>
            <w:tcW w:w="992" w:type="dxa"/>
          </w:tcPr>
          <w:p w14:paraId="2DA2CD23" w14:textId="537C0FE1"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2.39%</w:t>
            </w:r>
          </w:p>
        </w:tc>
        <w:tc>
          <w:tcPr>
            <w:tcW w:w="850" w:type="dxa"/>
          </w:tcPr>
          <w:p w14:paraId="59A4771A" w14:textId="5A5876F5"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3.91%</w:t>
            </w:r>
          </w:p>
        </w:tc>
        <w:tc>
          <w:tcPr>
            <w:tcW w:w="851" w:type="dxa"/>
          </w:tcPr>
          <w:p w14:paraId="157A13EA" w14:textId="0AB2908B"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3.69%</w:t>
            </w:r>
          </w:p>
        </w:tc>
        <w:tc>
          <w:tcPr>
            <w:tcW w:w="850" w:type="dxa"/>
          </w:tcPr>
          <w:p w14:paraId="075AA7F7" w14:textId="78E3CDF1"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3.79%</w:t>
            </w:r>
          </w:p>
        </w:tc>
        <w:tc>
          <w:tcPr>
            <w:tcW w:w="851" w:type="dxa"/>
          </w:tcPr>
          <w:p w14:paraId="3BEA6BCC" w14:textId="6FE34A2A"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4.11%</w:t>
            </w:r>
          </w:p>
        </w:tc>
        <w:tc>
          <w:tcPr>
            <w:tcW w:w="850" w:type="dxa"/>
            <w:shd w:val="clear" w:color="auto" w:fill="auto"/>
          </w:tcPr>
          <w:p w14:paraId="2B364C60" w14:textId="32CB09DB"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3.54%</w:t>
            </w:r>
          </w:p>
        </w:tc>
        <w:tc>
          <w:tcPr>
            <w:tcW w:w="851" w:type="dxa"/>
          </w:tcPr>
          <w:p w14:paraId="5D1CBB7E" w14:textId="6E6E198C" w:rsidR="00EF1E00" w:rsidRPr="00400694" w:rsidRDefault="00EF1E00" w:rsidP="00EF1E00">
            <w:pPr>
              <w:spacing w:before="60" w:after="60"/>
              <w:jc w:val="right"/>
              <w:rPr>
                <w:sz w:val="14"/>
                <w:szCs w:val="14"/>
              </w:rPr>
            </w:pPr>
            <w:r w:rsidRPr="00400694">
              <w:rPr>
                <w:rStyle w:val="Strong"/>
                <w:b w:val="0"/>
                <w:bCs w:val="0"/>
                <w:sz w:val="14"/>
                <w:szCs w:val="14"/>
              </w:rPr>
              <w:t>2.39%</w:t>
            </w:r>
          </w:p>
        </w:tc>
        <w:tc>
          <w:tcPr>
            <w:tcW w:w="850" w:type="dxa"/>
          </w:tcPr>
          <w:p w14:paraId="3251A897" w14:textId="508F3B9C" w:rsidR="00EF1E00" w:rsidRPr="00400694" w:rsidRDefault="00EF1E00" w:rsidP="00EF1E00">
            <w:pPr>
              <w:spacing w:before="60" w:after="60"/>
              <w:jc w:val="right"/>
              <w:rPr>
                <w:sz w:val="14"/>
                <w:szCs w:val="14"/>
              </w:rPr>
            </w:pPr>
            <w:r w:rsidRPr="00400694">
              <w:rPr>
                <w:rStyle w:val="Strong"/>
                <w:b w:val="0"/>
                <w:bCs w:val="0"/>
                <w:sz w:val="14"/>
                <w:szCs w:val="14"/>
              </w:rPr>
              <w:t>4.40%</w:t>
            </w:r>
          </w:p>
        </w:tc>
        <w:tc>
          <w:tcPr>
            <w:tcW w:w="851" w:type="dxa"/>
          </w:tcPr>
          <w:p w14:paraId="01BD7E34" w14:textId="0BF106CB" w:rsidR="00EF1E00" w:rsidRPr="00400694" w:rsidRDefault="00EF1E00" w:rsidP="00EF1E00">
            <w:pPr>
              <w:spacing w:before="60" w:after="60"/>
              <w:jc w:val="right"/>
              <w:rPr>
                <w:sz w:val="14"/>
                <w:szCs w:val="14"/>
              </w:rPr>
            </w:pPr>
            <w:r w:rsidRPr="00400694">
              <w:rPr>
                <w:rStyle w:val="Strong"/>
                <w:b w:val="0"/>
                <w:bCs w:val="0"/>
                <w:sz w:val="14"/>
                <w:szCs w:val="14"/>
              </w:rPr>
              <w:t>4.13%</w:t>
            </w:r>
          </w:p>
        </w:tc>
        <w:tc>
          <w:tcPr>
            <w:tcW w:w="850" w:type="dxa"/>
          </w:tcPr>
          <w:p w14:paraId="5D9F4018" w14:textId="18E3C6B4" w:rsidR="00EF1E00" w:rsidRPr="00400694" w:rsidRDefault="00EF1E00" w:rsidP="00EF1E00">
            <w:pPr>
              <w:spacing w:before="60" w:after="60"/>
              <w:jc w:val="right"/>
              <w:rPr>
                <w:sz w:val="14"/>
                <w:szCs w:val="14"/>
              </w:rPr>
            </w:pPr>
            <w:r w:rsidRPr="00400694">
              <w:rPr>
                <w:rStyle w:val="Strong"/>
                <w:b w:val="0"/>
                <w:bCs w:val="0"/>
                <w:sz w:val="14"/>
                <w:szCs w:val="14"/>
              </w:rPr>
              <w:t>3.77%</w:t>
            </w:r>
          </w:p>
        </w:tc>
        <w:tc>
          <w:tcPr>
            <w:tcW w:w="851" w:type="dxa"/>
          </w:tcPr>
          <w:p w14:paraId="416AC332" w14:textId="4EBDD21C" w:rsidR="00EF1E00" w:rsidRPr="00400694" w:rsidRDefault="00EF1E00" w:rsidP="00EF1E00">
            <w:pPr>
              <w:spacing w:before="60" w:after="60"/>
              <w:jc w:val="right"/>
              <w:rPr>
                <w:sz w:val="14"/>
                <w:szCs w:val="14"/>
              </w:rPr>
            </w:pPr>
            <w:r w:rsidRPr="00400694">
              <w:rPr>
                <w:rStyle w:val="Strong"/>
                <w:b w:val="0"/>
                <w:bCs w:val="0"/>
                <w:sz w:val="14"/>
                <w:szCs w:val="14"/>
              </w:rPr>
              <w:t>4.26%</w:t>
            </w:r>
          </w:p>
        </w:tc>
      </w:tr>
      <w:tr w:rsidR="00B5280A" w:rsidRPr="00400694" w14:paraId="349833E3" w14:textId="77777777" w:rsidTr="00587B96">
        <w:tc>
          <w:tcPr>
            <w:tcW w:w="851" w:type="dxa"/>
            <w:shd w:val="clear" w:color="auto" w:fill="BFBFBF" w:themeFill="background1" w:themeFillShade="BF"/>
          </w:tcPr>
          <w:p w14:paraId="20A19E2D" w14:textId="77777777" w:rsidR="00B5280A" w:rsidRPr="00400694" w:rsidRDefault="00B5280A" w:rsidP="00B5280A">
            <w:pPr>
              <w:spacing w:before="60" w:after="60"/>
              <w:jc w:val="center"/>
              <w:rPr>
                <w:rStyle w:val="Strong"/>
                <w:b w:val="0"/>
                <w:bCs w:val="0"/>
                <w:sz w:val="14"/>
                <w:szCs w:val="14"/>
              </w:rPr>
            </w:pPr>
            <w:r w:rsidRPr="00400694">
              <w:rPr>
                <w:rStyle w:val="Strong"/>
                <w:b w:val="0"/>
                <w:bCs w:val="0"/>
                <w:sz w:val="14"/>
                <w:szCs w:val="14"/>
              </w:rPr>
              <w:t>11/12</w:t>
            </w:r>
          </w:p>
        </w:tc>
        <w:tc>
          <w:tcPr>
            <w:tcW w:w="992" w:type="dxa"/>
          </w:tcPr>
          <w:p w14:paraId="733DF9D7" w14:textId="4935D2CC" w:rsidR="00B5280A" w:rsidRPr="00400694" w:rsidRDefault="00B5280A" w:rsidP="00B5280A">
            <w:pPr>
              <w:spacing w:before="60" w:after="60"/>
              <w:jc w:val="right"/>
              <w:rPr>
                <w:rStyle w:val="Strong"/>
                <w:b w:val="0"/>
                <w:bCs w:val="0"/>
                <w:sz w:val="14"/>
                <w:szCs w:val="14"/>
              </w:rPr>
            </w:pPr>
            <w:r w:rsidRPr="00400694">
              <w:rPr>
                <w:rStyle w:val="Strong"/>
                <w:b w:val="0"/>
                <w:bCs w:val="0"/>
                <w:sz w:val="14"/>
                <w:szCs w:val="14"/>
              </w:rPr>
              <w:t>2.43%</w:t>
            </w:r>
          </w:p>
        </w:tc>
        <w:tc>
          <w:tcPr>
            <w:tcW w:w="850" w:type="dxa"/>
          </w:tcPr>
          <w:p w14:paraId="2BA6909D" w14:textId="7714CA01" w:rsidR="00B5280A" w:rsidRPr="00400694" w:rsidRDefault="00B5280A" w:rsidP="00B5280A">
            <w:pPr>
              <w:spacing w:before="60" w:after="60"/>
              <w:jc w:val="right"/>
              <w:rPr>
                <w:rStyle w:val="Strong"/>
                <w:b w:val="0"/>
                <w:bCs w:val="0"/>
                <w:sz w:val="14"/>
                <w:szCs w:val="14"/>
              </w:rPr>
            </w:pPr>
            <w:r w:rsidRPr="00400694">
              <w:rPr>
                <w:rStyle w:val="Strong"/>
                <w:b w:val="0"/>
                <w:bCs w:val="0"/>
                <w:sz w:val="14"/>
                <w:szCs w:val="14"/>
              </w:rPr>
              <w:t>3.83%</w:t>
            </w:r>
          </w:p>
        </w:tc>
        <w:tc>
          <w:tcPr>
            <w:tcW w:w="851" w:type="dxa"/>
          </w:tcPr>
          <w:p w14:paraId="300692E7" w14:textId="636CC87C" w:rsidR="00B5280A" w:rsidRPr="00400694" w:rsidRDefault="00B5280A" w:rsidP="00B5280A">
            <w:pPr>
              <w:spacing w:before="60" w:after="60"/>
              <w:jc w:val="right"/>
              <w:rPr>
                <w:rStyle w:val="Strong"/>
                <w:b w:val="0"/>
                <w:bCs w:val="0"/>
                <w:sz w:val="14"/>
                <w:szCs w:val="14"/>
              </w:rPr>
            </w:pPr>
            <w:r w:rsidRPr="00400694">
              <w:rPr>
                <w:rStyle w:val="Strong"/>
                <w:b w:val="0"/>
                <w:bCs w:val="0"/>
                <w:sz w:val="14"/>
                <w:szCs w:val="14"/>
              </w:rPr>
              <w:t>4.43%</w:t>
            </w:r>
          </w:p>
        </w:tc>
        <w:tc>
          <w:tcPr>
            <w:tcW w:w="850" w:type="dxa"/>
          </w:tcPr>
          <w:p w14:paraId="073E86C8" w14:textId="2EBF4617" w:rsidR="00B5280A" w:rsidRPr="00400694" w:rsidRDefault="00B5280A" w:rsidP="00B5280A">
            <w:pPr>
              <w:spacing w:before="60" w:after="60"/>
              <w:jc w:val="right"/>
              <w:rPr>
                <w:rStyle w:val="Strong"/>
                <w:b w:val="0"/>
                <w:bCs w:val="0"/>
                <w:sz w:val="14"/>
                <w:szCs w:val="14"/>
              </w:rPr>
            </w:pPr>
            <w:r w:rsidRPr="00400694">
              <w:rPr>
                <w:rStyle w:val="Strong"/>
                <w:b w:val="0"/>
                <w:bCs w:val="0"/>
                <w:sz w:val="14"/>
                <w:szCs w:val="14"/>
              </w:rPr>
              <w:t>3.72%</w:t>
            </w:r>
          </w:p>
        </w:tc>
        <w:tc>
          <w:tcPr>
            <w:tcW w:w="851" w:type="dxa"/>
          </w:tcPr>
          <w:p w14:paraId="04C5587D" w14:textId="16B54654" w:rsidR="00B5280A" w:rsidRPr="00400694" w:rsidRDefault="00EF1E00" w:rsidP="00B5280A">
            <w:pPr>
              <w:spacing w:before="60" w:after="60"/>
              <w:jc w:val="right"/>
              <w:rPr>
                <w:rStyle w:val="Strong"/>
                <w:b w:val="0"/>
                <w:bCs w:val="0"/>
                <w:sz w:val="14"/>
                <w:szCs w:val="14"/>
              </w:rPr>
            </w:pPr>
            <w:r w:rsidRPr="00400694">
              <w:rPr>
                <w:rStyle w:val="Strong"/>
                <w:b w:val="0"/>
                <w:bCs w:val="0"/>
                <w:sz w:val="14"/>
                <w:szCs w:val="14"/>
              </w:rPr>
              <w:t>4.01</w:t>
            </w:r>
            <w:r w:rsidR="00B5280A" w:rsidRPr="00400694">
              <w:rPr>
                <w:rStyle w:val="Strong"/>
                <w:b w:val="0"/>
                <w:bCs w:val="0"/>
                <w:sz w:val="14"/>
                <w:szCs w:val="14"/>
              </w:rPr>
              <w:t>%</w:t>
            </w:r>
          </w:p>
        </w:tc>
        <w:tc>
          <w:tcPr>
            <w:tcW w:w="850" w:type="dxa"/>
            <w:shd w:val="clear" w:color="auto" w:fill="auto"/>
          </w:tcPr>
          <w:p w14:paraId="21E05EDF" w14:textId="76F4B1AE" w:rsidR="00B5280A" w:rsidRPr="00400694" w:rsidRDefault="00EF1E00" w:rsidP="00B5280A">
            <w:pPr>
              <w:spacing w:before="60" w:after="60"/>
              <w:jc w:val="right"/>
              <w:rPr>
                <w:rStyle w:val="Strong"/>
                <w:b w:val="0"/>
                <w:bCs w:val="0"/>
                <w:sz w:val="14"/>
                <w:szCs w:val="14"/>
              </w:rPr>
            </w:pPr>
            <w:r w:rsidRPr="00400694">
              <w:rPr>
                <w:rStyle w:val="Strong"/>
                <w:b w:val="0"/>
                <w:bCs w:val="0"/>
                <w:sz w:val="14"/>
                <w:szCs w:val="14"/>
              </w:rPr>
              <w:t>4.20</w:t>
            </w:r>
            <w:r w:rsidR="00B5280A" w:rsidRPr="00400694">
              <w:rPr>
                <w:rStyle w:val="Strong"/>
                <w:b w:val="0"/>
                <w:bCs w:val="0"/>
                <w:sz w:val="14"/>
                <w:szCs w:val="14"/>
              </w:rPr>
              <w:t>%</w:t>
            </w:r>
          </w:p>
        </w:tc>
        <w:tc>
          <w:tcPr>
            <w:tcW w:w="851" w:type="dxa"/>
          </w:tcPr>
          <w:p w14:paraId="37A451FA" w14:textId="2647BAF4" w:rsidR="00B5280A" w:rsidRPr="00400694" w:rsidRDefault="00EF1E00" w:rsidP="00B5280A">
            <w:pPr>
              <w:spacing w:before="60" w:after="60"/>
              <w:jc w:val="right"/>
              <w:rPr>
                <w:sz w:val="14"/>
                <w:szCs w:val="14"/>
              </w:rPr>
            </w:pPr>
            <w:r w:rsidRPr="00400694">
              <w:rPr>
                <w:rStyle w:val="Strong"/>
                <w:b w:val="0"/>
                <w:bCs w:val="0"/>
                <w:sz w:val="14"/>
                <w:szCs w:val="14"/>
              </w:rPr>
              <w:t>2.43</w:t>
            </w:r>
            <w:r w:rsidR="00B5280A" w:rsidRPr="00400694">
              <w:rPr>
                <w:rStyle w:val="Strong"/>
                <w:b w:val="0"/>
                <w:bCs w:val="0"/>
                <w:sz w:val="14"/>
                <w:szCs w:val="14"/>
              </w:rPr>
              <w:t>%</w:t>
            </w:r>
          </w:p>
        </w:tc>
        <w:tc>
          <w:tcPr>
            <w:tcW w:w="850" w:type="dxa"/>
          </w:tcPr>
          <w:p w14:paraId="35E9A9CE" w14:textId="21EC4E12" w:rsidR="00B5280A" w:rsidRPr="00400694" w:rsidRDefault="00EF1E00" w:rsidP="00B5280A">
            <w:pPr>
              <w:spacing w:before="60" w:after="60"/>
              <w:jc w:val="right"/>
              <w:rPr>
                <w:sz w:val="14"/>
                <w:szCs w:val="14"/>
              </w:rPr>
            </w:pPr>
            <w:r w:rsidRPr="00400694">
              <w:rPr>
                <w:rStyle w:val="Strong"/>
                <w:b w:val="0"/>
                <w:bCs w:val="0"/>
                <w:sz w:val="14"/>
                <w:szCs w:val="14"/>
              </w:rPr>
              <w:t>4.27</w:t>
            </w:r>
            <w:r w:rsidR="00B5280A" w:rsidRPr="00400694">
              <w:rPr>
                <w:rStyle w:val="Strong"/>
                <w:b w:val="0"/>
                <w:bCs w:val="0"/>
                <w:sz w:val="14"/>
                <w:szCs w:val="14"/>
              </w:rPr>
              <w:t>%</w:t>
            </w:r>
          </w:p>
        </w:tc>
        <w:tc>
          <w:tcPr>
            <w:tcW w:w="851" w:type="dxa"/>
          </w:tcPr>
          <w:p w14:paraId="60241056" w14:textId="4D695550" w:rsidR="00B5280A" w:rsidRPr="00400694" w:rsidRDefault="00EF1E00" w:rsidP="00B5280A">
            <w:pPr>
              <w:spacing w:before="60" w:after="60"/>
              <w:jc w:val="right"/>
              <w:rPr>
                <w:sz w:val="14"/>
                <w:szCs w:val="14"/>
              </w:rPr>
            </w:pPr>
            <w:r w:rsidRPr="00400694">
              <w:rPr>
                <w:rStyle w:val="Strong"/>
                <w:b w:val="0"/>
                <w:bCs w:val="0"/>
                <w:sz w:val="14"/>
                <w:szCs w:val="14"/>
              </w:rPr>
              <w:t>4.03</w:t>
            </w:r>
            <w:r w:rsidR="00B5280A" w:rsidRPr="00400694">
              <w:rPr>
                <w:rStyle w:val="Strong"/>
                <w:b w:val="0"/>
                <w:bCs w:val="0"/>
                <w:sz w:val="14"/>
                <w:szCs w:val="14"/>
              </w:rPr>
              <w:t>%</w:t>
            </w:r>
          </w:p>
        </w:tc>
        <w:tc>
          <w:tcPr>
            <w:tcW w:w="850" w:type="dxa"/>
          </w:tcPr>
          <w:p w14:paraId="62939E8A" w14:textId="4B0705EA" w:rsidR="00B5280A" w:rsidRPr="00400694" w:rsidRDefault="00EF1E00" w:rsidP="00B5280A">
            <w:pPr>
              <w:spacing w:before="60" w:after="60"/>
              <w:jc w:val="right"/>
              <w:rPr>
                <w:sz w:val="14"/>
                <w:szCs w:val="14"/>
              </w:rPr>
            </w:pPr>
            <w:r w:rsidRPr="00400694">
              <w:rPr>
                <w:rStyle w:val="Strong"/>
                <w:b w:val="0"/>
                <w:bCs w:val="0"/>
                <w:sz w:val="14"/>
                <w:szCs w:val="14"/>
              </w:rPr>
              <w:t>4.06</w:t>
            </w:r>
            <w:r w:rsidR="00B5280A" w:rsidRPr="00400694">
              <w:rPr>
                <w:rStyle w:val="Strong"/>
                <w:b w:val="0"/>
                <w:bCs w:val="0"/>
                <w:sz w:val="14"/>
                <w:szCs w:val="14"/>
              </w:rPr>
              <w:t>%</w:t>
            </w:r>
          </w:p>
        </w:tc>
        <w:tc>
          <w:tcPr>
            <w:tcW w:w="851" w:type="dxa"/>
          </w:tcPr>
          <w:p w14:paraId="5435F22B" w14:textId="705A156B" w:rsidR="00B5280A" w:rsidRPr="00400694" w:rsidRDefault="00EF1E00" w:rsidP="00B5280A">
            <w:pPr>
              <w:spacing w:before="60" w:after="60"/>
              <w:jc w:val="right"/>
              <w:rPr>
                <w:sz w:val="14"/>
                <w:szCs w:val="14"/>
              </w:rPr>
            </w:pPr>
            <w:r w:rsidRPr="00400694">
              <w:rPr>
                <w:rStyle w:val="Strong"/>
                <w:b w:val="0"/>
                <w:bCs w:val="0"/>
                <w:sz w:val="14"/>
                <w:szCs w:val="14"/>
              </w:rPr>
              <w:t>4.14</w:t>
            </w:r>
            <w:r w:rsidR="00B5280A" w:rsidRPr="00400694">
              <w:rPr>
                <w:rStyle w:val="Strong"/>
                <w:b w:val="0"/>
                <w:bCs w:val="0"/>
                <w:sz w:val="14"/>
                <w:szCs w:val="14"/>
              </w:rPr>
              <w:t>%</w:t>
            </w:r>
          </w:p>
        </w:tc>
      </w:tr>
      <w:tr w:rsidR="00EF1E00" w:rsidRPr="00400694" w14:paraId="7CAC2BEC" w14:textId="77777777" w:rsidTr="00587B96">
        <w:tc>
          <w:tcPr>
            <w:tcW w:w="851" w:type="dxa"/>
            <w:shd w:val="clear" w:color="auto" w:fill="BFBFBF" w:themeFill="background1" w:themeFillShade="BF"/>
          </w:tcPr>
          <w:p w14:paraId="4E0B6441" w14:textId="77777777" w:rsidR="00EF1E00" w:rsidRPr="00400694" w:rsidRDefault="00EF1E00" w:rsidP="00EF1E00">
            <w:pPr>
              <w:spacing w:before="60" w:after="60"/>
              <w:jc w:val="center"/>
              <w:rPr>
                <w:rStyle w:val="Strong"/>
                <w:b w:val="0"/>
                <w:bCs w:val="0"/>
                <w:sz w:val="14"/>
                <w:szCs w:val="14"/>
              </w:rPr>
            </w:pPr>
            <w:r w:rsidRPr="00400694">
              <w:rPr>
                <w:rStyle w:val="Strong"/>
                <w:b w:val="0"/>
                <w:bCs w:val="0"/>
                <w:sz w:val="14"/>
                <w:szCs w:val="14"/>
              </w:rPr>
              <w:t>12/13</w:t>
            </w:r>
          </w:p>
        </w:tc>
        <w:tc>
          <w:tcPr>
            <w:tcW w:w="992" w:type="dxa"/>
          </w:tcPr>
          <w:p w14:paraId="2611F4D2" w14:textId="5D15DC5A"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2.43%</w:t>
            </w:r>
          </w:p>
        </w:tc>
        <w:tc>
          <w:tcPr>
            <w:tcW w:w="850" w:type="dxa"/>
          </w:tcPr>
          <w:p w14:paraId="19E9E2A6" w14:textId="370D6D07"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3.83%</w:t>
            </w:r>
          </w:p>
        </w:tc>
        <w:tc>
          <w:tcPr>
            <w:tcW w:w="851" w:type="dxa"/>
          </w:tcPr>
          <w:p w14:paraId="3CA8C349" w14:textId="36053D64"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4.43%</w:t>
            </w:r>
          </w:p>
        </w:tc>
        <w:tc>
          <w:tcPr>
            <w:tcW w:w="850" w:type="dxa"/>
          </w:tcPr>
          <w:p w14:paraId="31589E36" w14:textId="5AD7C7A5"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3.72%</w:t>
            </w:r>
          </w:p>
        </w:tc>
        <w:tc>
          <w:tcPr>
            <w:tcW w:w="851" w:type="dxa"/>
          </w:tcPr>
          <w:p w14:paraId="2FBA5D87" w14:textId="08687B5D"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4.01%</w:t>
            </w:r>
          </w:p>
        </w:tc>
        <w:tc>
          <w:tcPr>
            <w:tcW w:w="850" w:type="dxa"/>
            <w:shd w:val="clear" w:color="auto" w:fill="auto"/>
          </w:tcPr>
          <w:p w14:paraId="1BA2CAB4" w14:textId="4A1BC3B7"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4.20%</w:t>
            </w:r>
          </w:p>
        </w:tc>
        <w:tc>
          <w:tcPr>
            <w:tcW w:w="851" w:type="dxa"/>
          </w:tcPr>
          <w:p w14:paraId="4F4719E1" w14:textId="3C8EBE1A" w:rsidR="00EF1E00" w:rsidRPr="00400694" w:rsidRDefault="00EF1E00" w:rsidP="00EF1E00">
            <w:pPr>
              <w:spacing w:before="60" w:after="60"/>
              <w:jc w:val="right"/>
              <w:rPr>
                <w:sz w:val="14"/>
                <w:szCs w:val="14"/>
              </w:rPr>
            </w:pPr>
            <w:r w:rsidRPr="00400694">
              <w:rPr>
                <w:rStyle w:val="Strong"/>
                <w:b w:val="0"/>
                <w:bCs w:val="0"/>
                <w:sz w:val="14"/>
                <w:szCs w:val="14"/>
              </w:rPr>
              <w:t>2.43%</w:t>
            </w:r>
          </w:p>
        </w:tc>
        <w:tc>
          <w:tcPr>
            <w:tcW w:w="850" w:type="dxa"/>
          </w:tcPr>
          <w:p w14:paraId="75B8B94E" w14:textId="6EB8B423" w:rsidR="00EF1E00" w:rsidRPr="00400694" w:rsidRDefault="00EF1E00" w:rsidP="00EF1E00">
            <w:pPr>
              <w:spacing w:before="60" w:after="60"/>
              <w:jc w:val="right"/>
              <w:rPr>
                <w:sz w:val="14"/>
                <w:szCs w:val="14"/>
              </w:rPr>
            </w:pPr>
            <w:r w:rsidRPr="00400694">
              <w:rPr>
                <w:rStyle w:val="Strong"/>
                <w:b w:val="0"/>
                <w:bCs w:val="0"/>
                <w:sz w:val="14"/>
                <w:szCs w:val="14"/>
              </w:rPr>
              <w:t>4.27%</w:t>
            </w:r>
          </w:p>
        </w:tc>
        <w:tc>
          <w:tcPr>
            <w:tcW w:w="851" w:type="dxa"/>
          </w:tcPr>
          <w:p w14:paraId="4AA9ED1B" w14:textId="48BDDBBE" w:rsidR="00EF1E00" w:rsidRPr="00400694" w:rsidRDefault="00EF1E00" w:rsidP="00EF1E00">
            <w:pPr>
              <w:spacing w:before="60" w:after="60"/>
              <w:jc w:val="right"/>
              <w:rPr>
                <w:sz w:val="14"/>
                <w:szCs w:val="14"/>
              </w:rPr>
            </w:pPr>
            <w:r w:rsidRPr="00400694">
              <w:rPr>
                <w:rStyle w:val="Strong"/>
                <w:b w:val="0"/>
                <w:bCs w:val="0"/>
                <w:sz w:val="14"/>
                <w:szCs w:val="14"/>
              </w:rPr>
              <w:t>4.03%</w:t>
            </w:r>
          </w:p>
        </w:tc>
        <w:tc>
          <w:tcPr>
            <w:tcW w:w="850" w:type="dxa"/>
          </w:tcPr>
          <w:p w14:paraId="73FA03BD" w14:textId="137A4976" w:rsidR="00EF1E00" w:rsidRPr="00400694" w:rsidRDefault="00EF1E00" w:rsidP="00EF1E00">
            <w:pPr>
              <w:spacing w:before="60" w:after="60"/>
              <w:jc w:val="right"/>
              <w:rPr>
                <w:sz w:val="14"/>
                <w:szCs w:val="14"/>
              </w:rPr>
            </w:pPr>
            <w:r w:rsidRPr="00400694">
              <w:rPr>
                <w:rStyle w:val="Strong"/>
                <w:b w:val="0"/>
                <w:bCs w:val="0"/>
                <w:sz w:val="14"/>
                <w:szCs w:val="14"/>
              </w:rPr>
              <w:t>4.06%</w:t>
            </w:r>
          </w:p>
        </w:tc>
        <w:tc>
          <w:tcPr>
            <w:tcW w:w="851" w:type="dxa"/>
          </w:tcPr>
          <w:p w14:paraId="596E6F2E" w14:textId="4EAEAB0A" w:rsidR="00EF1E00" w:rsidRPr="00400694" w:rsidRDefault="00EF1E00" w:rsidP="00EF1E00">
            <w:pPr>
              <w:spacing w:before="60" w:after="60"/>
              <w:jc w:val="right"/>
              <w:rPr>
                <w:sz w:val="14"/>
                <w:szCs w:val="14"/>
              </w:rPr>
            </w:pPr>
            <w:r w:rsidRPr="00400694">
              <w:rPr>
                <w:rStyle w:val="Strong"/>
                <w:b w:val="0"/>
                <w:bCs w:val="0"/>
                <w:sz w:val="14"/>
                <w:szCs w:val="14"/>
              </w:rPr>
              <w:t>4.14%</w:t>
            </w:r>
          </w:p>
        </w:tc>
      </w:tr>
      <w:tr w:rsidR="00EF1E00" w:rsidRPr="00400694" w14:paraId="506A63F1" w14:textId="77777777" w:rsidTr="00587B96">
        <w:tc>
          <w:tcPr>
            <w:tcW w:w="851" w:type="dxa"/>
            <w:shd w:val="clear" w:color="auto" w:fill="BFBFBF" w:themeFill="background1" w:themeFillShade="BF"/>
          </w:tcPr>
          <w:p w14:paraId="741DF25E" w14:textId="77777777" w:rsidR="00EF1E00" w:rsidRPr="00400694" w:rsidRDefault="00EF1E00" w:rsidP="00EF1E00">
            <w:pPr>
              <w:spacing w:before="60" w:after="60"/>
              <w:jc w:val="center"/>
              <w:rPr>
                <w:rStyle w:val="Strong"/>
                <w:b w:val="0"/>
                <w:bCs w:val="0"/>
                <w:sz w:val="14"/>
                <w:szCs w:val="14"/>
              </w:rPr>
            </w:pPr>
            <w:r w:rsidRPr="00400694">
              <w:rPr>
                <w:rStyle w:val="Strong"/>
                <w:b w:val="0"/>
                <w:bCs w:val="0"/>
                <w:sz w:val="14"/>
                <w:szCs w:val="14"/>
              </w:rPr>
              <w:t>13/14</w:t>
            </w:r>
          </w:p>
        </w:tc>
        <w:tc>
          <w:tcPr>
            <w:tcW w:w="992" w:type="dxa"/>
          </w:tcPr>
          <w:p w14:paraId="3BE8073F" w14:textId="2AB340BD"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2.43%</w:t>
            </w:r>
          </w:p>
        </w:tc>
        <w:tc>
          <w:tcPr>
            <w:tcW w:w="850" w:type="dxa"/>
          </w:tcPr>
          <w:p w14:paraId="4F6AC28B" w14:textId="7632BA0E"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3.83%</w:t>
            </w:r>
          </w:p>
        </w:tc>
        <w:tc>
          <w:tcPr>
            <w:tcW w:w="851" w:type="dxa"/>
          </w:tcPr>
          <w:p w14:paraId="4DB63359" w14:textId="628F957B"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4.43%</w:t>
            </w:r>
          </w:p>
        </w:tc>
        <w:tc>
          <w:tcPr>
            <w:tcW w:w="850" w:type="dxa"/>
          </w:tcPr>
          <w:p w14:paraId="61DCC9E7" w14:textId="28C25042"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3.72%</w:t>
            </w:r>
          </w:p>
        </w:tc>
        <w:tc>
          <w:tcPr>
            <w:tcW w:w="851" w:type="dxa"/>
          </w:tcPr>
          <w:p w14:paraId="6E3A8452" w14:textId="69ED4496"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4.01%</w:t>
            </w:r>
          </w:p>
        </w:tc>
        <w:tc>
          <w:tcPr>
            <w:tcW w:w="850" w:type="dxa"/>
            <w:shd w:val="clear" w:color="auto" w:fill="auto"/>
          </w:tcPr>
          <w:p w14:paraId="55F34316" w14:textId="1C9A1EB7"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4.20%</w:t>
            </w:r>
          </w:p>
        </w:tc>
        <w:tc>
          <w:tcPr>
            <w:tcW w:w="851" w:type="dxa"/>
          </w:tcPr>
          <w:p w14:paraId="70618239" w14:textId="19961916" w:rsidR="00EF1E00" w:rsidRPr="00400694" w:rsidRDefault="00EF1E00" w:rsidP="00EF1E00">
            <w:pPr>
              <w:spacing w:before="60" w:after="60"/>
              <w:jc w:val="right"/>
              <w:rPr>
                <w:sz w:val="14"/>
                <w:szCs w:val="14"/>
              </w:rPr>
            </w:pPr>
            <w:r w:rsidRPr="00400694">
              <w:rPr>
                <w:rStyle w:val="Strong"/>
                <w:b w:val="0"/>
                <w:bCs w:val="0"/>
                <w:sz w:val="14"/>
                <w:szCs w:val="14"/>
              </w:rPr>
              <w:t>2.43%</w:t>
            </w:r>
          </w:p>
        </w:tc>
        <w:tc>
          <w:tcPr>
            <w:tcW w:w="850" w:type="dxa"/>
          </w:tcPr>
          <w:p w14:paraId="67CDBFBD" w14:textId="3B923E47" w:rsidR="00EF1E00" w:rsidRPr="00400694" w:rsidRDefault="00EF1E00" w:rsidP="00EF1E00">
            <w:pPr>
              <w:spacing w:before="60" w:after="60"/>
              <w:jc w:val="right"/>
              <w:rPr>
                <w:sz w:val="14"/>
                <w:szCs w:val="14"/>
              </w:rPr>
            </w:pPr>
            <w:r w:rsidRPr="00400694">
              <w:rPr>
                <w:rStyle w:val="Strong"/>
                <w:b w:val="0"/>
                <w:bCs w:val="0"/>
                <w:sz w:val="14"/>
                <w:szCs w:val="14"/>
              </w:rPr>
              <w:t>4.27%</w:t>
            </w:r>
          </w:p>
        </w:tc>
        <w:tc>
          <w:tcPr>
            <w:tcW w:w="851" w:type="dxa"/>
          </w:tcPr>
          <w:p w14:paraId="5B419963" w14:textId="48C36575" w:rsidR="00EF1E00" w:rsidRPr="00400694" w:rsidRDefault="00EF1E00" w:rsidP="00EF1E00">
            <w:pPr>
              <w:spacing w:before="60" w:after="60"/>
              <w:jc w:val="right"/>
              <w:rPr>
                <w:sz w:val="14"/>
                <w:szCs w:val="14"/>
              </w:rPr>
            </w:pPr>
            <w:r w:rsidRPr="00400694">
              <w:rPr>
                <w:rStyle w:val="Strong"/>
                <w:b w:val="0"/>
                <w:bCs w:val="0"/>
                <w:sz w:val="14"/>
                <w:szCs w:val="14"/>
              </w:rPr>
              <w:t>4.03%</w:t>
            </w:r>
          </w:p>
        </w:tc>
        <w:tc>
          <w:tcPr>
            <w:tcW w:w="850" w:type="dxa"/>
          </w:tcPr>
          <w:p w14:paraId="7EA66219" w14:textId="0124F1D1" w:rsidR="00EF1E00" w:rsidRPr="00400694" w:rsidRDefault="00EF1E00" w:rsidP="00EF1E00">
            <w:pPr>
              <w:spacing w:before="60" w:after="60"/>
              <w:jc w:val="right"/>
              <w:rPr>
                <w:sz w:val="14"/>
                <w:szCs w:val="14"/>
              </w:rPr>
            </w:pPr>
            <w:r w:rsidRPr="00400694">
              <w:rPr>
                <w:rStyle w:val="Strong"/>
                <w:b w:val="0"/>
                <w:bCs w:val="0"/>
                <w:sz w:val="14"/>
                <w:szCs w:val="14"/>
              </w:rPr>
              <w:t>4.06%</w:t>
            </w:r>
          </w:p>
        </w:tc>
        <w:tc>
          <w:tcPr>
            <w:tcW w:w="851" w:type="dxa"/>
          </w:tcPr>
          <w:p w14:paraId="500E51F1" w14:textId="6438C5BC" w:rsidR="00EF1E00" w:rsidRPr="00400694" w:rsidRDefault="00EF1E00" w:rsidP="00EF1E00">
            <w:pPr>
              <w:spacing w:before="60" w:after="60"/>
              <w:jc w:val="right"/>
              <w:rPr>
                <w:sz w:val="14"/>
                <w:szCs w:val="14"/>
              </w:rPr>
            </w:pPr>
            <w:r w:rsidRPr="00400694">
              <w:rPr>
                <w:rStyle w:val="Strong"/>
                <w:b w:val="0"/>
                <w:bCs w:val="0"/>
                <w:sz w:val="14"/>
                <w:szCs w:val="14"/>
              </w:rPr>
              <w:t>4.14%</w:t>
            </w:r>
          </w:p>
        </w:tc>
      </w:tr>
      <w:tr w:rsidR="00EF1E00" w:rsidRPr="00400694" w14:paraId="41D3AA6E" w14:textId="77777777" w:rsidTr="00587B96">
        <w:tc>
          <w:tcPr>
            <w:tcW w:w="851" w:type="dxa"/>
            <w:shd w:val="clear" w:color="auto" w:fill="BFBFBF" w:themeFill="background1" w:themeFillShade="BF"/>
          </w:tcPr>
          <w:p w14:paraId="1C88E2C7" w14:textId="77777777" w:rsidR="00EF1E00" w:rsidRPr="00400694" w:rsidRDefault="00EF1E00" w:rsidP="00EF1E00">
            <w:pPr>
              <w:spacing w:before="60" w:after="60"/>
              <w:jc w:val="center"/>
              <w:rPr>
                <w:rStyle w:val="Strong"/>
                <w:b w:val="0"/>
                <w:bCs w:val="0"/>
                <w:sz w:val="14"/>
                <w:szCs w:val="14"/>
              </w:rPr>
            </w:pPr>
            <w:r w:rsidRPr="00400694">
              <w:rPr>
                <w:rStyle w:val="Strong"/>
                <w:b w:val="0"/>
                <w:bCs w:val="0"/>
                <w:sz w:val="14"/>
                <w:szCs w:val="14"/>
              </w:rPr>
              <w:t>14/15</w:t>
            </w:r>
          </w:p>
        </w:tc>
        <w:tc>
          <w:tcPr>
            <w:tcW w:w="992" w:type="dxa"/>
          </w:tcPr>
          <w:p w14:paraId="4A70B80C" w14:textId="39C7568C"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2.43%</w:t>
            </w:r>
          </w:p>
        </w:tc>
        <w:tc>
          <w:tcPr>
            <w:tcW w:w="850" w:type="dxa"/>
          </w:tcPr>
          <w:p w14:paraId="61517056" w14:textId="31930889"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3.83%</w:t>
            </w:r>
          </w:p>
        </w:tc>
        <w:tc>
          <w:tcPr>
            <w:tcW w:w="851" w:type="dxa"/>
          </w:tcPr>
          <w:p w14:paraId="0C4F7421" w14:textId="290DA0CE"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4.43%</w:t>
            </w:r>
          </w:p>
        </w:tc>
        <w:tc>
          <w:tcPr>
            <w:tcW w:w="850" w:type="dxa"/>
          </w:tcPr>
          <w:p w14:paraId="5F26C424" w14:textId="745D87CA"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3.72%</w:t>
            </w:r>
          </w:p>
        </w:tc>
        <w:tc>
          <w:tcPr>
            <w:tcW w:w="851" w:type="dxa"/>
          </w:tcPr>
          <w:p w14:paraId="6D3F9515" w14:textId="4C88A124"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4.01%</w:t>
            </w:r>
          </w:p>
        </w:tc>
        <w:tc>
          <w:tcPr>
            <w:tcW w:w="850" w:type="dxa"/>
            <w:shd w:val="clear" w:color="auto" w:fill="auto"/>
          </w:tcPr>
          <w:p w14:paraId="3B473812" w14:textId="1118450B"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4.20%</w:t>
            </w:r>
          </w:p>
        </w:tc>
        <w:tc>
          <w:tcPr>
            <w:tcW w:w="851" w:type="dxa"/>
          </w:tcPr>
          <w:p w14:paraId="363EE4AE" w14:textId="60C0529D" w:rsidR="00EF1E00" w:rsidRPr="00400694" w:rsidRDefault="00EF1E00" w:rsidP="00EF1E00">
            <w:pPr>
              <w:spacing w:before="60" w:after="60"/>
              <w:jc w:val="right"/>
              <w:rPr>
                <w:sz w:val="14"/>
                <w:szCs w:val="14"/>
              </w:rPr>
            </w:pPr>
            <w:r w:rsidRPr="00400694">
              <w:rPr>
                <w:rStyle w:val="Strong"/>
                <w:b w:val="0"/>
                <w:bCs w:val="0"/>
                <w:sz w:val="14"/>
                <w:szCs w:val="14"/>
              </w:rPr>
              <w:t>2.43%</w:t>
            </w:r>
          </w:p>
        </w:tc>
        <w:tc>
          <w:tcPr>
            <w:tcW w:w="850" w:type="dxa"/>
          </w:tcPr>
          <w:p w14:paraId="25D7AE65" w14:textId="6D44A17F" w:rsidR="00EF1E00" w:rsidRPr="00400694" w:rsidRDefault="00EF1E00" w:rsidP="00EF1E00">
            <w:pPr>
              <w:spacing w:before="60" w:after="60"/>
              <w:jc w:val="right"/>
              <w:rPr>
                <w:sz w:val="14"/>
                <w:szCs w:val="14"/>
              </w:rPr>
            </w:pPr>
            <w:r w:rsidRPr="00400694">
              <w:rPr>
                <w:rStyle w:val="Strong"/>
                <w:b w:val="0"/>
                <w:bCs w:val="0"/>
                <w:sz w:val="14"/>
                <w:szCs w:val="14"/>
              </w:rPr>
              <w:t>4.27%</w:t>
            </w:r>
          </w:p>
        </w:tc>
        <w:tc>
          <w:tcPr>
            <w:tcW w:w="851" w:type="dxa"/>
          </w:tcPr>
          <w:p w14:paraId="5E4A2198" w14:textId="344678AE" w:rsidR="00EF1E00" w:rsidRPr="00400694" w:rsidRDefault="00EF1E00" w:rsidP="00EF1E00">
            <w:pPr>
              <w:spacing w:before="60" w:after="60"/>
              <w:jc w:val="right"/>
              <w:rPr>
                <w:sz w:val="14"/>
                <w:szCs w:val="14"/>
              </w:rPr>
            </w:pPr>
            <w:r w:rsidRPr="00400694">
              <w:rPr>
                <w:rStyle w:val="Strong"/>
                <w:b w:val="0"/>
                <w:bCs w:val="0"/>
                <w:sz w:val="14"/>
                <w:szCs w:val="14"/>
              </w:rPr>
              <w:t>4.03%</w:t>
            </w:r>
          </w:p>
        </w:tc>
        <w:tc>
          <w:tcPr>
            <w:tcW w:w="850" w:type="dxa"/>
          </w:tcPr>
          <w:p w14:paraId="5CF7BA4E" w14:textId="7F69F835" w:rsidR="00EF1E00" w:rsidRPr="00400694" w:rsidRDefault="00EF1E00" w:rsidP="00EF1E00">
            <w:pPr>
              <w:spacing w:before="60" w:after="60"/>
              <w:jc w:val="right"/>
              <w:rPr>
                <w:sz w:val="14"/>
                <w:szCs w:val="14"/>
              </w:rPr>
            </w:pPr>
            <w:r w:rsidRPr="00400694">
              <w:rPr>
                <w:rStyle w:val="Strong"/>
                <w:b w:val="0"/>
                <w:bCs w:val="0"/>
                <w:sz w:val="14"/>
                <w:szCs w:val="14"/>
              </w:rPr>
              <w:t>4.06%</w:t>
            </w:r>
          </w:p>
        </w:tc>
        <w:tc>
          <w:tcPr>
            <w:tcW w:w="851" w:type="dxa"/>
          </w:tcPr>
          <w:p w14:paraId="26B3265E" w14:textId="27D4E960" w:rsidR="00EF1E00" w:rsidRPr="00400694" w:rsidRDefault="00EF1E00" w:rsidP="00EF1E00">
            <w:pPr>
              <w:spacing w:before="60" w:after="60"/>
              <w:jc w:val="right"/>
              <w:rPr>
                <w:sz w:val="14"/>
                <w:szCs w:val="14"/>
              </w:rPr>
            </w:pPr>
            <w:r w:rsidRPr="00400694">
              <w:rPr>
                <w:rStyle w:val="Strong"/>
                <w:b w:val="0"/>
                <w:bCs w:val="0"/>
                <w:sz w:val="14"/>
                <w:szCs w:val="14"/>
              </w:rPr>
              <w:t>4.14%</w:t>
            </w:r>
          </w:p>
        </w:tc>
      </w:tr>
      <w:tr w:rsidR="00EF1E00" w:rsidRPr="00400694" w14:paraId="676F1A2D" w14:textId="77777777" w:rsidTr="00587B96">
        <w:tc>
          <w:tcPr>
            <w:tcW w:w="851" w:type="dxa"/>
            <w:shd w:val="clear" w:color="auto" w:fill="BFBFBF" w:themeFill="background1" w:themeFillShade="BF"/>
          </w:tcPr>
          <w:p w14:paraId="703E2655" w14:textId="77777777" w:rsidR="00EF1E00" w:rsidRPr="00400694" w:rsidRDefault="00EF1E00" w:rsidP="00EF1E00">
            <w:pPr>
              <w:spacing w:before="60" w:after="60"/>
              <w:jc w:val="center"/>
              <w:rPr>
                <w:rStyle w:val="Strong"/>
                <w:b w:val="0"/>
                <w:bCs w:val="0"/>
                <w:sz w:val="14"/>
                <w:szCs w:val="14"/>
              </w:rPr>
            </w:pPr>
            <w:r w:rsidRPr="00400694">
              <w:rPr>
                <w:rStyle w:val="Strong"/>
                <w:b w:val="0"/>
                <w:bCs w:val="0"/>
                <w:sz w:val="14"/>
                <w:szCs w:val="14"/>
              </w:rPr>
              <w:t>15/16</w:t>
            </w:r>
          </w:p>
        </w:tc>
        <w:tc>
          <w:tcPr>
            <w:tcW w:w="992" w:type="dxa"/>
          </w:tcPr>
          <w:p w14:paraId="1B518C0F" w14:textId="2F500211"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2.43%</w:t>
            </w:r>
          </w:p>
        </w:tc>
        <w:tc>
          <w:tcPr>
            <w:tcW w:w="850" w:type="dxa"/>
          </w:tcPr>
          <w:p w14:paraId="2276D49F" w14:textId="58748057"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3.83%</w:t>
            </w:r>
          </w:p>
        </w:tc>
        <w:tc>
          <w:tcPr>
            <w:tcW w:w="851" w:type="dxa"/>
          </w:tcPr>
          <w:p w14:paraId="43C7A1F1" w14:textId="1F14BA16"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4.43%</w:t>
            </w:r>
          </w:p>
        </w:tc>
        <w:tc>
          <w:tcPr>
            <w:tcW w:w="850" w:type="dxa"/>
          </w:tcPr>
          <w:p w14:paraId="5C9C6DA5" w14:textId="086FE509"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3.72%</w:t>
            </w:r>
          </w:p>
        </w:tc>
        <w:tc>
          <w:tcPr>
            <w:tcW w:w="851" w:type="dxa"/>
          </w:tcPr>
          <w:p w14:paraId="78273DA3" w14:textId="38FD3101"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4.01%</w:t>
            </w:r>
          </w:p>
        </w:tc>
        <w:tc>
          <w:tcPr>
            <w:tcW w:w="850" w:type="dxa"/>
            <w:shd w:val="clear" w:color="auto" w:fill="auto"/>
          </w:tcPr>
          <w:p w14:paraId="1474893C" w14:textId="641443E9"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4.20%</w:t>
            </w:r>
          </w:p>
        </w:tc>
        <w:tc>
          <w:tcPr>
            <w:tcW w:w="851" w:type="dxa"/>
          </w:tcPr>
          <w:p w14:paraId="55C16F61" w14:textId="023AA201" w:rsidR="00EF1E00" w:rsidRPr="00400694" w:rsidRDefault="00EF1E00" w:rsidP="00EF1E00">
            <w:pPr>
              <w:spacing w:before="60" w:after="60"/>
              <w:jc w:val="right"/>
              <w:rPr>
                <w:sz w:val="14"/>
                <w:szCs w:val="14"/>
              </w:rPr>
            </w:pPr>
            <w:r w:rsidRPr="00400694">
              <w:rPr>
                <w:rStyle w:val="Strong"/>
                <w:b w:val="0"/>
                <w:bCs w:val="0"/>
                <w:sz w:val="14"/>
                <w:szCs w:val="14"/>
              </w:rPr>
              <w:t>2.43%</w:t>
            </w:r>
          </w:p>
        </w:tc>
        <w:tc>
          <w:tcPr>
            <w:tcW w:w="850" w:type="dxa"/>
          </w:tcPr>
          <w:p w14:paraId="78DAB8FF" w14:textId="4B393186" w:rsidR="00EF1E00" w:rsidRPr="00400694" w:rsidRDefault="00EF1E00" w:rsidP="00EF1E00">
            <w:pPr>
              <w:spacing w:before="60" w:after="60"/>
              <w:jc w:val="right"/>
              <w:rPr>
                <w:sz w:val="14"/>
                <w:szCs w:val="14"/>
              </w:rPr>
            </w:pPr>
            <w:r w:rsidRPr="00400694">
              <w:rPr>
                <w:rStyle w:val="Strong"/>
                <w:b w:val="0"/>
                <w:bCs w:val="0"/>
                <w:sz w:val="14"/>
                <w:szCs w:val="14"/>
              </w:rPr>
              <w:t>4.27%</w:t>
            </w:r>
          </w:p>
        </w:tc>
        <w:tc>
          <w:tcPr>
            <w:tcW w:w="851" w:type="dxa"/>
          </w:tcPr>
          <w:p w14:paraId="79F809E4" w14:textId="5553832D" w:rsidR="00EF1E00" w:rsidRPr="00400694" w:rsidRDefault="00EF1E00" w:rsidP="00EF1E00">
            <w:pPr>
              <w:spacing w:before="60" w:after="60"/>
              <w:jc w:val="right"/>
              <w:rPr>
                <w:sz w:val="14"/>
                <w:szCs w:val="14"/>
              </w:rPr>
            </w:pPr>
            <w:r w:rsidRPr="00400694">
              <w:rPr>
                <w:rStyle w:val="Strong"/>
                <w:b w:val="0"/>
                <w:bCs w:val="0"/>
                <w:sz w:val="14"/>
                <w:szCs w:val="14"/>
              </w:rPr>
              <w:t>4.03%</w:t>
            </w:r>
          </w:p>
        </w:tc>
        <w:tc>
          <w:tcPr>
            <w:tcW w:w="850" w:type="dxa"/>
          </w:tcPr>
          <w:p w14:paraId="3BA06863" w14:textId="59857266" w:rsidR="00EF1E00" w:rsidRPr="00400694" w:rsidRDefault="00EF1E00" w:rsidP="00EF1E00">
            <w:pPr>
              <w:spacing w:before="60" w:after="60"/>
              <w:jc w:val="right"/>
              <w:rPr>
                <w:sz w:val="14"/>
                <w:szCs w:val="14"/>
              </w:rPr>
            </w:pPr>
            <w:r w:rsidRPr="00400694">
              <w:rPr>
                <w:rStyle w:val="Strong"/>
                <w:b w:val="0"/>
                <w:bCs w:val="0"/>
                <w:sz w:val="14"/>
                <w:szCs w:val="14"/>
              </w:rPr>
              <w:t>4.06%</w:t>
            </w:r>
          </w:p>
        </w:tc>
        <w:tc>
          <w:tcPr>
            <w:tcW w:w="851" w:type="dxa"/>
          </w:tcPr>
          <w:p w14:paraId="13D181D9" w14:textId="4AA3CC7B" w:rsidR="00EF1E00" w:rsidRPr="00400694" w:rsidRDefault="00EF1E00" w:rsidP="00EF1E00">
            <w:pPr>
              <w:spacing w:before="60" w:after="60"/>
              <w:jc w:val="right"/>
              <w:rPr>
                <w:sz w:val="14"/>
                <w:szCs w:val="14"/>
              </w:rPr>
            </w:pPr>
            <w:r w:rsidRPr="00400694">
              <w:rPr>
                <w:rStyle w:val="Strong"/>
                <w:b w:val="0"/>
                <w:bCs w:val="0"/>
                <w:sz w:val="14"/>
                <w:szCs w:val="14"/>
              </w:rPr>
              <w:t>4.14%</w:t>
            </w:r>
          </w:p>
        </w:tc>
      </w:tr>
      <w:tr w:rsidR="00EF1E00" w:rsidRPr="00400694" w14:paraId="79BC073F" w14:textId="77777777" w:rsidTr="00587B96">
        <w:tc>
          <w:tcPr>
            <w:tcW w:w="851" w:type="dxa"/>
            <w:shd w:val="clear" w:color="auto" w:fill="BFBFBF" w:themeFill="background1" w:themeFillShade="BF"/>
          </w:tcPr>
          <w:p w14:paraId="2C4C20F7" w14:textId="77777777" w:rsidR="00EF1E00" w:rsidRPr="00400694" w:rsidRDefault="00EF1E00" w:rsidP="00EF1E00">
            <w:pPr>
              <w:spacing w:before="60" w:after="60"/>
              <w:jc w:val="center"/>
              <w:rPr>
                <w:rStyle w:val="Strong"/>
                <w:b w:val="0"/>
                <w:bCs w:val="0"/>
                <w:sz w:val="14"/>
                <w:szCs w:val="14"/>
              </w:rPr>
            </w:pPr>
            <w:r w:rsidRPr="00400694">
              <w:rPr>
                <w:rStyle w:val="Strong"/>
                <w:b w:val="0"/>
                <w:bCs w:val="0"/>
                <w:sz w:val="14"/>
                <w:szCs w:val="14"/>
              </w:rPr>
              <w:t>16/17</w:t>
            </w:r>
          </w:p>
        </w:tc>
        <w:tc>
          <w:tcPr>
            <w:tcW w:w="992" w:type="dxa"/>
          </w:tcPr>
          <w:p w14:paraId="7F997DCA" w14:textId="2B6C0B69"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2.43%</w:t>
            </w:r>
          </w:p>
        </w:tc>
        <w:tc>
          <w:tcPr>
            <w:tcW w:w="850" w:type="dxa"/>
          </w:tcPr>
          <w:p w14:paraId="3E7BBB53" w14:textId="416F1B3E"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3.83%</w:t>
            </w:r>
          </w:p>
        </w:tc>
        <w:tc>
          <w:tcPr>
            <w:tcW w:w="851" w:type="dxa"/>
          </w:tcPr>
          <w:p w14:paraId="2BCE2C41" w14:textId="4D6B7738"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4.43%</w:t>
            </w:r>
          </w:p>
        </w:tc>
        <w:tc>
          <w:tcPr>
            <w:tcW w:w="850" w:type="dxa"/>
          </w:tcPr>
          <w:p w14:paraId="1F848FEF" w14:textId="1EB21AA2"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3.72%</w:t>
            </w:r>
          </w:p>
        </w:tc>
        <w:tc>
          <w:tcPr>
            <w:tcW w:w="851" w:type="dxa"/>
          </w:tcPr>
          <w:p w14:paraId="3B9280E4" w14:textId="162B080F"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4.01%</w:t>
            </w:r>
          </w:p>
        </w:tc>
        <w:tc>
          <w:tcPr>
            <w:tcW w:w="850" w:type="dxa"/>
            <w:shd w:val="clear" w:color="auto" w:fill="auto"/>
          </w:tcPr>
          <w:p w14:paraId="7E678616" w14:textId="1A83A39E"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4.20%</w:t>
            </w:r>
          </w:p>
        </w:tc>
        <w:tc>
          <w:tcPr>
            <w:tcW w:w="851" w:type="dxa"/>
          </w:tcPr>
          <w:p w14:paraId="64900355" w14:textId="3DFBF8ED" w:rsidR="00EF1E00" w:rsidRPr="00400694" w:rsidRDefault="00EF1E00" w:rsidP="00EF1E00">
            <w:pPr>
              <w:spacing w:before="60" w:after="60"/>
              <w:jc w:val="right"/>
              <w:rPr>
                <w:sz w:val="14"/>
                <w:szCs w:val="14"/>
              </w:rPr>
            </w:pPr>
            <w:r w:rsidRPr="00400694">
              <w:rPr>
                <w:rStyle w:val="Strong"/>
                <w:b w:val="0"/>
                <w:bCs w:val="0"/>
                <w:sz w:val="14"/>
                <w:szCs w:val="14"/>
              </w:rPr>
              <w:t>2.43%</w:t>
            </w:r>
          </w:p>
        </w:tc>
        <w:tc>
          <w:tcPr>
            <w:tcW w:w="850" w:type="dxa"/>
          </w:tcPr>
          <w:p w14:paraId="03DCD223" w14:textId="34318FF3" w:rsidR="00EF1E00" w:rsidRPr="00400694" w:rsidRDefault="00EF1E00" w:rsidP="00EF1E00">
            <w:pPr>
              <w:spacing w:before="60" w:after="60"/>
              <w:jc w:val="right"/>
              <w:rPr>
                <w:sz w:val="14"/>
                <w:szCs w:val="14"/>
              </w:rPr>
            </w:pPr>
            <w:r w:rsidRPr="00400694">
              <w:rPr>
                <w:rStyle w:val="Strong"/>
                <w:b w:val="0"/>
                <w:bCs w:val="0"/>
                <w:sz w:val="14"/>
                <w:szCs w:val="14"/>
              </w:rPr>
              <w:t>4.27%</w:t>
            </w:r>
          </w:p>
        </w:tc>
        <w:tc>
          <w:tcPr>
            <w:tcW w:w="851" w:type="dxa"/>
          </w:tcPr>
          <w:p w14:paraId="49763EAA" w14:textId="3D221513" w:rsidR="00EF1E00" w:rsidRPr="00400694" w:rsidRDefault="00EF1E00" w:rsidP="00EF1E00">
            <w:pPr>
              <w:spacing w:before="60" w:after="60"/>
              <w:jc w:val="right"/>
              <w:rPr>
                <w:sz w:val="14"/>
                <w:szCs w:val="14"/>
              </w:rPr>
            </w:pPr>
            <w:r w:rsidRPr="00400694">
              <w:rPr>
                <w:rStyle w:val="Strong"/>
                <w:b w:val="0"/>
                <w:bCs w:val="0"/>
                <w:sz w:val="14"/>
                <w:szCs w:val="14"/>
              </w:rPr>
              <w:t>4.03%</w:t>
            </w:r>
          </w:p>
        </w:tc>
        <w:tc>
          <w:tcPr>
            <w:tcW w:w="850" w:type="dxa"/>
          </w:tcPr>
          <w:p w14:paraId="584ED134" w14:textId="7EC89A55" w:rsidR="00EF1E00" w:rsidRPr="00400694" w:rsidRDefault="00EF1E00" w:rsidP="00EF1E00">
            <w:pPr>
              <w:spacing w:before="60" w:after="60"/>
              <w:jc w:val="right"/>
              <w:rPr>
                <w:sz w:val="14"/>
                <w:szCs w:val="14"/>
              </w:rPr>
            </w:pPr>
            <w:r w:rsidRPr="00400694">
              <w:rPr>
                <w:rStyle w:val="Strong"/>
                <w:b w:val="0"/>
                <w:bCs w:val="0"/>
                <w:sz w:val="14"/>
                <w:szCs w:val="14"/>
              </w:rPr>
              <w:t>4.06%</w:t>
            </w:r>
          </w:p>
        </w:tc>
        <w:tc>
          <w:tcPr>
            <w:tcW w:w="851" w:type="dxa"/>
          </w:tcPr>
          <w:p w14:paraId="62BCA2BD" w14:textId="5898A101" w:rsidR="00EF1E00" w:rsidRPr="00400694" w:rsidRDefault="00EF1E00" w:rsidP="00EF1E00">
            <w:pPr>
              <w:spacing w:before="60" w:after="60"/>
              <w:jc w:val="right"/>
              <w:rPr>
                <w:sz w:val="14"/>
                <w:szCs w:val="14"/>
              </w:rPr>
            </w:pPr>
            <w:r w:rsidRPr="00400694">
              <w:rPr>
                <w:rStyle w:val="Strong"/>
                <w:b w:val="0"/>
                <w:bCs w:val="0"/>
                <w:sz w:val="14"/>
                <w:szCs w:val="14"/>
              </w:rPr>
              <w:t>4.14%</w:t>
            </w:r>
          </w:p>
        </w:tc>
      </w:tr>
      <w:tr w:rsidR="00EF1E00" w:rsidRPr="00400694" w14:paraId="5B0BCBDB" w14:textId="77777777" w:rsidTr="00587B96">
        <w:tc>
          <w:tcPr>
            <w:tcW w:w="851" w:type="dxa"/>
            <w:shd w:val="clear" w:color="auto" w:fill="BFBFBF" w:themeFill="background1" w:themeFillShade="BF"/>
          </w:tcPr>
          <w:p w14:paraId="3D6EECE1" w14:textId="77777777" w:rsidR="00EF1E00" w:rsidRPr="00400694" w:rsidRDefault="00EF1E00" w:rsidP="00EF1E00">
            <w:pPr>
              <w:spacing w:before="60" w:after="60"/>
              <w:jc w:val="center"/>
              <w:rPr>
                <w:rStyle w:val="Strong"/>
                <w:b w:val="0"/>
                <w:bCs w:val="0"/>
                <w:sz w:val="14"/>
                <w:szCs w:val="14"/>
              </w:rPr>
            </w:pPr>
            <w:r w:rsidRPr="00400694">
              <w:rPr>
                <w:rStyle w:val="Strong"/>
                <w:b w:val="0"/>
                <w:bCs w:val="0"/>
                <w:sz w:val="14"/>
                <w:szCs w:val="14"/>
              </w:rPr>
              <w:t>17/18</w:t>
            </w:r>
          </w:p>
        </w:tc>
        <w:tc>
          <w:tcPr>
            <w:tcW w:w="992" w:type="dxa"/>
          </w:tcPr>
          <w:p w14:paraId="63824A47" w14:textId="6AFE8EB0"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2.43%</w:t>
            </w:r>
          </w:p>
        </w:tc>
        <w:tc>
          <w:tcPr>
            <w:tcW w:w="850" w:type="dxa"/>
          </w:tcPr>
          <w:p w14:paraId="18687E21" w14:textId="4581214A"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3.83%</w:t>
            </w:r>
          </w:p>
        </w:tc>
        <w:tc>
          <w:tcPr>
            <w:tcW w:w="851" w:type="dxa"/>
          </w:tcPr>
          <w:p w14:paraId="7BBB86E2" w14:textId="018899C5"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4.43%</w:t>
            </w:r>
          </w:p>
        </w:tc>
        <w:tc>
          <w:tcPr>
            <w:tcW w:w="850" w:type="dxa"/>
          </w:tcPr>
          <w:p w14:paraId="64329691" w14:textId="76C2C99A"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3.72%</w:t>
            </w:r>
          </w:p>
        </w:tc>
        <w:tc>
          <w:tcPr>
            <w:tcW w:w="851" w:type="dxa"/>
          </w:tcPr>
          <w:p w14:paraId="03C72C4B" w14:textId="4E3E109F"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4.01%</w:t>
            </w:r>
          </w:p>
        </w:tc>
        <w:tc>
          <w:tcPr>
            <w:tcW w:w="850" w:type="dxa"/>
            <w:shd w:val="clear" w:color="auto" w:fill="auto"/>
          </w:tcPr>
          <w:p w14:paraId="0AFAF724" w14:textId="7B124126"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4.20%</w:t>
            </w:r>
          </w:p>
        </w:tc>
        <w:tc>
          <w:tcPr>
            <w:tcW w:w="851" w:type="dxa"/>
          </w:tcPr>
          <w:p w14:paraId="58E7D4E7" w14:textId="64897252" w:rsidR="00EF1E00" w:rsidRPr="00400694" w:rsidRDefault="00EF1E00" w:rsidP="00EF1E00">
            <w:pPr>
              <w:spacing w:before="60" w:after="60"/>
              <w:jc w:val="right"/>
              <w:rPr>
                <w:sz w:val="14"/>
                <w:szCs w:val="14"/>
              </w:rPr>
            </w:pPr>
            <w:r w:rsidRPr="00400694">
              <w:rPr>
                <w:rStyle w:val="Strong"/>
                <w:b w:val="0"/>
                <w:bCs w:val="0"/>
                <w:sz w:val="14"/>
                <w:szCs w:val="14"/>
              </w:rPr>
              <w:t>2.43%</w:t>
            </w:r>
          </w:p>
        </w:tc>
        <w:tc>
          <w:tcPr>
            <w:tcW w:w="850" w:type="dxa"/>
          </w:tcPr>
          <w:p w14:paraId="50DF7DEE" w14:textId="0FC1BD9B" w:rsidR="00EF1E00" w:rsidRPr="00400694" w:rsidRDefault="00EF1E00" w:rsidP="00EF1E00">
            <w:pPr>
              <w:spacing w:before="60" w:after="60"/>
              <w:jc w:val="right"/>
              <w:rPr>
                <w:sz w:val="14"/>
                <w:szCs w:val="14"/>
              </w:rPr>
            </w:pPr>
            <w:r w:rsidRPr="00400694">
              <w:rPr>
                <w:rStyle w:val="Strong"/>
                <w:b w:val="0"/>
                <w:bCs w:val="0"/>
                <w:sz w:val="14"/>
                <w:szCs w:val="14"/>
              </w:rPr>
              <w:t>4.27%</w:t>
            </w:r>
          </w:p>
        </w:tc>
        <w:tc>
          <w:tcPr>
            <w:tcW w:w="851" w:type="dxa"/>
          </w:tcPr>
          <w:p w14:paraId="28EEEF66" w14:textId="194FE8E7" w:rsidR="00EF1E00" w:rsidRPr="00400694" w:rsidRDefault="00EF1E00" w:rsidP="00EF1E00">
            <w:pPr>
              <w:spacing w:before="60" w:after="60"/>
              <w:jc w:val="right"/>
              <w:rPr>
                <w:sz w:val="14"/>
                <w:szCs w:val="14"/>
              </w:rPr>
            </w:pPr>
            <w:r w:rsidRPr="00400694">
              <w:rPr>
                <w:rStyle w:val="Strong"/>
                <w:b w:val="0"/>
                <w:bCs w:val="0"/>
                <w:sz w:val="14"/>
                <w:szCs w:val="14"/>
              </w:rPr>
              <w:t>4.03%</w:t>
            </w:r>
          </w:p>
        </w:tc>
        <w:tc>
          <w:tcPr>
            <w:tcW w:w="850" w:type="dxa"/>
          </w:tcPr>
          <w:p w14:paraId="7162F105" w14:textId="51FDBB1D" w:rsidR="00EF1E00" w:rsidRPr="00400694" w:rsidRDefault="00EF1E00" w:rsidP="00EF1E00">
            <w:pPr>
              <w:spacing w:before="60" w:after="60"/>
              <w:jc w:val="right"/>
              <w:rPr>
                <w:sz w:val="14"/>
                <w:szCs w:val="14"/>
              </w:rPr>
            </w:pPr>
            <w:r w:rsidRPr="00400694">
              <w:rPr>
                <w:rStyle w:val="Strong"/>
                <w:b w:val="0"/>
                <w:bCs w:val="0"/>
                <w:sz w:val="14"/>
                <w:szCs w:val="14"/>
              </w:rPr>
              <w:t>4.06%</w:t>
            </w:r>
          </w:p>
        </w:tc>
        <w:tc>
          <w:tcPr>
            <w:tcW w:w="851" w:type="dxa"/>
          </w:tcPr>
          <w:p w14:paraId="7BC54C44" w14:textId="3A1F49F6" w:rsidR="00EF1E00" w:rsidRPr="00400694" w:rsidRDefault="00EF1E00" w:rsidP="00EF1E00">
            <w:pPr>
              <w:spacing w:before="60" w:after="60"/>
              <w:jc w:val="right"/>
              <w:rPr>
                <w:sz w:val="14"/>
                <w:szCs w:val="14"/>
              </w:rPr>
            </w:pPr>
            <w:r w:rsidRPr="00400694">
              <w:rPr>
                <w:rStyle w:val="Strong"/>
                <w:b w:val="0"/>
                <w:bCs w:val="0"/>
                <w:sz w:val="14"/>
                <w:szCs w:val="14"/>
              </w:rPr>
              <w:t>4.14%</w:t>
            </w:r>
          </w:p>
        </w:tc>
      </w:tr>
      <w:tr w:rsidR="00EF1E00" w:rsidRPr="00400694" w14:paraId="54D3A12D" w14:textId="77777777" w:rsidTr="00587B96">
        <w:tc>
          <w:tcPr>
            <w:tcW w:w="851" w:type="dxa"/>
            <w:shd w:val="clear" w:color="auto" w:fill="BFBFBF" w:themeFill="background1" w:themeFillShade="BF"/>
          </w:tcPr>
          <w:p w14:paraId="6E9873D6" w14:textId="77777777" w:rsidR="00EF1E00" w:rsidRPr="00400694" w:rsidRDefault="00EF1E00" w:rsidP="00EF1E00">
            <w:pPr>
              <w:spacing w:before="60" w:after="60"/>
              <w:jc w:val="center"/>
              <w:rPr>
                <w:rStyle w:val="Strong"/>
                <w:b w:val="0"/>
                <w:bCs w:val="0"/>
                <w:sz w:val="14"/>
                <w:szCs w:val="14"/>
              </w:rPr>
            </w:pPr>
            <w:r w:rsidRPr="00400694">
              <w:rPr>
                <w:rStyle w:val="Strong"/>
                <w:b w:val="0"/>
                <w:bCs w:val="0"/>
                <w:sz w:val="14"/>
                <w:szCs w:val="14"/>
              </w:rPr>
              <w:t>18/19</w:t>
            </w:r>
          </w:p>
        </w:tc>
        <w:tc>
          <w:tcPr>
            <w:tcW w:w="992" w:type="dxa"/>
          </w:tcPr>
          <w:p w14:paraId="69A0CC6E" w14:textId="42B4E415"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2.43%</w:t>
            </w:r>
          </w:p>
        </w:tc>
        <w:tc>
          <w:tcPr>
            <w:tcW w:w="850" w:type="dxa"/>
          </w:tcPr>
          <w:p w14:paraId="58CF832F" w14:textId="05017D7D"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3.83%</w:t>
            </w:r>
          </w:p>
        </w:tc>
        <w:tc>
          <w:tcPr>
            <w:tcW w:w="851" w:type="dxa"/>
          </w:tcPr>
          <w:p w14:paraId="2BE87924" w14:textId="700AE4F2"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4.43%</w:t>
            </w:r>
          </w:p>
        </w:tc>
        <w:tc>
          <w:tcPr>
            <w:tcW w:w="850" w:type="dxa"/>
          </w:tcPr>
          <w:p w14:paraId="107C3678" w14:textId="529AE53E"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3.72%</w:t>
            </w:r>
          </w:p>
        </w:tc>
        <w:tc>
          <w:tcPr>
            <w:tcW w:w="851" w:type="dxa"/>
          </w:tcPr>
          <w:p w14:paraId="08424BA6" w14:textId="184DBE87"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4.01%</w:t>
            </w:r>
          </w:p>
        </w:tc>
        <w:tc>
          <w:tcPr>
            <w:tcW w:w="850" w:type="dxa"/>
            <w:shd w:val="clear" w:color="auto" w:fill="auto"/>
          </w:tcPr>
          <w:p w14:paraId="725CDFAA" w14:textId="4F17AE2F"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4.20%</w:t>
            </w:r>
          </w:p>
        </w:tc>
        <w:tc>
          <w:tcPr>
            <w:tcW w:w="851" w:type="dxa"/>
          </w:tcPr>
          <w:p w14:paraId="6FFD7E15" w14:textId="28110E31" w:rsidR="00EF1E00" w:rsidRPr="00400694" w:rsidRDefault="00EF1E00" w:rsidP="00EF1E00">
            <w:pPr>
              <w:spacing w:before="60" w:after="60"/>
              <w:jc w:val="right"/>
              <w:rPr>
                <w:sz w:val="14"/>
                <w:szCs w:val="14"/>
              </w:rPr>
            </w:pPr>
            <w:r w:rsidRPr="00400694">
              <w:rPr>
                <w:rStyle w:val="Strong"/>
                <w:b w:val="0"/>
                <w:bCs w:val="0"/>
                <w:sz w:val="14"/>
                <w:szCs w:val="14"/>
              </w:rPr>
              <w:t>2.43%</w:t>
            </w:r>
          </w:p>
        </w:tc>
        <w:tc>
          <w:tcPr>
            <w:tcW w:w="850" w:type="dxa"/>
          </w:tcPr>
          <w:p w14:paraId="6ADAD93F" w14:textId="394B54D4" w:rsidR="00EF1E00" w:rsidRPr="00400694" w:rsidRDefault="00EF1E00" w:rsidP="00EF1E00">
            <w:pPr>
              <w:spacing w:before="60" w:after="60"/>
              <w:jc w:val="right"/>
              <w:rPr>
                <w:sz w:val="14"/>
                <w:szCs w:val="14"/>
              </w:rPr>
            </w:pPr>
            <w:r w:rsidRPr="00400694">
              <w:rPr>
                <w:rStyle w:val="Strong"/>
                <w:b w:val="0"/>
                <w:bCs w:val="0"/>
                <w:sz w:val="14"/>
                <w:szCs w:val="14"/>
              </w:rPr>
              <w:t>4.27%</w:t>
            </w:r>
          </w:p>
        </w:tc>
        <w:tc>
          <w:tcPr>
            <w:tcW w:w="851" w:type="dxa"/>
          </w:tcPr>
          <w:p w14:paraId="68CD3C32" w14:textId="7B459C19" w:rsidR="00EF1E00" w:rsidRPr="00400694" w:rsidRDefault="00EF1E00" w:rsidP="00EF1E00">
            <w:pPr>
              <w:spacing w:before="60" w:after="60"/>
              <w:jc w:val="right"/>
              <w:rPr>
                <w:sz w:val="14"/>
                <w:szCs w:val="14"/>
              </w:rPr>
            </w:pPr>
            <w:r w:rsidRPr="00400694">
              <w:rPr>
                <w:rStyle w:val="Strong"/>
                <w:b w:val="0"/>
                <w:bCs w:val="0"/>
                <w:sz w:val="14"/>
                <w:szCs w:val="14"/>
              </w:rPr>
              <w:t>4.03%</w:t>
            </w:r>
          </w:p>
        </w:tc>
        <w:tc>
          <w:tcPr>
            <w:tcW w:w="850" w:type="dxa"/>
          </w:tcPr>
          <w:p w14:paraId="248B432D" w14:textId="38E750B3" w:rsidR="00EF1E00" w:rsidRPr="00400694" w:rsidRDefault="00EF1E00" w:rsidP="00EF1E00">
            <w:pPr>
              <w:spacing w:before="60" w:after="60"/>
              <w:jc w:val="right"/>
              <w:rPr>
                <w:sz w:val="14"/>
                <w:szCs w:val="14"/>
              </w:rPr>
            </w:pPr>
            <w:r w:rsidRPr="00400694">
              <w:rPr>
                <w:rStyle w:val="Strong"/>
                <w:b w:val="0"/>
                <w:bCs w:val="0"/>
                <w:sz w:val="14"/>
                <w:szCs w:val="14"/>
              </w:rPr>
              <w:t>4.06%</w:t>
            </w:r>
          </w:p>
        </w:tc>
        <w:tc>
          <w:tcPr>
            <w:tcW w:w="851" w:type="dxa"/>
          </w:tcPr>
          <w:p w14:paraId="0D9CD63D" w14:textId="0DB2A6BA" w:rsidR="00EF1E00" w:rsidRPr="00400694" w:rsidRDefault="00EF1E00" w:rsidP="00EF1E00">
            <w:pPr>
              <w:spacing w:before="60" w:after="60"/>
              <w:jc w:val="right"/>
              <w:rPr>
                <w:sz w:val="14"/>
                <w:szCs w:val="14"/>
              </w:rPr>
            </w:pPr>
            <w:r w:rsidRPr="00400694">
              <w:rPr>
                <w:rStyle w:val="Strong"/>
                <w:b w:val="0"/>
                <w:bCs w:val="0"/>
                <w:sz w:val="14"/>
                <w:szCs w:val="14"/>
              </w:rPr>
              <w:t>4.14%</w:t>
            </w:r>
          </w:p>
        </w:tc>
      </w:tr>
      <w:tr w:rsidR="00EF1E00" w:rsidRPr="00400694" w14:paraId="23021942" w14:textId="77777777" w:rsidTr="00587B96">
        <w:trPr>
          <w:trHeight w:val="191"/>
        </w:trPr>
        <w:tc>
          <w:tcPr>
            <w:tcW w:w="851" w:type="dxa"/>
            <w:shd w:val="clear" w:color="auto" w:fill="BFBFBF" w:themeFill="background1" w:themeFillShade="BF"/>
          </w:tcPr>
          <w:p w14:paraId="55DB0BF8" w14:textId="77777777" w:rsidR="00EF1E00" w:rsidRPr="00400694" w:rsidRDefault="00EF1E00" w:rsidP="00EF1E00">
            <w:pPr>
              <w:spacing w:before="60" w:after="60"/>
              <w:jc w:val="center"/>
              <w:rPr>
                <w:rStyle w:val="Strong"/>
                <w:b w:val="0"/>
                <w:bCs w:val="0"/>
                <w:sz w:val="14"/>
                <w:szCs w:val="14"/>
              </w:rPr>
            </w:pPr>
            <w:r w:rsidRPr="00400694">
              <w:rPr>
                <w:rStyle w:val="Strong"/>
                <w:b w:val="0"/>
                <w:bCs w:val="0"/>
                <w:sz w:val="14"/>
                <w:szCs w:val="14"/>
              </w:rPr>
              <w:t>19/20</w:t>
            </w:r>
          </w:p>
        </w:tc>
        <w:tc>
          <w:tcPr>
            <w:tcW w:w="992" w:type="dxa"/>
          </w:tcPr>
          <w:p w14:paraId="4F671404" w14:textId="309ED412"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2.43%</w:t>
            </w:r>
          </w:p>
        </w:tc>
        <w:tc>
          <w:tcPr>
            <w:tcW w:w="850" w:type="dxa"/>
          </w:tcPr>
          <w:p w14:paraId="4077BF03" w14:textId="6BDD6010"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3.83%</w:t>
            </w:r>
          </w:p>
        </w:tc>
        <w:tc>
          <w:tcPr>
            <w:tcW w:w="851" w:type="dxa"/>
          </w:tcPr>
          <w:p w14:paraId="4CE79C99" w14:textId="68C82179"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4.43%</w:t>
            </w:r>
          </w:p>
        </w:tc>
        <w:tc>
          <w:tcPr>
            <w:tcW w:w="850" w:type="dxa"/>
          </w:tcPr>
          <w:p w14:paraId="6C6F707F" w14:textId="4F8B272B"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3.72%</w:t>
            </w:r>
          </w:p>
        </w:tc>
        <w:tc>
          <w:tcPr>
            <w:tcW w:w="851" w:type="dxa"/>
          </w:tcPr>
          <w:p w14:paraId="0A3BACF4" w14:textId="16E376AC"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4.01%</w:t>
            </w:r>
          </w:p>
        </w:tc>
        <w:tc>
          <w:tcPr>
            <w:tcW w:w="850" w:type="dxa"/>
            <w:shd w:val="clear" w:color="auto" w:fill="auto"/>
          </w:tcPr>
          <w:p w14:paraId="2E66C703" w14:textId="4C693384"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4.20%</w:t>
            </w:r>
          </w:p>
        </w:tc>
        <w:tc>
          <w:tcPr>
            <w:tcW w:w="851" w:type="dxa"/>
          </w:tcPr>
          <w:p w14:paraId="37ED84AC" w14:textId="01C93F04" w:rsidR="00EF1E00" w:rsidRPr="00400694" w:rsidRDefault="00EF1E00" w:rsidP="00EF1E00">
            <w:pPr>
              <w:spacing w:before="60" w:after="60"/>
              <w:jc w:val="right"/>
              <w:rPr>
                <w:sz w:val="14"/>
                <w:szCs w:val="14"/>
              </w:rPr>
            </w:pPr>
            <w:r w:rsidRPr="00400694">
              <w:rPr>
                <w:rStyle w:val="Strong"/>
                <w:b w:val="0"/>
                <w:bCs w:val="0"/>
                <w:sz w:val="14"/>
                <w:szCs w:val="14"/>
              </w:rPr>
              <w:t>-1.11%</w:t>
            </w:r>
          </w:p>
        </w:tc>
        <w:tc>
          <w:tcPr>
            <w:tcW w:w="850" w:type="dxa"/>
          </w:tcPr>
          <w:p w14:paraId="2E07985F" w14:textId="5C25DE14" w:rsidR="00EF1E00" w:rsidRPr="00400694" w:rsidRDefault="00EF1E00" w:rsidP="00EF1E00">
            <w:pPr>
              <w:spacing w:before="60" w:after="60"/>
              <w:jc w:val="right"/>
              <w:rPr>
                <w:sz w:val="14"/>
                <w:szCs w:val="14"/>
              </w:rPr>
            </w:pPr>
            <w:r w:rsidRPr="00400694">
              <w:rPr>
                <w:rStyle w:val="Strong"/>
                <w:b w:val="0"/>
                <w:bCs w:val="0"/>
                <w:sz w:val="14"/>
                <w:szCs w:val="14"/>
              </w:rPr>
              <w:t>4.27%</w:t>
            </w:r>
          </w:p>
        </w:tc>
        <w:tc>
          <w:tcPr>
            <w:tcW w:w="851" w:type="dxa"/>
          </w:tcPr>
          <w:p w14:paraId="746D3ED6" w14:textId="7AD9C99D" w:rsidR="00EF1E00" w:rsidRPr="00400694" w:rsidRDefault="00EF1E00" w:rsidP="00EF1E00">
            <w:pPr>
              <w:spacing w:before="60" w:after="60"/>
              <w:jc w:val="right"/>
              <w:rPr>
                <w:sz w:val="14"/>
                <w:szCs w:val="14"/>
              </w:rPr>
            </w:pPr>
            <w:r w:rsidRPr="00400694">
              <w:rPr>
                <w:rStyle w:val="Strong"/>
                <w:b w:val="0"/>
                <w:bCs w:val="0"/>
                <w:sz w:val="14"/>
                <w:szCs w:val="14"/>
              </w:rPr>
              <w:t>4.03%</w:t>
            </w:r>
          </w:p>
        </w:tc>
        <w:tc>
          <w:tcPr>
            <w:tcW w:w="850" w:type="dxa"/>
          </w:tcPr>
          <w:p w14:paraId="1E109F24" w14:textId="76E907B9" w:rsidR="00EF1E00" w:rsidRPr="00400694" w:rsidRDefault="00EF1E00" w:rsidP="00EF1E00">
            <w:pPr>
              <w:spacing w:before="60" w:after="60"/>
              <w:jc w:val="right"/>
              <w:rPr>
                <w:sz w:val="14"/>
                <w:szCs w:val="14"/>
              </w:rPr>
            </w:pPr>
            <w:r w:rsidRPr="00400694">
              <w:rPr>
                <w:rStyle w:val="Strong"/>
                <w:b w:val="0"/>
                <w:bCs w:val="0"/>
                <w:sz w:val="14"/>
                <w:szCs w:val="14"/>
              </w:rPr>
              <w:t>3.98%</w:t>
            </w:r>
          </w:p>
        </w:tc>
        <w:tc>
          <w:tcPr>
            <w:tcW w:w="851" w:type="dxa"/>
          </w:tcPr>
          <w:p w14:paraId="7EB5E43E" w14:textId="7D062B53" w:rsidR="00EF1E00" w:rsidRPr="00400694" w:rsidRDefault="00EF1E00" w:rsidP="00EF1E00">
            <w:pPr>
              <w:spacing w:before="60" w:after="60"/>
              <w:jc w:val="right"/>
              <w:rPr>
                <w:sz w:val="14"/>
                <w:szCs w:val="14"/>
              </w:rPr>
            </w:pPr>
            <w:r w:rsidRPr="00400694">
              <w:rPr>
                <w:rStyle w:val="Strong"/>
                <w:b w:val="0"/>
                <w:bCs w:val="0"/>
                <w:sz w:val="14"/>
                <w:szCs w:val="14"/>
              </w:rPr>
              <w:t>4.14%</w:t>
            </w:r>
          </w:p>
        </w:tc>
      </w:tr>
      <w:tr w:rsidR="00EF1E00" w:rsidRPr="00400694" w14:paraId="2AB1BB55" w14:textId="77777777" w:rsidTr="00587B96">
        <w:tc>
          <w:tcPr>
            <w:tcW w:w="851" w:type="dxa"/>
            <w:shd w:val="clear" w:color="auto" w:fill="BFBFBF" w:themeFill="background1" w:themeFillShade="BF"/>
          </w:tcPr>
          <w:p w14:paraId="228FC0D6" w14:textId="77777777" w:rsidR="00EF1E00" w:rsidRPr="00400694" w:rsidRDefault="00EF1E00" w:rsidP="00EF1E00">
            <w:pPr>
              <w:spacing w:before="60" w:after="60"/>
              <w:jc w:val="center"/>
              <w:rPr>
                <w:rStyle w:val="Strong"/>
                <w:b w:val="0"/>
                <w:bCs w:val="0"/>
                <w:sz w:val="14"/>
                <w:szCs w:val="14"/>
              </w:rPr>
            </w:pPr>
            <w:r w:rsidRPr="00400694">
              <w:rPr>
                <w:rStyle w:val="Strong"/>
                <w:b w:val="0"/>
                <w:bCs w:val="0"/>
                <w:sz w:val="14"/>
                <w:szCs w:val="14"/>
              </w:rPr>
              <w:t>20/21</w:t>
            </w:r>
          </w:p>
        </w:tc>
        <w:tc>
          <w:tcPr>
            <w:tcW w:w="992" w:type="dxa"/>
          </w:tcPr>
          <w:p w14:paraId="7FE58CA2" w14:textId="583A733B"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2.43%</w:t>
            </w:r>
          </w:p>
        </w:tc>
        <w:tc>
          <w:tcPr>
            <w:tcW w:w="850" w:type="dxa"/>
          </w:tcPr>
          <w:p w14:paraId="24511A37" w14:textId="786025DF"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3.83%</w:t>
            </w:r>
          </w:p>
        </w:tc>
        <w:tc>
          <w:tcPr>
            <w:tcW w:w="851" w:type="dxa"/>
          </w:tcPr>
          <w:p w14:paraId="56677118" w14:textId="681DFDB1"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3.81%</w:t>
            </w:r>
          </w:p>
        </w:tc>
        <w:tc>
          <w:tcPr>
            <w:tcW w:w="850" w:type="dxa"/>
          </w:tcPr>
          <w:p w14:paraId="596A79A3" w14:textId="1929A934"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3.72%</w:t>
            </w:r>
          </w:p>
        </w:tc>
        <w:tc>
          <w:tcPr>
            <w:tcW w:w="851" w:type="dxa"/>
          </w:tcPr>
          <w:p w14:paraId="64C94CD6" w14:textId="1E6A0EF5"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4.01%</w:t>
            </w:r>
          </w:p>
        </w:tc>
        <w:tc>
          <w:tcPr>
            <w:tcW w:w="850" w:type="dxa"/>
            <w:shd w:val="clear" w:color="auto" w:fill="auto"/>
          </w:tcPr>
          <w:p w14:paraId="199599CB" w14:textId="044B6400"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4.20%</w:t>
            </w:r>
          </w:p>
        </w:tc>
        <w:tc>
          <w:tcPr>
            <w:tcW w:w="851" w:type="dxa"/>
          </w:tcPr>
          <w:p w14:paraId="1B39B161" w14:textId="4610F5AE" w:rsidR="00EF1E00" w:rsidRPr="00400694" w:rsidRDefault="00EF1E00" w:rsidP="00EF1E00">
            <w:pPr>
              <w:spacing w:before="60" w:after="60"/>
              <w:jc w:val="right"/>
              <w:rPr>
                <w:sz w:val="14"/>
                <w:szCs w:val="14"/>
              </w:rPr>
            </w:pPr>
            <w:r w:rsidRPr="00400694">
              <w:rPr>
                <w:rStyle w:val="Strong"/>
                <w:b w:val="0"/>
                <w:bCs w:val="0"/>
                <w:sz w:val="14"/>
                <w:szCs w:val="14"/>
              </w:rPr>
              <w:t>-1.11%</w:t>
            </w:r>
          </w:p>
        </w:tc>
        <w:tc>
          <w:tcPr>
            <w:tcW w:w="850" w:type="dxa"/>
          </w:tcPr>
          <w:p w14:paraId="0F56854C" w14:textId="3C3C6E60" w:rsidR="00EF1E00" w:rsidRPr="00400694" w:rsidRDefault="00EF1E00" w:rsidP="00EF1E00">
            <w:pPr>
              <w:spacing w:before="60" w:after="60"/>
              <w:jc w:val="right"/>
              <w:rPr>
                <w:sz w:val="14"/>
                <w:szCs w:val="14"/>
              </w:rPr>
            </w:pPr>
            <w:r w:rsidRPr="00400694">
              <w:rPr>
                <w:rStyle w:val="Strong"/>
                <w:b w:val="0"/>
                <w:bCs w:val="0"/>
                <w:sz w:val="14"/>
                <w:szCs w:val="14"/>
              </w:rPr>
              <w:t>4.27%</w:t>
            </w:r>
          </w:p>
        </w:tc>
        <w:tc>
          <w:tcPr>
            <w:tcW w:w="851" w:type="dxa"/>
          </w:tcPr>
          <w:p w14:paraId="05446AC9" w14:textId="16FA06CE" w:rsidR="00EF1E00" w:rsidRPr="00400694" w:rsidRDefault="00EF1E00" w:rsidP="00EF1E00">
            <w:pPr>
              <w:spacing w:before="60" w:after="60"/>
              <w:jc w:val="right"/>
              <w:rPr>
                <w:sz w:val="14"/>
                <w:szCs w:val="14"/>
              </w:rPr>
            </w:pPr>
            <w:r w:rsidRPr="00400694">
              <w:rPr>
                <w:rStyle w:val="Strong"/>
                <w:b w:val="0"/>
                <w:bCs w:val="0"/>
                <w:sz w:val="14"/>
                <w:szCs w:val="14"/>
              </w:rPr>
              <w:t>4.03%</w:t>
            </w:r>
          </w:p>
        </w:tc>
        <w:tc>
          <w:tcPr>
            <w:tcW w:w="850" w:type="dxa"/>
          </w:tcPr>
          <w:p w14:paraId="2CC16103" w14:textId="455CA2D4" w:rsidR="00EF1E00" w:rsidRPr="00400694" w:rsidRDefault="00EF1E00" w:rsidP="00EF1E00">
            <w:pPr>
              <w:spacing w:before="60" w:after="60"/>
              <w:jc w:val="right"/>
              <w:rPr>
                <w:sz w:val="14"/>
                <w:szCs w:val="14"/>
              </w:rPr>
            </w:pPr>
            <w:r w:rsidRPr="00400694">
              <w:rPr>
                <w:rStyle w:val="Strong"/>
                <w:b w:val="0"/>
                <w:bCs w:val="0"/>
                <w:sz w:val="14"/>
                <w:szCs w:val="14"/>
              </w:rPr>
              <w:t>3.83%</w:t>
            </w:r>
          </w:p>
        </w:tc>
        <w:tc>
          <w:tcPr>
            <w:tcW w:w="851" w:type="dxa"/>
          </w:tcPr>
          <w:p w14:paraId="11B36837" w14:textId="03D1875D" w:rsidR="00EF1E00" w:rsidRPr="00400694" w:rsidRDefault="00EF1E00" w:rsidP="00EF1E00">
            <w:pPr>
              <w:spacing w:before="60" w:after="60"/>
              <w:jc w:val="right"/>
              <w:rPr>
                <w:sz w:val="14"/>
                <w:szCs w:val="14"/>
              </w:rPr>
            </w:pPr>
            <w:r w:rsidRPr="00400694">
              <w:rPr>
                <w:rStyle w:val="Strong"/>
                <w:b w:val="0"/>
                <w:bCs w:val="0"/>
                <w:sz w:val="14"/>
                <w:szCs w:val="14"/>
              </w:rPr>
              <w:t>4.14%</w:t>
            </w:r>
          </w:p>
        </w:tc>
      </w:tr>
    </w:tbl>
    <w:p w14:paraId="3E1AF5EF" w14:textId="77777777" w:rsidR="000C1827" w:rsidRPr="000C1827" w:rsidRDefault="000C1827" w:rsidP="000C1827"/>
    <w:p w14:paraId="5527667B" w14:textId="0DC96151" w:rsidR="006B6AAB" w:rsidRPr="006B6AAB" w:rsidRDefault="006B6AAB" w:rsidP="006B5D22">
      <w:pPr>
        <w:pStyle w:val="NumberedParagraph"/>
      </w:pPr>
      <w:r w:rsidRPr="006B6AAB">
        <w:lastRenderedPageBreak/>
        <w:t xml:space="preserve">Table </w:t>
      </w:r>
      <w:r w:rsidR="0027223B" w:rsidRPr="00DB7D73">
        <w:t>A</w:t>
      </w:r>
      <w:r w:rsidR="0018004E">
        <w:t>6</w:t>
      </w:r>
      <w:r w:rsidR="0027223B" w:rsidRPr="00DB7D73">
        <w:t>.3</w:t>
      </w:r>
      <w:r w:rsidR="0027223B">
        <w:t xml:space="preserve"> </w:t>
      </w:r>
      <w:r w:rsidRPr="006B6AAB">
        <w:t>suggests that the lowest costs of capital are for R&amp;D, where because of both expensing and the R&amp;D tax credit, the hurdle rate of return is negative. This is</w:t>
      </w:r>
      <w:r w:rsidR="00316E3C">
        <w:t>,</w:t>
      </w:r>
      <w:r w:rsidRPr="006B6AAB">
        <w:t xml:space="preserve"> of course</w:t>
      </w:r>
      <w:r w:rsidR="00316E3C">
        <w:t>,</w:t>
      </w:r>
      <w:r w:rsidRPr="006B6AAB">
        <w:t xml:space="preserve"> in line with the policy intent of subsidising R&amp;D because of concerns that R&amp;D is likely to generate positive externalities. The cost of capital for exploration is less than the 3% real assumed cost of funds to the economy because of expensing. Other investments have hurdle rates of return that exceed the 3% real cost of funds.</w:t>
      </w:r>
    </w:p>
    <w:p w14:paraId="63934F67" w14:textId="1D253051" w:rsidR="006B6AAB" w:rsidRPr="006B6AAB" w:rsidRDefault="006B6AAB" w:rsidP="006B5D22">
      <w:pPr>
        <w:pStyle w:val="NumberedParagraph"/>
      </w:pPr>
      <w:r w:rsidRPr="006B6AAB">
        <w:t>Not too much should be read into the exact numbers provided for the different types of assets because they depend on a reasonabl</w:t>
      </w:r>
      <w:r w:rsidR="00A70A92">
        <w:t>y</w:t>
      </w:r>
      <w:r w:rsidRPr="006B6AAB">
        <w:t xml:space="preserve"> tenuous method of estimating economic depreciation. This method involves dividing Statistics NZ estimates of consumption of fixed capital by net capital stock at the beginning of the year. Small changes in assumptions can have substantial effects. For example, the BEA estimates that stand-alone houses </w:t>
      </w:r>
      <w:r w:rsidR="00B04351">
        <w:t>and</w:t>
      </w:r>
      <w:r w:rsidRPr="006B6AAB">
        <w:t xml:space="preserve"> small groups of connected dwelling</w:t>
      </w:r>
      <w:r w:rsidR="00A70A92">
        <w:t>s</w:t>
      </w:r>
      <w:r w:rsidRPr="006B6AAB">
        <w:t xml:space="preserve"> with four or fewer dwellings have an economic depreciation rate of 1.14%, and that larger developments of five or more dwellings have an economic depreciation rate of 1.4%. Using either of these estimates of economic depreciation would reduce estimated costs of capital for these assets to 3.82% </w:t>
      </w:r>
      <w:r w:rsidR="00E15FDF">
        <w:t>and</w:t>
      </w:r>
      <w:r w:rsidRPr="006B6AAB">
        <w:t xml:space="preserve"> 3.93% respectively. We have </w:t>
      </w:r>
      <w:r w:rsidR="00007DA2">
        <w:t xml:space="preserve">also </w:t>
      </w:r>
      <w:r w:rsidRPr="006B6AAB">
        <w:t xml:space="preserve">not adjusted the costs of capital calculated for residential buildings </w:t>
      </w:r>
      <w:r w:rsidR="00007DA2">
        <w:t>for</w:t>
      </w:r>
      <w:r w:rsidRPr="006B6AAB">
        <w:t xml:space="preserve"> the recent denial of interest deductibility. Interest on new builds of rental property continues to be deductible.</w:t>
      </w:r>
    </w:p>
    <w:p w14:paraId="255A10A4" w14:textId="082A47A3" w:rsidR="006B6AAB" w:rsidRPr="006B6AAB" w:rsidRDefault="006B6AAB" w:rsidP="006B5D22">
      <w:pPr>
        <w:pStyle w:val="NumberedParagraph"/>
      </w:pPr>
      <w:r w:rsidRPr="006B6AAB">
        <w:t xml:space="preserve">Table </w:t>
      </w:r>
      <w:r w:rsidR="009A6131" w:rsidRPr="00DB7D73">
        <w:t>A</w:t>
      </w:r>
      <w:r w:rsidR="00745E9F">
        <w:t>6</w:t>
      </w:r>
      <w:r w:rsidR="009A6131" w:rsidRPr="00DB7D73">
        <w:t>.4</w:t>
      </w:r>
      <w:r w:rsidRPr="006B6AAB">
        <w:t xml:space="preserve"> presents estimates of EMTRs, once again assuming a world real interest rate of 3%, a debt level of 43% and 2% inflation. For R&amp;D, the cost of capital is negative in three years (see table </w:t>
      </w:r>
      <w:r w:rsidR="000E4977">
        <w:t>A</w:t>
      </w:r>
      <w:r w:rsidR="00745E9F">
        <w:t>6</w:t>
      </w:r>
      <w:r w:rsidR="000E4977">
        <w:t>.</w:t>
      </w:r>
      <w:r w:rsidR="00E80BA8">
        <w:t>3</w:t>
      </w:r>
      <w:r w:rsidRPr="006B6AAB">
        <w:t>) and the tax wedge is also negative. This leads to very high positive EMTRs, which are meaningless. If the cost of capital were to fall, the calculated EMTR would rise. In cases where costs of capital are negative, EMTRs are not reported and are recorded with the</w:t>
      </w:r>
      <w:r w:rsidR="00F04AAF">
        <w:t xml:space="preserve"> </w:t>
      </w:r>
      <w:r w:rsidR="00F04AAF" w:rsidRPr="006B6AAB">
        <w:t>‘***’</w:t>
      </w:r>
      <w:r w:rsidRPr="006B6AAB">
        <w:t xml:space="preserve"> symbol.</w:t>
      </w:r>
    </w:p>
    <w:p w14:paraId="07D8A978" w14:textId="77777777" w:rsidR="00D75780" w:rsidRDefault="00D75780">
      <w:pPr>
        <w:spacing w:before="0"/>
        <w:jc w:val="left"/>
        <w:rPr>
          <w:rFonts w:eastAsia="Calibri"/>
          <w:b/>
          <w:szCs w:val="22"/>
          <w:lang w:eastAsia="en-US"/>
        </w:rPr>
      </w:pPr>
      <w:r>
        <w:rPr>
          <w:rFonts w:eastAsia="Calibri"/>
          <w:lang w:eastAsia="en-US"/>
        </w:rPr>
        <w:br w:type="page"/>
      </w:r>
    </w:p>
    <w:p w14:paraId="42C6D8F4" w14:textId="590AF308" w:rsidR="006B6AAB" w:rsidRPr="006B6AAB" w:rsidRDefault="006B6AAB" w:rsidP="00386D13">
      <w:pPr>
        <w:pStyle w:val="Caption"/>
        <w:rPr>
          <w:rFonts w:eastAsia="Calibri"/>
        </w:rPr>
      </w:pPr>
      <w:r w:rsidRPr="006B6AAB">
        <w:rPr>
          <w:rFonts w:eastAsia="Calibri"/>
          <w:lang w:eastAsia="en-US"/>
        </w:rPr>
        <w:lastRenderedPageBreak/>
        <w:t xml:space="preserve">Table </w:t>
      </w:r>
      <w:r w:rsidR="009A6131">
        <w:rPr>
          <w:rFonts w:eastAsia="Calibri"/>
          <w:lang w:eastAsia="en-US"/>
        </w:rPr>
        <w:t>A</w:t>
      </w:r>
      <w:r w:rsidR="00AD1995">
        <w:rPr>
          <w:rFonts w:eastAsia="Calibri"/>
          <w:lang w:eastAsia="en-US"/>
        </w:rPr>
        <w:t>6</w:t>
      </w:r>
      <w:r w:rsidR="009A6131">
        <w:rPr>
          <w:rFonts w:eastAsia="Calibri"/>
          <w:lang w:eastAsia="en-US"/>
        </w:rPr>
        <w:t>.4</w:t>
      </w:r>
      <w:r w:rsidR="003A441F">
        <w:rPr>
          <w:rFonts w:eastAsia="Calibri"/>
          <w:lang w:eastAsia="en-US"/>
        </w:rPr>
        <w:t xml:space="preserve">: </w:t>
      </w:r>
      <w:r w:rsidRPr="006B6AAB">
        <w:rPr>
          <w:rFonts w:eastAsia="Calibri"/>
          <w:lang w:eastAsia="en-US"/>
        </w:rPr>
        <w:t xml:space="preserve">EMTRs: </w:t>
      </w:r>
      <w:r w:rsidRPr="006B6AAB">
        <w:rPr>
          <w:rFonts w:eastAsia="Calibri"/>
        </w:rPr>
        <w:t>r</w:t>
      </w:r>
      <w:r w:rsidR="00FA7DC2">
        <w:rPr>
          <w:rFonts w:eastAsia="Calibri"/>
        </w:rPr>
        <w:t>*</w:t>
      </w:r>
      <w:r w:rsidRPr="006B6AAB">
        <w:rPr>
          <w:rFonts w:eastAsia="Calibri"/>
        </w:rPr>
        <w:t xml:space="preserve"> = 3%, </w:t>
      </w:r>
      <w:r w:rsidR="009576AD">
        <w:rPr>
          <w:rFonts w:eastAsia="Calibri"/>
        </w:rPr>
        <w:t>inflation</w:t>
      </w:r>
      <w:r w:rsidRPr="006B6AAB">
        <w:rPr>
          <w:rFonts w:eastAsia="Calibri"/>
        </w:rPr>
        <w:t xml:space="preserve"> = 2%, b = 0.43, AIL</w:t>
      </w:r>
      <w:r w:rsidR="000E4977">
        <w:rPr>
          <w:rFonts w:eastAsia="Calibri"/>
        </w:rPr>
        <w:t xml:space="preserve"> = 2</w:t>
      </w:r>
      <w:r w:rsidR="00FA1372">
        <w:rPr>
          <w:rFonts w:eastAsia="Calibri"/>
        </w:rPr>
        <w:t>%</w:t>
      </w:r>
    </w:p>
    <w:tbl>
      <w:tblPr>
        <w:tblStyle w:val="TableGrid"/>
        <w:tblW w:w="0" w:type="auto"/>
        <w:tblInd w:w="-71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28" w:type="dxa"/>
          <w:right w:w="28" w:type="dxa"/>
        </w:tblCellMar>
        <w:tblLook w:val="04A0" w:firstRow="1" w:lastRow="0" w:firstColumn="1" w:lastColumn="0" w:noHBand="0" w:noVBand="1"/>
      </w:tblPr>
      <w:tblGrid>
        <w:gridCol w:w="851"/>
        <w:gridCol w:w="992"/>
        <w:gridCol w:w="851"/>
        <w:gridCol w:w="850"/>
        <w:gridCol w:w="851"/>
        <w:gridCol w:w="850"/>
        <w:gridCol w:w="851"/>
        <w:gridCol w:w="850"/>
        <w:gridCol w:w="851"/>
        <w:gridCol w:w="850"/>
        <w:gridCol w:w="851"/>
        <w:gridCol w:w="850"/>
      </w:tblGrid>
      <w:tr w:rsidR="00B5280A" w:rsidRPr="00400694" w14:paraId="0879BE78" w14:textId="77777777" w:rsidTr="00587B96">
        <w:trPr>
          <w:tblHeader/>
        </w:trPr>
        <w:tc>
          <w:tcPr>
            <w:tcW w:w="851" w:type="dxa"/>
            <w:shd w:val="clear" w:color="auto" w:fill="232E36"/>
          </w:tcPr>
          <w:p w14:paraId="17212E2D" w14:textId="77777777" w:rsidR="00D82914" w:rsidRPr="00400694" w:rsidRDefault="00D82914" w:rsidP="00CA0BF8">
            <w:pPr>
              <w:spacing w:before="120" w:after="120"/>
              <w:jc w:val="center"/>
              <w:rPr>
                <w:b/>
                <w:bCs/>
                <w:color w:val="FFFFFF" w:themeColor="background1"/>
                <w:sz w:val="14"/>
                <w:szCs w:val="14"/>
              </w:rPr>
            </w:pPr>
          </w:p>
        </w:tc>
        <w:tc>
          <w:tcPr>
            <w:tcW w:w="992" w:type="dxa"/>
            <w:shd w:val="clear" w:color="auto" w:fill="232E36"/>
          </w:tcPr>
          <w:p w14:paraId="6EF520A1" w14:textId="10DA635A" w:rsidR="00D82914" w:rsidRPr="00400694" w:rsidRDefault="00D82914" w:rsidP="00D90B48">
            <w:pPr>
              <w:spacing w:before="120" w:after="120"/>
              <w:jc w:val="left"/>
              <w:rPr>
                <w:b/>
                <w:bCs/>
                <w:color w:val="FFFFFF" w:themeColor="background1"/>
                <w:sz w:val="14"/>
                <w:szCs w:val="14"/>
              </w:rPr>
            </w:pPr>
            <w:r w:rsidRPr="00400694">
              <w:rPr>
                <w:b/>
                <w:bCs/>
                <w:color w:val="FFFFFF" w:themeColor="background1"/>
                <w:sz w:val="14"/>
                <w:szCs w:val="14"/>
              </w:rPr>
              <w:t>Exploration</w:t>
            </w:r>
          </w:p>
        </w:tc>
        <w:tc>
          <w:tcPr>
            <w:tcW w:w="851" w:type="dxa"/>
            <w:shd w:val="clear" w:color="auto" w:fill="232E36"/>
          </w:tcPr>
          <w:p w14:paraId="4CF1A7BD" w14:textId="48285F25" w:rsidR="00D82914" w:rsidRPr="00400694" w:rsidRDefault="00D82914" w:rsidP="00D90B48">
            <w:pPr>
              <w:spacing w:before="120" w:after="120"/>
              <w:jc w:val="left"/>
              <w:rPr>
                <w:b/>
                <w:bCs/>
                <w:color w:val="FFFFFF" w:themeColor="background1"/>
                <w:sz w:val="14"/>
                <w:szCs w:val="14"/>
              </w:rPr>
            </w:pPr>
            <w:r w:rsidRPr="00400694">
              <w:rPr>
                <w:b/>
                <w:bCs/>
                <w:color w:val="FFFFFF" w:themeColor="background1"/>
                <w:sz w:val="14"/>
                <w:szCs w:val="14"/>
              </w:rPr>
              <w:t>Land improve</w:t>
            </w:r>
            <w:r w:rsidR="003859A0" w:rsidRPr="00400694">
              <w:rPr>
                <w:b/>
                <w:bCs/>
                <w:color w:val="FFFFFF" w:themeColor="background1"/>
                <w:sz w:val="14"/>
                <w:szCs w:val="14"/>
              </w:rPr>
              <w:t>-</w:t>
            </w:r>
            <w:proofErr w:type="spellStart"/>
            <w:r w:rsidRPr="00400694">
              <w:rPr>
                <w:b/>
                <w:bCs/>
                <w:color w:val="FFFFFF" w:themeColor="background1"/>
                <w:sz w:val="14"/>
                <w:szCs w:val="14"/>
              </w:rPr>
              <w:t>ments</w:t>
            </w:r>
            <w:proofErr w:type="spellEnd"/>
          </w:p>
        </w:tc>
        <w:tc>
          <w:tcPr>
            <w:tcW w:w="850" w:type="dxa"/>
            <w:shd w:val="clear" w:color="auto" w:fill="232E36"/>
          </w:tcPr>
          <w:p w14:paraId="6DBCE32F" w14:textId="502C98DB" w:rsidR="00D82914" w:rsidRPr="00400694" w:rsidRDefault="00D82914" w:rsidP="00D90B48">
            <w:pPr>
              <w:spacing w:before="120" w:after="120"/>
              <w:jc w:val="left"/>
              <w:rPr>
                <w:b/>
                <w:bCs/>
                <w:color w:val="FFFFFF" w:themeColor="background1"/>
                <w:sz w:val="14"/>
                <w:szCs w:val="14"/>
              </w:rPr>
            </w:pPr>
            <w:r w:rsidRPr="00400694">
              <w:rPr>
                <w:b/>
                <w:bCs/>
                <w:color w:val="FFFFFF" w:themeColor="background1"/>
                <w:sz w:val="14"/>
                <w:szCs w:val="14"/>
              </w:rPr>
              <w:t>Non-res buildings</w:t>
            </w:r>
          </w:p>
        </w:tc>
        <w:tc>
          <w:tcPr>
            <w:tcW w:w="851" w:type="dxa"/>
            <w:shd w:val="clear" w:color="auto" w:fill="232E36"/>
          </w:tcPr>
          <w:p w14:paraId="02648700" w14:textId="4FB6162E" w:rsidR="00D82914" w:rsidRPr="00400694" w:rsidRDefault="00D82914" w:rsidP="00D90B48">
            <w:pPr>
              <w:spacing w:before="120" w:after="120"/>
              <w:jc w:val="left"/>
              <w:rPr>
                <w:b/>
                <w:bCs/>
                <w:color w:val="FFFFFF" w:themeColor="background1"/>
                <w:sz w:val="14"/>
                <w:szCs w:val="14"/>
              </w:rPr>
            </w:pPr>
            <w:proofErr w:type="gramStart"/>
            <w:r w:rsidRPr="00400694">
              <w:rPr>
                <w:b/>
                <w:bCs/>
                <w:color w:val="FFFFFF" w:themeColor="background1"/>
                <w:sz w:val="14"/>
                <w:szCs w:val="14"/>
              </w:rPr>
              <w:t>Other</w:t>
            </w:r>
            <w:proofErr w:type="gramEnd"/>
            <w:r w:rsidRPr="00400694">
              <w:rPr>
                <w:b/>
                <w:bCs/>
                <w:color w:val="FFFFFF" w:themeColor="background1"/>
                <w:sz w:val="14"/>
                <w:szCs w:val="14"/>
              </w:rPr>
              <w:t xml:space="preserve"> construct</w:t>
            </w:r>
          </w:p>
        </w:tc>
        <w:tc>
          <w:tcPr>
            <w:tcW w:w="850" w:type="dxa"/>
            <w:shd w:val="clear" w:color="auto" w:fill="232E36"/>
          </w:tcPr>
          <w:p w14:paraId="659BC777" w14:textId="669A0A2D" w:rsidR="00D82914" w:rsidRPr="00400694" w:rsidRDefault="00D82914" w:rsidP="00D90B48">
            <w:pPr>
              <w:spacing w:before="120" w:after="120"/>
              <w:jc w:val="left"/>
              <w:rPr>
                <w:b/>
                <w:bCs/>
                <w:color w:val="FFFFFF" w:themeColor="background1"/>
                <w:sz w:val="14"/>
                <w:szCs w:val="14"/>
              </w:rPr>
            </w:pPr>
            <w:r w:rsidRPr="00400694">
              <w:rPr>
                <w:b/>
                <w:bCs/>
                <w:color w:val="FFFFFF" w:themeColor="background1"/>
                <w:sz w:val="14"/>
                <w:szCs w:val="14"/>
              </w:rPr>
              <w:t>PM</w:t>
            </w:r>
            <w:r w:rsidR="003859A0" w:rsidRPr="00400694">
              <w:rPr>
                <w:b/>
                <w:bCs/>
                <w:color w:val="FFFFFF" w:themeColor="background1"/>
                <w:sz w:val="14"/>
                <w:szCs w:val="14"/>
              </w:rPr>
              <w:t>&amp;</w:t>
            </w:r>
            <w:r w:rsidRPr="00400694">
              <w:rPr>
                <w:b/>
                <w:bCs/>
                <w:color w:val="FFFFFF" w:themeColor="background1"/>
                <w:sz w:val="14"/>
                <w:szCs w:val="14"/>
              </w:rPr>
              <w:t>E</w:t>
            </w:r>
          </w:p>
        </w:tc>
        <w:tc>
          <w:tcPr>
            <w:tcW w:w="851" w:type="dxa"/>
            <w:shd w:val="clear" w:color="auto" w:fill="232E36"/>
          </w:tcPr>
          <w:p w14:paraId="2440107A" w14:textId="15C679DF" w:rsidR="00D82914" w:rsidRPr="00400694" w:rsidRDefault="00D82914" w:rsidP="00D90B48">
            <w:pPr>
              <w:spacing w:before="120" w:after="120"/>
              <w:jc w:val="left"/>
              <w:rPr>
                <w:b/>
                <w:bCs/>
                <w:color w:val="FFFFFF" w:themeColor="background1"/>
                <w:sz w:val="14"/>
                <w:szCs w:val="14"/>
              </w:rPr>
            </w:pPr>
            <w:proofErr w:type="gramStart"/>
            <w:r w:rsidRPr="00400694">
              <w:rPr>
                <w:b/>
                <w:bCs/>
                <w:color w:val="FFFFFF" w:themeColor="background1"/>
                <w:sz w:val="14"/>
                <w:szCs w:val="14"/>
              </w:rPr>
              <w:t>Res</w:t>
            </w:r>
            <w:proofErr w:type="gramEnd"/>
            <w:r w:rsidR="003859A0" w:rsidRPr="00400694">
              <w:rPr>
                <w:b/>
                <w:bCs/>
                <w:color w:val="FFFFFF" w:themeColor="background1"/>
                <w:sz w:val="14"/>
                <w:szCs w:val="14"/>
              </w:rPr>
              <w:t xml:space="preserve"> </w:t>
            </w:r>
            <w:r w:rsidRPr="00400694">
              <w:rPr>
                <w:b/>
                <w:bCs/>
                <w:color w:val="FFFFFF" w:themeColor="background1"/>
                <w:sz w:val="14"/>
                <w:szCs w:val="14"/>
              </w:rPr>
              <w:t>buildings</w:t>
            </w:r>
          </w:p>
        </w:tc>
        <w:tc>
          <w:tcPr>
            <w:tcW w:w="850" w:type="dxa"/>
            <w:shd w:val="clear" w:color="auto" w:fill="232E36"/>
          </w:tcPr>
          <w:p w14:paraId="48C4E68C" w14:textId="01A859C1" w:rsidR="00D82914" w:rsidRPr="00400694" w:rsidRDefault="00D82914" w:rsidP="00D90B48">
            <w:pPr>
              <w:spacing w:before="120" w:after="120"/>
              <w:jc w:val="center"/>
              <w:rPr>
                <w:rStyle w:val="Strong"/>
                <w:color w:val="FFFFFF" w:themeColor="background1"/>
                <w:sz w:val="14"/>
                <w:szCs w:val="14"/>
              </w:rPr>
            </w:pPr>
            <w:r w:rsidRPr="00400694">
              <w:rPr>
                <w:rStyle w:val="Strong"/>
                <w:color w:val="FFFFFF" w:themeColor="background1"/>
                <w:sz w:val="14"/>
                <w:szCs w:val="14"/>
              </w:rPr>
              <w:t>R&amp;D</w:t>
            </w:r>
          </w:p>
        </w:tc>
        <w:tc>
          <w:tcPr>
            <w:tcW w:w="851" w:type="dxa"/>
            <w:shd w:val="clear" w:color="auto" w:fill="232E36"/>
          </w:tcPr>
          <w:p w14:paraId="44CD549D" w14:textId="156E80B1" w:rsidR="00D82914" w:rsidRPr="00400694" w:rsidRDefault="00D82914" w:rsidP="00D90B48">
            <w:pPr>
              <w:spacing w:before="120" w:after="120"/>
              <w:jc w:val="center"/>
              <w:rPr>
                <w:rStyle w:val="Strong"/>
                <w:color w:val="FFFFFF" w:themeColor="background1"/>
                <w:sz w:val="14"/>
                <w:szCs w:val="14"/>
              </w:rPr>
            </w:pPr>
            <w:r w:rsidRPr="00400694">
              <w:rPr>
                <w:rStyle w:val="Strong"/>
                <w:color w:val="FFFFFF" w:themeColor="background1"/>
                <w:sz w:val="14"/>
                <w:szCs w:val="14"/>
              </w:rPr>
              <w:t>Software</w:t>
            </w:r>
          </w:p>
        </w:tc>
        <w:tc>
          <w:tcPr>
            <w:tcW w:w="850" w:type="dxa"/>
            <w:shd w:val="clear" w:color="auto" w:fill="232E36"/>
          </w:tcPr>
          <w:p w14:paraId="1433D704" w14:textId="4B912773" w:rsidR="00D82914" w:rsidRPr="00400694" w:rsidRDefault="00D82914" w:rsidP="00D90B48">
            <w:pPr>
              <w:spacing w:before="120" w:after="120"/>
              <w:jc w:val="center"/>
              <w:rPr>
                <w:rStyle w:val="Strong"/>
                <w:color w:val="FFFFFF" w:themeColor="background1"/>
                <w:sz w:val="14"/>
                <w:szCs w:val="14"/>
              </w:rPr>
            </w:pPr>
            <w:r w:rsidRPr="00400694">
              <w:rPr>
                <w:rStyle w:val="Strong"/>
                <w:color w:val="FFFFFF" w:themeColor="background1"/>
                <w:sz w:val="14"/>
                <w:szCs w:val="14"/>
              </w:rPr>
              <w:t>Trans</w:t>
            </w:r>
            <w:r w:rsidR="00E75993" w:rsidRPr="00400694">
              <w:rPr>
                <w:rStyle w:val="Strong"/>
                <w:color w:val="FFFFFF" w:themeColor="background1"/>
                <w:sz w:val="14"/>
                <w:szCs w:val="14"/>
              </w:rPr>
              <w:t xml:space="preserve"> </w:t>
            </w:r>
            <w:r w:rsidRPr="00400694">
              <w:rPr>
                <w:rStyle w:val="Strong"/>
                <w:color w:val="FFFFFF" w:themeColor="background1"/>
                <w:sz w:val="14"/>
                <w:szCs w:val="14"/>
              </w:rPr>
              <w:t>equip</w:t>
            </w:r>
          </w:p>
        </w:tc>
        <w:tc>
          <w:tcPr>
            <w:tcW w:w="851" w:type="dxa"/>
            <w:shd w:val="clear" w:color="auto" w:fill="232E36"/>
          </w:tcPr>
          <w:p w14:paraId="23CC6EF9" w14:textId="3E3934AF" w:rsidR="00D82914" w:rsidRPr="00400694" w:rsidRDefault="00D82914" w:rsidP="00D90B48">
            <w:pPr>
              <w:spacing w:before="120" w:after="120"/>
              <w:jc w:val="center"/>
              <w:rPr>
                <w:rStyle w:val="Strong"/>
                <w:color w:val="FFFFFF" w:themeColor="background1"/>
                <w:sz w:val="14"/>
                <w:szCs w:val="14"/>
              </w:rPr>
            </w:pPr>
            <w:proofErr w:type="spellStart"/>
            <w:r w:rsidRPr="00400694">
              <w:rPr>
                <w:rStyle w:val="Strong"/>
                <w:color w:val="FFFFFF" w:themeColor="background1"/>
                <w:sz w:val="14"/>
                <w:szCs w:val="14"/>
              </w:rPr>
              <w:t>Wtd</w:t>
            </w:r>
            <w:proofErr w:type="spellEnd"/>
            <w:r w:rsidRPr="00400694">
              <w:rPr>
                <w:rStyle w:val="Strong"/>
                <w:color w:val="FFFFFF" w:themeColor="background1"/>
                <w:sz w:val="14"/>
                <w:szCs w:val="14"/>
              </w:rPr>
              <w:t xml:space="preserve"> </w:t>
            </w:r>
            <w:proofErr w:type="spellStart"/>
            <w:r w:rsidRPr="00400694">
              <w:rPr>
                <w:rStyle w:val="Strong"/>
                <w:color w:val="FFFFFF" w:themeColor="background1"/>
                <w:sz w:val="14"/>
                <w:szCs w:val="14"/>
              </w:rPr>
              <w:t>avg</w:t>
            </w:r>
            <w:r w:rsidR="00E75993" w:rsidRPr="00400694">
              <w:rPr>
                <w:rStyle w:val="Strong"/>
                <w:color w:val="FFFFFF" w:themeColor="background1"/>
                <w:sz w:val="14"/>
                <w:szCs w:val="14"/>
              </w:rPr>
              <w:t>e</w:t>
            </w:r>
            <w:proofErr w:type="spellEnd"/>
          </w:p>
        </w:tc>
        <w:tc>
          <w:tcPr>
            <w:tcW w:w="850" w:type="dxa"/>
            <w:shd w:val="clear" w:color="auto" w:fill="232E36"/>
          </w:tcPr>
          <w:p w14:paraId="74CA1AF9" w14:textId="0BC60D45" w:rsidR="00D82914" w:rsidRPr="00400694" w:rsidRDefault="00D82914" w:rsidP="00D90B48">
            <w:pPr>
              <w:spacing w:before="120" w:after="120"/>
              <w:jc w:val="center"/>
              <w:rPr>
                <w:rStyle w:val="Strong"/>
                <w:color w:val="FFFFFF" w:themeColor="background1"/>
                <w:sz w:val="14"/>
                <w:szCs w:val="14"/>
              </w:rPr>
            </w:pPr>
            <w:proofErr w:type="spellStart"/>
            <w:r w:rsidRPr="00400694">
              <w:rPr>
                <w:rStyle w:val="Strong"/>
                <w:color w:val="FFFFFF" w:themeColor="background1"/>
                <w:sz w:val="14"/>
                <w:szCs w:val="14"/>
              </w:rPr>
              <w:t>Inven</w:t>
            </w:r>
            <w:r w:rsidR="00E75993" w:rsidRPr="00400694">
              <w:rPr>
                <w:rStyle w:val="Strong"/>
                <w:color w:val="FFFFFF" w:themeColor="background1"/>
                <w:sz w:val="14"/>
                <w:szCs w:val="14"/>
              </w:rPr>
              <w:t>-</w:t>
            </w:r>
            <w:r w:rsidRPr="00400694">
              <w:rPr>
                <w:rStyle w:val="Strong"/>
                <w:color w:val="FFFFFF" w:themeColor="background1"/>
                <w:sz w:val="14"/>
                <w:szCs w:val="14"/>
              </w:rPr>
              <w:t>tories</w:t>
            </w:r>
            <w:proofErr w:type="spellEnd"/>
          </w:p>
        </w:tc>
      </w:tr>
      <w:tr w:rsidR="00E75993" w:rsidRPr="00400694" w14:paraId="45FE36D3" w14:textId="77777777" w:rsidTr="00587B96">
        <w:tc>
          <w:tcPr>
            <w:tcW w:w="851" w:type="dxa"/>
            <w:shd w:val="clear" w:color="auto" w:fill="BFBFBF" w:themeFill="background1" w:themeFillShade="BF"/>
          </w:tcPr>
          <w:p w14:paraId="418CA662" w14:textId="13EA9520" w:rsidR="003859A0" w:rsidRPr="00400694" w:rsidRDefault="003859A0" w:rsidP="00CA0BF8">
            <w:pPr>
              <w:spacing w:before="60" w:after="60"/>
              <w:jc w:val="center"/>
              <w:rPr>
                <w:rStyle w:val="Strong"/>
                <w:b w:val="0"/>
                <w:bCs w:val="0"/>
                <w:sz w:val="14"/>
                <w:szCs w:val="14"/>
              </w:rPr>
            </w:pPr>
            <w:r w:rsidRPr="00400694">
              <w:rPr>
                <w:rStyle w:val="Strong"/>
                <w:b w:val="0"/>
                <w:bCs w:val="0"/>
                <w:sz w:val="14"/>
                <w:szCs w:val="14"/>
              </w:rPr>
              <w:t>Weight</w:t>
            </w:r>
          </w:p>
        </w:tc>
        <w:tc>
          <w:tcPr>
            <w:tcW w:w="992" w:type="dxa"/>
            <w:shd w:val="clear" w:color="auto" w:fill="BFBFBF" w:themeFill="background1" w:themeFillShade="BF"/>
          </w:tcPr>
          <w:p w14:paraId="4BD7DE8F" w14:textId="372C0B75" w:rsidR="003859A0" w:rsidRPr="00400694" w:rsidRDefault="003859A0" w:rsidP="00CA0BF8">
            <w:pPr>
              <w:spacing w:before="60" w:after="60"/>
              <w:jc w:val="right"/>
              <w:rPr>
                <w:rStyle w:val="Strong"/>
                <w:b w:val="0"/>
                <w:bCs w:val="0"/>
                <w:sz w:val="14"/>
                <w:szCs w:val="14"/>
              </w:rPr>
            </w:pPr>
            <w:r w:rsidRPr="00400694">
              <w:rPr>
                <w:rStyle w:val="Strong"/>
                <w:b w:val="0"/>
                <w:bCs w:val="0"/>
                <w:sz w:val="14"/>
                <w:szCs w:val="14"/>
              </w:rPr>
              <w:t>0.80%</w:t>
            </w:r>
          </w:p>
        </w:tc>
        <w:tc>
          <w:tcPr>
            <w:tcW w:w="851" w:type="dxa"/>
            <w:shd w:val="clear" w:color="auto" w:fill="BFBFBF" w:themeFill="background1" w:themeFillShade="BF"/>
          </w:tcPr>
          <w:p w14:paraId="3381EF70" w14:textId="0E77603B" w:rsidR="003859A0" w:rsidRPr="00400694" w:rsidRDefault="003859A0" w:rsidP="00CA0BF8">
            <w:pPr>
              <w:spacing w:before="60" w:after="60"/>
              <w:jc w:val="right"/>
              <w:rPr>
                <w:rStyle w:val="Strong"/>
                <w:b w:val="0"/>
                <w:bCs w:val="0"/>
                <w:sz w:val="14"/>
                <w:szCs w:val="14"/>
              </w:rPr>
            </w:pPr>
            <w:r w:rsidRPr="00400694">
              <w:rPr>
                <w:rStyle w:val="Strong"/>
                <w:b w:val="0"/>
                <w:bCs w:val="0"/>
                <w:sz w:val="14"/>
                <w:szCs w:val="14"/>
              </w:rPr>
              <w:t>2.60%</w:t>
            </w:r>
          </w:p>
        </w:tc>
        <w:tc>
          <w:tcPr>
            <w:tcW w:w="850" w:type="dxa"/>
            <w:shd w:val="clear" w:color="auto" w:fill="BFBFBF" w:themeFill="background1" w:themeFillShade="BF"/>
          </w:tcPr>
          <w:p w14:paraId="1ACB6D36" w14:textId="6F9BC5D6" w:rsidR="003859A0" w:rsidRPr="00400694" w:rsidRDefault="003859A0" w:rsidP="00CA0BF8">
            <w:pPr>
              <w:spacing w:before="60" w:after="60"/>
              <w:jc w:val="right"/>
              <w:rPr>
                <w:rStyle w:val="Strong"/>
                <w:b w:val="0"/>
                <w:bCs w:val="0"/>
                <w:sz w:val="14"/>
                <w:szCs w:val="14"/>
              </w:rPr>
            </w:pPr>
            <w:r w:rsidRPr="00400694">
              <w:rPr>
                <w:rStyle w:val="Strong"/>
                <w:b w:val="0"/>
                <w:bCs w:val="0"/>
                <w:sz w:val="14"/>
                <w:szCs w:val="14"/>
              </w:rPr>
              <w:t>23.40%</w:t>
            </w:r>
          </w:p>
        </w:tc>
        <w:tc>
          <w:tcPr>
            <w:tcW w:w="851" w:type="dxa"/>
            <w:shd w:val="clear" w:color="auto" w:fill="BFBFBF" w:themeFill="background1" w:themeFillShade="BF"/>
          </w:tcPr>
          <w:p w14:paraId="09297C13" w14:textId="1A356959" w:rsidR="003859A0" w:rsidRPr="00400694" w:rsidRDefault="003859A0" w:rsidP="00CA0BF8">
            <w:pPr>
              <w:spacing w:before="60" w:after="60"/>
              <w:jc w:val="right"/>
              <w:rPr>
                <w:rStyle w:val="Strong"/>
                <w:b w:val="0"/>
                <w:bCs w:val="0"/>
                <w:sz w:val="14"/>
                <w:szCs w:val="14"/>
              </w:rPr>
            </w:pPr>
            <w:r w:rsidRPr="00400694">
              <w:rPr>
                <w:rStyle w:val="Strong"/>
                <w:b w:val="0"/>
                <w:bCs w:val="0"/>
                <w:sz w:val="14"/>
                <w:szCs w:val="14"/>
              </w:rPr>
              <w:t>16.40%</w:t>
            </w:r>
          </w:p>
        </w:tc>
        <w:tc>
          <w:tcPr>
            <w:tcW w:w="850" w:type="dxa"/>
            <w:shd w:val="clear" w:color="auto" w:fill="BFBFBF" w:themeFill="background1" w:themeFillShade="BF"/>
          </w:tcPr>
          <w:p w14:paraId="17899502" w14:textId="3E54F683" w:rsidR="003859A0" w:rsidRPr="00400694" w:rsidRDefault="003859A0" w:rsidP="00CA0BF8">
            <w:pPr>
              <w:spacing w:before="60" w:after="60"/>
              <w:jc w:val="right"/>
              <w:rPr>
                <w:rStyle w:val="Strong"/>
                <w:b w:val="0"/>
                <w:bCs w:val="0"/>
                <w:sz w:val="14"/>
                <w:szCs w:val="14"/>
              </w:rPr>
            </w:pPr>
            <w:r w:rsidRPr="00400694">
              <w:rPr>
                <w:rStyle w:val="Strong"/>
                <w:b w:val="0"/>
                <w:bCs w:val="0"/>
                <w:sz w:val="14"/>
                <w:szCs w:val="14"/>
              </w:rPr>
              <w:t>19.90%</w:t>
            </w:r>
          </w:p>
        </w:tc>
        <w:tc>
          <w:tcPr>
            <w:tcW w:w="851" w:type="dxa"/>
            <w:shd w:val="clear" w:color="auto" w:fill="BFBFBF" w:themeFill="background1" w:themeFillShade="BF"/>
          </w:tcPr>
          <w:p w14:paraId="142638BC" w14:textId="015D51B7" w:rsidR="003859A0" w:rsidRPr="00400694" w:rsidRDefault="003859A0" w:rsidP="00CA0BF8">
            <w:pPr>
              <w:spacing w:before="60" w:after="60"/>
              <w:jc w:val="right"/>
              <w:rPr>
                <w:rStyle w:val="Strong"/>
                <w:b w:val="0"/>
                <w:bCs w:val="0"/>
                <w:sz w:val="14"/>
                <w:szCs w:val="14"/>
              </w:rPr>
            </w:pPr>
            <w:r w:rsidRPr="00400694">
              <w:rPr>
                <w:rStyle w:val="Strong"/>
                <w:b w:val="0"/>
                <w:bCs w:val="0"/>
                <w:sz w:val="14"/>
                <w:szCs w:val="14"/>
              </w:rPr>
              <w:t>24.40%</w:t>
            </w:r>
          </w:p>
        </w:tc>
        <w:tc>
          <w:tcPr>
            <w:tcW w:w="850" w:type="dxa"/>
            <w:shd w:val="clear" w:color="auto" w:fill="BFBFBF" w:themeFill="background1" w:themeFillShade="BF"/>
          </w:tcPr>
          <w:p w14:paraId="195B30F5" w14:textId="660895F5" w:rsidR="003859A0" w:rsidRPr="00400694" w:rsidRDefault="003859A0" w:rsidP="00CA0BF8">
            <w:pPr>
              <w:spacing w:before="60" w:after="60"/>
              <w:jc w:val="right"/>
              <w:rPr>
                <w:sz w:val="14"/>
                <w:szCs w:val="14"/>
              </w:rPr>
            </w:pPr>
            <w:r w:rsidRPr="00400694">
              <w:rPr>
                <w:rStyle w:val="Strong"/>
                <w:b w:val="0"/>
                <w:bCs w:val="0"/>
                <w:sz w:val="14"/>
                <w:szCs w:val="14"/>
              </w:rPr>
              <w:t>2.40%</w:t>
            </w:r>
          </w:p>
        </w:tc>
        <w:tc>
          <w:tcPr>
            <w:tcW w:w="851" w:type="dxa"/>
            <w:shd w:val="clear" w:color="auto" w:fill="BFBFBF" w:themeFill="background1" w:themeFillShade="BF"/>
          </w:tcPr>
          <w:p w14:paraId="5A71E45E" w14:textId="09484F9B" w:rsidR="003859A0" w:rsidRPr="00400694" w:rsidRDefault="003859A0" w:rsidP="00CA0BF8">
            <w:pPr>
              <w:spacing w:before="60" w:after="60"/>
              <w:jc w:val="right"/>
              <w:rPr>
                <w:sz w:val="14"/>
                <w:szCs w:val="14"/>
              </w:rPr>
            </w:pPr>
            <w:r w:rsidRPr="00400694">
              <w:rPr>
                <w:rStyle w:val="Strong"/>
                <w:b w:val="0"/>
                <w:bCs w:val="0"/>
                <w:sz w:val="14"/>
                <w:szCs w:val="14"/>
              </w:rPr>
              <w:t>3.70%</w:t>
            </w:r>
          </w:p>
        </w:tc>
        <w:tc>
          <w:tcPr>
            <w:tcW w:w="850" w:type="dxa"/>
            <w:shd w:val="clear" w:color="auto" w:fill="BFBFBF" w:themeFill="background1" w:themeFillShade="BF"/>
          </w:tcPr>
          <w:p w14:paraId="5E52E148" w14:textId="5A349A95" w:rsidR="003859A0" w:rsidRPr="00400694" w:rsidRDefault="003859A0" w:rsidP="00CA0BF8">
            <w:pPr>
              <w:spacing w:before="60" w:after="60"/>
              <w:jc w:val="right"/>
              <w:rPr>
                <w:sz w:val="14"/>
                <w:szCs w:val="14"/>
              </w:rPr>
            </w:pPr>
            <w:r w:rsidRPr="00400694">
              <w:rPr>
                <w:rStyle w:val="Strong"/>
                <w:b w:val="0"/>
                <w:bCs w:val="0"/>
                <w:sz w:val="14"/>
                <w:szCs w:val="14"/>
              </w:rPr>
              <w:t>6.40%</w:t>
            </w:r>
          </w:p>
        </w:tc>
        <w:tc>
          <w:tcPr>
            <w:tcW w:w="851" w:type="dxa"/>
            <w:shd w:val="clear" w:color="auto" w:fill="BFBFBF" w:themeFill="background1" w:themeFillShade="BF"/>
          </w:tcPr>
          <w:p w14:paraId="2C998004" w14:textId="34C7EB59" w:rsidR="003859A0" w:rsidRPr="00400694" w:rsidRDefault="003859A0" w:rsidP="00CA0BF8">
            <w:pPr>
              <w:spacing w:before="60" w:after="60"/>
              <w:jc w:val="right"/>
              <w:rPr>
                <w:sz w:val="14"/>
                <w:szCs w:val="14"/>
              </w:rPr>
            </w:pPr>
          </w:p>
        </w:tc>
        <w:tc>
          <w:tcPr>
            <w:tcW w:w="850" w:type="dxa"/>
            <w:shd w:val="clear" w:color="auto" w:fill="BFBFBF" w:themeFill="background1" w:themeFillShade="BF"/>
          </w:tcPr>
          <w:p w14:paraId="17D0F2C5" w14:textId="5E2E643A" w:rsidR="003859A0" w:rsidRPr="00400694" w:rsidRDefault="003859A0" w:rsidP="00CA0BF8">
            <w:pPr>
              <w:spacing w:before="60" w:after="60"/>
              <w:jc w:val="right"/>
              <w:rPr>
                <w:sz w:val="14"/>
                <w:szCs w:val="14"/>
              </w:rPr>
            </w:pPr>
          </w:p>
        </w:tc>
      </w:tr>
      <w:tr w:rsidR="00E75993" w:rsidRPr="00400694" w14:paraId="160159A1" w14:textId="77777777" w:rsidTr="00587B96">
        <w:tc>
          <w:tcPr>
            <w:tcW w:w="851" w:type="dxa"/>
            <w:shd w:val="clear" w:color="auto" w:fill="BFBFBF" w:themeFill="background1" w:themeFillShade="BF"/>
          </w:tcPr>
          <w:p w14:paraId="448A0C87" w14:textId="77DA823E" w:rsidR="003859A0" w:rsidRPr="00400694" w:rsidRDefault="003859A0" w:rsidP="00CA0BF8">
            <w:pPr>
              <w:spacing w:before="60" w:after="60"/>
              <w:jc w:val="center"/>
              <w:rPr>
                <w:rStyle w:val="Strong"/>
                <w:b w:val="0"/>
                <w:bCs w:val="0"/>
                <w:sz w:val="14"/>
                <w:szCs w:val="14"/>
              </w:rPr>
            </w:pPr>
            <w:r w:rsidRPr="00400694">
              <w:rPr>
                <w:rStyle w:val="Strong"/>
                <w:b w:val="0"/>
                <w:bCs w:val="0"/>
                <w:sz w:val="14"/>
                <w:szCs w:val="14"/>
              </w:rPr>
              <w:t>2000/01</w:t>
            </w:r>
          </w:p>
        </w:tc>
        <w:tc>
          <w:tcPr>
            <w:tcW w:w="992" w:type="dxa"/>
          </w:tcPr>
          <w:p w14:paraId="7F0F62A4" w14:textId="3CED6379" w:rsidR="003859A0" w:rsidRPr="00400694" w:rsidRDefault="003859A0" w:rsidP="00CA0BF8">
            <w:pPr>
              <w:spacing w:before="60" w:after="60"/>
              <w:jc w:val="right"/>
              <w:rPr>
                <w:rStyle w:val="Strong"/>
                <w:b w:val="0"/>
                <w:bCs w:val="0"/>
                <w:sz w:val="14"/>
                <w:szCs w:val="14"/>
              </w:rPr>
            </w:pPr>
            <w:r w:rsidRPr="00400694">
              <w:rPr>
                <w:rStyle w:val="Strong"/>
                <w:b w:val="0"/>
                <w:bCs w:val="0"/>
                <w:sz w:val="14"/>
                <w:szCs w:val="14"/>
              </w:rPr>
              <w:t>-29.02%</w:t>
            </w:r>
          </w:p>
        </w:tc>
        <w:tc>
          <w:tcPr>
            <w:tcW w:w="851" w:type="dxa"/>
          </w:tcPr>
          <w:p w14:paraId="0C483859" w14:textId="612986EF" w:rsidR="003859A0" w:rsidRPr="00400694" w:rsidRDefault="003859A0" w:rsidP="00CA0BF8">
            <w:pPr>
              <w:spacing w:before="60" w:after="60"/>
              <w:jc w:val="right"/>
              <w:rPr>
                <w:rStyle w:val="Strong"/>
                <w:b w:val="0"/>
                <w:bCs w:val="0"/>
                <w:sz w:val="14"/>
                <w:szCs w:val="14"/>
              </w:rPr>
            </w:pPr>
            <w:r w:rsidRPr="00400694">
              <w:rPr>
                <w:rStyle w:val="Strong"/>
                <w:b w:val="0"/>
                <w:bCs w:val="0"/>
                <w:sz w:val="14"/>
                <w:szCs w:val="14"/>
              </w:rPr>
              <w:t>26.47%</w:t>
            </w:r>
          </w:p>
        </w:tc>
        <w:tc>
          <w:tcPr>
            <w:tcW w:w="850" w:type="dxa"/>
          </w:tcPr>
          <w:p w14:paraId="49A67118" w14:textId="4F5FF983" w:rsidR="003859A0" w:rsidRPr="00400694" w:rsidRDefault="003859A0" w:rsidP="00CA0BF8">
            <w:pPr>
              <w:spacing w:before="60" w:after="60"/>
              <w:jc w:val="right"/>
              <w:rPr>
                <w:rStyle w:val="Strong"/>
                <w:b w:val="0"/>
                <w:bCs w:val="0"/>
                <w:sz w:val="14"/>
                <w:szCs w:val="14"/>
              </w:rPr>
            </w:pPr>
            <w:r w:rsidRPr="00400694">
              <w:rPr>
                <w:rStyle w:val="Strong"/>
                <w:b w:val="0"/>
                <w:bCs w:val="0"/>
                <w:sz w:val="14"/>
                <w:szCs w:val="14"/>
              </w:rPr>
              <w:t>17.02%</w:t>
            </w:r>
          </w:p>
        </w:tc>
        <w:tc>
          <w:tcPr>
            <w:tcW w:w="851" w:type="dxa"/>
          </w:tcPr>
          <w:p w14:paraId="114D797E" w14:textId="4608C7CA" w:rsidR="003859A0" w:rsidRPr="00400694" w:rsidRDefault="003859A0" w:rsidP="00CA0BF8">
            <w:pPr>
              <w:spacing w:before="60" w:after="60"/>
              <w:jc w:val="right"/>
              <w:rPr>
                <w:rStyle w:val="Strong"/>
                <w:b w:val="0"/>
                <w:bCs w:val="0"/>
                <w:sz w:val="14"/>
                <w:szCs w:val="14"/>
              </w:rPr>
            </w:pPr>
            <w:r w:rsidRPr="00400694">
              <w:rPr>
                <w:rStyle w:val="Strong"/>
                <w:b w:val="0"/>
                <w:bCs w:val="0"/>
                <w:sz w:val="14"/>
                <w:szCs w:val="14"/>
              </w:rPr>
              <w:t>20.47%</w:t>
            </w:r>
          </w:p>
        </w:tc>
        <w:tc>
          <w:tcPr>
            <w:tcW w:w="850" w:type="dxa"/>
          </w:tcPr>
          <w:p w14:paraId="643A8D18" w14:textId="06E9760A" w:rsidR="003859A0" w:rsidRPr="00400694" w:rsidRDefault="003859A0" w:rsidP="00CA0BF8">
            <w:pPr>
              <w:spacing w:before="60" w:after="60"/>
              <w:jc w:val="right"/>
              <w:rPr>
                <w:rStyle w:val="Strong"/>
                <w:b w:val="0"/>
                <w:bCs w:val="0"/>
                <w:sz w:val="14"/>
                <w:szCs w:val="14"/>
              </w:rPr>
            </w:pPr>
            <w:r w:rsidRPr="00400694">
              <w:rPr>
                <w:rStyle w:val="Strong"/>
                <w:b w:val="0"/>
                <w:bCs w:val="0"/>
                <w:sz w:val="14"/>
                <w:szCs w:val="14"/>
              </w:rPr>
              <w:t>27.15%</w:t>
            </w:r>
          </w:p>
        </w:tc>
        <w:tc>
          <w:tcPr>
            <w:tcW w:w="851" w:type="dxa"/>
            <w:shd w:val="clear" w:color="auto" w:fill="auto"/>
          </w:tcPr>
          <w:p w14:paraId="3543C602" w14:textId="5E1CC65C" w:rsidR="003859A0" w:rsidRPr="00400694" w:rsidRDefault="003859A0" w:rsidP="00CA0BF8">
            <w:pPr>
              <w:spacing w:before="60" w:after="60"/>
              <w:jc w:val="right"/>
              <w:rPr>
                <w:rStyle w:val="Strong"/>
                <w:b w:val="0"/>
                <w:bCs w:val="0"/>
                <w:sz w:val="14"/>
                <w:szCs w:val="14"/>
              </w:rPr>
            </w:pPr>
            <w:r w:rsidRPr="00400694">
              <w:rPr>
                <w:rStyle w:val="Strong"/>
                <w:b w:val="0"/>
                <w:bCs w:val="0"/>
                <w:sz w:val="14"/>
                <w:szCs w:val="14"/>
              </w:rPr>
              <w:t>13.38%</w:t>
            </w:r>
          </w:p>
        </w:tc>
        <w:tc>
          <w:tcPr>
            <w:tcW w:w="850" w:type="dxa"/>
          </w:tcPr>
          <w:p w14:paraId="041010F9" w14:textId="4B6BE705" w:rsidR="003859A0" w:rsidRPr="00400694" w:rsidRDefault="003859A0" w:rsidP="00CA0BF8">
            <w:pPr>
              <w:spacing w:before="60" w:after="60"/>
              <w:jc w:val="right"/>
              <w:rPr>
                <w:sz w:val="14"/>
                <w:szCs w:val="14"/>
              </w:rPr>
            </w:pPr>
            <w:r w:rsidRPr="00400694">
              <w:rPr>
                <w:rStyle w:val="Strong"/>
                <w:b w:val="0"/>
                <w:bCs w:val="0"/>
                <w:sz w:val="14"/>
                <w:szCs w:val="14"/>
              </w:rPr>
              <w:t>-29.02%</w:t>
            </w:r>
          </w:p>
        </w:tc>
        <w:tc>
          <w:tcPr>
            <w:tcW w:w="851" w:type="dxa"/>
          </w:tcPr>
          <w:p w14:paraId="7767D68D" w14:textId="70D149D9" w:rsidR="003859A0" w:rsidRPr="00400694" w:rsidRDefault="003859A0" w:rsidP="00CA0BF8">
            <w:pPr>
              <w:spacing w:before="60" w:after="60"/>
              <w:jc w:val="right"/>
              <w:rPr>
                <w:sz w:val="14"/>
                <w:szCs w:val="14"/>
              </w:rPr>
            </w:pPr>
            <w:r w:rsidRPr="00400694">
              <w:rPr>
                <w:rStyle w:val="Strong"/>
                <w:b w:val="0"/>
                <w:bCs w:val="0"/>
                <w:sz w:val="14"/>
                <w:szCs w:val="14"/>
              </w:rPr>
              <w:t>36.36%</w:t>
            </w:r>
          </w:p>
        </w:tc>
        <w:tc>
          <w:tcPr>
            <w:tcW w:w="850" w:type="dxa"/>
          </w:tcPr>
          <w:p w14:paraId="659EE4F8" w14:textId="154B221A" w:rsidR="003859A0" w:rsidRPr="00400694" w:rsidRDefault="003859A0" w:rsidP="00CA0BF8">
            <w:pPr>
              <w:spacing w:before="60" w:after="60"/>
              <w:jc w:val="right"/>
              <w:rPr>
                <w:sz w:val="14"/>
                <w:szCs w:val="14"/>
              </w:rPr>
            </w:pPr>
            <w:r w:rsidRPr="00400694">
              <w:rPr>
                <w:rStyle w:val="Strong"/>
                <w:b w:val="0"/>
                <w:bCs w:val="0"/>
                <w:sz w:val="14"/>
                <w:szCs w:val="14"/>
              </w:rPr>
              <w:t>27.88%</w:t>
            </w:r>
          </w:p>
        </w:tc>
        <w:tc>
          <w:tcPr>
            <w:tcW w:w="851" w:type="dxa"/>
          </w:tcPr>
          <w:p w14:paraId="1BC2E0C7" w14:textId="1B8BEA0A" w:rsidR="003859A0" w:rsidRPr="00400694" w:rsidRDefault="003859A0" w:rsidP="00CA0BF8">
            <w:pPr>
              <w:spacing w:before="60" w:after="60"/>
              <w:jc w:val="right"/>
              <w:rPr>
                <w:sz w:val="14"/>
                <w:szCs w:val="14"/>
              </w:rPr>
            </w:pPr>
            <w:r w:rsidRPr="00400694">
              <w:rPr>
                <w:rStyle w:val="Strong"/>
                <w:b w:val="0"/>
                <w:bCs w:val="0"/>
                <w:sz w:val="14"/>
                <w:szCs w:val="14"/>
              </w:rPr>
              <w:t>20.00%</w:t>
            </w:r>
          </w:p>
        </w:tc>
        <w:tc>
          <w:tcPr>
            <w:tcW w:w="850" w:type="dxa"/>
          </w:tcPr>
          <w:p w14:paraId="1E35EE3D" w14:textId="73B8A594" w:rsidR="003859A0" w:rsidRPr="00400694" w:rsidRDefault="003859A0" w:rsidP="00CA0BF8">
            <w:pPr>
              <w:spacing w:before="60" w:after="60"/>
              <w:jc w:val="right"/>
              <w:rPr>
                <w:sz w:val="14"/>
                <w:szCs w:val="14"/>
              </w:rPr>
            </w:pPr>
            <w:r w:rsidRPr="00400694">
              <w:rPr>
                <w:rStyle w:val="Strong"/>
                <w:b w:val="0"/>
                <w:bCs w:val="0"/>
                <w:sz w:val="14"/>
                <w:szCs w:val="14"/>
              </w:rPr>
              <w:t>32.38%</w:t>
            </w:r>
          </w:p>
        </w:tc>
      </w:tr>
      <w:tr w:rsidR="00CA0BF8" w:rsidRPr="00400694" w14:paraId="0954D4B7" w14:textId="77777777" w:rsidTr="00587B96">
        <w:tc>
          <w:tcPr>
            <w:tcW w:w="851" w:type="dxa"/>
            <w:shd w:val="clear" w:color="auto" w:fill="BFBFBF" w:themeFill="background1" w:themeFillShade="BF"/>
          </w:tcPr>
          <w:p w14:paraId="4CD82332" w14:textId="325CC307" w:rsidR="00E75993" w:rsidRPr="00400694" w:rsidRDefault="00E75993" w:rsidP="00CA0BF8">
            <w:pPr>
              <w:spacing w:before="60" w:after="60"/>
              <w:jc w:val="center"/>
              <w:rPr>
                <w:rStyle w:val="Strong"/>
                <w:b w:val="0"/>
                <w:bCs w:val="0"/>
                <w:sz w:val="14"/>
                <w:szCs w:val="14"/>
              </w:rPr>
            </w:pPr>
            <w:r w:rsidRPr="00400694">
              <w:rPr>
                <w:rStyle w:val="Strong"/>
                <w:b w:val="0"/>
                <w:bCs w:val="0"/>
                <w:sz w:val="14"/>
                <w:szCs w:val="14"/>
              </w:rPr>
              <w:t>01/02</w:t>
            </w:r>
          </w:p>
        </w:tc>
        <w:tc>
          <w:tcPr>
            <w:tcW w:w="992" w:type="dxa"/>
          </w:tcPr>
          <w:p w14:paraId="1ACB075D" w14:textId="0B45558D" w:rsidR="00E75993" w:rsidRPr="00400694" w:rsidRDefault="00E75993" w:rsidP="00CA0BF8">
            <w:pPr>
              <w:spacing w:before="60" w:after="60"/>
              <w:jc w:val="right"/>
              <w:rPr>
                <w:rStyle w:val="Strong"/>
                <w:b w:val="0"/>
                <w:bCs w:val="0"/>
                <w:sz w:val="14"/>
                <w:szCs w:val="14"/>
              </w:rPr>
            </w:pPr>
            <w:r w:rsidRPr="00400694">
              <w:rPr>
                <w:rStyle w:val="Strong"/>
                <w:b w:val="0"/>
                <w:bCs w:val="0"/>
                <w:sz w:val="14"/>
                <w:szCs w:val="14"/>
              </w:rPr>
              <w:t>-29.02%</w:t>
            </w:r>
          </w:p>
        </w:tc>
        <w:tc>
          <w:tcPr>
            <w:tcW w:w="851" w:type="dxa"/>
          </w:tcPr>
          <w:p w14:paraId="79E63839" w14:textId="4878D40C" w:rsidR="00E75993" w:rsidRPr="00400694" w:rsidRDefault="00E75993" w:rsidP="00CA0BF8">
            <w:pPr>
              <w:spacing w:before="60" w:after="60"/>
              <w:jc w:val="right"/>
              <w:rPr>
                <w:rStyle w:val="Strong"/>
                <w:b w:val="0"/>
                <w:bCs w:val="0"/>
                <w:sz w:val="14"/>
                <w:szCs w:val="14"/>
              </w:rPr>
            </w:pPr>
            <w:r w:rsidRPr="00400694">
              <w:rPr>
                <w:rStyle w:val="Strong"/>
                <w:b w:val="0"/>
                <w:bCs w:val="0"/>
                <w:sz w:val="14"/>
                <w:szCs w:val="14"/>
              </w:rPr>
              <w:t>26.47%</w:t>
            </w:r>
          </w:p>
        </w:tc>
        <w:tc>
          <w:tcPr>
            <w:tcW w:w="850" w:type="dxa"/>
          </w:tcPr>
          <w:p w14:paraId="1007E0D1" w14:textId="08F30D37" w:rsidR="00E75993" w:rsidRPr="00400694" w:rsidRDefault="00E75993" w:rsidP="00CA0BF8">
            <w:pPr>
              <w:spacing w:before="60" w:after="60"/>
              <w:jc w:val="right"/>
              <w:rPr>
                <w:rStyle w:val="Strong"/>
                <w:b w:val="0"/>
                <w:bCs w:val="0"/>
                <w:sz w:val="14"/>
                <w:szCs w:val="14"/>
              </w:rPr>
            </w:pPr>
            <w:r w:rsidRPr="00400694">
              <w:rPr>
                <w:rStyle w:val="Strong"/>
                <w:b w:val="0"/>
                <w:bCs w:val="0"/>
                <w:sz w:val="14"/>
                <w:szCs w:val="14"/>
              </w:rPr>
              <w:t>17.02%</w:t>
            </w:r>
          </w:p>
        </w:tc>
        <w:tc>
          <w:tcPr>
            <w:tcW w:w="851" w:type="dxa"/>
          </w:tcPr>
          <w:p w14:paraId="19485A04" w14:textId="3672AD3F" w:rsidR="00E75993" w:rsidRPr="00400694" w:rsidRDefault="00E75993" w:rsidP="00CA0BF8">
            <w:pPr>
              <w:spacing w:before="60" w:after="60"/>
              <w:jc w:val="right"/>
              <w:rPr>
                <w:rStyle w:val="Strong"/>
                <w:b w:val="0"/>
                <w:bCs w:val="0"/>
                <w:sz w:val="14"/>
                <w:szCs w:val="14"/>
              </w:rPr>
            </w:pPr>
            <w:r w:rsidRPr="00400694">
              <w:rPr>
                <w:rStyle w:val="Strong"/>
                <w:b w:val="0"/>
                <w:bCs w:val="0"/>
                <w:sz w:val="14"/>
                <w:szCs w:val="14"/>
              </w:rPr>
              <w:t>20.47%</w:t>
            </w:r>
          </w:p>
        </w:tc>
        <w:tc>
          <w:tcPr>
            <w:tcW w:w="850" w:type="dxa"/>
          </w:tcPr>
          <w:p w14:paraId="07B205C0" w14:textId="3EFD5CDD" w:rsidR="00E75993" w:rsidRPr="00400694" w:rsidRDefault="00E75993" w:rsidP="00CA0BF8">
            <w:pPr>
              <w:spacing w:before="60" w:after="60"/>
              <w:jc w:val="right"/>
              <w:rPr>
                <w:rStyle w:val="Strong"/>
                <w:b w:val="0"/>
                <w:bCs w:val="0"/>
                <w:sz w:val="14"/>
                <w:szCs w:val="14"/>
              </w:rPr>
            </w:pPr>
            <w:r w:rsidRPr="00400694">
              <w:rPr>
                <w:rStyle w:val="Strong"/>
                <w:b w:val="0"/>
                <w:bCs w:val="0"/>
                <w:sz w:val="14"/>
                <w:szCs w:val="14"/>
              </w:rPr>
              <w:t>27.15%</w:t>
            </w:r>
          </w:p>
        </w:tc>
        <w:tc>
          <w:tcPr>
            <w:tcW w:w="851" w:type="dxa"/>
            <w:shd w:val="clear" w:color="auto" w:fill="auto"/>
          </w:tcPr>
          <w:p w14:paraId="5393565D" w14:textId="70C1D013" w:rsidR="00E75993" w:rsidRPr="00400694" w:rsidRDefault="00E75993" w:rsidP="00CA0BF8">
            <w:pPr>
              <w:spacing w:before="60" w:after="60"/>
              <w:jc w:val="right"/>
              <w:rPr>
                <w:rStyle w:val="Strong"/>
                <w:b w:val="0"/>
                <w:bCs w:val="0"/>
                <w:sz w:val="14"/>
                <w:szCs w:val="14"/>
              </w:rPr>
            </w:pPr>
            <w:r w:rsidRPr="00400694">
              <w:rPr>
                <w:rStyle w:val="Strong"/>
                <w:b w:val="0"/>
                <w:bCs w:val="0"/>
                <w:sz w:val="14"/>
                <w:szCs w:val="14"/>
              </w:rPr>
              <w:t>13.38%</w:t>
            </w:r>
          </w:p>
        </w:tc>
        <w:tc>
          <w:tcPr>
            <w:tcW w:w="850" w:type="dxa"/>
          </w:tcPr>
          <w:p w14:paraId="56650FCA" w14:textId="1635A00B" w:rsidR="00E75993" w:rsidRPr="00400694" w:rsidRDefault="00E75993" w:rsidP="00CA0BF8">
            <w:pPr>
              <w:spacing w:before="60" w:after="60"/>
              <w:jc w:val="right"/>
              <w:rPr>
                <w:sz w:val="14"/>
                <w:szCs w:val="14"/>
              </w:rPr>
            </w:pPr>
            <w:r w:rsidRPr="00400694">
              <w:rPr>
                <w:rStyle w:val="Strong"/>
                <w:b w:val="0"/>
                <w:bCs w:val="0"/>
                <w:sz w:val="14"/>
                <w:szCs w:val="14"/>
              </w:rPr>
              <w:t>-29.02%</w:t>
            </w:r>
          </w:p>
        </w:tc>
        <w:tc>
          <w:tcPr>
            <w:tcW w:w="851" w:type="dxa"/>
          </w:tcPr>
          <w:p w14:paraId="7E1BA8B2" w14:textId="7B945CC9" w:rsidR="00E75993" w:rsidRPr="00400694" w:rsidRDefault="00E75993" w:rsidP="00CA0BF8">
            <w:pPr>
              <w:spacing w:before="60" w:after="60"/>
              <w:jc w:val="right"/>
              <w:rPr>
                <w:sz w:val="14"/>
                <w:szCs w:val="14"/>
              </w:rPr>
            </w:pPr>
            <w:r w:rsidRPr="00400694">
              <w:rPr>
                <w:rStyle w:val="Strong"/>
                <w:b w:val="0"/>
                <w:bCs w:val="0"/>
                <w:sz w:val="14"/>
                <w:szCs w:val="14"/>
              </w:rPr>
              <w:t>36.36%</w:t>
            </w:r>
          </w:p>
        </w:tc>
        <w:tc>
          <w:tcPr>
            <w:tcW w:w="850" w:type="dxa"/>
          </w:tcPr>
          <w:p w14:paraId="0623BF96" w14:textId="114C57B4" w:rsidR="00E75993" w:rsidRPr="00400694" w:rsidRDefault="00E75993" w:rsidP="00CA0BF8">
            <w:pPr>
              <w:spacing w:before="60" w:after="60"/>
              <w:jc w:val="right"/>
              <w:rPr>
                <w:sz w:val="14"/>
                <w:szCs w:val="14"/>
              </w:rPr>
            </w:pPr>
            <w:r w:rsidRPr="00400694">
              <w:rPr>
                <w:rStyle w:val="Strong"/>
                <w:b w:val="0"/>
                <w:bCs w:val="0"/>
                <w:sz w:val="14"/>
                <w:szCs w:val="14"/>
              </w:rPr>
              <w:t>27.88%</w:t>
            </w:r>
          </w:p>
        </w:tc>
        <w:tc>
          <w:tcPr>
            <w:tcW w:w="851" w:type="dxa"/>
          </w:tcPr>
          <w:p w14:paraId="247987FB" w14:textId="393EDF4F" w:rsidR="00E75993" w:rsidRPr="00400694" w:rsidRDefault="00E75993" w:rsidP="00CA0BF8">
            <w:pPr>
              <w:spacing w:before="60" w:after="60"/>
              <w:jc w:val="right"/>
              <w:rPr>
                <w:sz w:val="14"/>
                <w:szCs w:val="14"/>
              </w:rPr>
            </w:pPr>
            <w:r w:rsidRPr="00400694">
              <w:rPr>
                <w:rStyle w:val="Strong"/>
                <w:b w:val="0"/>
                <w:bCs w:val="0"/>
                <w:sz w:val="14"/>
                <w:szCs w:val="14"/>
              </w:rPr>
              <w:t>20.00%</w:t>
            </w:r>
          </w:p>
        </w:tc>
        <w:tc>
          <w:tcPr>
            <w:tcW w:w="850" w:type="dxa"/>
          </w:tcPr>
          <w:p w14:paraId="65625B48" w14:textId="59B57843" w:rsidR="00E75993" w:rsidRPr="00400694" w:rsidRDefault="00E75993" w:rsidP="00CA0BF8">
            <w:pPr>
              <w:spacing w:before="60" w:after="60"/>
              <w:jc w:val="right"/>
              <w:rPr>
                <w:sz w:val="14"/>
                <w:szCs w:val="14"/>
              </w:rPr>
            </w:pPr>
            <w:r w:rsidRPr="00400694">
              <w:rPr>
                <w:rStyle w:val="Strong"/>
                <w:b w:val="0"/>
                <w:bCs w:val="0"/>
                <w:sz w:val="14"/>
                <w:szCs w:val="14"/>
              </w:rPr>
              <w:t>32.38%</w:t>
            </w:r>
          </w:p>
        </w:tc>
      </w:tr>
      <w:tr w:rsidR="00E75993" w:rsidRPr="00400694" w14:paraId="7B710698" w14:textId="77777777" w:rsidTr="00587B96">
        <w:tc>
          <w:tcPr>
            <w:tcW w:w="851" w:type="dxa"/>
            <w:shd w:val="clear" w:color="auto" w:fill="BFBFBF" w:themeFill="background1" w:themeFillShade="BF"/>
          </w:tcPr>
          <w:p w14:paraId="0D0B8A22" w14:textId="754D9F18" w:rsidR="00E75993" w:rsidRPr="00400694" w:rsidRDefault="00E75993" w:rsidP="00CA0BF8">
            <w:pPr>
              <w:spacing w:before="60" w:after="60"/>
              <w:jc w:val="center"/>
              <w:rPr>
                <w:rStyle w:val="Strong"/>
                <w:b w:val="0"/>
                <w:bCs w:val="0"/>
                <w:sz w:val="14"/>
                <w:szCs w:val="14"/>
              </w:rPr>
            </w:pPr>
            <w:r w:rsidRPr="00400694">
              <w:rPr>
                <w:rStyle w:val="Strong"/>
                <w:b w:val="0"/>
                <w:bCs w:val="0"/>
                <w:sz w:val="14"/>
                <w:szCs w:val="14"/>
              </w:rPr>
              <w:t>02/03</w:t>
            </w:r>
          </w:p>
        </w:tc>
        <w:tc>
          <w:tcPr>
            <w:tcW w:w="992" w:type="dxa"/>
          </w:tcPr>
          <w:p w14:paraId="0EBEEF54" w14:textId="71E09143" w:rsidR="00E75993" w:rsidRPr="00400694" w:rsidRDefault="00E75993" w:rsidP="00CA0BF8">
            <w:pPr>
              <w:spacing w:before="60" w:after="60"/>
              <w:jc w:val="right"/>
              <w:rPr>
                <w:rStyle w:val="Strong"/>
                <w:b w:val="0"/>
                <w:bCs w:val="0"/>
                <w:sz w:val="14"/>
                <w:szCs w:val="14"/>
              </w:rPr>
            </w:pPr>
            <w:r w:rsidRPr="00400694">
              <w:rPr>
                <w:rStyle w:val="Strong"/>
                <w:b w:val="0"/>
                <w:bCs w:val="0"/>
                <w:sz w:val="14"/>
                <w:szCs w:val="14"/>
              </w:rPr>
              <w:t>-29.02%</w:t>
            </w:r>
          </w:p>
        </w:tc>
        <w:tc>
          <w:tcPr>
            <w:tcW w:w="851" w:type="dxa"/>
          </w:tcPr>
          <w:p w14:paraId="4DF02D1A" w14:textId="62FA3D5F" w:rsidR="00E75993" w:rsidRPr="00400694" w:rsidRDefault="00E75993" w:rsidP="00CA0BF8">
            <w:pPr>
              <w:spacing w:before="60" w:after="60"/>
              <w:jc w:val="right"/>
              <w:rPr>
                <w:rStyle w:val="Strong"/>
                <w:b w:val="0"/>
                <w:bCs w:val="0"/>
                <w:sz w:val="14"/>
                <w:szCs w:val="14"/>
              </w:rPr>
            </w:pPr>
            <w:r w:rsidRPr="00400694">
              <w:rPr>
                <w:rStyle w:val="Strong"/>
                <w:b w:val="0"/>
                <w:bCs w:val="0"/>
                <w:sz w:val="14"/>
                <w:szCs w:val="14"/>
              </w:rPr>
              <w:t>26.47%</w:t>
            </w:r>
          </w:p>
        </w:tc>
        <w:tc>
          <w:tcPr>
            <w:tcW w:w="850" w:type="dxa"/>
          </w:tcPr>
          <w:p w14:paraId="11FF1225" w14:textId="32EAD58C" w:rsidR="00E75993" w:rsidRPr="00400694" w:rsidRDefault="00E75993" w:rsidP="00CA0BF8">
            <w:pPr>
              <w:spacing w:before="60" w:after="60"/>
              <w:jc w:val="right"/>
              <w:rPr>
                <w:rStyle w:val="Strong"/>
                <w:b w:val="0"/>
                <w:bCs w:val="0"/>
                <w:sz w:val="14"/>
                <w:szCs w:val="14"/>
              </w:rPr>
            </w:pPr>
            <w:r w:rsidRPr="00400694">
              <w:rPr>
                <w:rStyle w:val="Strong"/>
                <w:b w:val="0"/>
                <w:bCs w:val="0"/>
                <w:sz w:val="14"/>
                <w:szCs w:val="14"/>
              </w:rPr>
              <w:t>17.02%</w:t>
            </w:r>
          </w:p>
        </w:tc>
        <w:tc>
          <w:tcPr>
            <w:tcW w:w="851" w:type="dxa"/>
          </w:tcPr>
          <w:p w14:paraId="0167C4CD" w14:textId="41665BDF" w:rsidR="00E75993" w:rsidRPr="00400694" w:rsidRDefault="00E75993" w:rsidP="00CA0BF8">
            <w:pPr>
              <w:spacing w:before="60" w:after="60"/>
              <w:jc w:val="right"/>
              <w:rPr>
                <w:rStyle w:val="Strong"/>
                <w:b w:val="0"/>
                <w:bCs w:val="0"/>
                <w:sz w:val="14"/>
                <w:szCs w:val="14"/>
              </w:rPr>
            </w:pPr>
            <w:r w:rsidRPr="00400694">
              <w:rPr>
                <w:rStyle w:val="Strong"/>
                <w:b w:val="0"/>
                <w:bCs w:val="0"/>
                <w:sz w:val="14"/>
                <w:szCs w:val="14"/>
              </w:rPr>
              <w:t>20.47%</w:t>
            </w:r>
          </w:p>
        </w:tc>
        <w:tc>
          <w:tcPr>
            <w:tcW w:w="850" w:type="dxa"/>
          </w:tcPr>
          <w:p w14:paraId="04F59829" w14:textId="27A3AF40" w:rsidR="00E75993" w:rsidRPr="00400694" w:rsidRDefault="00E75993" w:rsidP="00CA0BF8">
            <w:pPr>
              <w:spacing w:before="60" w:after="60"/>
              <w:jc w:val="right"/>
              <w:rPr>
                <w:rStyle w:val="Strong"/>
                <w:b w:val="0"/>
                <w:bCs w:val="0"/>
                <w:sz w:val="14"/>
                <w:szCs w:val="14"/>
              </w:rPr>
            </w:pPr>
            <w:r w:rsidRPr="00400694">
              <w:rPr>
                <w:rStyle w:val="Strong"/>
                <w:b w:val="0"/>
                <w:bCs w:val="0"/>
                <w:sz w:val="14"/>
                <w:szCs w:val="14"/>
              </w:rPr>
              <w:t>27.15%</w:t>
            </w:r>
          </w:p>
        </w:tc>
        <w:tc>
          <w:tcPr>
            <w:tcW w:w="851" w:type="dxa"/>
            <w:shd w:val="clear" w:color="auto" w:fill="auto"/>
          </w:tcPr>
          <w:p w14:paraId="5CDB0C66" w14:textId="4C7E9D04" w:rsidR="00E75993" w:rsidRPr="00400694" w:rsidRDefault="00E75993" w:rsidP="00CA0BF8">
            <w:pPr>
              <w:spacing w:before="60" w:after="60"/>
              <w:jc w:val="right"/>
              <w:rPr>
                <w:rStyle w:val="Strong"/>
                <w:b w:val="0"/>
                <w:bCs w:val="0"/>
                <w:sz w:val="14"/>
                <w:szCs w:val="14"/>
              </w:rPr>
            </w:pPr>
            <w:r w:rsidRPr="00400694">
              <w:rPr>
                <w:rStyle w:val="Strong"/>
                <w:b w:val="0"/>
                <w:bCs w:val="0"/>
                <w:sz w:val="14"/>
                <w:szCs w:val="14"/>
              </w:rPr>
              <w:t>13.38%</w:t>
            </w:r>
          </w:p>
        </w:tc>
        <w:tc>
          <w:tcPr>
            <w:tcW w:w="850" w:type="dxa"/>
          </w:tcPr>
          <w:p w14:paraId="5A779089" w14:textId="18B5AE10" w:rsidR="00E75993" w:rsidRPr="00400694" w:rsidRDefault="00E75993" w:rsidP="00CA0BF8">
            <w:pPr>
              <w:spacing w:before="60" w:after="60"/>
              <w:jc w:val="right"/>
              <w:rPr>
                <w:sz w:val="14"/>
                <w:szCs w:val="14"/>
              </w:rPr>
            </w:pPr>
            <w:r w:rsidRPr="00400694">
              <w:rPr>
                <w:rStyle w:val="Strong"/>
                <w:b w:val="0"/>
                <w:bCs w:val="0"/>
                <w:sz w:val="14"/>
                <w:szCs w:val="14"/>
              </w:rPr>
              <w:t>-29.02%</w:t>
            </w:r>
          </w:p>
        </w:tc>
        <w:tc>
          <w:tcPr>
            <w:tcW w:w="851" w:type="dxa"/>
          </w:tcPr>
          <w:p w14:paraId="37F0AC70" w14:textId="06BEE30F" w:rsidR="00E75993" w:rsidRPr="00400694" w:rsidRDefault="00E75993" w:rsidP="00CA0BF8">
            <w:pPr>
              <w:spacing w:before="60" w:after="60"/>
              <w:jc w:val="right"/>
              <w:rPr>
                <w:sz w:val="14"/>
                <w:szCs w:val="14"/>
              </w:rPr>
            </w:pPr>
            <w:r w:rsidRPr="00400694">
              <w:rPr>
                <w:rStyle w:val="Strong"/>
                <w:b w:val="0"/>
                <w:bCs w:val="0"/>
                <w:sz w:val="14"/>
                <w:szCs w:val="14"/>
              </w:rPr>
              <w:t>36.36%</w:t>
            </w:r>
          </w:p>
        </w:tc>
        <w:tc>
          <w:tcPr>
            <w:tcW w:w="850" w:type="dxa"/>
          </w:tcPr>
          <w:p w14:paraId="27142845" w14:textId="3F436C49" w:rsidR="00E75993" w:rsidRPr="00400694" w:rsidRDefault="00E75993" w:rsidP="00CA0BF8">
            <w:pPr>
              <w:spacing w:before="60" w:after="60"/>
              <w:jc w:val="right"/>
              <w:rPr>
                <w:sz w:val="14"/>
                <w:szCs w:val="14"/>
              </w:rPr>
            </w:pPr>
            <w:r w:rsidRPr="00400694">
              <w:rPr>
                <w:rStyle w:val="Strong"/>
                <w:b w:val="0"/>
                <w:bCs w:val="0"/>
                <w:sz w:val="14"/>
                <w:szCs w:val="14"/>
              </w:rPr>
              <w:t>27.88%</w:t>
            </w:r>
          </w:p>
        </w:tc>
        <w:tc>
          <w:tcPr>
            <w:tcW w:w="851" w:type="dxa"/>
          </w:tcPr>
          <w:p w14:paraId="4B59A1E7" w14:textId="01278BF1" w:rsidR="00E75993" w:rsidRPr="00400694" w:rsidRDefault="00E75993" w:rsidP="00CA0BF8">
            <w:pPr>
              <w:spacing w:before="60" w:after="60"/>
              <w:jc w:val="right"/>
              <w:rPr>
                <w:sz w:val="14"/>
                <w:szCs w:val="14"/>
              </w:rPr>
            </w:pPr>
            <w:r w:rsidRPr="00400694">
              <w:rPr>
                <w:rStyle w:val="Strong"/>
                <w:b w:val="0"/>
                <w:bCs w:val="0"/>
                <w:sz w:val="14"/>
                <w:szCs w:val="14"/>
              </w:rPr>
              <w:t>20.00%</w:t>
            </w:r>
          </w:p>
        </w:tc>
        <w:tc>
          <w:tcPr>
            <w:tcW w:w="850" w:type="dxa"/>
          </w:tcPr>
          <w:p w14:paraId="48A4F5A8" w14:textId="0B8056F1" w:rsidR="00E75993" w:rsidRPr="00400694" w:rsidRDefault="00E75993" w:rsidP="00CA0BF8">
            <w:pPr>
              <w:spacing w:before="60" w:after="60"/>
              <w:jc w:val="right"/>
              <w:rPr>
                <w:sz w:val="14"/>
                <w:szCs w:val="14"/>
              </w:rPr>
            </w:pPr>
            <w:r w:rsidRPr="00400694">
              <w:rPr>
                <w:rStyle w:val="Strong"/>
                <w:b w:val="0"/>
                <w:bCs w:val="0"/>
                <w:sz w:val="14"/>
                <w:szCs w:val="14"/>
              </w:rPr>
              <w:t>32.38%</w:t>
            </w:r>
          </w:p>
        </w:tc>
      </w:tr>
      <w:tr w:rsidR="00E75993" w:rsidRPr="00400694" w14:paraId="1A6DF22F" w14:textId="77777777" w:rsidTr="00587B96">
        <w:tc>
          <w:tcPr>
            <w:tcW w:w="851" w:type="dxa"/>
            <w:shd w:val="clear" w:color="auto" w:fill="BFBFBF" w:themeFill="background1" w:themeFillShade="BF"/>
          </w:tcPr>
          <w:p w14:paraId="3C5E3587" w14:textId="2665682F" w:rsidR="00E75993" w:rsidRPr="00400694" w:rsidRDefault="00E75993" w:rsidP="00CA0BF8">
            <w:pPr>
              <w:spacing w:before="60" w:after="60"/>
              <w:jc w:val="center"/>
              <w:rPr>
                <w:rStyle w:val="Strong"/>
                <w:b w:val="0"/>
                <w:bCs w:val="0"/>
                <w:sz w:val="14"/>
                <w:szCs w:val="14"/>
              </w:rPr>
            </w:pPr>
            <w:r w:rsidRPr="00400694">
              <w:rPr>
                <w:rStyle w:val="Strong"/>
                <w:b w:val="0"/>
                <w:bCs w:val="0"/>
                <w:sz w:val="14"/>
                <w:szCs w:val="14"/>
              </w:rPr>
              <w:t>03/04</w:t>
            </w:r>
          </w:p>
        </w:tc>
        <w:tc>
          <w:tcPr>
            <w:tcW w:w="992" w:type="dxa"/>
          </w:tcPr>
          <w:p w14:paraId="053840E8" w14:textId="41722035" w:rsidR="00E75993" w:rsidRPr="00400694" w:rsidRDefault="00E75993" w:rsidP="00CA0BF8">
            <w:pPr>
              <w:spacing w:before="60" w:after="60"/>
              <w:jc w:val="right"/>
              <w:rPr>
                <w:rStyle w:val="Strong"/>
                <w:b w:val="0"/>
                <w:bCs w:val="0"/>
                <w:sz w:val="14"/>
                <w:szCs w:val="14"/>
              </w:rPr>
            </w:pPr>
            <w:r w:rsidRPr="00400694">
              <w:rPr>
                <w:rStyle w:val="Strong"/>
                <w:b w:val="0"/>
                <w:bCs w:val="0"/>
                <w:sz w:val="14"/>
                <w:szCs w:val="14"/>
              </w:rPr>
              <w:t>-29.02%</w:t>
            </w:r>
          </w:p>
        </w:tc>
        <w:tc>
          <w:tcPr>
            <w:tcW w:w="851" w:type="dxa"/>
          </w:tcPr>
          <w:p w14:paraId="5A1EB4FC" w14:textId="735BDE7C" w:rsidR="00E75993" w:rsidRPr="00400694" w:rsidRDefault="00E75993" w:rsidP="00CA0BF8">
            <w:pPr>
              <w:spacing w:before="60" w:after="60"/>
              <w:jc w:val="right"/>
              <w:rPr>
                <w:rStyle w:val="Strong"/>
                <w:b w:val="0"/>
                <w:bCs w:val="0"/>
                <w:sz w:val="14"/>
                <w:szCs w:val="14"/>
              </w:rPr>
            </w:pPr>
            <w:r w:rsidRPr="00400694">
              <w:rPr>
                <w:rStyle w:val="Strong"/>
                <w:b w:val="0"/>
                <w:bCs w:val="0"/>
                <w:sz w:val="14"/>
                <w:szCs w:val="14"/>
              </w:rPr>
              <w:t>26.47%</w:t>
            </w:r>
          </w:p>
        </w:tc>
        <w:tc>
          <w:tcPr>
            <w:tcW w:w="850" w:type="dxa"/>
          </w:tcPr>
          <w:p w14:paraId="671203EE" w14:textId="6A852D1A" w:rsidR="00E75993" w:rsidRPr="00400694" w:rsidRDefault="00E75993" w:rsidP="00CA0BF8">
            <w:pPr>
              <w:spacing w:before="60" w:after="60"/>
              <w:jc w:val="right"/>
              <w:rPr>
                <w:rStyle w:val="Strong"/>
                <w:b w:val="0"/>
                <w:bCs w:val="0"/>
                <w:sz w:val="14"/>
                <w:szCs w:val="14"/>
              </w:rPr>
            </w:pPr>
            <w:r w:rsidRPr="00400694">
              <w:rPr>
                <w:rStyle w:val="Strong"/>
                <w:b w:val="0"/>
                <w:bCs w:val="0"/>
                <w:sz w:val="14"/>
                <w:szCs w:val="14"/>
              </w:rPr>
              <w:t>17.02%</w:t>
            </w:r>
          </w:p>
        </w:tc>
        <w:tc>
          <w:tcPr>
            <w:tcW w:w="851" w:type="dxa"/>
          </w:tcPr>
          <w:p w14:paraId="392DC03E" w14:textId="76EB5C2F" w:rsidR="00E75993" w:rsidRPr="00400694" w:rsidRDefault="00E75993" w:rsidP="00CA0BF8">
            <w:pPr>
              <w:spacing w:before="60" w:after="60"/>
              <w:jc w:val="right"/>
              <w:rPr>
                <w:rStyle w:val="Strong"/>
                <w:b w:val="0"/>
                <w:bCs w:val="0"/>
                <w:sz w:val="14"/>
                <w:szCs w:val="14"/>
              </w:rPr>
            </w:pPr>
            <w:r w:rsidRPr="00400694">
              <w:rPr>
                <w:rStyle w:val="Strong"/>
                <w:b w:val="0"/>
                <w:bCs w:val="0"/>
                <w:sz w:val="14"/>
                <w:szCs w:val="14"/>
              </w:rPr>
              <w:t>20.47%</w:t>
            </w:r>
          </w:p>
        </w:tc>
        <w:tc>
          <w:tcPr>
            <w:tcW w:w="850" w:type="dxa"/>
          </w:tcPr>
          <w:p w14:paraId="2B34CAE3" w14:textId="311A6C25" w:rsidR="00E75993" w:rsidRPr="00400694" w:rsidRDefault="00E75993" w:rsidP="00CA0BF8">
            <w:pPr>
              <w:spacing w:before="60" w:after="60"/>
              <w:jc w:val="right"/>
              <w:rPr>
                <w:rStyle w:val="Strong"/>
                <w:b w:val="0"/>
                <w:bCs w:val="0"/>
                <w:sz w:val="14"/>
                <w:szCs w:val="14"/>
              </w:rPr>
            </w:pPr>
            <w:r w:rsidRPr="00400694">
              <w:rPr>
                <w:rStyle w:val="Strong"/>
                <w:b w:val="0"/>
                <w:bCs w:val="0"/>
                <w:sz w:val="14"/>
                <w:szCs w:val="14"/>
              </w:rPr>
              <w:t>27.15%</w:t>
            </w:r>
          </w:p>
        </w:tc>
        <w:tc>
          <w:tcPr>
            <w:tcW w:w="851" w:type="dxa"/>
            <w:shd w:val="clear" w:color="auto" w:fill="auto"/>
          </w:tcPr>
          <w:p w14:paraId="2358416E" w14:textId="4C7918C5" w:rsidR="00E75993" w:rsidRPr="00400694" w:rsidRDefault="00E75993" w:rsidP="00CA0BF8">
            <w:pPr>
              <w:spacing w:before="60" w:after="60"/>
              <w:jc w:val="right"/>
              <w:rPr>
                <w:rStyle w:val="Strong"/>
                <w:b w:val="0"/>
                <w:bCs w:val="0"/>
                <w:sz w:val="14"/>
                <w:szCs w:val="14"/>
              </w:rPr>
            </w:pPr>
            <w:r w:rsidRPr="00400694">
              <w:rPr>
                <w:rStyle w:val="Strong"/>
                <w:b w:val="0"/>
                <w:bCs w:val="0"/>
                <w:sz w:val="14"/>
                <w:szCs w:val="14"/>
              </w:rPr>
              <w:t>13.38%</w:t>
            </w:r>
          </w:p>
        </w:tc>
        <w:tc>
          <w:tcPr>
            <w:tcW w:w="850" w:type="dxa"/>
          </w:tcPr>
          <w:p w14:paraId="0BD2E012" w14:textId="20663FED" w:rsidR="00E75993" w:rsidRPr="00400694" w:rsidRDefault="00E75993" w:rsidP="00CA0BF8">
            <w:pPr>
              <w:spacing w:before="60" w:after="60"/>
              <w:jc w:val="right"/>
              <w:rPr>
                <w:sz w:val="14"/>
                <w:szCs w:val="14"/>
              </w:rPr>
            </w:pPr>
            <w:r w:rsidRPr="00400694">
              <w:rPr>
                <w:rStyle w:val="Strong"/>
                <w:b w:val="0"/>
                <w:bCs w:val="0"/>
                <w:sz w:val="14"/>
                <w:szCs w:val="14"/>
              </w:rPr>
              <w:t>-29.02%</w:t>
            </w:r>
          </w:p>
        </w:tc>
        <w:tc>
          <w:tcPr>
            <w:tcW w:w="851" w:type="dxa"/>
          </w:tcPr>
          <w:p w14:paraId="33EAD47A" w14:textId="135E96C6" w:rsidR="00E75993" w:rsidRPr="00400694" w:rsidRDefault="00E75993" w:rsidP="00CA0BF8">
            <w:pPr>
              <w:spacing w:before="60" w:after="60"/>
              <w:jc w:val="right"/>
              <w:rPr>
                <w:sz w:val="14"/>
                <w:szCs w:val="14"/>
              </w:rPr>
            </w:pPr>
            <w:r w:rsidRPr="00400694">
              <w:rPr>
                <w:rStyle w:val="Strong"/>
                <w:b w:val="0"/>
                <w:bCs w:val="0"/>
                <w:sz w:val="14"/>
                <w:szCs w:val="14"/>
              </w:rPr>
              <w:t>36.36%</w:t>
            </w:r>
          </w:p>
        </w:tc>
        <w:tc>
          <w:tcPr>
            <w:tcW w:w="850" w:type="dxa"/>
          </w:tcPr>
          <w:p w14:paraId="52E6202A" w14:textId="3851C84E" w:rsidR="00E75993" w:rsidRPr="00400694" w:rsidRDefault="00E75993" w:rsidP="00CA0BF8">
            <w:pPr>
              <w:spacing w:before="60" w:after="60"/>
              <w:jc w:val="right"/>
              <w:rPr>
                <w:sz w:val="14"/>
                <w:szCs w:val="14"/>
              </w:rPr>
            </w:pPr>
            <w:r w:rsidRPr="00400694">
              <w:rPr>
                <w:rStyle w:val="Strong"/>
                <w:b w:val="0"/>
                <w:bCs w:val="0"/>
                <w:sz w:val="14"/>
                <w:szCs w:val="14"/>
              </w:rPr>
              <w:t>27.88%</w:t>
            </w:r>
          </w:p>
        </w:tc>
        <w:tc>
          <w:tcPr>
            <w:tcW w:w="851" w:type="dxa"/>
          </w:tcPr>
          <w:p w14:paraId="616CCEE9" w14:textId="699C8B67" w:rsidR="00E75993" w:rsidRPr="00400694" w:rsidRDefault="00E75993" w:rsidP="00CA0BF8">
            <w:pPr>
              <w:spacing w:before="60" w:after="60"/>
              <w:jc w:val="right"/>
              <w:rPr>
                <w:sz w:val="14"/>
                <w:szCs w:val="14"/>
              </w:rPr>
            </w:pPr>
            <w:r w:rsidRPr="00400694">
              <w:rPr>
                <w:rStyle w:val="Strong"/>
                <w:b w:val="0"/>
                <w:bCs w:val="0"/>
                <w:sz w:val="14"/>
                <w:szCs w:val="14"/>
              </w:rPr>
              <w:t>20.00%</w:t>
            </w:r>
          </w:p>
        </w:tc>
        <w:tc>
          <w:tcPr>
            <w:tcW w:w="850" w:type="dxa"/>
          </w:tcPr>
          <w:p w14:paraId="264AB0D0" w14:textId="5F9DC564" w:rsidR="00E75993" w:rsidRPr="00400694" w:rsidRDefault="00E75993" w:rsidP="00CA0BF8">
            <w:pPr>
              <w:spacing w:before="60" w:after="60"/>
              <w:jc w:val="right"/>
              <w:rPr>
                <w:sz w:val="14"/>
                <w:szCs w:val="14"/>
              </w:rPr>
            </w:pPr>
            <w:r w:rsidRPr="00400694">
              <w:rPr>
                <w:rStyle w:val="Strong"/>
                <w:b w:val="0"/>
                <w:bCs w:val="0"/>
                <w:sz w:val="14"/>
                <w:szCs w:val="14"/>
              </w:rPr>
              <w:t>32.38%</w:t>
            </w:r>
          </w:p>
        </w:tc>
      </w:tr>
      <w:tr w:rsidR="00E75993" w:rsidRPr="00400694" w14:paraId="5795B73C" w14:textId="77777777" w:rsidTr="00587B96">
        <w:tc>
          <w:tcPr>
            <w:tcW w:w="851" w:type="dxa"/>
            <w:shd w:val="clear" w:color="auto" w:fill="BFBFBF" w:themeFill="background1" w:themeFillShade="BF"/>
          </w:tcPr>
          <w:p w14:paraId="7F6CE835" w14:textId="05B1F786" w:rsidR="00E75993" w:rsidRPr="00400694" w:rsidRDefault="00E75993" w:rsidP="00CA0BF8">
            <w:pPr>
              <w:spacing w:before="60" w:after="60"/>
              <w:jc w:val="center"/>
              <w:rPr>
                <w:rStyle w:val="Strong"/>
                <w:b w:val="0"/>
                <w:bCs w:val="0"/>
                <w:sz w:val="14"/>
                <w:szCs w:val="14"/>
              </w:rPr>
            </w:pPr>
            <w:r w:rsidRPr="00400694">
              <w:rPr>
                <w:rStyle w:val="Strong"/>
                <w:b w:val="0"/>
                <w:bCs w:val="0"/>
                <w:sz w:val="14"/>
                <w:szCs w:val="14"/>
              </w:rPr>
              <w:t>04/05</w:t>
            </w:r>
          </w:p>
        </w:tc>
        <w:tc>
          <w:tcPr>
            <w:tcW w:w="992" w:type="dxa"/>
          </w:tcPr>
          <w:p w14:paraId="10153590" w14:textId="0DC454D5" w:rsidR="00E75993" w:rsidRPr="00400694" w:rsidRDefault="00E75993" w:rsidP="00CA0BF8">
            <w:pPr>
              <w:spacing w:before="60" w:after="60"/>
              <w:jc w:val="right"/>
              <w:rPr>
                <w:rStyle w:val="Strong"/>
                <w:b w:val="0"/>
                <w:bCs w:val="0"/>
                <w:sz w:val="14"/>
                <w:szCs w:val="14"/>
              </w:rPr>
            </w:pPr>
            <w:r w:rsidRPr="00400694">
              <w:rPr>
                <w:rStyle w:val="Strong"/>
                <w:b w:val="0"/>
                <w:bCs w:val="0"/>
                <w:sz w:val="14"/>
                <w:szCs w:val="14"/>
              </w:rPr>
              <w:t>-29.02%</w:t>
            </w:r>
          </w:p>
        </w:tc>
        <w:tc>
          <w:tcPr>
            <w:tcW w:w="851" w:type="dxa"/>
          </w:tcPr>
          <w:p w14:paraId="18B495FA" w14:textId="758028D2" w:rsidR="00E75993" w:rsidRPr="00400694" w:rsidRDefault="00E75993" w:rsidP="00CA0BF8">
            <w:pPr>
              <w:spacing w:before="60" w:after="60"/>
              <w:jc w:val="right"/>
              <w:rPr>
                <w:rStyle w:val="Strong"/>
                <w:b w:val="0"/>
                <w:bCs w:val="0"/>
                <w:sz w:val="14"/>
                <w:szCs w:val="14"/>
              </w:rPr>
            </w:pPr>
            <w:r w:rsidRPr="00400694">
              <w:rPr>
                <w:rStyle w:val="Strong"/>
                <w:b w:val="0"/>
                <w:bCs w:val="0"/>
                <w:sz w:val="14"/>
                <w:szCs w:val="14"/>
              </w:rPr>
              <w:t>25.84%</w:t>
            </w:r>
          </w:p>
        </w:tc>
        <w:tc>
          <w:tcPr>
            <w:tcW w:w="850" w:type="dxa"/>
          </w:tcPr>
          <w:p w14:paraId="62EA684B" w14:textId="16745019" w:rsidR="00E75993" w:rsidRPr="00400694" w:rsidRDefault="00E75993" w:rsidP="00CA0BF8">
            <w:pPr>
              <w:spacing w:before="60" w:after="60"/>
              <w:jc w:val="right"/>
              <w:rPr>
                <w:rStyle w:val="Strong"/>
                <w:b w:val="0"/>
                <w:bCs w:val="0"/>
                <w:sz w:val="14"/>
                <w:szCs w:val="14"/>
              </w:rPr>
            </w:pPr>
            <w:r w:rsidRPr="00400694">
              <w:rPr>
                <w:rStyle w:val="Strong"/>
                <w:b w:val="0"/>
                <w:bCs w:val="0"/>
                <w:sz w:val="14"/>
                <w:szCs w:val="14"/>
              </w:rPr>
              <w:t>17.02%</w:t>
            </w:r>
          </w:p>
        </w:tc>
        <w:tc>
          <w:tcPr>
            <w:tcW w:w="851" w:type="dxa"/>
          </w:tcPr>
          <w:p w14:paraId="55AFE23B" w14:textId="1164B9E2" w:rsidR="00E75993" w:rsidRPr="00400694" w:rsidRDefault="00E75993" w:rsidP="00CA0BF8">
            <w:pPr>
              <w:spacing w:before="60" w:after="60"/>
              <w:jc w:val="right"/>
              <w:rPr>
                <w:rStyle w:val="Strong"/>
                <w:b w:val="0"/>
                <w:bCs w:val="0"/>
                <w:sz w:val="14"/>
                <w:szCs w:val="14"/>
              </w:rPr>
            </w:pPr>
            <w:r w:rsidRPr="00400694">
              <w:rPr>
                <w:rStyle w:val="Strong"/>
                <w:b w:val="0"/>
                <w:bCs w:val="0"/>
                <w:sz w:val="14"/>
                <w:szCs w:val="14"/>
              </w:rPr>
              <w:t>20.47%</w:t>
            </w:r>
          </w:p>
        </w:tc>
        <w:tc>
          <w:tcPr>
            <w:tcW w:w="850" w:type="dxa"/>
          </w:tcPr>
          <w:p w14:paraId="5786DB3B" w14:textId="7168DFFC" w:rsidR="00E75993" w:rsidRPr="00400694" w:rsidRDefault="00E75993" w:rsidP="00CA0BF8">
            <w:pPr>
              <w:spacing w:before="60" w:after="60"/>
              <w:jc w:val="right"/>
              <w:rPr>
                <w:rStyle w:val="Strong"/>
                <w:b w:val="0"/>
                <w:bCs w:val="0"/>
                <w:sz w:val="14"/>
                <w:szCs w:val="14"/>
              </w:rPr>
            </w:pPr>
            <w:r w:rsidRPr="00400694">
              <w:rPr>
                <w:rStyle w:val="Strong"/>
                <w:b w:val="0"/>
                <w:bCs w:val="0"/>
                <w:sz w:val="14"/>
                <w:szCs w:val="14"/>
              </w:rPr>
              <w:t>27.15%</w:t>
            </w:r>
          </w:p>
        </w:tc>
        <w:tc>
          <w:tcPr>
            <w:tcW w:w="851" w:type="dxa"/>
            <w:shd w:val="clear" w:color="auto" w:fill="auto"/>
          </w:tcPr>
          <w:p w14:paraId="6B95528E" w14:textId="5D7851A7" w:rsidR="00E75993" w:rsidRPr="00400694" w:rsidRDefault="00E75993" w:rsidP="00CA0BF8">
            <w:pPr>
              <w:spacing w:before="60" w:after="60"/>
              <w:jc w:val="right"/>
              <w:rPr>
                <w:rStyle w:val="Strong"/>
                <w:b w:val="0"/>
                <w:bCs w:val="0"/>
                <w:sz w:val="14"/>
                <w:szCs w:val="14"/>
              </w:rPr>
            </w:pPr>
            <w:r w:rsidRPr="00400694">
              <w:rPr>
                <w:rStyle w:val="Strong"/>
                <w:b w:val="0"/>
                <w:bCs w:val="0"/>
                <w:sz w:val="14"/>
                <w:szCs w:val="14"/>
              </w:rPr>
              <w:t>13.38%</w:t>
            </w:r>
          </w:p>
        </w:tc>
        <w:tc>
          <w:tcPr>
            <w:tcW w:w="850" w:type="dxa"/>
          </w:tcPr>
          <w:p w14:paraId="5A8CEF8B" w14:textId="3EF1142E" w:rsidR="00E75993" w:rsidRPr="00400694" w:rsidRDefault="00E75993" w:rsidP="00CA0BF8">
            <w:pPr>
              <w:spacing w:before="60" w:after="60"/>
              <w:jc w:val="right"/>
              <w:rPr>
                <w:sz w:val="14"/>
                <w:szCs w:val="14"/>
              </w:rPr>
            </w:pPr>
            <w:r w:rsidRPr="00400694">
              <w:rPr>
                <w:rStyle w:val="Strong"/>
                <w:b w:val="0"/>
                <w:bCs w:val="0"/>
                <w:sz w:val="14"/>
                <w:szCs w:val="14"/>
              </w:rPr>
              <w:t>-29.02%</w:t>
            </w:r>
          </w:p>
        </w:tc>
        <w:tc>
          <w:tcPr>
            <w:tcW w:w="851" w:type="dxa"/>
          </w:tcPr>
          <w:p w14:paraId="6BCE9F4E" w14:textId="34211ACA" w:rsidR="00E75993" w:rsidRPr="00400694" w:rsidRDefault="00E75993" w:rsidP="00CA0BF8">
            <w:pPr>
              <w:spacing w:before="60" w:after="60"/>
              <w:jc w:val="right"/>
              <w:rPr>
                <w:sz w:val="14"/>
                <w:szCs w:val="14"/>
              </w:rPr>
            </w:pPr>
            <w:r w:rsidRPr="00400694">
              <w:rPr>
                <w:rStyle w:val="Strong"/>
                <w:b w:val="0"/>
                <w:bCs w:val="0"/>
                <w:sz w:val="14"/>
                <w:szCs w:val="14"/>
              </w:rPr>
              <w:t>36.36%</w:t>
            </w:r>
          </w:p>
        </w:tc>
        <w:tc>
          <w:tcPr>
            <w:tcW w:w="850" w:type="dxa"/>
          </w:tcPr>
          <w:p w14:paraId="70C25E2E" w14:textId="243E4CBE" w:rsidR="00E75993" w:rsidRPr="00400694" w:rsidRDefault="00E75993" w:rsidP="00CA0BF8">
            <w:pPr>
              <w:spacing w:before="60" w:after="60"/>
              <w:jc w:val="right"/>
              <w:rPr>
                <w:sz w:val="14"/>
                <w:szCs w:val="14"/>
              </w:rPr>
            </w:pPr>
            <w:r w:rsidRPr="00400694">
              <w:rPr>
                <w:rStyle w:val="Strong"/>
                <w:b w:val="0"/>
                <w:bCs w:val="0"/>
                <w:sz w:val="14"/>
                <w:szCs w:val="14"/>
              </w:rPr>
              <w:t>27.88%</w:t>
            </w:r>
          </w:p>
        </w:tc>
        <w:tc>
          <w:tcPr>
            <w:tcW w:w="851" w:type="dxa"/>
          </w:tcPr>
          <w:p w14:paraId="6BA40BCF" w14:textId="38226BB7" w:rsidR="00E75993" w:rsidRPr="00400694" w:rsidRDefault="00E75993" w:rsidP="00CA0BF8">
            <w:pPr>
              <w:spacing w:before="60" w:after="60"/>
              <w:jc w:val="right"/>
              <w:rPr>
                <w:sz w:val="14"/>
                <w:szCs w:val="14"/>
              </w:rPr>
            </w:pPr>
            <w:r w:rsidRPr="00400694">
              <w:rPr>
                <w:rStyle w:val="Strong"/>
                <w:b w:val="0"/>
                <w:bCs w:val="0"/>
                <w:sz w:val="14"/>
                <w:szCs w:val="14"/>
              </w:rPr>
              <w:t>19.99%</w:t>
            </w:r>
          </w:p>
        </w:tc>
        <w:tc>
          <w:tcPr>
            <w:tcW w:w="850" w:type="dxa"/>
          </w:tcPr>
          <w:p w14:paraId="0F660335" w14:textId="04EC7736" w:rsidR="00E75993" w:rsidRPr="00400694" w:rsidRDefault="00E75993" w:rsidP="00CA0BF8">
            <w:pPr>
              <w:spacing w:before="60" w:after="60"/>
              <w:jc w:val="right"/>
              <w:rPr>
                <w:sz w:val="14"/>
                <w:szCs w:val="14"/>
              </w:rPr>
            </w:pPr>
            <w:r w:rsidRPr="00400694">
              <w:rPr>
                <w:rStyle w:val="Strong"/>
                <w:b w:val="0"/>
                <w:bCs w:val="0"/>
                <w:sz w:val="14"/>
                <w:szCs w:val="14"/>
              </w:rPr>
              <w:t>32.38%</w:t>
            </w:r>
          </w:p>
        </w:tc>
      </w:tr>
      <w:tr w:rsidR="00845353" w:rsidRPr="00400694" w14:paraId="45CD9D67" w14:textId="77777777" w:rsidTr="00587B96">
        <w:tc>
          <w:tcPr>
            <w:tcW w:w="851" w:type="dxa"/>
            <w:shd w:val="clear" w:color="auto" w:fill="BFBFBF" w:themeFill="background1" w:themeFillShade="BF"/>
          </w:tcPr>
          <w:p w14:paraId="366505C8" w14:textId="3C09CE1A" w:rsidR="00845353" w:rsidRPr="00400694" w:rsidRDefault="00845353" w:rsidP="00CA0BF8">
            <w:pPr>
              <w:spacing w:before="60" w:after="60"/>
              <w:jc w:val="center"/>
              <w:rPr>
                <w:rStyle w:val="Strong"/>
                <w:b w:val="0"/>
                <w:bCs w:val="0"/>
                <w:sz w:val="14"/>
                <w:szCs w:val="14"/>
              </w:rPr>
            </w:pPr>
            <w:r w:rsidRPr="00400694">
              <w:rPr>
                <w:rStyle w:val="Strong"/>
                <w:b w:val="0"/>
                <w:bCs w:val="0"/>
                <w:sz w:val="14"/>
                <w:szCs w:val="14"/>
              </w:rPr>
              <w:t>05/06</w:t>
            </w:r>
          </w:p>
        </w:tc>
        <w:tc>
          <w:tcPr>
            <w:tcW w:w="992" w:type="dxa"/>
          </w:tcPr>
          <w:p w14:paraId="5C9B9EB3" w14:textId="0679E350" w:rsidR="00845353" w:rsidRPr="00400694" w:rsidRDefault="00845353" w:rsidP="00CA0BF8">
            <w:pPr>
              <w:spacing w:before="60" w:after="60"/>
              <w:jc w:val="right"/>
              <w:rPr>
                <w:rStyle w:val="Strong"/>
                <w:b w:val="0"/>
                <w:bCs w:val="0"/>
                <w:sz w:val="14"/>
                <w:szCs w:val="14"/>
              </w:rPr>
            </w:pPr>
            <w:r w:rsidRPr="00400694">
              <w:rPr>
                <w:rStyle w:val="Strong"/>
                <w:b w:val="0"/>
                <w:bCs w:val="0"/>
                <w:sz w:val="14"/>
                <w:szCs w:val="14"/>
              </w:rPr>
              <w:t>-29.02%</w:t>
            </w:r>
          </w:p>
        </w:tc>
        <w:tc>
          <w:tcPr>
            <w:tcW w:w="851" w:type="dxa"/>
          </w:tcPr>
          <w:p w14:paraId="59241916" w14:textId="685F2E41" w:rsidR="00845353" w:rsidRPr="00400694" w:rsidRDefault="00845353" w:rsidP="00CA0BF8">
            <w:pPr>
              <w:spacing w:before="60" w:after="60"/>
              <w:jc w:val="right"/>
              <w:rPr>
                <w:rStyle w:val="Strong"/>
                <w:b w:val="0"/>
                <w:bCs w:val="0"/>
                <w:sz w:val="14"/>
                <w:szCs w:val="14"/>
              </w:rPr>
            </w:pPr>
            <w:r w:rsidRPr="00400694">
              <w:rPr>
                <w:rStyle w:val="Strong"/>
                <w:b w:val="0"/>
                <w:bCs w:val="0"/>
                <w:sz w:val="14"/>
                <w:szCs w:val="14"/>
              </w:rPr>
              <w:t>25.84%</w:t>
            </w:r>
          </w:p>
        </w:tc>
        <w:tc>
          <w:tcPr>
            <w:tcW w:w="850" w:type="dxa"/>
          </w:tcPr>
          <w:p w14:paraId="58E33596" w14:textId="0D06E7A6" w:rsidR="00845353" w:rsidRPr="00400694" w:rsidRDefault="00845353" w:rsidP="00CA0BF8">
            <w:pPr>
              <w:spacing w:before="60" w:after="60"/>
              <w:jc w:val="right"/>
              <w:rPr>
                <w:rStyle w:val="Strong"/>
                <w:b w:val="0"/>
                <w:bCs w:val="0"/>
                <w:sz w:val="14"/>
                <w:szCs w:val="14"/>
              </w:rPr>
            </w:pPr>
            <w:r w:rsidRPr="00400694">
              <w:rPr>
                <w:rStyle w:val="Strong"/>
                <w:b w:val="0"/>
                <w:bCs w:val="0"/>
                <w:sz w:val="14"/>
                <w:szCs w:val="14"/>
              </w:rPr>
              <w:t>20.85%</w:t>
            </w:r>
          </w:p>
        </w:tc>
        <w:tc>
          <w:tcPr>
            <w:tcW w:w="851" w:type="dxa"/>
          </w:tcPr>
          <w:p w14:paraId="1F8B981B" w14:textId="7B8CD6B3" w:rsidR="00845353" w:rsidRPr="00400694" w:rsidRDefault="00845353" w:rsidP="00CA0BF8">
            <w:pPr>
              <w:spacing w:before="60" w:after="60"/>
              <w:jc w:val="right"/>
              <w:rPr>
                <w:rStyle w:val="Strong"/>
                <w:b w:val="0"/>
                <w:bCs w:val="0"/>
                <w:sz w:val="14"/>
                <w:szCs w:val="14"/>
              </w:rPr>
            </w:pPr>
            <w:r w:rsidRPr="00400694">
              <w:rPr>
                <w:rStyle w:val="Strong"/>
                <w:b w:val="0"/>
                <w:bCs w:val="0"/>
                <w:sz w:val="14"/>
                <w:szCs w:val="14"/>
              </w:rPr>
              <w:t>20.47%</w:t>
            </w:r>
          </w:p>
        </w:tc>
        <w:tc>
          <w:tcPr>
            <w:tcW w:w="850" w:type="dxa"/>
          </w:tcPr>
          <w:p w14:paraId="49570AC4" w14:textId="550D3CAD" w:rsidR="00845353" w:rsidRPr="00400694" w:rsidRDefault="00845353" w:rsidP="00CA0BF8">
            <w:pPr>
              <w:spacing w:before="60" w:after="60"/>
              <w:jc w:val="right"/>
              <w:rPr>
                <w:rStyle w:val="Strong"/>
                <w:b w:val="0"/>
                <w:bCs w:val="0"/>
                <w:sz w:val="14"/>
                <w:szCs w:val="14"/>
              </w:rPr>
            </w:pPr>
            <w:r w:rsidRPr="00400694">
              <w:rPr>
                <w:rStyle w:val="Strong"/>
                <w:b w:val="0"/>
                <w:bCs w:val="0"/>
                <w:sz w:val="14"/>
                <w:szCs w:val="14"/>
              </w:rPr>
              <w:t>25.02%</w:t>
            </w:r>
          </w:p>
        </w:tc>
        <w:tc>
          <w:tcPr>
            <w:tcW w:w="851" w:type="dxa"/>
            <w:shd w:val="clear" w:color="auto" w:fill="auto"/>
          </w:tcPr>
          <w:p w14:paraId="2B44DB91" w14:textId="5218C617" w:rsidR="00845353" w:rsidRPr="00400694" w:rsidRDefault="00845353" w:rsidP="00CA0BF8">
            <w:pPr>
              <w:spacing w:before="60" w:after="60"/>
              <w:jc w:val="right"/>
              <w:rPr>
                <w:rStyle w:val="Strong"/>
                <w:b w:val="0"/>
                <w:bCs w:val="0"/>
                <w:sz w:val="14"/>
                <w:szCs w:val="14"/>
              </w:rPr>
            </w:pPr>
            <w:r w:rsidRPr="00400694">
              <w:rPr>
                <w:rStyle w:val="Strong"/>
                <w:b w:val="0"/>
                <w:bCs w:val="0"/>
                <w:sz w:val="14"/>
                <w:szCs w:val="14"/>
              </w:rPr>
              <w:t>17.08%</w:t>
            </w:r>
          </w:p>
        </w:tc>
        <w:tc>
          <w:tcPr>
            <w:tcW w:w="850" w:type="dxa"/>
          </w:tcPr>
          <w:p w14:paraId="0BA825C4" w14:textId="2320F5D6" w:rsidR="00845353" w:rsidRPr="00400694" w:rsidRDefault="00845353" w:rsidP="00CA0BF8">
            <w:pPr>
              <w:spacing w:before="60" w:after="60"/>
              <w:jc w:val="right"/>
              <w:rPr>
                <w:sz w:val="14"/>
                <w:szCs w:val="14"/>
              </w:rPr>
            </w:pPr>
            <w:r w:rsidRPr="00400694">
              <w:rPr>
                <w:rStyle w:val="Strong"/>
                <w:b w:val="0"/>
                <w:bCs w:val="0"/>
                <w:sz w:val="14"/>
                <w:szCs w:val="14"/>
              </w:rPr>
              <w:t>-29.02%</w:t>
            </w:r>
          </w:p>
        </w:tc>
        <w:tc>
          <w:tcPr>
            <w:tcW w:w="851" w:type="dxa"/>
          </w:tcPr>
          <w:p w14:paraId="4CBD8CBF" w14:textId="537E839B" w:rsidR="00845353" w:rsidRPr="00400694" w:rsidRDefault="00845353" w:rsidP="00CA0BF8">
            <w:pPr>
              <w:spacing w:before="60" w:after="60"/>
              <w:jc w:val="right"/>
              <w:rPr>
                <w:sz w:val="14"/>
                <w:szCs w:val="14"/>
              </w:rPr>
            </w:pPr>
            <w:r w:rsidRPr="00400694">
              <w:rPr>
                <w:rStyle w:val="Strong"/>
                <w:b w:val="0"/>
                <w:bCs w:val="0"/>
                <w:sz w:val="14"/>
                <w:szCs w:val="14"/>
              </w:rPr>
              <w:t>29.29%</w:t>
            </w:r>
          </w:p>
        </w:tc>
        <w:tc>
          <w:tcPr>
            <w:tcW w:w="850" w:type="dxa"/>
          </w:tcPr>
          <w:p w14:paraId="1ECD4C3D" w14:textId="78D719F7" w:rsidR="00845353" w:rsidRPr="00400694" w:rsidRDefault="00845353" w:rsidP="00CA0BF8">
            <w:pPr>
              <w:spacing w:before="60" w:after="60"/>
              <w:jc w:val="right"/>
              <w:rPr>
                <w:sz w:val="14"/>
                <w:szCs w:val="14"/>
              </w:rPr>
            </w:pPr>
            <w:r w:rsidRPr="00400694">
              <w:rPr>
                <w:rStyle w:val="Strong"/>
                <w:b w:val="0"/>
                <w:bCs w:val="0"/>
                <w:sz w:val="14"/>
                <w:szCs w:val="14"/>
              </w:rPr>
              <w:t>25.30%</w:t>
            </w:r>
          </w:p>
        </w:tc>
        <w:tc>
          <w:tcPr>
            <w:tcW w:w="851" w:type="dxa"/>
          </w:tcPr>
          <w:p w14:paraId="44F27343" w14:textId="2B185DDD" w:rsidR="00845353" w:rsidRPr="00400694" w:rsidRDefault="00845353" w:rsidP="00CA0BF8">
            <w:pPr>
              <w:spacing w:before="60" w:after="60"/>
              <w:jc w:val="right"/>
              <w:rPr>
                <w:sz w:val="14"/>
                <w:szCs w:val="14"/>
              </w:rPr>
            </w:pPr>
            <w:r w:rsidRPr="00400694">
              <w:rPr>
                <w:rStyle w:val="Strong"/>
                <w:b w:val="0"/>
                <w:bCs w:val="0"/>
                <w:sz w:val="14"/>
                <w:szCs w:val="14"/>
              </w:rPr>
              <w:t>20.60%</w:t>
            </w:r>
          </w:p>
        </w:tc>
        <w:tc>
          <w:tcPr>
            <w:tcW w:w="850" w:type="dxa"/>
          </w:tcPr>
          <w:p w14:paraId="243CA689" w14:textId="7E6AE271" w:rsidR="00845353" w:rsidRPr="00400694" w:rsidRDefault="00845353" w:rsidP="00CA0BF8">
            <w:pPr>
              <w:spacing w:before="60" w:after="60"/>
              <w:jc w:val="right"/>
              <w:rPr>
                <w:sz w:val="14"/>
                <w:szCs w:val="14"/>
              </w:rPr>
            </w:pPr>
            <w:r w:rsidRPr="00400694">
              <w:rPr>
                <w:rStyle w:val="Strong"/>
                <w:b w:val="0"/>
                <w:bCs w:val="0"/>
                <w:sz w:val="14"/>
                <w:szCs w:val="14"/>
              </w:rPr>
              <w:t>32.38%</w:t>
            </w:r>
          </w:p>
        </w:tc>
      </w:tr>
      <w:tr w:rsidR="00845353" w:rsidRPr="00400694" w14:paraId="42DA4A48" w14:textId="77777777" w:rsidTr="00587B96">
        <w:tc>
          <w:tcPr>
            <w:tcW w:w="851" w:type="dxa"/>
            <w:shd w:val="clear" w:color="auto" w:fill="BFBFBF" w:themeFill="background1" w:themeFillShade="BF"/>
          </w:tcPr>
          <w:p w14:paraId="65D7A965" w14:textId="7B463789" w:rsidR="00845353" w:rsidRPr="00400694" w:rsidRDefault="00845353" w:rsidP="00CA0BF8">
            <w:pPr>
              <w:spacing w:before="60" w:after="60"/>
              <w:jc w:val="center"/>
              <w:rPr>
                <w:rStyle w:val="Strong"/>
                <w:b w:val="0"/>
                <w:bCs w:val="0"/>
                <w:sz w:val="14"/>
                <w:szCs w:val="14"/>
              </w:rPr>
            </w:pPr>
            <w:r w:rsidRPr="00400694">
              <w:rPr>
                <w:rStyle w:val="Strong"/>
                <w:b w:val="0"/>
                <w:bCs w:val="0"/>
                <w:sz w:val="14"/>
                <w:szCs w:val="14"/>
              </w:rPr>
              <w:t>06/07</w:t>
            </w:r>
          </w:p>
        </w:tc>
        <w:tc>
          <w:tcPr>
            <w:tcW w:w="992" w:type="dxa"/>
          </w:tcPr>
          <w:p w14:paraId="1D8A7D2E" w14:textId="0CBA485A" w:rsidR="00845353" w:rsidRPr="00400694" w:rsidRDefault="00845353" w:rsidP="00CA0BF8">
            <w:pPr>
              <w:spacing w:before="60" w:after="60"/>
              <w:jc w:val="right"/>
              <w:rPr>
                <w:rStyle w:val="Strong"/>
                <w:b w:val="0"/>
                <w:bCs w:val="0"/>
                <w:sz w:val="14"/>
                <w:szCs w:val="14"/>
              </w:rPr>
            </w:pPr>
            <w:r w:rsidRPr="00400694">
              <w:rPr>
                <w:rStyle w:val="Strong"/>
                <w:b w:val="0"/>
                <w:bCs w:val="0"/>
                <w:sz w:val="14"/>
                <w:szCs w:val="14"/>
              </w:rPr>
              <w:t>-29.02%</w:t>
            </w:r>
          </w:p>
        </w:tc>
        <w:tc>
          <w:tcPr>
            <w:tcW w:w="851" w:type="dxa"/>
          </w:tcPr>
          <w:p w14:paraId="64F1205B" w14:textId="5890543D" w:rsidR="00845353" w:rsidRPr="00400694" w:rsidRDefault="00845353" w:rsidP="00CA0BF8">
            <w:pPr>
              <w:spacing w:before="60" w:after="60"/>
              <w:jc w:val="right"/>
              <w:rPr>
                <w:rStyle w:val="Strong"/>
                <w:b w:val="0"/>
                <w:bCs w:val="0"/>
                <w:sz w:val="14"/>
                <w:szCs w:val="14"/>
              </w:rPr>
            </w:pPr>
            <w:r w:rsidRPr="00400694">
              <w:rPr>
                <w:rStyle w:val="Strong"/>
                <w:b w:val="0"/>
                <w:bCs w:val="0"/>
                <w:sz w:val="14"/>
                <w:szCs w:val="14"/>
              </w:rPr>
              <w:t>25.84%</w:t>
            </w:r>
          </w:p>
        </w:tc>
        <w:tc>
          <w:tcPr>
            <w:tcW w:w="850" w:type="dxa"/>
          </w:tcPr>
          <w:p w14:paraId="11732A50" w14:textId="4C074BF0" w:rsidR="00845353" w:rsidRPr="00400694" w:rsidRDefault="00845353" w:rsidP="00CA0BF8">
            <w:pPr>
              <w:spacing w:before="60" w:after="60"/>
              <w:jc w:val="right"/>
              <w:rPr>
                <w:rStyle w:val="Strong"/>
                <w:b w:val="0"/>
                <w:bCs w:val="0"/>
                <w:sz w:val="14"/>
                <w:szCs w:val="14"/>
              </w:rPr>
            </w:pPr>
            <w:r w:rsidRPr="00400694">
              <w:rPr>
                <w:rStyle w:val="Strong"/>
                <w:b w:val="0"/>
                <w:bCs w:val="0"/>
                <w:sz w:val="14"/>
                <w:szCs w:val="14"/>
              </w:rPr>
              <w:t>20.85%</w:t>
            </w:r>
          </w:p>
        </w:tc>
        <w:tc>
          <w:tcPr>
            <w:tcW w:w="851" w:type="dxa"/>
          </w:tcPr>
          <w:p w14:paraId="0A2AFE15" w14:textId="09264287" w:rsidR="00845353" w:rsidRPr="00400694" w:rsidRDefault="00845353" w:rsidP="00CA0BF8">
            <w:pPr>
              <w:spacing w:before="60" w:after="60"/>
              <w:jc w:val="right"/>
              <w:rPr>
                <w:rStyle w:val="Strong"/>
                <w:b w:val="0"/>
                <w:bCs w:val="0"/>
                <w:sz w:val="14"/>
                <w:szCs w:val="14"/>
              </w:rPr>
            </w:pPr>
            <w:r w:rsidRPr="00400694">
              <w:rPr>
                <w:rStyle w:val="Strong"/>
                <w:b w:val="0"/>
                <w:bCs w:val="0"/>
                <w:sz w:val="14"/>
                <w:szCs w:val="14"/>
              </w:rPr>
              <w:t>20.47%</w:t>
            </w:r>
          </w:p>
        </w:tc>
        <w:tc>
          <w:tcPr>
            <w:tcW w:w="850" w:type="dxa"/>
          </w:tcPr>
          <w:p w14:paraId="2E6215E4" w14:textId="1162166D" w:rsidR="00845353" w:rsidRPr="00400694" w:rsidRDefault="00845353" w:rsidP="00CA0BF8">
            <w:pPr>
              <w:spacing w:before="60" w:after="60"/>
              <w:jc w:val="right"/>
              <w:rPr>
                <w:rStyle w:val="Strong"/>
                <w:b w:val="0"/>
                <w:bCs w:val="0"/>
                <w:sz w:val="14"/>
                <w:szCs w:val="14"/>
              </w:rPr>
            </w:pPr>
            <w:r w:rsidRPr="00400694">
              <w:rPr>
                <w:rStyle w:val="Strong"/>
                <w:b w:val="0"/>
                <w:bCs w:val="0"/>
                <w:sz w:val="14"/>
                <w:szCs w:val="14"/>
              </w:rPr>
              <w:t>25.02%</w:t>
            </w:r>
          </w:p>
        </w:tc>
        <w:tc>
          <w:tcPr>
            <w:tcW w:w="851" w:type="dxa"/>
            <w:shd w:val="clear" w:color="auto" w:fill="auto"/>
          </w:tcPr>
          <w:p w14:paraId="03EE9064" w14:textId="0B2F8F9D" w:rsidR="00845353" w:rsidRPr="00400694" w:rsidRDefault="00845353" w:rsidP="00CA0BF8">
            <w:pPr>
              <w:spacing w:before="60" w:after="60"/>
              <w:jc w:val="right"/>
              <w:rPr>
                <w:rStyle w:val="Strong"/>
                <w:b w:val="0"/>
                <w:bCs w:val="0"/>
                <w:sz w:val="14"/>
                <w:szCs w:val="14"/>
              </w:rPr>
            </w:pPr>
            <w:r w:rsidRPr="00400694">
              <w:rPr>
                <w:rStyle w:val="Strong"/>
                <w:b w:val="0"/>
                <w:bCs w:val="0"/>
                <w:sz w:val="14"/>
                <w:szCs w:val="14"/>
              </w:rPr>
              <w:t>17.08%</w:t>
            </w:r>
          </w:p>
        </w:tc>
        <w:tc>
          <w:tcPr>
            <w:tcW w:w="850" w:type="dxa"/>
          </w:tcPr>
          <w:p w14:paraId="72260785" w14:textId="3DC5F1A5" w:rsidR="00845353" w:rsidRPr="00400694" w:rsidRDefault="00845353" w:rsidP="00CA0BF8">
            <w:pPr>
              <w:spacing w:before="60" w:after="60"/>
              <w:jc w:val="right"/>
              <w:rPr>
                <w:sz w:val="14"/>
                <w:szCs w:val="14"/>
              </w:rPr>
            </w:pPr>
            <w:r w:rsidRPr="00400694">
              <w:rPr>
                <w:rStyle w:val="Strong"/>
                <w:b w:val="0"/>
                <w:bCs w:val="0"/>
                <w:sz w:val="14"/>
                <w:szCs w:val="14"/>
              </w:rPr>
              <w:t>-29.02%</w:t>
            </w:r>
          </w:p>
        </w:tc>
        <w:tc>
          <w:tcPr>
            <w:tcW w:w="851" w:type="dxa"/>
          </w:tcPr>
          <w:p w14:paraId="37FB6630" w14:textId="7CAF8D7A" w:rsidR="00845353" w:rsidRPr="00400694" w:rsidRDefault="00845353" w:rsidP="00CA0BF8">
            <w:pPr>
              <w:spacing w:before="60" w:after="60"/>
              <w:jc w:val="right"/>
              <w:rPr>
                <w:sz w:val="14"/>
                <w:szCs w:val="14"/>
              </w:rPr>
            </w:pPr>
            <w:r w:rsidRPr="00400694">
              <w:rPr>
                <w:rStyle w:val="Strong"/>
                <w:b w:val="0"/>
                <w:bCs w:val="0"/>
                <w:sz w:val="14"/>
                <w:szCs w:val="14"/>
              </w:rPr>
              <w:t>29.29%</w:t>
            </w:r>
          </w:p>
        </w:tc>
        <w:tc>
          <w:tcPr>
            <w:tcW w:w="850" w:type="dxa"/>
          </w:tcPr>
          <w:p w14:paraId="428C166E" w14:textId="19E88D4C" w:rsidR="00845353" w:rsidRPr="00400694" w:rsidRDefault="00845353" w:rsidP="00CA0BF8">
            <w:pPr>
              <w:spacing w:before="60" w:after="60"/>
              <w:jc w:val="right"/>
              <w:rPr>
                <w:sz w:val="14"/>
                <w:szCs w:val="14"/>
              </w:rPr>
            </w:pPr>
            <w:r w:rsidRPr="00400694">
              <w:rPr>
                <w:rStyle w:val="Strong"/>
                <w:b w:val="0"/>
                <w:bCs w:val="0"/>
                <w:sz w:val="14"/>
                <w:szCs w:val="14"/>
              </w:rPr>
              <w:t>25.30%</w:t>
            </w:r>
          </w:p>
        </w:tc>
        <w:tc>
          <w:tcPr>
            <w:tcW w:w="851" w:type="dxa"/>
          </w:tcPr>
          <w:p w14:paraId="13454F62" w14:textId="38A4B486" w:rsidR="00845353" w:rsidRPr="00400694" w:rsidRDefault="00845353" w:rsidP="00CA0BF8">
            <w:pPr>
              <w:spacing w:before="60" w:after="60"/>
              <w:jc w:val="right"/>
              <w:rPr>
                <w:sz w:val="14"/>
                <w:szCs w:val="14"/>
              </w:rPr>
            </w:pPr>
            <w:r w:rsidRPr="00400694">
              <w:rPr>
                <w:rStyle w:val="Strong"/>
                <w:b w:val="0"/>
                <w:bCs w:val="0"/>
                <w:sz w:val="14"/>
                <w:szCs w:val="14"/>
              </w:rPr>
              <w:t>20.60%</w:t>
            </w:r>
          </w:p>
        </w:tc>
        <w:tc>
          <w:tcPr>
            <w:tcW w:w="850" w:type="dxa"/>
          </w:tcPr>
          <w:p w14:paraId="650318C6" w14:textId="2D448ACF" w:rsidR="00845353" w:rsidRPr="00400694" w:rsidRDefault="00845353" w:rsidP="00CA0BF8">
            <w:pPr>
              <w:spacing w:before="60" w:after="60"/>
              <w:jc w:val="right"/>
              <w:rPr>
                <w:sz w:val="14"/>
                <w:szCs w:val="14"/>
              </w:rPr>
            </w:pPr>
            <w:r w:rsidRPr="00400694">
              <w:rPr>
                <w:rStyle w:val="Strong"/>
                <w:b w:val="0"/>
                <w:bCs w:val="0"/>
                <w:sz w:val="14"/>
                <w:szCs w:val="14"/>
              </w:rPr>
              <w:t>32.38%</w:t>
            </w:r>
          </w:p>
        </w:tc>
      </w:tr>
      <w:tr w:rsidR="00B5280A" w:rsidRPr="00400694" w14:paraId="3C335B79" w14:textId="77777777" w:rsidTr="00587B96">
        <w:tc>
          <w:tcPr>
            <w:tcW w:w="851" w:type="dxa"/>
            <w:shd w:val="clear" w:color="auto" w:fill="BFBFBF" w:themeFill="background1" w:themeFillShade="BF"/>
          </w:tcPr>
          <w:p w14:paraId="71A4A7F1" w14:textId="0FFCD148" w:rsidR="00845353" w:rsidRPr="00400694" w:rsidRDefault="00845353" w:rsidP="00845353">
            <w:pPr>
              <w:spacing w:before="60" w:after="60"/>
              <w:jc w:val="center"/>
              <w:rPr>
                <w:rStyle w:val="Strong"/>
                <w:b w:val="0"/>
                <w:bCs w:val="0"/>
                <w:sz w:val="14"/>
                <w:szCs w:val="14"/>
              </w:rPr>
            </w:pPr>
            <w:r w:rsidRPr="00400694">
              <w:rPr>
                <w:rStyle w:val="Strong"/>
                <w:b w:val="0"/>
                <w:bCs w:val="0"/>
                <w:sz w:val="14"/>
                <w:szCs w:val="14"/>
              </w:rPr>
              <w:t>07/08</w:t>
            </w:r>
          </w:p>
        </w:tc>
        <w:tc>
          <w:tcPr>
            <w:tcW w:w="992" w:type="dxa"/>
          </w:tcPr>
          <w:p w14:paraId="54CBAAEE" w14:textId="4E319C58" w:rsidR="00845353" w:rsidRPr="00400694" w:rsidRDefault="00845353" w:rsidP="00845353">
            <w:pPr>
              <w:spacing w:before="60" w:after="60"/>
              <w:jc w:val="right"/>
              <w:rPr>
                <w:rStyle w:val="Strong"/>
                <w:b w:val="0"/>
                <w:bCs w:val="0"/>
                <w:sz w:val="14"/>
                <w:szCs w:val="14"/>
              </w:rPr>
            </w:pPr>
            <w:r w:rsidRPr="00400694">
              <w:rPr>
                <w:rStyle w:val="Strong"/>
                <w:b w:val="0"/>
                <w:bCs w:val="0"/>
                <w:sz w:val="14"/>
                <w:szCs w:val="14"/>
              </w:rPr>
              <w:t>-29.02%</w:t>
            </w:r>
          </w:p>
        </w:tc>
        <w:tc>
          <w:tcPr>
            <w:tcW w:w="851" w:type="dxa"/>
          </w:tcPr>
          <w:p w14:paraId="24695955" w14:textId="33FC982E" w:rsidR="00845353" w:rsidRPr="00400694" w:rsidRDefault="00845353" w:rsidP="00845353">
            <w:pPr>
              <w:spacing w:before="60" w:after="60"/>
              <w:jc w:val="right"/>
              <w:rPr>
                <w:rStyle w:val="Strong"/>
                <w:b w:val="0"/>
                <w:bCs w:val="0"/>
                <w:sz w:val="14"/>
                <w:szCs w:val="14"/>
              </w:rPr>
            </w:pPr>
            <w:r w:rsidRPr="00400694">
              <w:rPr>
                <w:rStyle w:val="Strong"/>
                <w:b w:val="0"/>
                <w:bCs w:val="0"/>
                <w:sz w:val="14"/>
                <w:szCs w:val="14"/>
              </w:rPr>
              <w:t>25.84%</w:t>
            </w:r>
          </w:p>
        </w:tc>
        <w:tc>
          <w:tcPr>
            <w:tcW w:w="850" w:type="dxa"/>
          </w:tcPr>
          <w:p w14:paraId="7894E8CB" w14:textId="4EF91A37" w:rsidR="00845353" w:rsidRPr="00400694" w:rsidRDefault="00845353" w:rsidP="00845353">
            <w:pPr>
              <w:spacing w:before="60" w:after="60"/>
              <w:jc w:val="right"/>
              <w:rPr>
                <w:rStyle w:val="Strong"/>
                <w:b w:val="0"/>
                <w:bCs w:val="0"/>
                <w:sz w:val="14"/>
                <w:szCs w:val="14"/>
              </w:rPr>
            </w:pPr>
            <w:r w:rsidRPr="00400694">
              <w:rPr>
                <w:rStyle w:val="Strong"/>
                <w:b w:val="0"/>
                <w:bCs w:val="0"/>
                <w:sz w:val="14"/>
                <w:szCs w:val="14"/>
              </w:rPr>
              <w:t>20.85%</w:t>
            </w:r>
          </w:p>
        </w:tc>
        <w:tc>
          <w:tcPr>
            <w:tcW w:w="851" w:type="dxa"/>
          </w:tcPr>
          <w:p w14:paraId="03B3A890" w14:textId="1BD2E274" w:rsidR="00845353" w:rsidRPr="00400694" w:rsidRDefault="00845353" w:rsidP="00845353">
            <w:pPr>
              <w:spacing w:before="60" w:after="60"/>
              <w:jc w:val="right"/>
              <w:rPr>
                <w:rStyle w:val="Strong"/>
                <w:b w:val="0"/>
                <w:bCs w:val="0"/>
                <w:sz w:val="14"/>
                <w:szCs w:val="14"/>
              </w:rPr>
            </w:pPr>
            <w:r w:rsidRPr="00400694">
              <w:rPr>
                <w:rStyle w:val="Strong"/>
                <w:b w:val="0"/>
                <w:bCs w:val="0"/>
                <w:sz w:val="14"/>
                <w:szCs w:val="14"/>
              </w:rPr>
              <w:t>20.47%</w:t>
            </w:r>
          </w:p>
        </w:tc>
        <w:tc>
          <w:tcPr>
            <w:tcW w:w="850" w:type="dxa"/>
          </w:tcPr>
          <w:p w14:paraId="1E5656AF" w14:textId="7B031CA6" w:rsidR="00845353" w:rsidRPr="00400694" w:rsidRDefault="00845353" w:rsidP="00845353">
            <w:pPr>
              <w:spacing w:before="60" w:after="60"/>
              <w:jc w:val="right"/>
              <w:rPr>
                <w:rStyle w:val="Strong"/>
                <w:b w:val="0"/>
                <w:bCs w:val="0"/>
                <w:sz w:val="14"/>
                <w:szCs w:val="14"/>
              </w:rPr>
            </w:pPr>
            <w:r w:rsidRPr="00400694">
              <w:rPr>
                <w:rStyle w:val="Strong"/>
                <w:b w:val="0"/>
                <w:bCs w:val="0"/>
                <w:sz w:val="14"/>
                <w:szCs w:val="14"/>
              </w:rPr>
              <w:t>25.02%</w:t>
            </w:r>
          </w:p>
        </w:tc>
        <w:tc>
          <w:tcPr>
            <w:tcW w:w="851" w:type="dxa"/>
            <w:shd w:val="clear" w:color="auto" w:fill="auto"/>
          </w:tcPr>
          <w:p w14:paraId="71483E27" w14:textId="2036D740" w:rsidR="00845353" w:rsidRPr="00400694" w:rsidRDefault="00845353" w:rsidP="00845353">
            <w:pPr>
              <w:spacing w:before="60" w:after="60"/>
              <w:jc w:val="right"/>
              <w:rPr>
                <w:rStyle w:val="Strong"/>
                <w:b w:val="0"/>
                <w:bCs w:val="0"/>
                <w:sz w:val="14"/>
                <w:szCs w:val="14"/>
              </w:rPr>
            </w:pPr>
            <w:r w:rsidRPr="00400694">
              <w:rPr>
                <w:rStyle w:val="Strong"/>
                <w:b w:val="0"/>
                <w:bCs w:val="0"/>
                <w:sz w:val="14"/>
                <w:szCs w:val="14"/>
              </w:rPr>
              <w:t>17.08%</w:t>
            </w:r>
          </w:p>
        </w:tc>
        <w:tc>
          <w:tcPr>
            <w:tcW w:w="850" w:type="dxa"/>
          </w:tcPr>
          <w:p w14:paraId="7B85626A" w14:textId="2C77DCEE" w:rsidR="00845353" w:rsidRPr="00400694" w:rsidRDefault="00845353" w:rsidP="00845353">
            <w:pPr>
              <w:spacing w:before="60" w:after="60"/>
              <w:jc w:val="right"/>
              <w:rPr>
                <w:rStyle w:val="Strong"/>
                <w:b w:val="0"/>
                <w:bCs w:val="0"/>
                <w:sz w:val="14"/>
                <w:szCs w:val="14"/>
              </w:rPr>
            </w:pPr>
            <w:r w:rsidRPr="00400694">
              <w:rPr>
                <w:rStyle w:val="Strong"/>
                <w:b w:val="0"/>
                <w:bCs w:val="0"/>
                <w:sz w:val="14"/>
                <w:szCs w:val="14"/>
              </w:rPr>
              <w:t>-29.02%</w:t>
            </w:r>
          </w:p>
        </w:tc>
        <w:tc>
          <w:tcPr>
            <w:tcW w:w="851" w:type="dxa"/>
          </w:tcPr>
          <w:p w14:paraId="471D6D46" w14:textId="4FF9EDF5" w:rsidR="00845353" w:rsidRPr="00400694" w:rsidRDefault="00845353" w:rsidP="00845353">
            <w:pPr>
              <w:spacing w:before="60" w:after="60"/>
              <w:jc w:val="right"/>
              <w:rPr>
                <w:rStyle w:val="Strong"/>
                <w:b w:val="0"/>
                <w:bCs w:val="0"/>
                <w:sz w:val="14"/>
                <w:szCs w:val="14"/>
              </w:rPr>
            </w:pPr>
            <w:r w:rsidRPr="00400694">
              <w:rPr>
                <w:rStyle w:val="Strong"/>
                <w:b w:val="0"/>
                <w:bCs w:val="0"/>
                <w:sz w:val="14"/>
                <w:szCs w:val="14"/>
              </w:rPr>
              <w:t>29.29%</w:t>
            </w:r>
          </w:p>
        </w:tc>
        <w:tc>
          <w:tcPr>
            <w:tcW w:w="850" w:type="dxa"/>
          </w:tcPr>
          <w:p w14:paraId="4EF5FE81" w14:textId="100388D0" w:rsidR="00845353" w:rsidRPr="00400694" w:rsidRDefault="00845353" w:rsidP="00845353">
            <w:pPr>
              <w:spacing w:before="60" w:after="60"/>
              <w:jc w:val="right"/>
              <w:rPr>
                <w:rStyle w:val="Strong"/>
                <w:b w:val="0"/>
                <w:bCs w:val="0"/>
                <w:sz w:val="14"/>
                <w:szCs w:val="14"/>
              </w:rPr>
            </w:pPr>
            <w:r w:rsidRPr="00400694">
              <w:rPr>
                <w:rStyle w:val="Strong"/>
                <w:b w:val="0"/>
                <w:bCs w:val="0"/>
                <w:sz w:val="14"/>
                <w:szCs w:val="14"/>
              </w:rPr>
              <w:t>25.30%</w:t>
            </w:r>
          </w:p>
        </w:tc>
        <w:tc>
          <w:tcPr>
            <w:tcW w:w="851" w:type="dxa"/>
          </w:tcPr>
          <w:p w14:paraId="4E31802A" w14:textId="5D669462" w:rsidR="00845353" w:rsidRPr="00400694" w:rsidRDefault="00845353" w:rsidP="00845353">
            <w:pPr>
              <w:spacing w:before="60" w:after="60"/>
              <w:jc w:val="right"/>
              <w:rPr>
                <w:rStyle w:val="Strong"/>
                <w:b w:val="0"/>
                <w:bCs w:val="0"/>
                <w:sz w:val="14"/>
                <w:szCs w:val="14"/>
              </w:rPr>
            </w:pPr>
            <w:r w:rsidRPr="00400694">
              <w:rPr>
                <w:rStyle w:val="Strong"/>
                <w:b w:val="0"/>
                <w:bCs w:val="0"/>
                <w:sz w:val="14"/>
                <w:szCs w:val="14"/>
              </w:rPr>
              <w:t>20.60%</w:t>
            </w:r>
          </w:p>
        </w:tc>
        <w:tc>
          <w:tcPr>
            <w:tcW w:w="850" w:type="dxa"/>
          </w:tcPr>
          <w:p w14:paraId="5C0EBB46" w14:textId="398DFE91" w:rsidR="00845353" w:rsidRPr="00400694" w:rsidRDefault="00845353" w:rsidP="00845353">
            <w:pPr>
              <w:spacing w:before="60" w:after="60"/>
              <w:jc w:val="right"/>
              <w:rPr>
                <w:rStyle w:val="Strong"/>
                <w:b w:val="0"/>
                <w:bCs w:val="0"/>
                <w:sz w:val="14"/>
                <w:szCs w:val="14"/>
              </w:rPr>
            </w:pPr>
            <w:r w:rsidRPr="00400694">
              <w:rPr>
                <w:rStyle w:val="Strong"/>
                <w:b w:val="0"/>
                <w:bCs w:val="0"/>
                <w:sz w:val="14"/>
                <w:szCs w:val="14"/>
              </w:rPr>
              <w:t>32.38%</w:t>
            </w:r>
          </w:p>
        </w:tc>
      </w:tr>
      <w:tr w:rsidR="00E75993" w:rsidRPr="00400694" w14:paraId="65003351" w14:textId="77777777" w:rsidTr="00587B96">
        <w:tc>
          <w:tcPr>
            <w:tcW w:w="851" w:type="dxa"/>
            <w:shd w:val="clear" w:color="auto" w:fill="BFBFBF" w:themeFill="background1" w:themeFillShade="BF"/>
          </w:tcPr>
          <w:p w14:paraId="4886D55B" w14:textId="70A883B0" w:rsidR="003859A0" w:rsidRPr="00400694" w:rsidRDefault="003859A0" w:rsidP="00CA0BF8">
            <w:pPr>
              <w:spacing w:before="60" w:after="60"/>
              <w:jc w:val="center"/>
              <w:rPr>
                <w:rStyle w:val="Strong"/>
                <w:b w:val="0"/>
                <w:bCs w:val="0"/>
                <w:sz w:val="14"/>
                <w:szCs w:val="14"/>
              </w:rPr>
            </w:pPr>
            <w:r w:rsidRPr="00400694">
              <w:rPr>
                <w:rStyle w:val="Strong"/>
                <w:b w:val="0"/>
                <w:bCs w:val="0"/>
                <w:sz w:val="14"/>
                <w:szCs w:val="14"/>
              </w:rPr>
              <w:t>08/09</w:t>
            </w:r>
          </w:p>
        </w:tc>
        <w:tc>
          <w:tcPr>
            <w:tcW w:w="992" w:type="dxa"/>
          </w:tcPr>
          <w:p w14:paraId="77B3DC3F" w14:textId="6F563DAE" w:rsidR="003859A0" w:rsidRPr="00400694" w:rsidRDefault="003859A0" w:rsidP="00CA0BF8">
            <w:pPr>
              <w:spacing w:before="60" w:after="60"/>
              <w:jc w:val="right"/>
              <w:rPr>
                <w:rStyle w:val="Strong"/>
                <w:b w:val="0"/>
                <w:bCs w:val="0"/>
                <w:sz w:val="14"/>
                <w:szCs w:val="14"/>
              </w:rPr>
            </w:pPr>
            <w:r w:rsidRPr="00400694">
              <w:rPr>
                <w:rStyle w:val="Strong"/>
                <w:b w:val="0"/>
                <w:bCs w:val="0"/>
                <w:sz w:val="14"/>
                <w:szCs w:val="14"/>
              </w:rPr>
              <w:t>-25.50%</w:t>
            </w:r>
          </w:p>
        </w:tc>
        <w:tc>
          <w:tcPr>
            <w:tcW w:w="851" w:type="dxa"/>
          </w:tcPr>
          <w:p w14:paraId="4A155512" w14:textId="61A7D912" w:rsidR="003859A0" w:rsidRPr="00400694" w:rsidRDefault="003859A0" w:rsidP="00CA0BF8">
            <w:pPr>
              <w:spacing w:before="60" w:after="60"/>
              <w:jc w:val="right"/>
              <w:rPr>
                <w:rStyle w:val="Strong"/>
                <w:b w:val="0"/>
                <w:bCs w:val="0"/>
                <w:sz w:val="14"/>
                <w:szCs w:val="14"/>
              </w:rPr>
            </w:pPr>
            <w:r w:rsidRPr="00400694">
              <w:rPr>
                <w:rStyle w:val="Strong"/>
                <w:b w:val="0"/>
                <w:bCs w:val="0"/>
                <w:sz w:val="14"/>
                <w:szCs w:val="14"/>
              </w:rPr>
              <w:t>23.32%</w:t>
            </w:r>
          </w:p>
        </w:tc>
        <w:tc>
          <w:tcPr>
            <w:tcW w:w="850" w:type="dxa"/>
          </w:tcPr>
          <w:p w14:paraId="2F6D7ADE" w14:textId="4A51D0B7" w:rsidR="003859A0" w:rsidRPr="00400694" w:rsidRDefault="00E75993" w:rsidP="00CA0BF8">
            <w:pPr>
              <w:spacing w:before="60" w:after="60"/>
              <w:jc w:val="right"/>
              <w:rPr>
                <w:rStyle w:val="Strong"/>
                <w:b w:val="0"/>
                <w:bCs w:val="0"/>
                <w:sz w:val="14"/>
                <w:szCs w:val="14"/>
              </w:rPr>
            </w:pPr>
            <w:r w:rsidRPr="00400694">
              <w:rPr>
                <w:rStyle w:val="Strong"/>
                <w:b w:val="0"/>
                <w:bCs w:val="0"/>
                <w:sz w:val="14"/>
                <w:szCs w:val="14"/>
              </w:rPr>
              <w:t>18.69</w:t>
            </w:r>
            <w:r w:rsidR="003859A0" w:rsidRPr="00400694">
              <w:rPr>
                <w:rStyle w:val="Strong"/>
                <w:b w:val="0"/>
                <w:bCs w:val="0"/>
                <w:sz w:val="14"/>
                <w:szCs w:val="14"/>
              </w:rPr>
              <w:t>%</w:t>
            </w:r>
          </w:p>
        </w:tc>
        <w:tc>
          <w:tcPr>
            <w:tcW w:w="851" w:type="dxa"/>
          </w:tcPr>
          <w:p w14:paraId="160F5CA2" w14:textId="74809024" w:rsidR="003859A0" w:rsidRPr="00400694" w:rsidRDefault="00E75993" w:rsidP="00CA0BF8">
            <w:pPr>
              <w:spacing w:before="60" w:after="60"/>
              <w:jc w:val="right"/>
              <w:rPr>
                <w:rStyle w:val="Strong"/>
                <w:b w:val="0"/>
                <w:bCs w:val="0"/>
                <w:sz w:val="14"/>
                <w:szCs w:val="14"/>
              </w:rPr>
            </w:pPr>
            <w:r w:rsidRPr="00400694">
              <w:rPr>
                <w:rStyle w:val="Strong"/>
                <w:b w:val="0"/>
                <w:bCs w:val="0"/>
                <w:sz w:val="14"/>
                <w:szCs w:val="14"/>
              </w:rPr>
              <w:t>18.33</w:t>
            </w:r>
            <w:r w:rsidR="003859A0" w:rsidRPr="00400694">
              <w:rPr>
                <w:rStyle w:val="Strong"/>
                <w:b w:val="0"/>
                <w:bCs w:val="0"/>
                <w:sz w:val="14"/>
                <w:szCs w:val="14"/>
              </w:rPr>
              <w:t>%</w:t>
            </w:r>
          </w:p>
        </w:tc>
        <w:tc>
          <w:tcPr>
            <w:tcW w:w="850" w:type="dxa"/>
          </w:tcPr>
          <w:p w14:paraId="66617F5A" w14:textId="697BBFDE" w:rsidR="003859A0" w:rsidRPr="00400694" w:rsidRDefault="00E75993" w:rsidP="00CA0BF8">
            <w:pPr>
              <w:spacing w:before="60" w:after="60"/>
              <w:jc w:val="right"/>
              <w:rPr>
                <w:rStyle w:val="Strong"/>
                <w:b w:val="0"/>
                <w:bCs w:val="0"/>
                <w:sz w:val="14"/>
                <w:szCs w:val="14"/>
              </w:rPr>
            </w:pPr>
            <w:r w:rsidRPr="00400694">
              <w:rPr>
                <w:rStyle w:val="Strong"/>
                <w:b w:val="0"/>
                <w:bCs w:val="0"/>
                <w:sz w:val="14"/>
                <w:szCs w:val="14"/>
              </w:rPr>
              <w:t>22.52</w:t>
            </w:r>
            <w:r w:rsidR="003859A0" w:rsidRPr="00400694">
              <w:rPr>
                <w:rStyle w:val="Strong"/>
                <w:b w:val="0"/>
                <w:bCs w:val="0"/>
                <w:sz w:val="14"/>
                <w:szCs w:val="14"/>
              </w:rPr>
              <w:t>%</w:t>
            </w:r>
          </w:p>
        </w:tc>
        <w:tc>
          <w:tcPr>
            <w:tcW w:w="851" w:type="dxa"/>
            <w:shd w:val="clear" w:color="auto" w:fill="auto"/>
          </w:tcPr>
          <w:p w14:paraId="455F8AFE" w14:textId="501DC9C6" w:rsidR="003859A0" w:rsidRPr="00400694" w:rsidRDefault="00E75993" w:rsidP="00CA0BF8">
            <w:pPr>
              <w:spacing w:before="60" w:after="60"/>
              <w:jc w:val="right"/>
              <w:rPr>
                <w:rStyle w:val="Strong"/>
                <w:b w:val="0"/>
                <w:bCs w:val="0"/>
                <w:sz w:val="14"/>
                <w:szCs w:val="14"/>
              </w:rPr>
            </w:pPr>
            <w:r w:rsidRPr="00400694">
              <w:rPr>
                <w:rStyle w:val="Strong"/>
                <w:b w:val="0"/>
                <w:bCs w:val="0"/>
                <w:sz w:val="14"/>
                <w:szCs w:val="14"/>
              </w:rPr>
              <w:t>15.23</w:t>
            </w:r>
            <w:r w:rsidR="003859A0" w:rsidRPr="00400694">
              <w:rPr>
                <w:rStyle w:val="Strong"/>
                <w:b w:val="0"/>
                <w:bCs w:val="0"/>
                <w:sz w:val="14"/>
                <w:szCs w:val="14"/>
              </w:rPr>
              <w:t>%</w:t>
            </w:r>
          </w:p>
        </w:tc>
        <w:tc>
          <w:tcPr>
            <w:tcW w:w="850" w:type="dxa"/>
          </w:tcPr>
          <w:p w14:paraId="7D64104E" w14:textId="3A7E268B" w:rsidR="003859A0" w:rsidRPr="00400694" w:rsidRDefault="00845353" w:rsidP="00CA0BF8">
            <w:pPr>
              <w:spacing w:before="60" w:after="60"/>
              <w:jc w:val="right"/>
              <w:rPr>
                <w:sz w:val="14"/>
                <w:szCs w:val="14"/>
              </w:rPr>
            </w:pPr>
            <w:r w:rsidRPr="00400694">
              <w:rPr>
                <w:rStyle w:val="Strong"/>
                <w:b w:val="0"/>
                <w:bCs w:val="0"/>
                <w:sz w:val="14"/>
                <w:szCs w:val="14"/>
              </w:rPr>
              <w:t>***</w:t>
            </w:r>
          </w:p>
        </w:tc>
        <w:tc>
          <w:tcPr>
            <w:tcW w:w="851" w:type="dxa"/>
          </w:tcPr>
          <w:p w14:paraId="02D27EF8" w14:textId="5BC23DF6" w:rsidR="003859A0" w:rsidRPr="00400694" w:rsidRDefault="00E75993" w:rsidP="00CA0BF8">
            <w:pPr>
              <w:spacing w:before="60" w:after="60"/>
              <w:jc w:val="right"/>
              <w:rPr>
                <w:sz w:val="14"/>
                <w:szCs w:val="14"/>
              </w:rPr>
            </w:pPr>
            <w:r w:rsidRPr="00400694">
              <w:rPr>
                <w:rStyle w:val="Strong"/>
                <w:b w:val="0"/>
                <w:bCs w:val="0"/>
                <w:sz w:val="14"/>
                <w:szCs w:val="14"/>
              </w:rPr>
              <w:t>2</w:t>
            </w:r>
            <w:r w:rsidR="00845353" w:rsidRPr="00400694">
              <w:rPr>
                <w:rStyle w:val="Strong"/>
                <w:b w:val="0"/>
                <w:bCs w:val="0"/>
                <w:sz w:val="14"/>
                <w:szCs w:val="14"/>
              </w:rPr>
              <w:t>6.55</w:t>
            </w:r>
            <w:r w:rsidR="003859A0" w:rsidRPr="00400694">
              <w:rPr>
                <w:rStyle w:val="Strong"/>
                <w:b w:val="0"/>
                <w:bCs w:val="0"/>
                <w:sz w:val="14"/>
                <w:szCs w:val="14"/>
              </w:rPr>
              <w:t>%</w:t>
            </w:r>
          </w:p>
        </w:tc>
        <w:tc>
          <w:tcPr>
            <w:tcW w:w="850" w:type="dxa"/>
          </w:tcPr>
          <w:p w14:paraId="605DA2AB" w14:textId="17413D90" w:rsidR="003859A0" w:rsidRPr="00400694" w:rsidRDefault="00845353" w:rsidP="00CA0BF8">
            <w:pPr>
              <w:spacing w:before="60" w:after="60"/>
              <w:jc w:val="right"/>
              <w:rPr>
                <w:sz w:val="14"/>
                <w:szCs w:val="14"/>
              </w:rPr>
            </w:pPr>
            <w:r w:rsidRPr="00400694">
              <w:rPr>
                <w:rStyle w:val="Strong"/>
                <w:b w:val="0"/>
                <w:bCs w:val="0"/>
                <w:sz w:val="14"/>
                <w:szCs w:val="14"/>
              </w:rPr>
              <w:t>22.79</w:t>
            </w:r>
            <w:r w:rsidR="003859A0" w:rsidRPr="00400694">
              <w:rPr>
                <w:rStyle w:val="Strong"/>
                <w:b w:val="0"/>
                <w:bCs w:val="0"/>
                <w:sz w:val="14"/>
                <w:szCs w:val="14"/>
              </w:rPr>
              <w:t>%</w:t>
            </w:r>
          </w:p>
        </w:tc>
        <w:tc>
          <w:tcPr>
            <w:tcW w:w="851" w:type="dxa"/>
          </w:tcPr>
          <w:p w14:paraId="03366B45" w14:textId="2BED4966" w:rsidR="003859A0" w:rsidRPr="00400694" w:rsidRDefault="00845353" w:rsidP="00CA0BF8">
            <w:pPr>
              <w:spacing w:before="60" w:after="60"/>
              <w:jc w:val="right"/>
              <w:rPr>
                <w:sz w:val="14"/>
                <w:szCs w:val="14"/>
              </w:rPr>
            </w:pPr>
            <w:r w:rsidRPr="00400694">
              <w:rPr>
                <w:rStyle w:val="Strong"/>
                <w:b w:val="0"/>
                <w:bCs w:val="0"/>
                <w:sz w:val="14"/>
                <w:szCs w:val="14"/>
              </w:rPr>
              <w:t>16.45</w:t>
            </w:r>
            <w:r w:rsidR="003859A0" w:rsidRPr="00400694">
              <w:rPr>
                <w:rStyle w:val="Strong"/>
                <w:b w:val="0"/>
                <w:bCs w:val="0"/>
                <w:sz w:val="14"/>
                <w:szCs w:val="14"/>
              </w:rPr>
              <w:t>%</w:t>
            </w:r>
          </w:p>
        </w:tc>
        <w:tc>
          <w:tcPr>
            <w:tcW w:w="850" w:type="dxa"/>
          </w:tcPr>
          <w:p w14:paraId="59BDE4D2" w14:textId="472EE40D" w:rsidR="003859A0" w:rsidRPr="00400694" w:rsidRDefault="00845353" w:rsidP="00CA0BF8">
            <w:pPr>
              <w:spacing w:before="60" w:after="60"/>
              <w:jc w:val="right"/>
              <w:rPr>
                <w:sz w:val="14"/>
                <w:szCs w:val="14"/>
              </w:rPr>
            </w:pPr>
            <w:r w:rsidRPr="00400694">
              <w:rPr>
                <w:rStyle w:val="Strong"/>
                <w:b w:val="0"/>
                <w:bCs w:val="0"/>
                <w:sz w:val="14"/>
                <w:szCs w:val="14"/>
              </w:rPr>
              <w:t>29.50</w:t>
            </w:r>
            <w:r w:rsidR="003859A0" w:rsidRPr="00400694">
              <w:rPr>
                <w:rStyle w:val="Strong"/>
                <w:b w:val="0"/>
                <w:bCs w:val="0"/>
                <w:sz w:val="14"/>
                <w:szCs w:val="14"/>
              </w:rPr>
              <w:t>%</w:t>
            </w:r>
          </w:p>
        </w:tc>
      </w:tr>
      <w:tr w:rsidR="00845353" w:rsidRPr="00400694" w14:paraId="6F910CAC" w14:textId="77777777" w:rsidTr="00587B96">
        <w:tc>
          <w:tcPr>
            <w:tcW w:w="851" w:type="dxa"/>
            <w:shd w:val="clear" w:color="auto" w:fill="BFBFBF" w:themeFill="background1" w:themeFillShade="BF"/>
          </w:tcPr>
          <w:p w14:paraId="3441C3EB" w14:textId="1D88341A" w:rsidR="00845353" w:rsidRPr="00400694" w:rsidRDefault="00845353" w:rsidP="00CA0BF8">
            <w:pPr>
              <w:spacing w:before="60" w:after="60"/>
              <w:jc w:val="center"/>
              <w:rPr>
                <w:rStyle w:val="Strong"/>
                <w:b w:val="0"/>
                <w:bCs w:val="0"/>
                <w:sz w:val="14"/>
                <w:szCs w:val="14"/>
              </w:rPr>
            </w:pPr>
            <w:r w:rsidRPr="00400694">
              <w:rPr>
                <w:rStyle w:val="Strong"/>
                <w:b w:val="0"/>
                <w:bCs w:val="0"/>
                <w:sz w:val="14"/>
                <w:szCs w:val="14"/>
              </w:rPr>
              <w:t>09/10</w:t>
            </w:r>
          </w:p>
        </w:tc>
        <w:tc>
          <w:tcPr>
            <w:tcW w:w="992" w:type="dxa"/>
          </w:tcPr>
          <w:p w14:paraId="5A05EA75" w14:textId="416F1525" w:rsidR="00845353" w:rsidRPr="00400694" w:rsidRDefault="00845353" w:rsidP="00CA0BF8">
            <w:pPr>
              <w:spacing w:before="60" w:after="60"/>
              <w:jc w:val="right"/>
              <w:rPr>
                <w:rStyle w:val="Strong"/>
                <w:b w:val="0"/>
                <w:bCs w:val="0"/>
                <w:sz w:val="14"/>
                <w:szCs w:val="14"/>
              </w:rPr>
            </w:pPr>
            <w:r w:rsidRPr="00400694">
              <w:rPr>
                <w:rStyle w:val="Strong"/>
                <w:b w:val="0"/>
                <w:bCs w:val="0"/>
                <w:sz w:val="14"/>
                <w:szCs w:val="14"/>
              </w:rPr>
              <w:t>-25.50%</w:t>
            </w:r>
          </w:p>
        </w:tc>
        <w:tc>
          <w:tcPr>
            <w:tcW w:w="851" w:type="dxa"/>
          </w:tcPr>
          <w:p w14:paraId="30006D69" w14:textId="070190B2" w:rsidR="00845353" w:rsidRPr="00400694" w:rsidRDefault="00845353" w:rsidP="00CA0BF8">
            <w:pPr>
              <w:spacing w:before="60" w:after="60"/>
              <w:jc w:val="right"/>
              <w:rPr>
                <w:rStyle w:val="Strong"/>
                <w:b w:val="0"/>
                <w:bCs w:val="0"/>
                <w:sz w:val="14"/>
                <w:szCs w:val="14"/>
              </w:rPr>
            </w:pPr>
            <w:r w:rsidRPr="00400694">
              <w:rPr>
                <w:rStyle w:val="Strong"/>
                <w:b w:val="0"/>
                <w:bCs w:val="0"/>
                <w:sz w:val="14"/>
                <w:szCs w:val="14"/>
              </w:rPr>
              <w:t>23.32%</w:t>
            </w:r>
          </w:p>
        </w:tc>
        <w:tc>
          <w:tcPr>
            <w:tcW w:w="850" w:type="dxa"/>
          </w:tcPr>
          <w:p w14:paraId="1B7225FF" w14:textId="4688C649" w:rsidR="00845353" w:rsidRPr="00400694" w:rsidRDefault="00845353" w:rsidP="00CA0BF8">
            <w:pPr>
              <w:spacing w:before="60" w:after="60"/>
              <w:jc w:val="right"/>
              <w:rPr>
                <w:rStyle w:val="Strong"/>
                <w:b w:val="0"/>
                <w:bCs w:val="0"/>
                <w:sz w:val="14"/>
                <w:szCs w:val="14"/>
              </w:rPr>
            </w:pPr>
            <w:r w:rsidRPr="00400694">
              <w:rPr>
                <w:rStyle w:val="Strong"/>
                <w:b w:val="0"/>
                <w:bCs w:val="0"/>
                <w:sz w:val="14"/>
                <w:szCs w:val="14"/>
              </w:rPr>
              <w:t>18.69%</w:t>
            </w:r>
          </w:p>
        </w:tc>
        <w:tc>
          <w:tcPr>
            <w:tcW w:w="851" w:type="dxa"/>
          </w:tcPr>
          <w:p w14:paraId="05285ABE" w14:textId="0F683EA4" w:rsidR="00845353" w:rsidRPr="00400694" w:rsidRDefault="00845353" w:rsidP="00CA0BF8">
            <w:pPr>
              <w:spacing w:before="60" w:after="60"/>
              <w:jc w:val="right"/>
              <w:rPr>
                <w:rStyle w:val="Strong"/>
                <w:b w:val="0"/>
                <w:bCs w:val="0"/>
                <w:sz w:val="14"/>
                <w:szCs w:val="14"/>
              </w:rPr>
            </w:pPr>
            <w:r w:rsidRPr="00400694">
              <w:rPr>
                <w:rStyle w:val="Strong"/>
                <w:b w:val="0"/>
                <w:bCs w:val="0"/>
                <w:sz w:val="14"/>
                <w:szCs w:val="14"/>
              </w:rPr>
              <w:t>18.33%</w:t>
            </w:r>
          </w:p>
        </w:tc>
        <w:tc>
          <w:tcPr>
            <w:tcW w:w="850" w:type="dxa"/>
          </w:tcPr>
          <w:p w14:paraId="782DD9DA" w14:textId="0C10D415" w:rsidR="00845353" w:rsidRPr="00400694" w:rsidRDefault="00845353" w:rsidP="00CA0BF8">
            <w:pPr>
              <w:spacing w:before="60" w:after="60"/>
              <w:jc w:val="right"/>
              <w:rPr>
                <w:rStyle w:val="Strong"/>
                <w:b w:val="0"/>
                <w:bCs w:val="0"/>
                <w:sz w:val="14"/>
                <w:szCs w:val="14"/>
              </w:rPr>
            </w:pPr>
            <w:r w:rsidRPr="00400694">
              <w:rPr>
                <w:rStyle w:val="Strong"/>
                <w:b w:val="0"/>
                <w:bCs w:val="0"/>
                <w:sz w:val="14"/>
                <w:szCs w:val="14"/>
              </w:rPr>
              <w:t>22.52%</w:t>
            </w:r>
          </w:p>
        </w:tc>
        <w:tc>
          <w:tcPr>
            <w:tcW w:w="851" w:type="dxa"/>
            <w:shd w:val="clear" w:color="auto" w:fill="auto"/>
          </w:tcPr>
          <w:p w14:paraId="120B6E31" w14:textId="082B5B19" w:rsidR="00845353" w:rsidRPr="00400694" w:rsidRDefault="00845353" w:rsidP="00CA0BF8">
            <w:pPr>
              <w:spacing w:before="60" w:after="60"/>
              <w:jc w:val="right"/>
              <w:rPr>
                <w:rStyle w:val="Strong"/>
                <w:b w:val="0"/>
                <w:bCs w:val="0"/>
                <w:sz w:val="14"/>
                <w:szCs w:val="14"/>
              </w:rPr>
            </w:pPr>
            <w:r w:rsidRPr="00400694">
              <w:rPr>
                <w:rStyle w:val="Strong"/>
                <w:b w:val="0"/>
                <w:bCs w:val="0"/>
                <w:sz w:val="14"/>
                <w:szCs w:val="14"/>
              </w:rPr>
              <w:t>15.23%</w:t>
            </w:r>
          </w:p>
        </w:tc>
        <w:tc>
          <w:tcPr>
            <w:tcW w:w="850" w:type="dxa"/>
          </w:tcPr>
          <w:p w14:paraId="5B8F1A27" w14:textId="1749DF95" w:rsidR="00845353" w:rsidRPr="00400694" w:rsidRDefault="00845353" w:rsidP="00CA0BF8">
            <w:pPr>
              <w:spacing w:before="60" w:after="60"/>
              <w:jc w:val="right"/>
              <w:rPr>
                <w:sz w:val="14"/>
                <w:szCs w:val="14"/>
              </w:rPr>
            </w:pPr>
            <w:r w:rsidRPr="00400694">
              <w:rPr>
                <w:rStyle w:val="Strong"/>
                <w:b w:val="0"/>
                <w:bCs w:val="0"/>
                <w:sz w:val="14"/>
                <w:szCs w:val="14"/>
              </w:rPr>
              <w:t>-25.50%</w:t>
            </w:r>
          </w:p>
        </w:tc>
        <w:tc>
          <w:tcPr>
            <w:tcW w:w="851" w:type="dxa"/>
          </w:tcPr>
          <w:p w14:paraId="1BEB2788" w14:textId="68691100" w:rsidR="00845353" w:rsidRPr="00400694" w:rsidRDefault="00845353" w:rsidP="00CA0BF8">
            <w:pPr>
              <w:spacing w:before="60" w:after="60"/>
              <w:jc w:val="right"/>
              <w:rPr>
                <w:sz w:val="14"/>
                <w:szCs w:val="14"/>
              </w:rPr>
            </w:pPr>
            <w:r w:rsidRPr="00400694">
              <w:rPr>
                <w:rStyle w:val="Strong"/>
                <w:b w:val="0"/>
                <w:bCs w:val="0"/>
                <w:sz w:val="14"/>
                <w:szCs w:val="14"/>
              </w:rPr>
              <w:t>26.55%</w:t>
            </w:r>
          </w:p>
        </w:tc>
        <w:tc>
          <w:tcPr>
            <w:tcW w:w="850" w:type="dxa"/>
          </w:tcPr>
          <w:p w14:paraId="27584C52" w14:textId="0171C8E0" w:rsidR="00845353" w:rsidRPr="00400694" w:rsidRDefault="00845353" w:rsidP="00CA0BF8">
            <w:pPr>
              <w:spacing w:before="60" w:after="60"/>
              <w:jc w:val="right"/>
              <w:rPr>
                <w:sz w:val="14"/>
                <w:szCs w:val="14"/>
              </w:rPr>
            </w:pPr>
            <w:r w:rsidRPr="00400694">
              <w:rPr>
                <w:rStyle w:val="Strong"/>
                <w:b w:val="0"/>
                <w:bCs w:val="0"/>
                <w:sz w:val="14"/>
                <w:szCs w:val="14"/>
              </w:rPr>
              <w:t>22.79%</w:t>
            </w:r>
          </w:p>
        </w:tc>
        <w:tc>
          <w:tcPr>
            <w:tcW w:w="851" w:type="dxa"/>
          </w:tcPr>
          <w:p w14:paraId="0174BD4F" w14:textId="5AA6AF7B" w:rsidR="00845353" w:rsidRPr="00400694" w:rsidRDefault="00845353" w:rsidP="00CA0BF8">
            <w:pPr>
              <w:spacing w:before="60" w:after="60"/>
              <w:jc w:val="right"/>
              <w:rPr>
                <w:sz w:val="14"/>
                <w:szCs w:val="14"/>
              </w:rPr>
            </w:pPr>
            <w:r w:rsidRPr="00400694">
              <w:rPr>
                <w:rStyle w:val="Strong"/>
                <w:b w:val="0"/>
                <w:bCs w:val="0"/>
                <w:sz w:val="14"/>
                <w:szCs w:val="14"/>
              </w:rPr>
              <w:t>18.43%</w:t>
            </w:r>
          </w:p>
        </w:tc>
        <w:tc>
          <w:tcPr>
            <w:tcW w:w="850" w:type="dxa"/>
          </w:tcPr>
          <w:p w14:paraId="768F392B" w14:textId="6A20AFF2" w:rsidR="00845353" w:rsidRPr="00400694" w:rsidRDefault="00845353" w:rsidP="00CA0BF8">
            <w:pPr>
              <w:spacing w:before="60" w:after="60"/>
              <w:jc w:val="right"/>
              <w:rPr>
                <w:sz w:val="14"/>
                <w:szCs w:val="14"/>
              </w:rPr>
            </w:pPr>
            <w:r w:rsidRPr="00400694">
              <w:rPr>
                <w:rStyle w:val="Strong"/>
                <w:b w:val="0"/>
                <w:bCs w:val="0"/>
                <w:sz w:val="14"/>
                <w:szCs w:val="14"/>
              </w:rPr>
              <w:t>29.50%</w:t>
            </w:r>
          </w:p>
        </w:tc>
      </w:tr>
      <w:tr w:rsidR="00845353" w:rsidRPr="00400694" w14:paraId="6109CDF0" w14:textId="77777777" w:rsidTr="00587B96">
        <w:tc>
          <w:tcPr>
            <w:tcW w:w="851" w:type="dxa"/>
            <w:shd w:val="clear" w:color="auto" w:fill="BFBFBF" w:themeFill="background1" w:themeFillShade="BF"/>
          </w:tcPr>
          <w:p w14:paraId="668356AA" w14:textId="1D6B8D8A" w:rsidR="00845353" w:rsidRPr="00400694" w:rsidRDefault="00845353" w:rsidP="00CA0BF8">
            <w:pPr>
              <w:spacing w:before="60" w:after="60"/>
              <w:jc w:val="center"/>
              <w:rPr>
                <w:rStyle w:val="Strong"/>
                <w:b w:val="0"/>
                <w:bCs w:val="0"/>
                <w:sz w:val="14"/>
                <w:szCs w:val="14"/>
              </w:rPr>
            </w:pPr>
            <w:r w:rsidRPr="00400694">
              <w:rPr>
                <w:rStyle w:val="Strong"/>
                <w:b w:val="0"/>
                <w:bCs w:val="0"/>
                <w:sz w:val="14"/>
                <w:szCs w:val="14"/>
              </w:rPr>
              <w:t>10/11</w:t>
            </w:r>
          </w:p>
        </w:tc>
        <w:tc>
          <w:tcPr>
            <w:tcW w:w="992" w:type="dxa"/>
          </w:tcPr>
          <w:p w14:paraId="57A09EEF" w14:textId="453DB09D" w:rsidR="00845353" w:rsidRPr="00400694" w:rsidRDefault="00845353" w:rsidP="00CA0BF8">
            <w:pPr>
              <w:spacing w:before="60" w:after="60"/>
              <w:jc w:val="right"/>
              <w:rPr>
                <w:rStyle w:val="Strong"/>
                <w:b w:val="0"/>
                <w:bCs w:val="0"/>
                <w:sz w:val="14"/>
                <w:szCs w:val="14"/>
              </w:rPr>
            </w:pPr>
            <w:r w:rsidRPr="00400694">
              <w:rPr>
                <w:rStyle w:val="Strong"/>
                <w:b w:val="0"/>
                <w:bCs w:val="0"/>
                <w:sz w:val="14"/>
                <w:szCs w:val="14"/>
              </w:rPr>
              <w:t>-25.50%</w:t>
            </w:r>
          </w:p>
        </w:tc>
        <w:tc>
          <w:tcPr>
            <w:tcW w:w="851" w:type="dxa"/>
          </w:tcPr>
          <w:p w14:paraId="47FE153C" w14:textId="43E549DD" w:rsidR="00845353" w:rsidRPr="00400694" w:rsidRDefault="00845353" w:rsidP="00CA0BF8">
            <w:pPr>
              <w:spacing w:before="60" w:after="60"/>
              <w:jc w:val="right"/>
              <w:rPr>
                <w:rStyle w:val="Strong"/>
                <w:b w:val="0"/>
                <w:bCs w:val="0"/>
                <w:sz w:val="14"/>
                <w:szCs w:val="14"/>
              </w:rPr>
            </w:pPr>
            <w:r w:rsidRPr="00400694">
              <w:rPr>
                <w:rStyle w:val="Strong"/>
                <w:b w:val="0"/>
                <w:bCs w:val="0"/>
                <w:sz w:val="14"/>
                <w:szCs w:val="14"/>
              </w:rPr>
              <w:t>23.32%</w:t>
            </w:r>
          </w:p>
        </w:tc>
        <w:tc>
          <w:tcPr>
            <w:tcW w:w="850" w:type="dxa"/>
          </w:tcPr>
          <w:p w14:paraId="7981738A" w14:textId="0F4F7E7A" w:rsidR="00845353" w:rsidRPr="00400694" w:rsidRDefault="00845353" w:rsidP="00CA0BF8">
            <w:pPr>
              <w:spacing w:before="60" w:after="60"/>
              <w:jc w:val="right"/>
              <w:rPr>
                <w:rStyle w:val="Strong"/>
                <w:b w:val="0"/>
                <w:bCs w:val="0"/>
                <w:sz w:val="14"/>
                <w:szCs w:val="14"/>
              </w:rPr>
            </w:pPr>
            <w:r w:rsidRPr="00400694">
              <w:rPr>
                <w:rStyle w:val="Strong"/>
                <w:b w:val="0"/>
                <w:bCs w:val="0"/>
                <w:sz w:val="14"/>
                <w:szCs w:val="14"/>
              </w:rPr>
              <w:t>18.69%</w:t>
            </w:r>
          </w:p>
        </w:tc>
        <w:tc>
          <w:tcPr>
            <w:tcW w:w="851" w:type="dxa"/>
          </w:tcPr>
          <w:p w14:paraId="763A5FAE" w14:textId="4D52FAA2" w:rsidR="00845353" w:rsidRPr="00400694" w:rsidRDefault="00845353" w:rsidP="00CA0BF8">
            <w:pPr>
              <w:spacing w:before="60" w:after="60"/>
              <w:jc w:val="right"/>
              <w:rPr>
                <w:rStyle w:val="Strong"/>
                <w:b w:val="0"/>
                <w:bCs w:val="0"/>
                <w:sz w:val="14"/>
                <w:szCs w:val="14"/>
              </w:rPr>
            </w:pPr>
            <w:r w:rsidRPr="00400694">
              <w:rPr>
                <w:rStyle w:val="Strong"/>
                <w:b w:val="0"/>
                <w:bCs w:val="0"/>
                <w:sz w:val="14"/>
                <w:szCs w:val="14"/>
              </w:rPr>
              <w:t>20.83%</w:t>
            </w:r>
          </w:p>
        </w:tc>
        <w:tc>
          <w:tcPr>
            <w:tcW w:w="850" w:type="dxa"/>
          </w:tcPr>
          <w:p w14:paraId="38757B71" w14:textId="3D2907D1" w:rsidR="00845353" w:rsidRPr="00400694" w:rsidRDefault="00845353" w:rsidP="00CA0BF8">
            <w:pPr>
              <w:spacing w:before="60" w:after="60"/>
              <w:jc w:val="right"/>
              <w:rPr>
                <w:rStyle w:val="Strong"/>
                <w:b w:val="0"/>
                <w:bCs w:val="0"/>
                <w:sz w:val="14"/>
                <w:szCs w:val="14"/>
              </w:rPr>
            </w:pPr>
            <w:r w:rsidRPr="00400694">
              <w:rPr>
                <w:rStyle w:val="Strong"/>
                <w:b w:val="0"/>
                <w:bCs w:val="0"/>
                <w:sz w:val="14"/>
                <w:szCs w:val="14"/>
              </w:rPr>
              <w:t>26.99%</w:t>
            </w:r>
          </w:p>
        </w:tc>
        <w:tc>
          <w:tcPr>
            <w:tcW w:w="851" w:type="dxa"/>
            <w:shd w:val="clear" w:color="auto" w:fill="auto"/>
          </w:tcPr>
          <w:p w14:paraId="0E0D60D1" w14:textId="75A5E1C9" w:rsidR="00845353" w:rsidRPr="00400694" w:rsidRDefault="00845353" w:rsidP="00CA0BF8">
            <w:pPr>
              <w:spacing w:before="60" w:after="60"/>
              <w:jc w:val="right"/>
              <w:rPr>
                <w:rStyle w:val="Strong"/>
                <w:b w:val="0"/>
                <w:bCs w:val="0"/>
                <w:sz w:val="14"/>
                <w:szCs w:val="14"/>
              </w:rPr>
            </w:pPr>
            <w:r w:rsidRPr="00400694">
              <w:rPr>
                <w:rStyle w:val="Strong"/>
                <w:b w:val="0"/>
                <w:bCs w:val="0"/>
                <w:sz w:val="14"/>
                <w:szCs w:val="14"/>
              </w:rPr>
              <w:t>15.23%</w:t>
            </w:r>
          </w:p>
        </w:tc>
        <w:tc>
          <w:tcPr>
            <w:tcW w:w="850" w:type="dxa"/>
          </w:tcPr>
          <w:p w14:paraId="3247DF55" w14:textId="1FE84B80" w:rsidR="00845353" w:rsidRPr="00400694" w:rsidRDefault="00845353" w:rsidP="00CA0BF8">
            <w:pPr>
              <w:spacing w:before="60" w:after="60"/>
              <w:jc w:val="right"/>
              <w:rPr>
                <w:sz w:val="14"/>
                <w:szCs w:val="14"/>
              </w:rPr>
            </w:pPr>
            <w:r w:rsidRPr="00400694">
              <w:rPr>
                <w:rStyle w:val="Strong"/>
                <w:b w:val="0"/>
                <w:bCs w:val="0"/>
                <w:sz w:val="14"/>
                <w:szCs w:val="14"/>
              </w:rPr>
              <w:t>-25.50%</w:t>
            </w:r>
          </w:p>
        </w:tc>
        <w:tc>
          <w:tcPr>
            <w:tcW w:w="851" w:type="dxa"/>
          </w:tcPr>
          <w:p w14:paraId="0A4F9C92" w14:textId="24E05734" w:rsidR="00845353" w:rsidRPr="00400694" w:rsidRDefault="00845353" w:rsidP="00CA0BF8">
            <w:pPr>
              <w:spacing w:before="60" w:after="60"/>
              <w:jc w:val="right"/>
              <w:rPr>
                <w:sz w:val="14"/>
                <w:szCs w:val="14"/>
              </w:rPr>
            </w:pPr>
            <w:r w:rsidRPr="00400694">
              <w:rPr>
                <w:rStyle w:val="Strong"/>
                <w:b w:val="0"/>
                <w:bCs w:val="0"/>
                <w:sz w:val="14"/>
                <w:szCs w:val="14"/>
              </w:rPr>
              <w:t>31.75%</w:t>
            </w:r>
          </w:p>
        </w:tc>
        <w:tc>
          <w:tcPr>
            <w:tcW w:w="850" w:type="dxa"/>
          </w:tcPr>
          <w:p w14:paraId="2B36349A" w14:textId="34A1B3C2" w:rsidR="00845353" w:rsidRPr="00400694" w:rsidRDefault="00845353" w:rsidP="00CA0BF8">
            <w:pPr>
              <w:spacing w:before="60" w:after="60"/>
              <w:jc w:val="right"/>
              <w:rPr>
                <w:sz w:val="14"/>
                <w:szCs w:val="14"/>
              </w:rPr>
            </w:pPr>
            <w:r w:rsidRPr="00400694">
              <w:rPr>
                <w:rStyle w:val="Strong"/>
                <w:b w:val="0"/>
                <w:bCs w:val="0"/>
                <w:sz w:val="14"/>
                <w:szCs w:val="14"/>
              </w:rPr>
              <w:t>27.40%</w:t>
            </w:r>
          </w:p>
        </w:tc>
        <w:tc>
          <w:tcPr>
            <w:tcW w:w="851" w:type="dxa"/>
          </w:tcPr>
          <w:p w14:paraId="598CCE30" w14:textId="5C9E1EA5" w:rsidR="00845353" w:rsidRPr="00400694" w:rsidRDefault="00845353" w:rsidP="00CA0BF8">
            <w:pPr>
              <w:spacing w:before="60" w:after="60"/>
              <w:jc w:val="right"/>
              <w:rPr>
                <w:sz w:val="14"/>
                <w:szCs w:val="14"/>
              </w:rPr>
            </w:pPr>
            <w:r w:rsidRPr="00400694">
              <w:rPr>
                <w:rStyle w:val="Strong"/>
                <w:b w:val="0"/>
                <w:bCs w:val="0"/>
                <w:sz w:val="14"/>
                <w:szCs w:val="14"/>
              </w:rPr>
              <w:t>20.45%</w:t>
            </w:r>
          </w:p>
        </w:tc>
        <w:tc>
          <w:tcPr>
            <w:tcW w:w="850" w:type="dxa"/>
          </w:tcPr>
          <w:p w14:paraId="09CEE3E7" w14:textId="50F71690" w:rsidR="00845353" w:rsidRPr="00400694" w:rsidRDefault="00845353" w:rsidP="00CA0BF8">
            <w:pPr>
              <w:spacing w:before="60" w:after="60"/>
              <w:jc w:val="right"/>
              <w:rPr>
                <w:sz w:val="14"/>
                <w:szCs w:val="14"/>
              </w:rPr>
            </w:pPr>
            <w:r w:rsidRPr="00400694">
              <w:rPr>
                <w:rStyle w:val="Strong"/>
                <w:b w:val="0"/>
                <w:bCs w:val="0"/>
                <w:sz w:val="14"/>
                <w:szCs w:val="14"/>
              </w:rPr>
              <w:t>29.50%</w:t>
            </w:r>
          </w:p>
        </w:tc>
      </w:tr>
      <w:tr w:rsidR="00E75993" w:rsidRPr="00400694" w14:paraId="1AE9B0FF" w14:textId="77777777" w:rsidTr="00587B96">
        <w:tc>
          <w:tcPr>
            <w:tcW w:w="851" w:type="dxa"/>
            <w:shd w:val="clear" w:color="auto" w:fill="BFBFBF" w:themeFill="background1" w:themeFillShade="BF"/>
          </w:tcPr>
          <w:p w14:paraId="0F034409" w14:textId="36DB4488" w:rsidR="00E75993" w:rsidRPr="00400694" w:rsidRDefault="00E75993" w:rsidP="00CA0BF8">
            <w:pPr>
              <w:spacing w:before="60" w:after="60"/>
              <w:jc w:val="center"/>
              <w:rPr>
                <w:rStyle w:val="Strong"/>
                <w:b w:val="0"/>
                <w:bCs w:val="0"/>
                <w:sz w:val="14"/>
                <w:szCs w:val="14"/>
              </w:rPr>
            </w:pPr>
            <w:r w:rsidRPr="00400694">
              <w:rPr>
                <w:rStyle w:val="Strong"/>
                <w:b w:val="0"/>
                <w:bCs w:val="0"/>
                <w:sz w:val="14"/>
                <w:szCs w:val="14"/>
              </w:rPr>
              <w:t>11/12</w:t>
            </w:r>
          </w:p>
        </w:tc>
        <w:tc>
          <w:tcPr>
            <w:tcW w:w="992" w:type="dxa"/>
          </w:tcPr>
          <w:p w14:paraId="0B55D2E2" w14:textId="605577E5" w:rsidR="00E75993" w:rsidRPr="00400694" w:rsidRDefault="00E75993" w:rsidP="00CA0BF8">
            <w:pPr>
              <w:spacing w:before="60" w:after="60"/>
              <w:jc w:val="right"/>
              <w:rPr>
                <w:rStyle w:val="Strong"/>
                <w:b w:val="0"/>
                <w:bCs w:val="0"/>
                <w:sz w:val="14"/>
                <w:szCs w:val="14"/>
              </w:rPr>
            </w:pPr>
            <w:r w:rsidRPr="00400694">
              <w:rPr>
                <w:rStyle w:val="Strong"/>
                <w:b w:val="0"/>
                <w:bCs w:val="0"/>
                <w:sz w:val="14"/>
                <w:szCs w:val="14"/>
              </w:rPr>
              <w:t>-23.25%</w:t>
            </w:r>
          </w:p>
        </w:tc>
        <w:tc>
          <w:tcPr>
            <w:tcW w:w="851" w:type="dxa"/>
          </w:tcPr>
          <w:p w14:paraId="7687D1C2" w14:textId="34813D21" w:rsidR="00E75993" w:rsidRPr="00400694" w:rsidRDefault="00E75993" w:rsidP="00CA0BF8">
            <w:pPr>
              <w:spacing w:before="60" w:after="60"/>
              <w:jc w:val="right"/>
              <w:rPr>
                <w:rStyle w:val="Strong"/>
                <w:b w:val="0"/>
                <w:bCs w:val="0"/>
                <w:sz w:val="14"/>
                <w:szCs w:val="14"/>
              </w:rPr>
            </w:pPr>
            <w:r w:rsidRPr="00400694">
              <w:rPr>
                <w:rStyle w:val="Strong"/>
                <w:b w:val="0"/>
                <w:bCs w:val="0"/>
                <w:sz w:val="14"/>
                <w:szCs w:val="14"/>
              </w:rPr>
              <w:t>21.67%</w:t>
            </w:r>
          </w:p>
        </w:tc>
        <w:tc>
          <w:tcPr>
            <w:tcW w:w="850" w:type="dxa"/>
          </w:tcPr>
          <w:p w14:paraId="5386FF61" w14:textId="49556625" w:rsidR="00E75993" w:rsidRPr="00400694" w:rsidRDefault="00E75993" w:rsidP="00CA0BF8">
            <w:pPr>
              <w:spacing w:before="60" w:after="60"/>
              <w:jc w:val="right"/>
              <w:rPr>
                <w:rStyle w:val="Strong"/>
                <w:b w:val="0"/>
                <w:bCs w:val="0"/>
                <w:sz w:val="14"/>
                <w:szCs w:val="14"/>
              </w:rPr>
            </w:pPr>
            <w:r w:rsidRPr="00400694">
              <w:rPr>
                <w:rStyle w:val="Strong"/>
                <w:b w:val="0"/>
                <w:bCs w:val="0"/>
                <w:sz w:val="14"/>
                <w:szCs w:val="14"/>
              </w:rPr>
              <w:t>32.23%</w:t>
            </w:r>
          </w:p>
        </w:tc>
        <w:tc>
          <w:tcPr>
            <w:tcW w:w="851" w:type="dxa"/>
          </w:tcPr>
          <w:p w14:paraId="7D000879" w14:textId="2B345EE5" w:rsidR="00E75993" w:rsidRPr="00400694" w:rsidRDefault="00E75993" w:rsidP="00CA0BF8">
            <w:pPr>
              <w:spacing w:before="60" w:after="60"/>
              <w:jc w:val="right"/>
              <w:rPr>
                <w:rStyle w:val="Strong"/>
                <w:b w:val="0"/>
                <w:bCs w:val="0"/>
                <w:sz w:val="14"/>
                <w:szCs w:val="14"/>
              </w:rPr>
            </w:pPr>
            <w:r w:rsidRPr="00400694">
              <w:rPr>
                <w:rStyle w:val="Strong"/>
                <w:b w:val="0"/>
                <w:bCs w:val="0"/>
                <w:sz w:val="14"/>
                <w:szCs w:val="14"/>
              </w:rPr>
              <w:t>19.32%</w:t>
            </w:r>
          </w:p>
        </w:tc>
        <w:tc>
          <w:tcPr>
            <w:tcW w:w="850" w:type="dxa"/>
          </w:tcPr>
          <w:p w14:paraId="0551FACE" w14:textId="30C2A763" w:rsidR="00E75993" w:rsidRPr="00400694" w:rsidRDefault="00E75993" w:rsidP="00CA0BF8">
            <w:pPr>
              <w:spacing w:before="60" w:after="60"/>
              <w:jc w:val="right"/>
              <w:rPr>
                <w:rStyle w:val="Strong"/>
                <w:b w:val="0"/>
                <w:bCs w:val="0"/>
                <w:sz w:val="14"/>
                <w:szCs w:val="14"/>
              </w:rPr>
            </w:pPr>
            <w:r w:rsidRPr="00400694">
              <w:rPr>
                <w:rStyle w:val="Strong"/>
                <w:b w:val="0"/>
                <w:bCs w:val="0"/>
                <w:sz w:val="14"/>
                <w:szCs w:val="14"/>
              </w:rPr>
              <w:t>25.18%</w:t>
            </w:r>
          </w:p>
        </w:tc>
        <w:tc>
          <w:tcPr>
            <w:tcW w:w="851" w:type="dxa"/>
            <w:shd w:val="clear" w:color="auto" w:fill="auto"/>
          </w:tcPr>
          <w:p w14:paraId="350F533B" w14:textId="6DC75653" w:rsidR="00E75993" w:rsidRPr="00400694" w:rsidRDefault="00E75993" w:rsidP="00CA0BF8">
            <w:pPr>
              <w:spacing w:before="60" w:after="60"/>
              <w:jc w:val="right"/>
              <w:rPr>
                <w:rStyle w:val="Strong"/>
                <w:b w:val="0"/>
                <w:bCs w:val="0"/>
                <w:sz w:val="14"/>
                <w:szCs w:val="14"/>
              </w:rPr>
            </w:pPr>
            <w:r w:rsidRPr="00400694">
              <w:rPr>
                <w:rStyle w:val="Strong"/>
                <w:b w:val="0"/>
                <w:bCs w:val="0"/>
                <w:sz w:val="14"/>
                <w:szCs w:val="14"/>
              </w:rPr>
              <w:t>28.53%</w:t>
            </w:r>
          </w:p>
        </w:tc>
        <w:tc>
          <w:tcPr>
            <w:tcW w:w="850" w:type="dxa"/>
          </w:tcPr>
          <w:p w14:paraId="27F8C039" w14:textId="67E2AC8A" w:rsidR="00E75993" w:rsidRPr="00400694" w:rsidRDefault="00E75993" w:rsidP="00CA0BF8">
            <w:pPr>
              <w:spacing w:before="60" w:after="60"/>
              <w:jc w:val="right"/>
              <w:rPr>
                <w:sz w:val="14"/>
                <w:szCs w:val="14"/>
              </w:rPr>
            </w:pPr>
            <w:r w:rsidRPr="00400694">
              <w:rPr>
                <w:rStyle w:val="Strong"/>
                <w:b w:val="0"/>
                <w:bCs w:val="0"/>
                <w:sz w:val="14"/>
                <w:szCs w:val="14"/>
              </w:rPr>
              <w:t>-23.25%</w:t>
            </w:r>
          </w:p>
        </w:tc>
        <w:tc>
          <w:tcPr>
            <w:tcW w:w="851" w:type="dxa"/>
          </w:tcPr>
          <w:p w14:paraId="0CF3109E" w14:textId="513CE724" w:rsidR="00E75993" w:rsidRPr="00400694" w:rsidRDefault="00845353" w:rsidP="00CA0BF8">
            <w:pPr>
              <w:spacing w:before="60" w:after="60"/>
              <w:jc w:val="right"/>
              <w:rPr>
                <w:sz w:val="14"/>
                <w:szCs w:val="14"/>
              </w:rPr>
            </w:pPr>
            <w:r w:rsidRPr="00400694">
              <w:rPr>
                <w:rStyle w:val="Strong"/>
                <w:b w:val="0"/>
                <w:bCs w:val="0"/>
                <w:sz w:val="14"/>
                <w:szCs w:val="14"/>
              </w:rPr>
              <w:t>29.77</w:t>
            </w:r>
            <w:r w:rsidR="00E75993" w:rsidRPr="00400694">
              <w:rPr>
                <w:rStyle w:val="Strong"/>
                <w:b w:val="0"/>
                <w:bCs w:val="0"/>
                <w:sz w:val="14"/>
                <w:szCs w:val="14"/>
              </w:rPr>
              <w:t>%</w:t>
            </w:r>
          </w:p>
        </w:tc>
        <w:tc>
          <w:tcPr>
            <w:tcW w:w="850" w:type="dxa"/>
          </w:tcPr>
          <w:p w14:paraId="63D142EE" w14:textId="1EEC23A7" w:rsidR="00E75993" w:rsidRPr="00400694" w:rsidRDefault="00845353" w:rsidP="00CA0BF8">
            <w:pPr>
              <w:spacing w:before="60" w:after="60"/>
              <w:jc w:val="right"/>
              <w:rPr>
                <w:sz w:val="14"/>
                <w:szCs w:val="14"/>
              </w:rPr>
            </w:pPr>
            <w:r w:rsidRPr="00400694">
              <w:rPr>
                <w:rStyle w:val="Strong"/>
                <w:b w:val="0"/>
                <w:bCs w:val="0"/>
                <w:sz w:val="14"/>
                <w:szCs w:val="14"/>
              </w:rPr>
              <w:t>25.56</w:t>
            </w:r>
            <w:r w:rsidR="00E75993" w:rsidRPr="00400694">
              <w:rPr>
                <w:rStyle w:val="Strong"/>
                <w:b w:val="0"/>
                <w:bCs w:val="0"/>
                <w:sz w:val="14"/>
                <w:szCs w:val="14"/>
              </w:rPr>
              <w:t>%</w:t>
            </w:r>
          </w:p>
        </w:tc>
        <w:tc>
          <w:tcPr>
            <w:tcW w:w="851" w:type="dxa"/>
          </w:tcPr>
          <w:p w14:paraId="6E0193E0" w14:textId="579FA1D7" w:rsidR="00E75993" w:rsidRPr="00400694" w:rsidRDefault="00845353" w:rsidP="00CA0BF8">
            <w:pPr>
              <w:spacing w:before="60" w:after="60"/>
              <w:jc w:val="right"/>
              <w:rPr>
                <w:sz w:val="14"/>
                <w:szCs w:val="14"/>
              </w:rPr>
            </w:pPr>
            <w:r w:rsidRPr="00400694">
              <w:rPr>
                <w:rStyle w:val="Strong"/>
                <w:b w:val="0"/>
                <w:bCs w:val="0"/>
                <w:sz w:val="14"/>
                <w:szCs w:val="14"/>
              </w:rPr>
              <w:t>26.13</w:t>
            </w:r>
            <w:r w:rsidR="00E75993" w:rsidRPr="00400694">
              <w:rPr>
                <w:rStyle w:val="Strong"/>
                <w:b w:val="0"/>
                <w:bCs w:val="0"/>
                <w:sz w:val="14"/>
                <w:szCs w:val="14"/>
              </w:rPr>
              <w:t>%</w:t>
            </w:r>
          </w:p>
        </w:tc>
        <w:tc>
          <w:tcPr>
            <w:tcW w:w="850" w:type="dxa"/>
          </w:tcPr>
          <w:p w14:paraId="4D92FC66" w14:textId="04E23F83" w:rsidR="00E75993" w:rsidRPr="00400694" w:rsidRDefault="00845353" w:rsidP="00CA0BF8">
            <w:pPr>
              <w:spacing w:before="60" w:after="60"/>
              <w:jc w:val="right"/>
              <w:rPr>
                <w:sz w:val="14"/>
                <w:szCs w:val="14"/>
              </w:rPr>
            </w:pPr>
            <w:r w:rsidRPr="00400694">
              <w:rPr>
                <w:rStyle w:val="Strong"/>
                <w:b w:val="0"/>
                <w:bCs w:val="0"/>
                <w:sz w:val="14"/>
                <w:szCs w:val="14"/>
              </w:rPr>
              <w:t>27.59</w:t>
            </w:r>
            <w:r w:rsidR="00E75993" w:rsidRPr="00400694">
              <w:rPr>
                <w:rStyle w:val="Strong"/>
                <w:b w:val="0"/>
                <w:bCs w:val="0"/>
                <w:sz w:val="14"/>
                <w:szCs w:val="14"/>
              </w:rPr>
              <w:t>%</w:t>
            </w:r>
          </w:p>
        </w:tc>
      </w:tr>
      <w:tr w:rsidR="00B5280A" w:rsidRPr="00400694" w14:paraId="6678437B" w14:textId="77777777" w:rsidTr="00587B96">
        <w:tc>
          <w:tcPr>
            <w:tcW w:w="851" w:type="dxa"/>
            <w:shd w:val="clear" w:color="auto" w:fill="BFBFBF" w:themeFill="background1" w:themeFillShade="BF"/>
          </w:tcPr>
          <w:p w14:paraId="56663F08" w14:textId="3E303B7B" w:rsidR="00B5280A" w:rsidRPr="00400694" w:rsidRDefault="00B5280A" w:rsidP="00CA0BF8">
            <w:pPr>
              <w:spacing w:before="60" w:after="60"/>
              <w:jc w:val="center"/>
              <w:rPr>
                <w:rStyle w:val="Strong"/>
                <w:b w:val="0"/>
                <w:bCs w:val="0"/>
                <w:sz w:val="14"/>
                <w:szCs w:val="14"/>
              </w:rPr>
            </w:pPr>
            <w:r w:rsidRPr="00400694">
              <w:rPr>
                <w:rStyle w:val="Strong"/>
                <w:b w:val="0"/>
                <w:bCs w:val="0"/>
                <w:sz w:val="14"/>
                <w:szCs w:val="14"/>
              </w:rPr>
              <w:t>12/13</w:t>
            </w:r>
          </w:p>
        </w:tc>
        <w:tc>
          <w:tcPr>
            <w:tcW w:w="992" w:type="dxa"/>
          </w:tcPr>
          <w:p w14:paraId="2B8CEFE6" w14:textId="4CEA3988"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-23.25%</w:t>
            </w:r>
          </w:p>
        </w:tc>
        <w:tc>
          <w:tcPr>
            <w:tcW w:w="851" w:type="dxa"/>
          </w:tcPr>
          <w:p w14:paraId="58DC03CC" w14:textId="44DA09AB"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21.67%</w:t>
            </w:r>
          </w:p>
        </w:tc>
        <w:tc>
          <w:tcPr>
            <w:tcW w:w="850" w:type="dxa"/>
          </w:tcPr>
          <w:p w14:paraId="0B8AA0A0" w14:textId="62D037FC"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32.23%</w:t>
            </w:r>
          </w:p>
        </w:tc>
        <w:tc>
          <w:tcPr>
            <w:tcW w:w="851" w:type="dxa"/>
          </w:tcPr>
          <w:p w14:paraId="6040C2BC" w14:textId="01001C57"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19.32%</w:t>
            </w:r>
          </w:p>
        </w:tc>
        <w:tc>
          <w:tcPr>
            <w:tcW w:w="850" w:type="dxa"/>
          </w:tcPr>
          <w:p w14:paraId="2F7B915F" w14:textId="3428545F"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25.18%</w:t>
            </w:r>
          </w:p>
        </w:tc>
        <w:tc>
          <w:tcPr>
            <w:tcW w:w="851" w:type="dxa"/>
            <w:shd w:val="clear" w:color="auto" w:fill="auto"/>
          </w:tcPr>
          <w:p w14:paraId="3284B2A5" w14:textId="2373953D"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28.53%</w:t>
            </w:r>
          </w:p>
        </w:tc>
        <w:tc>
          <w:tcPr>
            <w:tcW w:w="850" w:type="dxa"/>
          </w:tcPr>
          <w:p w14:paraId="27C62235" w14:textId="2EC99458" w:rsidR="00B5280A" w:rsidRPr="00400694" w:rsidRDefault="00B5280A" w:rsidP="00CA0BF8">
            <w:pPr>
              <w:spacing w:before="60" w:after="60"/>
              <w:jc w:val="right"/>
              <w:rPr>
                <w:sz w:val="14"/>
                <w:szCs w:val="14"/>
              </w:rPr>
            </w:pPr>
            <w:r w:rsidRPr="00400694">
              <w:rPr>
                <w:rStyle w:val="Strong"/>
                <w:b w:val="0"/>
                <w:bCs w:val="0"/>
                <w:sz w:val="14"/>
                <w:szCs w:val="14"/>
              </w:rPr>
              <w:t>-23.25%</w:t>
            </w:r>
          </w:p>
        </w:tc>
        <w:tc>
          <w:tcPr>
            <w:tcW w:w="851" w:type="dxa"/>
          </w:tcPr>
          <w:p w14:paraId="771B22EB" w14:textId="0A68A4E1" w:rsidR="00B5280A" w:rsidRPr="00400694" w:rsidRDefault="00B5280A" w:rsidP="00CA0BF8">
            <w:pPr>
              <w:spacing w:before="60" w:after="60"/>
              <w:jc w:val="right"/>
              <w:rPr>
                <w:sz w:val="14"/>
                <w:szCs w:val="14"/>
              </w:rPr>
            </w:pPr>
            <w:r w:rsidRPr="00400694">
              <w:rPr>
                <w:rStyle w:val="Strong"/>
                <w:b w:val="0"/>
                <w:bCs w:val="0"/>
                <w:sz w:val="14"/>
                <w:szCs w:val="14"/>
              </w:rPr>
              <w:t>29.77%</w:t>
            </w:r>
          </w:p>
        </w:tc>
        <w:tc>
          <w:tcPr>
            <w:tcW w:w="850" w:type="dxa"/>
          </w:tcPr>
          <w:p w14:paraId="67177F24" w14:textId="67574C17" w:rsidR="00B5280A" w:rsidRPr="00400694" w:rsidRDefault="00B5280A" w:rsidP="00CA0BF8">
            <w:pPr>
              <w:spacing w:before="60" w:after="60"/>
              <w:jc w:val="right"/>
              <w:rPr>
                <w:sz w:val="14"/>
                <w:szCs w:val="14"/>
              </w:rPr>
            </w:pPr>
            <w:r w:rsidRPr="00400694">
              <w:rPr>
                <w:rStyle w:val="Strong"/>
                <w:b w:val="0"/>
                <w:bCs w:val="0"/>
                <w:sz w:val="14"/>
                <w:szCs w:val="14"/>
              </w:rPr>
              <w:t>25.56%</w:t>
            </w:r>
          </w:p>
        </w:tc>
        <w:tc>
          <w:tcPr>
            <w:tcW w:w="851" w:type="dxa"/>
          </w:tcPr>
          <w:p w14:paraId="0B7565F8" w14:textId="1A68D0F1" w:rsidR="00B5280A" w:rsidRPr="00400694" w:rsidRDefault="00B5280A" w:rsidP="00CA0BF8">
            <w:pPr>
              <w:spacing w:before="60" w:after="60"/>
              <w:jc w:val="right"/>
              <w:rPr>
                <w:sz w:val="14"/>
                <w:szCs w:val="14"/>
              </w:rPr>
            </w:pPr>
            <w:r w:rsidRPr="00400694">
              <w:rPr>
                <w:rStyle w:val="Strong"/>
                <w:b w:val="0"/>
                <w:bCs w:val="0"/>
                <w:sz w:val="14"/>
                <w:szCs w:val="14"/>
              </w:rPr>
              <w:t>26.13%</w:t>
            </w:r>
          </w:p>
        </w:tc>
        <w:tc>
          <w:tcPr>
            <w:tcW w:w="850" w:type="dxa"/>
          </w:tcPr>
          <w:p w14:paraId="31D57F0F" w14:textId="34B83422" w:rsidR="00B5280A" w:rsidRPr="00400694" w:rsidRDefault="00B5280A" w:rsidP="00CA0BF8">
            <w:pPr>
              <w:spacing w:before="60" w:after="60"/>
              <w:jc w:val="right"/>
              <w:rPr>
                <w:sz w:val="14"/>
                <w:szCs w:val="14"/>
              </w:rPr>
            </w:pPr>
            <w:r w:rsidRPr="00400694">
              <w:rPr>
                <w:rStyle w:val="Strong"/>
                <w:b w:val="0"/>
                <w:bCs w:val="0"/>
                <w:sz w:val="14"/>
                <w:szCs w:val="14"/>
              </w:rPr>
              <w:t>27.59%</w:t>
            </w:r>
          </w:p>
        </w:tc>
      </w:tr>
      <w:tr w:rsidR="00B5280A" w:rsidRPr="00400694" w14:paraId="68821715" w14:textId="77777777" w:rsidTr="00587B96">
        <w:tc>
          <w:tcPr>
            <w:tcW w:w="851" w:type="dxa"/>
            <w:shd w:val="clear" w:color="auto" w:fill="BFBFBF" w:themeFill="background1" w:themeFillShade="BF"/>
          </w:tcPr>
          <w:p w14:paraId="2331A9F2" w14:textId="170EEF6B" w:rsidR="00B5280A" w:rsidRPr="00400694" w:rsidRDefault="00B5280A" w:rsidP="00CA0BF8">
            <w:pPr>
              <w:spacing w:before="60" w:after="60"/>
              <w:jc w:val="center"/>
              <w:rPr>
                <w:rStyle w:val="Strong"/>
                <w:b w:val="0"/>
                <w:bCs w:val="0"/>
                <w:sz w:val="14"/>
                <w:szCs w:val="14"/>
              </w:rPr>
            </w:pPr>
            <w:r w:rsidRPr="00400694">
              <w:rPr>
                <w:rStyle w:val="Strong"/>
                <w:b w:val="0"/>
                <w:bCs w:val="0"/>
                <w:sz w:val="14"/>
                <w:szCs w:val="14"/>
              </w:rPr>
              <w:t>13/14</w:t>
            </w:r>
          </w:p>
        </w:tc>
        <w:tc>
          <w:tcPr>
            <w:tcW w:w="992" w:type="dxa"/>
          </w:tcPr>
          <w:p w14:paraId="4351703F" w14:textId="3E2278D3"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-23.25%</w:t>
            </w:r>
          </w:p>
        </w:tc>
        <w:tc>
          <w:tcPr>
            <w:tcW w:w="851" w:type="dxa"/>
          </w:tcPr>
          <w:p w14:paraId="264BF7BB" w14:textId="6E3F664B"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21.67%</w:t>
            </w:r>
          </w:p>
        </w:tc>
        <w:tc>
          <w:tcPr>
            <w:tcW w:w="850" w:type="dxa"/>
          </w:tcPr>
          <w:p w14:paraId="4B6B886A" w14:textId="58AECAF2"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32.23%</w:t>
            </w:r>
          </w:p>
        </w:tc>
        <w:tc>
          <w:tcPr>
            <w:tcW w:w="851" w:type="dxa"/>
          </w:tcPr>
          <w:p w14:paraId="775D2F49" w14:textId="09394549"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19.32%</w:t>
            </w:r>
          </w:p>
        </w:tc>
        <w:tc>
          <w:tcPr>
            <w:tcW w:w="850" w:type="dxa"/>
          </w:tcPr>
          <w:p w14:paraId="4CEBE91F" w14:textId="5CF1F6BD"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25.18%</w:t>
            </w:r>
          </w:p>
        </w:tc>
        <w:tc>
          <w:tcPr>
            <w:tcW w:w="851" w:type="dxa"/>
            <w:shd w:val="clear" w:color="auto" w:fill="auto"/>
          </w:tcPr>
          <w:p w14:paraId="115B2FCB" w14:textId="09DE476D"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28.53%</w:t>
            </w:r>
          </w:p>
        </w:tc>
        <w:tc>
          <w:tcPr>
            <w:tcW w:w="850" w:type="dxa"/>
          </w:tcPr>
          <w:p w14:paraId="724536F1" w14:textId="4B974ED6" w:rsidR="00B5280A" w:rsidRPr="00400694" w:rsidRDefault="00B5280A" w:rsidP="00CA0BF8">
            <w:pPr>
              <w:spacing w:before="60" w:after="60"/>
              <w:jc w:val="right"/>
              <w:rPr>
                <w:sz w:val="14"/>
                <w:szCs w:val="14"/>
              </w:rPr>
            </w:pPr>
            <w:r w:rsidRPr="00400694">
              <w:rPr>
                <w:rStyle w:val="Strong"/>
                <w:b w:val="0"/>
                <w:bCs w:val="0"/>
                <w:sz w:val="14"/>
                <w:szCs w:val="14"/>
              </w:rPr>
              <w:t>-23.25%</w:t>
            </w:r>
          </w:p>
        </w:tc>
        <w:tc>
          <w:tcPr>
            <w:tcW w:w="851" w:type="dxa"/>
          </w:tcPr>
          <w:p w14:paraId="64599E3B" w14:textId="280AF2EA" w:rsidR="00B5280A" w:rsidRPr="00400694" w:rsidRDefault="00B5280A" w:rsidP="00CA0BF8">
            <w:pPr>
              <w:spacing w:before="60" w:after="60"/>
              <w:jc w:val="right"/>
              <w:rPr>
                <w:sz w:val="14"/>
                <w:szCs w:val="14"/>
              </w:rPr>
            </w:pPr>
            <w:r w:rsidRPr="00400694">
              <w:rPr>
                <w:rStyle w:val="Strong"/>
                <w:b w:val="0"/>
                <w:bCs w:val="0"/>
                <w:sz w:val="14"/>
                <w:szCs w:val="14"/>
              </w:rPr>
              <w:t>29.77%</w:t>
            </w:r>
          </w:p>
        </w:tc>
        <w:tc>
          <w:tcPr>
            <w:tcW w:w="850" w:type="dxa"/>
          </w:tcPr>
          <w:p w14:paraId="5D181FD0" w14:textId="27A0A44F" w:rsidR="00B5280A" w:rsidRPr="00400694" w:rsidRDefault="00B5280A" w:rsidP="00CA0BF8">
            <w:pPr>
              <w:spacing w:before="60" w:after="60"/>
              <w:jc w:val="right"/>
              <w:rPr>
                <w:sz w:val="14"/>
                <w:szCs w:val="14"/>
              </w:rPr>
            </w:pPr>
            <w:r w:rsidRPr="00400694">
              <w:rPr>
                <w:rStyle w:val="Strong"/>
                <w:b w:val="0"/>
                <w:bCs w:val="0"/>
                <w:sz w:val="14"/>
                <w:szCs w:val="14"/>
              </w:rPr>
              <w:t>25.56%</w:t>
            </w:r>
          </w:p>
        </w:tc>
        <w:tc>
          <w:tcPr>
            <w:tcW w:w="851" w:type="dxa"/>
          </w:tcPr>
          <w:p w14:paraId="01895B5D" w14:textId="0CC16C25" w:rsidR="00B5280A" w:rsidRPr="00400694" w:rsidRDefault="00B5280A" w:rsidP="00CA0BF8">
            <w:pPr>
              <w:spacing w:before="60" w:after="60"/>
              <w:jc w:val="right"/>
              <w:rPr>
                <w:sz w:val="14"/>
                <w:szCs w:val="14"/>
              </w:rPr>
            </w:pPr>
            <w:r w:rsidRPr="00400694">
              <w:rPr>
                <w:rStyle w:val="Strong"/>
                <w:b w:val="0"/>
                <w:bCs w:val="0"/>
                <w:sz w:val="14"/>
                <w:szCs w:val="14"/>
              </w:rPr>
              <w:t>26.13%</w:t>
            </w:r>
          </w:p>
        </w:tc>
        <w:tc>
          <w:tcPr>
            <w:tcW w:w="850" w:type="dxa"/>
          </w:tcPr>
          <w:p w14:paraId="0D82A860" w14:textId="45DDF1C3" w:rsidR="00B5280A" w:rsidRPr="00400694" w:rsidRDefault="00B5280A" w:rsidP="00CA0BF8">
            <w:pPr>
              <w:spacing w:before="60" w:after="60"/>
              <w:jc w:val="right"/>
              <w:rPr>
                <w:sz w:val="14"/>
                <w:szCs w:val="14"/>
              </w:rPr>
            </w:pPr>
            <w:r w:rsidRPr="00400694">
              <w:rPr>
                <w:rStyle w:val="Strong"/>
                <w:b w:val="0"/>
                <w:bCs w:val="0"/>
                <w:sz w:val="14"/>
                <w:szCs w:val="14"/>
              </w:rPr>
              <w:t>27.59%</w:t>
            </w:r>
          </w:p>
        </w:tc>
      </w:tr>
      <w:tr w:rsidR="00B5280A" w:rsidRPr="00400694" w14:paraId="28AF6F2C" w14:textId="77777777" w:rsidTr="00587B96">
        <w:tc>
          <w:tcPr>
            <w:tcW w:w="851" w:type="dxa"/>
            <w:shd w:val="clear" w:color="auto" w:fill="BFBFBF" w:themeFill="background1" w:themeFillShade="BF"/>
          </w:tcPr>
          <w:p w14:paraId="0A48E7D1" w14:textId="7DF116B1" w:rsidR="00B5280A" w:rsidRPr="00400694" w:rsidRDefault="00B5280A" w:rsidP="00CA0BF8">
            <w:pPr>
              <w:spacing w:before="60" w:after="60"/>
              <w:jc w:val="center"/>
              <w:rPr>
                <w:rStyle w:val="Strong"/>
                <w:b w:val="0"/>
                <w:bCs w:val="0"/>
                <w:sz w:val="14"/>
                <w:szCs w:val="14"/>
              </w:rPr>
            </w:pPr>
            <w:r w:rsidRPr="00400694">
              <w:rPr>
                <w:rStyle w:val="Strong"/>
                <w:b w:val="0"/>
                <w:bCs w:val="0"/>
                <w:sz w:val="14"/>
                <w:szCs w:val="14"/>
              </w:rPr>
              <w:t>14/15</w:t>
            </w:r>
          </w:p>
        </w:tc>
        <w:tc>
          <w:tcPr>
            <w:tcW w:w="992" w:type="dxa"/>
          </w:tcPr>
          <w:p w14:paraId="29F200BD" w14:textId="55837D2E"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-23.25%</w:t>
            </w:r>
          </w:p>
        </w:tc>
        <w:tc>
          <w:tcPr>
            <w:tcW w:w="851" w:type="dxa"/>
          </w:tcPr>
          <w:p w14:paraId="441314E6" w14:textId="0293DD99"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21.67%</w:t>
            </w:r>
          </w:p>
        </w:tc>
        <w:tc>
          <w:tcPr>
            <w:tcW w:w="850" w:type="dxa"/>
          </w:tcPr>
          <w:p w14:paraId="2B1584E9" w14:textId="2788ADFA"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32.23%</w:t>
            </w:r>
          </w:p>
        </w:tc>
        <w:tc>
          <w:tcPr>
            <w:tcW w:w="851" w:type="dxa"/>
          </w:tcPr>
          <w:p w14:paraId="7398B1D0" w14:textId="76DAA12F"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19.32%</w:t>
            </w:r>
          </w:p>
        </w:tc>
        <w:tc>
          <w:tcPr>
            <w:tcW w:w="850" w:type="dxa"/>
          </w:tcPr>
          <w:p w14:paraId="43EA6A3B" w14:textId="3F7F5C48"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25.18%</w:t>
            </w:r>
          </w:p>
        </w:tc>
        <w:tc>
          <w:tcPr>
            <w:tcW w:w="851" w:type="dxa"/>
            <w:shd w:val="clear" w:color="auto" w:fill="auto"/>
          </w:tcPr>
          <w:p w14:paraId="12FA220B" w14:textId="1A216934"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28.53%</w:t>
            </w:r>
          </w:p>
        </w:tc>
        <w:tc>
          <w:tcPr>
            <w:tcW w:w="850" w:type="dxa"/>
          </w:tcPr>
          <w:p w14:paraId="20F8B3D9" w14:textId="66767A43" w:rsidR="00B5280A" w:rsidRPr="00400694" w:rsidRDefault="00B5280A" w:rsidP="00CA0BF8">
            <w:pPr>
              <w:spacing w:before="60" w:after="60"/>
              <w:jc w:val="right"/>
              <w:rPr>
                <w:sz w:val="14"/>
                <w:szCs w:val="14"/>
              </w:rPr>
            </w:pPr>
            <w:r w:rsidRPr="00400694">
              <w:rPr>
                <w:rStyle w:val="Strong"/>
                <w:b w:val="0"/>
                <w:bCs w:val="0"/>
                <w:sz w:val="14"/>
                <w:szCs w:val="14"/>
              </w:rPr>
              <w:t>-23.25%</w:t>
            </w:r>
          </w:p>
        </w:tc>
        <w:tc>
          <w:tcPr>
            <w:tcW w:w="851" w:type="dxa"/>
          </w:tcPr>
          <w:p w14:paraId="001859FD" w14:textId="26FE8F45" w:rsidR="00B5280A" w:rsidRPr="00400694" w:rsidRDefault="00B5280A" w:rsidP="00CA0BF8">
            <w:pPr>
              <w:spacing w:before="60" w:after="60"/>
              <w:jc w:val="right"/>
              <w:rPr>
                <w:sz w:val="14"/>
                <w:szCs w:val="14"/>
              </w:rPr>
            </w:pPr>
            <w:r w:rsidRPr="00400694">
              <w:rPr>
                <w:rStyle w:val="Strong"/>
                <w:b w:val="0"/>
                <w:bCs w:val="0"/>
                <w:sz w:val="14"/>
                <w:szCs w:val="14"/>
              </w:rPr>
              <w:t>29.77%</w:t>
            </w:r>
          </w:p>
        </w:tc>
        <w:tc>
          <w:tcPr>
            <w:tcW w:w="850" w:type="dxa"/>
          </w:tcPr>
          <w:p w14:paraId="4140DD55" w14:textId="2E182332" w:rsidR="00B5280A" w:rsidRPr="00400694" w:rsidRDefault="00B5280A" w:rsidP="00CA0BF8">
            <w:pPr>
              <w:spacing w:before="60" w:after="60"/>
              <w:jc w:val="right"/>
              <w:rPr>
                <w:sz w:val="14"/>
                <w:szCs w:val="14"/>
              </w:rPr>
            </w:pPr>
            <w:r w:rsidRPr="00400694">
              <w:rPr>
                <w:rStyle w:val="Strong"/>
                <w:b w:val="0"/>
                <w:bCs w:val="0"/>
                <w:sz w:val="14"/>
                <w:szCs w:val="14"/>
              </w:rPr>
              <w:t>25.56%</w:t>
            </w:r>
          </w:p>
        </w:tc>
        <w:tc>
          <w:tcPr>
            <w:tcW w:w="851" w:type="dxa"/>
          </w:tcPr>
          <w:p w14:paraId="7077D5FA" w14:textId="09F7A28C" w:rsidR="00B5280A" w:rsidRPr="00400694" w:rsidRDefault="00B5280A" w:rsidP="00CA0BF8">
            <w:pPr>
              <w:spacing w:before="60" w:after="60"/>
              <w:jc w:val="right"/>
              <w:rPr>
                <w:sz w:val="14"/>
                <w:szCs w:val="14"/>
              </w:rPr>
            </w:pPr>
            <w:r w:rsidRPr="00400694">
              <w:rPr>
                <w:rStyle w:val="Strong"/>
                <w:b w:val="0"/>
                <w:bCs w:val="0"/>
                <w:sz w:val="14"/>
                <w:szCs w:val="14"/>
              </w:rPr>
              <w:t>26.13%</w:t>
            </w:r>
          </w:p>
        </w:tc>
        <w:tc>
          <w:tcPr>
            <w:tcW w:w="850" w:type="dxa"/>
          </w:tcPr>
          <w:p w14:paraId="4058C5F7" w14:textId="3DF44041" w:rsidR="00B5280A" w:rsidRPr="00400694" w:rsidRDefault="00B5280A" w:rsidP="00CA0BF8">
            <w:pPr>
              <w:spacing w:before="60" w:after="60"/>
              <w:jc w:val="right"/>
              <w:rPr>
                <w:sz w:val="14"/>
                <w:szCs w:val="14"/>
              </w:rPr>
            </w:pPr>
            <w:r w:rsidRPr="00400694">
              <w:rPr>
                <w:rStyle w:val="Strong"/>
                <w:b w:val="0"/>
                <w:bCs w:val="0"/>
                <w:sz w:val="14"/>
                <w:szCs w:val="14"/>
              </w:rPr>
              <w:t>27.59%</w:t>
            </w:r>
          </w:p>
        </w:tc>
      </w:tr>
      <w:tr w:rsidR="00B5280A" w:rsidRPr="00400694" w14:paraId="3A11D15F" w14:textId="77777777" w:rsidTr="00587B96">
        <w:tc>
          <w:tcPr>
            <w:tcW w:w="851" w:type="dxa"/>
            <w:shd w:val="clear" w:color="auto" w:fill="BFBFBF" w:themeFill="background1" w:themeFillShade="BF"/>
          </w:tcPr>
          <w:p w14:paraId="30C349A2" w14:textId="2FA1DB0B" w:rsidR="00B5280A" w:rsidRPr="00400694" w:rsidRDefault="00B5280A" w:rsidP="00CA0BF8">
            <w:pPr>
              <w:spacing w:before="60" w:after="60"/>
              <w:jc w:val="center"/>
              <w:rPr>
                <w:rStyle w:val="Strong"/>
                <w:b w:val="0"/>
                <w:bCs w:val="0"/>
                <w:sz w:val="14"/>
                <w:szCs w:val="14"/>
              </w:rPr>
            </w:pPr>
            <w:r w:rsidRPr="00400694">
              <w:rPr>
                <w:rStyle w:val="Strong"/>
                <w:b w:val="0"/>
                <w:bCs w:val="0"/>
                <w:sz w:val="14"/>
                <w:szCs w:val="14"/>
              </w:rPr>
              <w:t>15/16</w:t>
            </w:r>
          </w:p>
        </w:tc>
        <w:tc>
          <w:tcPr>
            <w:tcW w:w="992" w:type="dxa"/>
          </w:tcPr>
          <w:p w14:paraId="4EECAA43" w14:textId="5C21A5B6"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-23.25%</w:t>
            </w:r>
          </w:p>
        </w:tc>
        <w:tc>
          <w:tcPr>
            <w:tcW w:w="851" w:type="dxa"/>
          </w:tcPr>
          <w:p w14:paraId="684CA115" w14:textId="562A9BF9"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21.67%</w:t>
            </w:r>
          </w:p>
        </w:tc>
        <w:tc>
          <w:tcPr>
            <w:tcW w:w="850" w:type="dxa"/>
          </w:tcPr>
          <w:p w14:paraId="5ECC8D2D" w14:textId="79058DAF"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32.23%</w:t>
            </w:r>
          </w:p>
        </w:tc>
        <w:tc>
          <w:tcPr>
            <w:tcW w:w="851" w:type="dxa"/>
          </w:tcPr>
          <w:p w14:paraId="6850DC6C" w14:textId="4316EE18"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19.32%</w:t>
            </w:r>
          </w:p>
        </w:tc>
        <w:tc>
          <w:tcPr>
            <w:tcW w:w="850" w:type="dxa"/>
          </w:tcPr>
          <w:p w14:paraId="01251CB7" w14:textId="781ABB82"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25.18%</w:t>
            </w:r>
          </w:p>
        </w:tc>
        <w:tc>
          <w:tcPr>
            <w:tcW w:w="851" w:type="dxa"/>
            <w:shd w:val="clear" w:color="auto" w:fill="auto"/>
          </w:tcPr>
          <w:p w14:paraId="07CB472A" w14:textId="01ADC293"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28.53%</w:t>
            </w:r>
          </w:p>
        </w:tc>
        <w:tc>
          <w:tcPr>
            <w:tcW w:w="850" w:type="dxa"/>
          </w:tcPr>
          <w:p w14:paraId="1C75CFF5" w14:textId="4E7E98E4" w:rsidR="00B5280A" w:rsidRPr="00400694" w:rsidRDefault="00B5280A" w:rsidP="00CA0BF8">
            <w:pPr>
              <w:spacing w:before="60" w:after="60"/>
              <w:jc w:val="right"/>
              <w:rPr>
                <w:sz w:val="14"/>
                <w:szCs w:val="14"/>
              </w:rPr>
            </w:pPr>
            <w:r w:rsidRPr="00400694">
              <w:rPr>
                <w:rStyle w:val="Strong"/>
                <w:b w:val="0"/>
                <w:bCs w:val="0"/>
                <w:sz w:val="14"/>
                <w:szCs w:val="14"/>
              </w:rPr>
              <w:t>-23.25%</w:t>
            </w:r>
          </w:p>
        </w:tc>
        <w:tc>
          <w:tcPr>
            <w:tcW w:w="851" w:type="dxa"/>
          </w:tcPr>
          <w:p w14:paraId="6EB7A3BC" w14:textId="211F191D" w:rsidR="00B5280A" w:rsidRPr="00400694" w:rsidRDefault="00B5280A" w:rsidP="00CA0BF8">
            <w:pPr>
              <w:spacing w:before="60" w:after="60"/>
              <w:jc w:val="right"/>
              <w:rPr>
                <w:sz w:val="14"/>
                <w:szCs w:val="14"/>
              </w:rPr>
            </w:pPr>
            <w:r w:rsidRPr="00400694">
              <w:rPr>
                <w:rStyle w:val="Strong"/>
                <w:b w:val="0"/>
                <w:bCs w:val="0"/>
                <w:sz w:val="14"/>
                <w:szCs w:val="14"/>
              </w:rPr>
              <w:t>29.77%</w:t>
            </w:r>
          </w:p>
        </w:tc>
        <w:tc>
          <w:tcPr>
            <w:tcW w:w="850" w:type="dxa"/>
          </w:tcPr>
          <w:p w14:paraId="16114E8F" w14:textId="14FB1A2B" w:rsidR="00B5280A" w:rsidRPr="00400694" w:rsidRDefault="00B5280A" w:rsidP="00CA0BF8">
            <w:pPr>
              <w:spacing w:before="60" w:after="60"/>
              <w:jc w:val="right"/>
              <w:rPr>
                <w:sz w:val="14"/>
                <w:szCs w:val="14"/>
              </w:rPr>
            </w:pPr>
            <w:r w:rsidRPr="00400694">
              <w:rPr>
                <w:rStyle w:val="Strong"/>
                <w:b w:val="0"/>
                <w:bCs w:val="0"/>
                <w:sz w:val="14"/>
                <w:szCs w:val="14"/>
              </w:rPr>
              <w:t>25.56%</w:t>
            </w:r>
          </w:p>
        </w:tc>
        <w:tc>
          <w:tcPr>
            <w:tcW w:w="851" w:type="dxa"/>
          </w:tcPr>
          <w:p w14:paraId="30FF8B5B" w14:textId="7B740E6D" w:rsidR="00B5280A" w:rsidRPr="00400694" w:rsidRDefault="00B5280A" w:rsidP="00CA0BF8">
            <w:pPr>
              <w:spacing w:before="60" w:after="60"/>
              <w:jc w:val="right"/>
              <w:rPr>
                <w:sz w:val="14"/>
                <w:szCs w:val="14"/>
              </w:rPr>
            </w:pPr>
            <w:r w:rsidRPr="00400694">
              <w:rPr>
                <w:rStyle w:val="Strong"/>
                <w:b w:val="0"/>
                <w:bCs w:val="0"/>
                <w:sz w:val="14"/>
                <w:szCs w:val="14"/>
              </w:rPr>
              <w:t>26.13%</w:t>
            </w:r>
          </w:p>
        </w:tc>
        <w:tc>
          <w:tcPr>
            <w:tcW w:w="850" w:type="dxa"/>
          </w:tcPr>
          <w:p w14:paraId="5691FFDE" w14:textId="02C3A5D6" w:rsidR="00B5280A" w:rsidRPr="00400694" w:rsidRDefault="00B5280A" w:rsidP="00CA0BF8">
            <w:pPr>
              <w:spacing w:before="60" w:after="60"/>
              <w:jc w:val="right"/>
              <w:rPr>
                <w:sz w:val="14"/>
                <w:szCs w:val="14"/>
              </w:rPr>
            </w:pPr>
            <w:r w:rsidRPr="00400694">
              <w:rPr>
                <w:rStyle w:val="Strong"/>
                <w:b w:val="0"/>
                <w:bCs w:val="0"/>
                <w:sz w:val="14"/>
                <w:szCs w:val="14"/>
              </w:rPr>
              <w:t>27.59%</w:t>
            </w:r>
          </w:p>
        </w:tc>
      </w:tr>
      <w:tr w:rsidR="00B5280A" w:rsidRPr="00400694" w14:paraId="1123D44B" w14:textId="77777777" w:rsidTr="00587B96">
        <w:tc>
          <w:tcPr>
            <w:tcW w:w="851" w:type="dxa"/>
            <w:shd w:val="clear" w:color="auto" w:fill="BFBFBF" w:themeFill="background1" w:themeFillShade="BF"/>
          </w:tcPr>
          <w:p w14:paraId="35183AC4" w14:textId="3A306E0D" w:rsidR="00B5280A" w:rsidRPr="00400694" w:rsidRDefault="00B5280A" w:rsidP="00CA0BF8">
            <w:pPr>
              <w:spacing w:before="60" w:after="60"/>
              <w:jc w:val="center"/>
              <w:rPr>
                <w:rStyle w:val="Strong"/>
                <w:b w:val="0"/>
                <w:bCs w:val="0"/>
                <w:sz w:val="14"/>
                <w:szCs w:val="14"/>
              </w:rPr>
            </w:pPr>
            <w:r w:rsidRPr="00400694">
              <w:rPr>
                <w:rStyle w:val="Strong"/>
                <w:b w:val="0"/>
                <w:bCs w:val="0"/>
                <w:sz w:val="14"/>
                <w:szCs w:val="14"/>
              </w:rPr>
              <w:t>16/17</w:t>
            </w:r>
          </w:p>
        </w:tc>
        <w:tc>
          <w:tcPr>
            <w:tcW w:w="992" w:type="dxa"/>
          </w:tcPr>
          <w:p w14:paraId="7D9335D6" w14:textId="3507BF46"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-23.25%</w:t>
            </w:r>
          </w:p>
        </w:tc>
        <w:tc>
          <w:tcPr>
            <w:tcW w:w="851" w:type="dxa"/>
          </w:tcPr>
          <w:p w14:paraId="13853B45" w14:textId="3181127D"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21.67%</w:t>
            </w:r>
          </w:p>
        </w:tc>
        <w:tc>
          <w:tcPr>
            <w:tcW w:w="850" w:type="dxa"/>
          </w:tcPr>
          <w:p w14:paraId="793F8886" w14:textId="1C4F4E4D"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32.23%</w:t>
            </w:r>
          </w:p>
        </w:tc>
        <w:tc>
          <w:tcPr>
            <w:tcW w:w="851" w:type="dxa"/>
          </w:tcPr>
          <w:p w14:paraId="1565814E" w14:textId="0D48ACED"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19.32%</w:t>
            </w:r>
          </w:p>
        </w:tc>
        <w:tc>
          <w:tcPr>
            <w:tcW w:w="850" w:type="dxa"/>
          </w:tcPr>
          <w:p w14:paraId="721E544A" w14:textId="54B3C117"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25.18%</w:t>
            </w:r>
          </w:p>
        </w:tc>
        <w:tc>
          <w:tcPr>
            <w:tcW w:w="851" w:type="dxa"/>
            <w:shd w:val="clear" w:color="auto" w:fill="auto"/>
          </w:tcPr>
          <w:p w14:paraId="10949B9D" w14:textId="76A7C68E"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28.53%</w:t>
            </w:r>
          </w:p>
        </w:tc>
        <w:tc>
          <w:tcPr>
            <w:tcW w:w="850" w:type="dxa"/>
          </w:tcPr>
          <w:p w14:paraId="30228BE9" w14:textId="78BD57C5" w:rsidR="00B5280A" w:rsidRPr="00400694" w:rsidRDefault="00B5280A" w:rsidP="00CA0BF8">
            <w:pPr>
              <w:spacing w:before="60" w:after="60"/>
              <w:jc w:val="right"/>
              <w:rPr>
                <w:sz w:val="14"/>
                <w:szCs w:val="14"/>
              </w:rPr>
            </w:pPr>
            <w:r w:rsidRPr="00400694">
              <w:rPr>
                <w:rStyle w:val="Strong"/>
                <w:b w:val="0"/>
                <w:bCs w:val="0"/>
                <w:sz w:val="14"/>
                <w:szCs w:val="14"/>
              </w:rPr>
              <w:t>-23.25%</w:t>
            </w:r>
          </w:p>
        </w:tc>
        <w:tc>
          <w:tcPr>
            <w:tcW w:w="851" w:type="dxa"/>
          </w:tcPr>
          <w:p w14:paraId="385E3420" w14:textId="1664BC13" w:rsidR="00B5280A" w:rsidRPr="00400694" w:rsidRDefault="00B5280A" w:rsidP="00CA0BF8">
            <w:pPr>
              <w:spacing w:before="60" w:after="60"/>
              <w:jc w:val="right"/>
              <w:rPr>
                <w:sz w:val="14"/>
                <w:szCs w:val="14"/>
              </w:rPr>
            </w:pPr>
            <w:r w:rsidRPr="00400694">
              <w:rPr>
                <w:rStyle w:val="Strong"/>
                <w:b w:val="0"/>
                <w:bCs w:val="0"/>
                <w:sz w:val="14"/>
                <w:szCs w:val="14"/>
              </w:rPr>
              <w:t>29.77%</w:t>
            </w:r>
          </w:p>
        </w:tc>
        <w:tc>
          <w:tcPr>
            <w:tcW w:w="850" w:type="dxa"/>
          </w:tcPr>
          <w:p w14:paraId="1102783C" w14:textId="0D1286C5" w:rsidR="00B5280A" w:rsidRPr="00400694" w:rsidRDefault="00B5280A" w:rsidP="00CA0BF8">
            <w:pPr>
              <w:spacing w:before="60" w:after="60"/>
              <w:jc w:val="right"/>
              <w:rPr>
                <w:sz w:val="14"/>
                <w:szCs w:val="14"/>
              </w:rPr>
            </w:pPr>
            <w:r w:rsidRPr="00400694">
              <w:rPr>
                <w:rStyle w:val="Strong"/>
                <w:b w:val="0"/>
                <w:bCs w:val="0"/>
                <w:sz w:val="14"/>
                <w:szCs w:val="14"/>
              </w:rPr>
              <w:t>25.56%</w:t>
            </w:r>
          </w:p>
        </w:tc>
        <w:tc>
          <w:tcPr>
            <w:tcW w:w="851" w:type="dxa"/>
          </w:tcPr>
          <w:p w14:paraId="26CB49A6" w14:textId="5DACEBCE" w:rsidR="00B5280A" w:rsidRPr="00400694" w:rsidRDefault="00B5280A" w:rsidP="00CA0BF8">
            <w:pPr>
              <w:spacing w:before="60" w:after="60"/>
              <w:jc w:val="right"/>
              <w:rPr>
                <w:sz w:val="14"/>
                <w:szCs w:val="14"/>
              </w:rPr>
            </w:pPr>
            <w:r w:rsidRPr="00400694">
              <w:rPr>
                <w:rStyle w:val="Strong"/>
                <w:b w:val="0"/>
                <w:bCs w:val="0"/>
                <w:sz w:val="14"/>
                <w:szCs w:val="14"/>
              </w:rPr>
              <w:t>26.13%</w:t>
            </w:r>
          </w:p>
        </w:tc>
        <w:tc>
          <w:tcPr>
            <w:tcW w:w="850" w:type="dxa"/>
          </w:tcPr>
          <w:p w14:paraId="5FD53374" w14:textId="57A54CC6" w:rsidR="00B5280A" w:rsidRPr="00400694" w:rsidRDefault="00B5280A" w:rsidP="00CA0BF8">
            <w:pPr>
              <w:spacing w:before="60" w:after="60"/>
              <w:jc w:val="right"/>
              <w:rPr>
                <w:sz w:val="14"/>
                <w:szCs w:val="14"/>
              </w:rPr>
            </w:pPr>
            <w:r w:rsidRPr="00400694">
              <w:rPr>
                <w:rStyle w:val="Strong"/>
                <w:b w:val="0"/>
                <w:bCs w:val="0"/>
                <w:sz w:val="14"/>
                <w:szCs w:val="14"/>
              </w:rPr>
              <w:t>27.59%</w:t>
            </w:r>
          </w:p>
        </w:tc>
      </w:tr>
      <w:tr w:rsidR="00B5280A" w:rsidRPr="00400694" w14:paraId="466AF2C7" w14:textId="77777777" w:rsidTr="00587B96">
        <w:tc>
          <w:tcPr>
            <w:tcW w:w="851" w:type="dxa"/>
            <w:shd w:val="clear" w:color="auto" w:fill="BFBFBF" w:themeFill="background1" w:themeFillShade="BF"/>
          </w:tcPr>
          <w:p w14:paraId="6597BC32" w14:textId="4B864FBC" w:rsidR="00B5280A" w:rsidRPr="00400694" w:rsidRDefault="00B5280A" w:rsidP="00CA0BF8">
            <w:pPr>
              <w:spacing w:before="60" w:after="60"/>
              <w:jc w:val="center"/>
              <w:rPr>
                <w:rStyle w:val="Strong"/>
                <w:b w:val="0"/>
                <w:bCs w:val="0"/>
                <w:sz w:val="14"/>
                <w:szCs w:val="14"/>
              </w:rPr>
            </w:pPr>
            <w:r w:rsidRPr="00400694">
              <w:rPr>
                <w:rStyle w:val="Strong"/>
                <w:b w:val="0"/>
                <w:bCs w:val="0"/>
                <w:sz w:val="14"/>
                <w:szCs w:val="14"/>
              </w:rPr>
              <w:t>17/18</w:t>
            </w:r>
          </w:p>
        </w:tc>
        <w:tc>
          <w:tcPr>
            <w:tcW w:w="992" w:type="dxa"/>
          </w:tcPr>
          <w:p w14:paraId="091BBA90" w14:textId="4282FE0B"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-23.25%</w:t>
            </w:r>
          </w:p>
        </w:tc>
        <w:tc>
          <w:tcPr>
            <w:tcW w:w="851" w:type="dxa"/>
          </w:tcPr>
          <w:p w14:paraId="07D0D093" w14:textId="37D69F65"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21.67%</w:t>
            </w:r>
          </w:p>
        </w:tc>
        <w:tc>
          <w:tcPr>
            <w:tcW w:w="850" w:type="dxa"/>
          </w:tcPr>
          <w:p w14:paraId="70DE5BF6" w14:textId="070ABAFA"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32.23%</w:t>
            </w:r>
          </w:p>
        </w:tc>
        <w:tc>
          <w:tcPr>
            <w:tcW w:w="851" w:type="dxa"/>
          </w:tcPr>
          <w:p w14:paraId="1D7ACDED" w14:textId="0F1DA615"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19.32%</w:t>
            </w:r>
          </w:p>
        </w:tc>
        <w:tc>
          <w:tcPr>
            <w:tcW w:w="850" w:type="dxa"/>
          </w:tcPr>
          <w:p w14:paraId="0B3AC3C2" w14:textId="13B8F461"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25.18%</w:t>
            </w:r>
          </w:p>
        </w:tc>
        <w:tc>
          <w:tcPr>
            <w:tcW w:w="851" w:type="dxa"/>
            <w:shd w:val="clear" w:color="auto" w:fill="auto"/>
          </w:tcPr>
          <w:p w14:paraId="6874A7F7" w14:textId="4D75F11B"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28.53%</w:t>
            </w:r>
          </w:p>
        </w:tc>
        <w:tc>
          <w:tcPr>
            <w:tcW w:w="850" w:type="dxa"/>
          </w:tcPr>
          <w:p w14:paraId="5E5C9B4D" w14:textId="44D51EA1" w:rsidR="00B5280A" w:rsidRPr="00400694" w:rsidRDefault="00B5280A" w:rsidP="00CA0BF8">
            <w:pPr>
              <w:spacing w:before="60" w:after="60"/>
              <w:jc w:val="right"/>
              <w:rPr>
                <w:sz w:val="14"/>
                <w:szCs w:val="14"/>
              </w:rPr>
            </w:pPr>
            <w:r w:rsidRPr="00400694">
              <w:rPr>
                <w:rStyle w:val="Strong"/>
                <w:b w:val="0"/>
                <w:bCs w:val="0"/>
                <w:sz w:val="14"/>
                <w:szCs w:val="14"/>
              </w:rPr>
              <w:t>-23.25%</w:t>
            </w:r>
          </w:p>
        </w:tc>
        <w:tc>
          <w:tcPr>
            <w:tcW w:w="851" w:type="dxa"/>
          </w:tcPr>
          <w:p w14:paraId="21BEBA62" w14:textId="77EE0194" w:rsidR="00B5280A" w:rsidRPr="00400694" w:rsidRDefault="00B5280A" w:rsidP="00CA0BF8">
            <w:pPr>
              <w:spacing w:before="60" w:after="60"/>
              <w:jc w:val="right"/>
              <w:rPr>
                <w:sz w:val="14"/>
                <w:szCs w:val="14"/>
              </w:rPr>
            </w:pPr>
            <w:r w:rsidRPr="00400694">
              <w:rPr>
                <w:rStyle w:val="Strong"/>
                <w:b w:val="0"/>
                <w:bCs w:val="0"/>
                <w:sz w:val="14"/>
                <w:szCs w:val="14"/>
              </w:rPr>
              <w:t>29.77%</w:t>
            </w:r>
          </w:p>
        </w:tc>
        <w:tc>
          <w:tcPr>
            <w:tcW w:w="850" w:type="dxa"/>
          </w:tcPr>
          <w:p w14:paraId="2D00FA2D" w14:textId="29DB5F75" w:rsidR="00B5280A" w:rsidRPr="00400694" w:rsidRDefault="00B5280A" w:rsidP="00CA0BF8">
            <w:pPr>
              <w:spacing w:before="60" w:after="60"/>
              <w:jc w:val="right"/>
              <w:rPr>
                <w:sz w:val="14"/>
                <w:szCs w:val="14"/>
              </w:rPr>
            </w:pPr>
            <w:r w:rsidRPr="00400694">
              <w:rPr>
                <w:rStyle w:val="Strong"/>
                <w:b w:val="0"/>
                <w:bCs w:val="0"/>
                <w:sz w:val="14"/>
                <w:szCs w:val="14"/>
              </w:rPr>
              <w:t>25.56%</w:t>
            </w:r>
          </w:p>
        </w:tc>
        <w:tc>
          <w:tcPr>
            <w:tcW w:w="851" w:type="dxa"/>
          </w:tcPr>
          <w:p w14:paraId="198A4925" w14:textId="0470A471" w:rsidR="00B5280A" w:rsidRPr="00400694" w:rsidRDefault="00B5280A" w:rsidP="00CA0BF8">
            <w:pPr>
              <w:spacing w:before="60" w:after="60"/>
              <w:jc w:val="right"/>
              <w:rPr>
                <w:sz w:val="14"/>
                <w:szCs w:val="14"/>
              </w:rPr>
            </w:pPr>
            <w:r w:rsidRPr="00400694">
              <w:rPr>
                <w:rStyle w:val="Strong"/>
                <w:b w:val="0"/>
                <w:bCs w:val="0"/>
                <w:sz w:val="14"/>
                <w:szCs w:val="14"/>
              </w:rPr>
              <w:t>26.13%</w:t>
            </w:r>
          </w:p>
        </w:tc>
        <w:tc>
          <w:tcPr>
            <w:tcW w:w="850" w:type="dxa"/>
          </w:tcPr>
          <w:p w14:paraId="6924DE24" w14:textId="5A898E58" w:rsidR="00B5280A" w:rsidRPr="00400694" w:rsidRDefault="00B5280A" w:rsidP="00CA0BF8">
            <w:pPr>
              <w:spacing w:before="60" w:after="60"/>
              <w:jc w:val="right"/>
              <w:rPr>
                <w:sz w:val="14"/>
                <w:szCs w:val="14"/>
              </w:rPr>
            </w:pPr>
            <w:r w:rsidRPr="00400694">
              <w:rPr>
                <w:rStyle w:val="Strong"/>
                <w:b w:val="0"/>
                <w:bCs w:val="0"/>
                <w:sz w:val="14"/>
                <w:szCs w:val="14"/>
              </w:rPr>
              <w:t>27.59%</w:t>
            </w:r>
          </w:p>
        </w:tc>
      </w:tr>
      <w:tr w:rsidR="00B5280A" w:rsidRPr="00400694" w14:paraId="0983D45A" w14:textId="77777777" w:rsidTr="00587B96">
        <w:tc>
          <w:tcPr>
            <w:tcW w:w="851" w:type="dxa"/>
            <w:shd w:val="clear" w:color="auto" w:fill="BFBFBF" w:themeFill="background1" w:themeFillShade="BF"/>
          </w:tcPr>
          <w:p w14:paraId="1FDA9044" w14:textId="21DE1016" w:rsidR="00B5280A" w:rsidRPr="00400694" w:rsidRDefault="00B5280A" w:rsidP="00CA0BF8">
            <w:pPr>
              <w:spacing w:before="60" w:after="60"/>
              <w:jc w:val="center"/>
              <w:rPr>
                <w:rStyle w:val="Strong"/>
                <w:b w:val="0"/>
                <w:bCs w:val="0"/>
                <w:sz w:val="14"/>
                <w:szCs w:val="14"/>
              </w:rPr>
            </w:pPr>
            <w:r w:rsidRPr="00400694">
              <w:rPr>
                <w:rStyle w:val="Strong"/>
                <w:b w:val="0"/>
                <w:bCs w:val="0"/>
                <w:sz w:val="14"/>
                <w:szCs w:val="14"/>
              </w:rPr>
              <w:t>18/19</w:t>
            </w:r>
          </w:p>
        </w:tc>
        <w:tc>
          <w:tcPr>
            <w:tcW w:w="992" w:type="dxa"/>
          </w:tcPr>
          <w:p w14:paraId="1EDD5201" w14:textId="08793F99"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-23.25%</w:t>
            </w:r>
          </w:p>
        </w:tc>
        <w:tc>
          <w:tcPr>
            <w:tcW w:w="851" w:type="dxa"/>
          </w:tcPr>
          <w:p w14:paraId="2B9FA6EA" w14:textId="061E2727"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21.67%</w:t>
            </w:r>
          </w:p>
        </w:tc>
        <w:tc>
          <w:tcPr>
            <w:tcW w:w="850" w:type="dxa"/>
          </w:tcPr>
          <w:p w14:paraId="26D31B7A" w14:textId="264BACCB"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32.23%</w:t>
            </w:r>
          </w:p>
        </w:tc>
        <w:tc>
          <w:tcPr>
            <w:tcW w:w="851" w:type="dxa"/>
          </w:tcPr>
          <w:p w14:paraId="0BD1E134" w14:textId="68258E3A"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19.32%</w:t>
            </w:r>
          </w:p>
        </w:tc>
        <w:tc>
          <w:tcPr>
            <w:tcW w:w="850" w:type="dxa"/>
          </w:tcPr>
          <w:p w14:paraId="0DB93F1E" w14:textId="1375FC79"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25.18%</w:t>
            </w:r>
          </w:p>
        </w:tc>
        <w:tc>
          <w:tcPr>
            <w:tcW w:w="851" w:type="dxa"/>
            <w:shd w:val="clear" w:color="auto" w:fill="auto"/>
          </w:tcPr>
          <w:p w14:paraId="16B7105B" w14:textId="285A9E9F"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28.53%</w:t>
            </w:r>
          </w:p>
        </w:tc>
        <w:tc>
          <w:tcPr>
            <w:tcW w:w="850" w:type="dxa"/>
          </w:tcPr>
          <w:p w14:paraId="07FB3E37" w14:textId="381EF3B3" w:rsidR="00B5280A" w:rsidRPr="00400694" w:rsidRDefault="00B5280A" w:rsidP="00CA0BF8">
            <w:pPr>
              <w:spacing w:before="60" w:after="60"/>
              <w:jc w:val="right"/>
              <w:rPr>
                <w:sz w:val="14"/>
                <w:szCs w:val="14"/>
              </w:rPr>
            </w:pPr>
            <w:r w:rsidRPr="00400694">
              <w:rPr>
                <w:rStyle w:val="Strong"/>
                <w:b w:val="0"/>
                <w:bCs w:val="0"/>
                <w:sz w:val="14"/>
                <w:szCs w:val="14"/>
              </w:rPr>
              <w:t>-23.25%</w:t>
            </w:r>
          </w:p>
        </w:tc>
        <w:tc>
          <w:tcPr>
            <w:tcW w:w="851" w:type="dxa"/>
          </w:tcPr>
          <w:p w14:paraId="4C8E7E93" w14:textId="4CED38BD" w:rsidR="00B5280A" w:rsidRPr="00400694" w:rsidRDefault="00B5280A" w:rsidP="00CA0BF8">
            <w:pPr>
              <w:spacing w:before="60" w:after="60"/>
              <w:jc w:val="right"/>
              <w:rPr>
                <w:sz w:val="14"/>
                <w:szCs w:val="14"/>
              </w:rPr>
            </w:pPr>
            <w:r w:rsidRPr="00400694">
              <w:rPr>
                <w:rStyle w:val="Strong"/>
                <w:b w:val="0"/>
                <w:bCs w:val="0"/>
                <w:sz w:val="14"/>
                <w:szCs w:val="14"/>
              </w:rPr>
              <w:t>29.77%</w:t>
            </w:r>
          </w:p>
        </w:tc>
        <w:tc>
          <w:tcPr>
            <w:tcW w:w="850" w:type="dxa"/>
          </w:tcPr>
          <w:p w14:paraId="119AA8E5" w14:textId="2A3CEC26" w:rsidR="00B5280A" w:rsidRPr="00400694" w:rsidRDefault="00B5280A" w:rsidP="00CA0BF8">
            <w:pPr>
              <w:spacing w:before="60" w:after="60"/>
              <w:jc w:val="right"/>
              <w:rPr>
                <w:sz w:val="14"/>
                <w:szCs w:val="14"/>
              </w:rPr>
            </w:pPr>
            <w:r w:rsidRPr="00400694">
              <w:rPr>
                <w:rStyle w:val="Strong"/>
                <w:b w:val="0"/>
                <w:bCs w:val="0"/>
                <w:sz w:val="14"/>
                <w:szCs w:val="14"/>
              </w:rPr>
              <w:t>25.56%</w:t>
            </w:r>
          </w:p>
        </w:tc>
        <w:tc>
          <w:tcPr>
            <w:tcW w:w="851" w:type="dxa"/>
          </w:tcPr>
          <w:p w14:paraId="754E0459" w14:textId="5F35EB07" w:rsidR="00B5280A" w:rsidRPr="00400694" w:rsidRDefault="00B5280A" w:rsidP="00CA0BF8">
            <w:pPr>
              <w:spacing w:before="60" w:after="60"/>
              <w:jc w:val="right"/>
              <w:rPr>
                <w:sz w:val="14"/>
                <w:szCs w:val="14"/>
              </w:rPr>
            </w:pPr>
            <w:r w:rsidRPr="00400694">
              <w:rPr>
                <w:rStyle w:val="Strong"/>
                <w:b w:val="0"/>
                <w:bCs w:val="0"/>
                <w:sz w:val="14"/>
                <w:szCs w:val="14"/>
              </w:rPr>
              <w:t>26.13%</w:t>
            </w:r>
          </w:p>
        </w:tc>
        <w:tc>
          <w:tcPr>
            <w:tcW w:w="850" w:type="dxa"/>
          </w:tcPr>
          <w:p w14:paraId="4D09BC26" w14:textId="69C477BA" w:rsidR="00B5280A" w:rsidRPr="00400694" w:rsidRDefault="00B5280A" w:rsidP="00CA0BF8">
            <w:pPr>
              <w:spacing w:before="60" w:after="60"/>
              <w:jc w:val="right"/>
              <w:rPr>
                <w:sz w:val="14"/>
                <w:szCs w:val="14"/>
              </w:rPr>
            </w:pPr>
            <w:r w:rsidRPr="00400694">
              <w:rPr>
                <w:rStyle w:val="Strong"/>
                <w:b w:val="0"/>
                <w:bCs w:val="0"/>
                <w:sz w:val="14"/>
                <w:szCs w:val="14"/>
              </w:rPr>
              <w:t>27.59%</w:t>
            </w:r>
          </w:p>
        </w:tc>
      </w:tr>
      <w:tr w:rsidR="00B5280A" w:rsidRPr="00400694" w14:paraId="1EA2E3B3" w14:textId="77777777" w:rsidTr="00587B96">
        <w:tc>
          <w:tcPr>
            <w:tcW w:w="851" w:type="dxa"/>
            <w:shd w:val="clear" w:color="auto" w:fill="BFBFBF" w:themeFill="background1" w:themeFillShade="BF"/>
          </w:tcPr>
          <w:p w14:paraId="603CD142" w14:textId="2C06F4C8" w:rsidR="00B5280A" w:rsidRPr="00400694" w:rsidRDefault="00B5280A" w:rsidP="00CA0BF8">
            <w:pPr>
              <w:spacing w:before="60" w:after="60"/>
              <w:jc w:val="center"/>
              <w:rPr>
                <w:rStyle w:val="Strong"/>
                <w:b w:val="0"/>
                <w:bCs w:val="0"/>
                <w:sz w:val="14"/>
                <w:szCs w:val="14"/>
              </w:rPr>
            </w:pPr>
            <w:r w:rsidRPr="00400694">
              <w:rPr>
                <w:rStyle w:val="Strong"/>
                <w:b w:val="0"/>
                <w:bCs w:val="0"/>
                <w:sz w:val="14"/>
                <w:szCs w:val="14"/>
              </w:rPr>
              <w:t>19/20</w:t>
            </w:r>
          </w:p>
        </w:tc>
        <w:tc>
          <w:tcPr>
            <w:tcW w:w="992" w:type="dxa"/>
          </w:tcPr>
          <w:p w14:paraId="1834B1F0" w14:textId="6AD8B96C"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-23.25%</w:t>
            </w:r>
          </w:p>
        </w:tc>
        <w:tc>
          <w:tcPr>
            <w:tcW w:w="851" w:type="dxa"/>
          </w:tcPr>
          <w:p w14:paraId="389AF950" w14:textId="5BF2DE7D"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21.67%</w:t>
            </w:r>
          </w:p>
        </w:tc>
        <w:tc>
          <w:tcPr>
            <w:tcW w:w="850" w:type="dxa"/>
          </w:tcPr>
          <w:p w14:paraId="2C5B4396" w14:textId="26E7670A"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32.23%</w:t>
            </w:r>
          </w:p>
        </w:tc>
        <w:tc>
          <w:tcPr>
            <w:tcW w:w="851" w:type="dxa"/>
          </w:tcPr>
          <w:p w14:paraId="443C9CF2" w14:textId="16DF902A"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19.32%</w:t>
            </w:r>
          </w:p>
        </w:tc>
        <w:tc>
          <w:tcPr>
            <w:tcW w:w="850" w:type="dxa"/>
          </w:tcPr>
          <w:p w14:paraId="645DC661" w14:textId="7304A9CF"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25.18%</w:t>
            </w:r>
          </w:p>
        </w:tc>
        <w:tc>
          <w:tcPr>
            <w:tcW w:w="851" w:type="dxa"/>
            <w:shd w:val="clear" w:color="auto" w:fill="auto"/>
          </w:tcPr>
          <w:p w14:paraId="7C90689A" w14:textId="5EA946DE"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28.53%</w:t>
            </w:r>
          </w:p>
        </w:tc>
        <w:tc>
          <w:tcPr>
            <w:tcW w:w="850" w:type="dxa"/>
          </w:tcPr>
          <w:p w14:paraId="4B09D554" w14:textId="6CF0DC79" w:rsidR="00B5280A" w:rsidRPr="00400694" w:rsidRDefault="00B5280A" w:rsidP="00CA0BF8">
            <w:pPr>
              <w:spacing w:before="60" w:after="60"/>
              <w:jc w:val="right"/>
              <w:rPr>
                <w:sz w:val="14"/>
                <w:szCs w:val="14"/>
              </w:rPr>
            </w:pPr>
            <w:r w:rsidRPr="00400694">
              <w:rPr>
                <w:rStyle w:val="Strong"/>
                <w:b w:val="0"/>
                <w:bCs w:val="0"/>
                <w:sz w:val="14"/>
                <w:szCs w:val="14"/>
              </w:rPr>
              <w:t>***</w:t>
            </w:r>
          </w:p>
        </w:tc>
        <w:tc>
          <w:tcPr>
            <w:tcW w:w="851" w:type="dxa"/>
          </w:tcPr>
          <w:p w14:paraId="5349DB3F" w14:textId="6929FD9F" w:rsidR="00B5280A" w:rsidRPr="00400694" w:rsidRDefault="00B5280A" w:rsidP="00CA0BF8">
            <w:pPr>
              <w:spacing w:before="60" w:after="60"/>
              <w:jc w:val="right"/>
              <w:rPr>
                <w:sz w:val="14"/>
                <w:szCs w:val="14"/>
              </w:rPr>
            </w:pPr>
            <w:r w:rsidRPr="00400694">
              <w:rPr>
                <w:rStyle w:val="Strong"/>
                <w:b w:val="0"/>
                <w:bCs w:val="0"/>
                <w:sz w:val="14"/>
                <w:szCs w:val="14"/>
              </w:rPr>
              <w:t>29.77%</w:t>
            </w:r>
          </w:p>
        </w:tc>
        <w:tc>
          <w:tcPr>
            <w:tcW w:w="850" w:type="dxa"/>
          </w:tcPr>
          <w:p w14:paraId="536CD0A9" w14:textId="660BDF59" w:rsidR="00B5280A" w:rsidRPr="00400694" w:rsidRDefault="00B5280A" w:rsidP="00CA0BF8">
            <w:pPr>
              <w:spacing w:before="60" w:after="60"/>
              <w:jc w:val="right"/>
              <w:rPr>
                <w:sz w:val="14"/>
                <w:szCs w:val="14"/>
              </w:rPr>
            </w:pPr>
            <w:r w:rsidRPr="00400694">
              <w:rPr>
                <w:rStyle w:val="Strong"/>
                <w:b w:val="0"/>
                <w:bCs w:val="0"/>
                <w:sz w:val="14"/>
                <w:szCs w:val="14"/>
              </w:rPr>
              <w:t>25.56%</w:t>
            </w:r>
          </w:p>
        </w:tc>
        <w:tc>
          <w:tcPr>
            <w:tcW w:w="851" w:type="dxa"/>
          </w:tcPr>
          <w:p w14:paraId="108DB5E5" w14:textId="2FDC2364" w:rsidR="00B5280A" w:rsidRPr="00400694" w:rsidRDefault="00B5280A" w:rsidP="00CA0BF8">
            <w:pPr>
              <w:spacing w:before="60" w:after="60"/>
              <w:jc w:val="right"/>
              <w:rPr>
                <w:sz w:val="14"/>
                <w:szCs w:val="14"/>
              </w:rPr>
            </w:pPr>
            <w:r w:rsidRPr="00400694">
              <w:rPr>
                <w:rStyle w:val="Strong"/>
                <w:b w:val="0"/>
                <w:bCs w:val="0"/>
                <w:sz w:val="14"/>
                <w:szCs w:val="14"/>
              </w:rPr>
              <w:t>24.55%</w:t>
            </w:r>
          </w:p>
        </w:tc>
        <w:tc>
          <w:tcPr>
            <w:tcW w:w="850" w:type="dxa"/>
          </w:tcPr>
          <w:p w14:paraId="2787C525" w14:textId="6817C82C" w:rsidR="00B5280A" w:rsidRPr="00400694" w:rsidRDefault="00B5280A" w:rsidP="00CA0BF8">
            <w:pPr>
              <w:spacing w:before="60" w:after="60"/>
              <w:jc w:val="right"/>
              <w:rPr>
                <w:sz w:val="14"/>
                <w:szCs w:val="14"/>
              </w:rPr>
            </w:pPr>
            <w:r w:rsidRPr="00400694">
              <w:rPr>
                <w:rStyle w:val="Strong"/>
                <w:b w:val="0"/>
                <w:bCs w:val="0"/>
                <w:sz w:val="14"/>
                <w:szCs w:val="14"/>
              </w:rPr>
              <w:t>27.59%</w:t>
            </w:r>
          </w:p>
        </w:tc>
      </w:tr>
      <w:tr w:rsidR="00B5280A" w:rsidRPr="00400694" w14:paraId="5E410443" w14:textId="77777777" w:rsidTr="00587B96">
        <w:tc>
          <w:tcPr>
            <w:tcW w:w="851" w:type="dxa"/>
            <w:shd w:val="clear" w:color="auto" w:fill="BFBFBF" w:themeFill="background1" w:themeFillShade="BF"/>
          </w:tcPr>
          <w:p w14:paraId="548C11FE" w14:textId="492D19E1" w:rsidR="00B5280A" w:rsidRPr="00400694" w:rsidRDefault="00B5280A" w:rsidP="00CA0BF8">
            <w:pPr>
              <w:spacing w:before="60" w:after="60"/>
              <w:jc w:val="center"/>
              <w:rPr>
                <w:rStyle w:val="Strong"/>
                <w:b w:val="0"/>
                <w:bCs w:val="0"/>
                <w:sz w:val="14"/>
                <w:szCs w:val="14"/>
              </w:rPr>
            </w:pPr>
            <w:r w:rsidRPr="00400694">
              <w:rPr>
                <w:rStyle w:val="Strong"/>
                <w:b w:val="0"/>
                <w:bCs w:val="0"/>
                <w:sz w:val="14"/>
                <w:szCs w:val="14"/>
              </w:rPr>
              <w:t>20/21</w:t>
            </w:r>
          </w:p>
        </w:tc>
        <w:tc>
          <w:tcPr>
            <w:tcW w:w="992" w:type="dxa"/>
          </w:tcPr>
          <w:p w14:paraId="1C9B153E" w14:textId="3498580F"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-23.25%</w:t>
            </w:r>
          </w:p>
        </w:tc>
        <w:tc>
          <w:tcPr>
            <w:tcW w:w="851" w:type="dxa"/>
          </w:tcPr>
          <w:p w14:paraId="048AA872" w14:textId="4B93A643"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21.67%</w:t>
            </w:r>
          </w:p>
        </w:tc>
        <w:tc>
          <w:tcPr>
            <w:tcW w:w="850" w:type="dxa"/>
          </w:tcPr>
          <w:p w14:paraId="566CC460" w14:textId="4739DB62"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21.30%</w:t>
            </w:r>
          </w:p>
        </w:tc>
        <w:tc>
          <w:tcPr>
            <w:tcW w:w="851" w:type="dxa"/>
          </w:tcPr>
          <w:p w14:paraId="25B68219" w14:textId="34FA5B36"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19.32%</w:t>
            </w:r>
          </w:p>
        </w:tc>
        <w:tc>
          <w:tcPr>
            <w:tcW w:w="850" w:type="dxa"/>
          </w:tcPr>
          <w:p w14:paraId="65A9D026" w14:textId="560CC835"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25.18%</w:t>
            </w:r>
          </w:p>
        </w:tc>
        <w:tc>
          <w:tcPr>
            <w:tcW w:w="851" w:type="dxa"/>
            <w:shd w:val="clear" w:color="auto" w:fill="auto"/>
          </w:tcPr>
          <w:p w14:paraId="3EA31E31" w14:textId="5D7C5472"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28.53%</w:t>
            </w:r>
          </w:p>
        </w:tc>
        <w:tc>
          <w:tcPr>
            <w:tcW w:w="850" w:type="dxa"/>
          </w:tcPr>
          <w:p w14:paraId="12CA1638" w14:textId="36C68138" w:rsidR="00B5280A" w:rsidRPr="00400694" w:rsidRDefault="00B5280A" w:rsidP="00CA0BF8">
            <w:pPr>
              <w:spacing w:before="60" w:after="60"/>
              <w:jc w:val="right"/>
              <w:rPr>
                <w:sz w:val="14"/>
                <w:szCs w:val="14"/>
              </w:rPr>
            </w:pPr>
            <w:r w:rsidRPr="00400694">
              <w:rPr>
                <w:rStyle w:val="Strong"/>
                <w:b w:val="0"/>
                <w:bCs w:val="0"/>
                <w:sz w:val="14"/>
                <w:szCs w:val="14"/>
              </w:rPr>
              <w:t>***</w:t>
            </w:r>
          </w:p>
        </w:tc>
        <w:tc>
          <w:tcPr>
            <w:tcW w:w="851" w:type="dxa"/>
          </w:tcPr>
          <w:p w14:paraId="6DC322B4" w14:textId="40ED80B3" w:rsidR="00B5280A" w:rsidRPr="00400694" w:rsidRDefault="00B5280A" w:rsidP="00CA0BF8">
            <w:pPr>
              <w:spacing w:before="60" w:after="60"/>
              <w:jc w:val="right"/>
              <w:rPr>
                <w:sz w:val="14"/>
                <w:szCs w:val="14"/>
              </w:rPr>
            </w:pPr>
            <w:r w:rsidRPr="00400694">
              <w:rPr>
                <w:rStyle w:val="Strong"/>
                <w:b w:val="0"/>
                <w:bCs w:val="0"/>
                <w:sz w:val="14"/>
                <w:szCs w:val="14"/>
              </w:rPr>
              <w:t>29.77%</w:t>
            </w:r>
          </w:p>
        </w:tc>
        <w:tc>
          <w:tcPr>
            <w:tcW w:w="850" w:type="dxa"/>
          </w:tcPr>
          <w:p w14:paraId="721754B7" w14:textId="1F6EB9D3" w:rsidR="00B5280A" w:rsidRPr="00400694" w:rsidRDefault="00B5280A" w:rsidP="00CA0BF8">
            <w:pPr>
              <w:spacing w:before="60" w:after="60"/>
              <w:jc w:val="right"/>
              <w:rPr>
                <w:sz w:val="14"/>
                <w:szCs w:val="14"/>
              </w:rPr>
            </w:pPr>
            <w:r w:rsidRPr="00400694">
              <w:rPr>
                <w:rStyle w:val="Strong"/>
                <w:b w:val="0"/>
                <w:bCs w:val="0"/>
                <w:sz w:val="14"/>
                <w:szCs w:val="14"/>
              </w:rPr>
              <w:t>25.56%</w:t>
            </w:r>
          </w:p>
        </w:tc>
        <w:tc>
          <w:tcPr>
            <w:tcW w:w="851" w:type="dxa"/>
          </w:tcPr>
          <w:p w14:paraId="0419DE1B" w14:textId="4EFD3294" w:rsidR="00B5280A" w:rsidRPr="00400694" w:rsidRDefault="00B5280A" w:rsidP="00CA0BF8">
            <w:pPr>
              <w:spacing w:before="60" w:after="60"/>
              <w:jc w:val="right"/>
              <w:rPr>
                <w:sz w:val="14"/>
                <w:szCs w:val="14"/>
              </w:rPr>
            </w:pPr>
            <w:r w:rsidRPr="00400694">
              <w:rPr>
                <w:rStyle w:val="Strong"/>
                <w:b w:val="0"/>
                <w:bCs w:val="0"/>
                <w:sz w:val="14"/>
                <w:szCs w:val="14"/>
              </w:rPr>
              <w:t>21.72%</w:t>
            </w:r>
          </w:p>
        </w:tc>
        <w:tc>
          <w:tcPr>
            <w:tcW w:w="850" w:type="dxa"/>
          </w:tcPr>
          <w:p w14:paraId="6F6A5B64" w14:textId="57A0EAF1" w:rsidR="00B5280A" w:rsidRPr="00400694" w:rsidRDefault="00B5280A" w:rsidP="00CA0BF8">
            <w:pPr>
              <w:spacing w:before="60" w:after="60"/>
              <w:jc w:val="right"/>
              <w:rPr>
                <w:sz w:val="14"/>
                <w:szCs w:val="14"/>
              </w:rPr>
            </w:pPr>
            <w:r w:rsidRPr="00400694">
              <w:rPr>
                <w:rStyle w:val="Strong"/>
                <w:b w:val="0"/>
                <w:bCs w:val="0"/>
                <w:sz w:val="14"/>
                <w:szCs w:val="14"/>
              </w:rPr>
              <w:t>27.59%</w:t>
            </w:r>
          </w:p>
        </w:tc>
      </w:tr>
    </w:tbl>
    <w:p w14:paraId="6BB04824" w14:textId="77777777" w:rsidR="00D82914" w:rsidRDefault="00D82914" w:rsidP="00873992">
      <w:pPr>
        <w:spacing w:before="0"/>
      </w:pPr>
    </w:p>
    <w:p w14:paraId="69CD1803" w14:textId="66AB4012" w:rsidR="00011191" w:rsidRPr="00B77198" w:rsidRDefault="00F02A8A" w:rsidP="00177F24">
      <w:pPr>
        <w:pStyle w:val="Heading1"/>
        <w:pageBreakBefore/>
      </w:pPr>
      <w:bookmarkStart w:id="27" w:name="_Toc108451965"/>
      <w:r>
        <w:lastRenderedPageBreak/>
        <w:t>R</w:t>
      </w:r>
      <w:r w:rsidR="00595374">
        <w:t>EFERENCES</w:t>
      </w:r>
      <w:bookmarkEnd w:id="27"/>
    </w:p>
    <w:p w14:paraId="6E5B7BBC" w14:textId="7A5DAAE1" w:rsidR="00A92634" w:rsidRDefault="00A92634" w:rsidP="00011191">
      <w:r w:rsidRPr="00861E33">
        <w:t xml:space="preserve">Auerbach, A.J. </w:t>
      </w:r>
      <w:r>
        <w:t>(</w:t>
      </w:r>
      <w:r w:rsidRPr="00861E33">
        <w:t>1979</w:t>
      </w:r>
      <w:r>
        <w:t>)</w:t>
      </w:r>
      <w:r w:rsidR="00552348">
        <w:t>.</w:t>
      </w:r>
      <w:r w:rsidRPr="00861E33">
        <w:t xml:space="preserve"> Inflation and the choice of asset life</w:t>
      </w:r>
      <w:r w:rsidR="00DD054E">
        <w:t>.</w:t>
      </w:r>
      <w:r w:rsidRPr="00861E33">
        <w:t xml:space="preserve"> </w:t>
      </w:r>
      <w:r w:rsidRPr="00320164">
        <w:rPr>
          <w:i/>
          <w:iCs/>
        </w:rPr>
        <w:t>Journal of Political Economy</w:t>
      </w:r>
      <w:r w:rsidRPr="00861E33">
        <w:t>, 87(3), 621</w:t>
      </w:r>
      <w:r w:rsidR="00E53134" w:rsidRPr="00831ADE">
        <w:rPr>
          <w:szCs w:val="18"/>
        </w:rPr>
        <w:t>–</w:t>
      </w:r>
      <w:r w:rsidRPr="00861E33">
        <w:t>638.</w:t>
      </w:r>
    </w:p>
    <w:p w14:paraId="0CD1A340" w14:textId="3933F58D" w:rsidR="002F34B9" w:rsidRPr="00A5553B" w:rsidRDefault="003836F1" w:rsidP="00011191">
      <w:pPr>
        <w:rPr>
          <w:szCs w:val="18"/>
        </w:rPr>
      </w:pPr>
      <w:proofErr w:type="spellStart"/>
      <w:r>
        <w:rPr>
          <w:szCs w:val="18"/>
        </w:rPr>
        <w:t>Boadway</w:t>
      </w:r>
      <w:proofErr w:type="spellEnd"/>
      <w:r>
        <w:rPr>
          <w:szCs w:val="18"/>
        </w:rPr>
        <w:t>, R., Bruce, N. and Mintz, J. (1984)</w:t>
      </w:r>
      <w:r w:rsidR="00A3441B">
        <w:rPr>
          <w:szCs w:val="18"/>
        </w:rPr>
        <w:t xml:space="preserve">. Taxation, inflation, and the effective marginal tax rate on capital in Canada. </w:t>
      </w:r>
      <w:r w:rsidR="00A3441B">
        <w:rPr>
          <w:i/>
          <w:iCs/>
          <w:szCs w:val="18"/>
        </w:rPr>
        <w:t>Canadian Journal of Economics</w:t>
      </w:r>
      <w:r w:rsidR="00A5553B">
        <w:rPr>
          <w:szCs w:val="18"/>
        </w:rPr>
        <w:t>, XVII</w:t>
      </w:r>
      <w:r w:rsidR="008E5AEE">
        <w:rPr>
          <w:szCs w:val="18"/>
        </w:rPr>
        <w:t xml:space="preserve">, </w:t>
      </w:r>
      <w:r w:rsidR="009F7259">
        <w:rPr>
          <w:szCs w:val="18"/>
        </w:rPr>
        <w:t>No. 1</w:t>
      </w:r>
      <w:r w:rsidR="0013461D">
        <w:rPr>
          <w:szCs w:val="18"/>
        </w:rPr>
        <w:t>, 62-79.</w:t>
      </w:r>
    </w:p>
    <w:p w14:paraId="1F57C4DF" w14:textId="75A9C403" w:rsidR="008D5C99" w:rsidRDefault="008D5C99" w:rsidP="00011191">
      <w:r w:rsidRPr="00CA2712">
        <w:rPr>
          <w:szCs w:val="18"/>
        </w:rPr>
        <w:t>Bulow, J.I. and Summers, L.H. (1984)</w:t>
      </w:r>
      <w:r>
        <w:rPr>
          <w:szCs w:val="18"/>
        </w:rPr>
        <w:t>.</w:t>
      </w:r>
      <w:r w:rsidRPr="00CA2712">
        <w:rPr>
          <w:szCs w:val="18"/>
        </w:rPr>
        <w:t xml:space="preserve"> The </w:t>
      </w:r>
      <w:r w:rsidR="003018FD">
        <w:rPr>
          <w:szCs w:val="18"/>
        </w:rPr>
        <w:t>t</w:t>
      </w:r>
      <w:r w:rsidRPr="00CA2712">
        <w:rPr>
          <w:szCs w:val="18"/>
        </w:rPr>
        <w:t xml:space="preserve">axation of </w:t>
      </w:r>
      <w:r w:rsidR="003018FD">
        <w:rPr>
          <w:szCs w:val="18"/>
        </w:rPr>
        <w:t>r</w:t>
      </w:r>
      <w:r w:rsidRPr="00CA2712">
        <w:rPr>
          <w:szCs w:val="18"/>
        </w:rPr>
        <w:t xml:space="preserve">isky </w:t>
      </w:r>
      <w:r w:rsidR="003018FD">
        <w:rPr>
          <w:szCs w:val="18"/>
        </w:rPr>
        <w:t>a</w:t>
      </w:r>
      <w:r w:rsidRPr="00CA2712">
        <w:rPr>
          <w:szCs w:val="18"/>
        </w:rPr>
        <w:t>ssets</w:t>
      </w:r>
      <w:r>
        <w:rPr>
          <w:szCs w:val="18"/>
        </w:rPr>
        <w:t>.</w:t>
      </w:r>
      <w:r w:rsidRPr="00CA2712">
        <w:rPr>
          <w:szCs w:val="18"/>
        </w:rPr>
        <w:t xml:space="preserve"> </w:t>
      </w:r>
      <w:r w:rsidRPr="00CA2712">
        <w:rPr>
          <w:i/>
          <w:iCs/>
          <w:szCs w:val="18"/>
        </w:rPr>
        <w:t>Journal of Political Economy</w:t>
      </w:r>
      <w:r w:rsidRPr="00CA2712">
        <w:rPr>
          <w:szCs w:val="18"/>
        </w:rPr>
        <w:t>, Vol 92, No 1, 20</w:t>
      </w:r>
      <w:r w:rsidR="00E53134" w:rsidRPr="00707784">
        <w:rPr>
          <w:szCs w:val="18"/>
        </w:rPr>
        <w:t>–</w:t>
      </w:r>
      <w:r w:rsidRPr="00CA2712">
        <w:rPr>
          <w:szCs w:val="18"/>
        </w:rPr>
        <w:t>39.</w:t>
      </w:r>
    </w:p>
    <w:p w14:paraId="061ADF0C" w14:textId="602D4127" w:rsidR="00A92634" w:rsidRDefault="005E5B10" w:rsidP="00011191">
      <w:r w:rsidRPr="00CA2712">
        <w:rPr>
          <w:szCs w:val="18"/>
        </w:rPr>
        <w:t>Gordon, R.H. (1985)</w:t>
      </w:r>
      <w:r>
        <w:rPr>
          <w:szCs w:val="18"/>
        </w:rPr>
        <w:t>.</w:t>
      </w:r>
      <w:r w:rsidRPr="00CA2712">
        <w:rPr>
          <w:szCs w:val="18"/>
        </w:rPr>
        <w:t xml:space="preserve"> Taxation of </w:t>
      </w:r>
      <w:r>
        <w:rPr>
          <w:szCs w:val="18"/>
        </w:rPr>
        <w:t>c</w:t>
      </w:r>
      <w:r w:rsidRPr="00CA2712">
        <w:rPr>
          <w:szCs w:val="18"/>
        </w:rPr>
        <w:t>o</w:t>
      </w:r>
      <w:r w:rsidR="0050216D">
        <w:rPr>
          <w:szCs w:val="18"/>
        </w:rPr>
        <w:t>r</w:t>
      </w:r>
      <w:r w:rsidRPr="00CA2712">
        <w:rPr>
          <w:szCs w:val="18"/>
        </w:rPr>
        <w:t xml:space="preserve">porate </w:t>
      </w:r>
      <w:r>
        <w:rPr>
          <w:szCs w:val="18"/>
        </w:rPr>
        <w:t>c</w:t>
      </w:r>
      <w:r w:rsidRPr="00CA2712">
        <w:rPr>
          <w:szCs w:val="18"/>
        </w:rPr>
        <w:t xml:space="preserve">apital </w:t>
      </w:r>
      <w:r>
        <w:rPr>
          <w:szCs w:val="18"/>
        </w:rPr>
        <w:t>i</w:t>
      </w:r>
      <w:r w:rsidRPr="00CA2712">
        <w:rPr>
          <w:szCs w:val="18"/>
        </w:rPr>
        <w:t xml:space="preserve">ncome: </w:t>
      </w:r>
      <w:r w:rsidR="0050216D">
        <w:rPr>
          <w:szCs w:val="18"/>
        </w:rPr>
        <w:t>t</w:t>
      </w:r>
      <w:r w:rsidRPr="00CA2712">
        <w:rPr>
          <w:szCs w:val="18"/>
        </w:rPr>
        <w:t xml:space="preserve">ax </w:t>
      </w:r>
      <w:r w:rsidR="0050216D">
        <w:rPr>
          <w:szCs w:val="18"/>
        </w:rPr>
        <w:t>r</w:t>
      </w:r>
      <w:r w:rsidRPr="00CA2712">
        <w:rPr>
          <w:szCs w:val="18"/>
        </w:rPr>
        <w:t xml:space="preserve">evenues </w:t>
      </w:r>
      <w:r w:rsidR="0050216D">
        <w:rPr>
          <w:szCs w:val="18"/>
        </w:rPr>
        <w:t>v</w:t>
      </w:r>
      <w:r w:rsidRPr="00CA2712">
        <w:rPr>
          <w:szCs w:val="18"/>
        </w:rPr>
        <w:t xml:space="preserve">ersus </w:t>
      </w:r>
      <w:r w:rsidR="00201822">
        <w:rPr>
          <w:szCs w:val="18"/>
        </w:rPr>
        <w:t>t</w:t>
      </w:r>
      <w:r w:rsidRPr="00CA2712">
        <w:rPr>
          <w:szCs w:val="18"/>
        </w:rPr>
        <w:t xml:space="preserve">ax </w:t>
      </w:r>
      <w:r w:rsidR="00201822">
        <w:rPr>
          <w:szCs w:val="18"/>
        </w:rPr>
        <w:t>d</w:t>
      </w:r>
      <w:r w:rsidRPr="00CA2712">
        <w:rPr>
          <w:szCs w:val="18"/>
        </w:rPr>
        <w:t>istortions</w:t>
      </w:r>
      <w:r>
        <w:rPr>
          <w:szCs w:val="18"/>
        </w:rPr>
        <w:t>.</w:t>
      </w:r>
      <w:r w:rsidRPr="00CA2712">
        <w:rPr>
          <w:szCs w:val="18"/>
        </w:rPr>
        <w:t xml:space="preserve"> </w:t>
      </w:r>
      <w:r w:rsidRPr="00CA2712">
        <w:rPr>
          <w:i/>
          <w:iCs/>
          <w:szCs w:val="18"/>
        </w:rPr>
        <w:t>Quarterly of Economics</w:t>
      </w:r>
      <w:r w:rsidRPr="00CA2712">
        <w:rPr>
          <w:szCs w:val="18"/>
        </w:rPr>
        <w:t>, Vol C, Issue 1, 1–27.</w:t>
      </w:r>
    </w:p>
    <w:p w14:paraId="228CCF3A" w14:textId="00B34235" w:rsidR="00860FA5" w:rsidRPr="00EC3756" w:rsidRDefault="00EC3756" w:rsidP="00011191">
      <w:pPr>
        <w:rPr>
          <w:szCs w:val="20"/>
        </w:rPr>
      </w:pPr>
      <w:r w:rsidRPr="00B77198">
        <w:rPr>
          <w:rStyle w:val="FooterChar"/>
          <w:sz w:val="20"/>
          <w:szCs w:val="20"/>
        </w:rPr>
        <w:t>Hall, R.E. and D.W. Jorgenson (1967)</w:t>
      </w:r>
      <w:r w:rsidR="00DD054E">
        <w:rPr>
          <w:rStyle w:val="FooterChar"/>
          <w:sz w:val="20"/>
          <w:szCs w:val="20"/>
        </w:rPr>
        <w:t>.</w:t>
      </w:r>
      <w:r w:rsidRPr="00B77198">
        <w:rPr>
          <w:rStyle w:val="FooterChar"/>
          <w:sz w:val="20"/>
          <w:szCs w:val="20"/>
        </w:rPr>
        <w:t xml:space="preserve"> Tax </w:t>
      </w:r>
      <w:r w:rsidR="00DD054E">
        <w:rPr>
          <w:rStyle w:val="FooterChar"/>
          <w:sz w:val="20"/>
          <w:szCs w:val="20"/>
        </w:rPr>
        <w:t>p</w:t>
      </w:r>
      <w:r w:rsidRPr="00B77198">
        <w:rPr>
          <w:rStyle w:val="FooterChar"/>
          <w:sz w:val="20"/>
          <w:szCs w:val="20"/>
        </w:rPr>
        <w:t xml:space="preserve">olicy and </w:t>
      </w:r>
      <w:r w:rsidR="00DD054E">
        <w:rPr>
          <w:rStyle w:val="FooterChar"/>
          <w:sz w:val="20"/>
          <w:szCs w:val="20"/>
        </w:rPr>
        <w:t>i</w:t>
      </w:r>
      <w:r w:rsidRPr="00B77198">
        <w:rPr>
          <w:rStyle w:val="FooterChar"/>
          <w:sz w:val="20"/>
          <w:szCs w:val="20"/>
        </w:rPr>
        <w:t xml:space="preserve">nvestment </w:t>
      </w:r>
      <w:proofErr w:type="spellStart"/>
      <w:r w:rsidR="006B0456">
        <w:rPr>
          <w:rStyle w:val="FooterChar"/>
          <w:sz w:val="20"/>
          <w:szCs w:val="20"/>
        </w:rPr>
        <w:t>b</w:t>
      </w:r>
      <w:r w:rsidRPr="00B77198">
        <w:rPr>
          <w:rStyle w:val="FooterChar"/>
          <w:sz w:val="20"/>
          <w:szCs w:val="20"/>
        </w:rPr>
        <w:t>ehavior</w:t>
      </w:r>
      <w:proofErr w:type="spellEnd"/>
      <w:r w:rsidR="006B0456">
        <w:rPr>
          <w:rStyle w:val="FooterChar"/>
          <w:sz w:val="20"/>
          <w:szCs w:val="20"/>
        </w:rPr>
        <w:t>.</w:t>
      </w:r>
      <w:r w:rsidRPr="00B77198">
        <w:rPr>
          <w:rStyle w:val="FooterChar"/>
          <w:sz w:val="20"/>
          <w:szCs w:val="20"/>
        </w:rPr>
        <w:t xml:space="preserve"> </w:t>
      </w:r>
      <w:r w:rsidRPr="00B77198">
        <w:rPr>
          <w:rStyle w:val="FooterChar"/>
          <w:i/>
          <w:iCs/>
          <w:sz w:val="20"/>
          <w:szCs w:val="20"/>
        </w:rPr>
        <w:t>American Economic Review</w:t>
      </w:r>
      <w:r w:rsidRPr="00B77198">
        <w:rPr>
          <w:rStyle w:val="FooterChar"/>
          <w:sz w:val="20"/>
          <w:szCs w:val="20"/>
        </w:rPr>
        <w:t>, Vol. 57, No. 3, 391</w:t>
      </w:r>
      <w:r w:rsidR="00E53134" w:rsidRPr="00831ADE">
        <w:rPr>
          <w:szCs w:val="18"/>
        </w:rPr>
        <w:t>–</w:t>
      </w:r>
      <w:r w:rsidRPr="00B77198">
        <w:rPr>
          <w:rStyle w:val="FooterChar"/>
          <w:sz w:val="20"/>
          <w:szCs w:val="20"/>
        </w:rPr>
        <w:t>414</w:t>
      </w:r>
      <w:r w:rsidR="000C70F8">
        <w:rPr>
          <w:rStyle w:val="FooterChar"/>
          <w:sz w:val="20"/>
          <w:szCs w:val="20"/>
        </w:rPr>
        <w:t>.</w:t>
      </w:r>
    </w:p>
    <w:p w14:paraId="7E2869A3" w14:textId="4E6050F3" w:rsidR="00F43DEB" w:rsidRDefault="00F43DEB" w:rsidP="00011191">
      <w:pPr>
        <w:rPr>
          <w:szCs w:val="20"/>
        </w:rPr>
      </w:pPr>
      <w:r w:rsidRPr="00CA2712">
        <w:rPr>
          <w:szCs w:val="18"/>
        </w:rPr>
        <w:t>Hanappi, T. (2018)</w:t>
      </w:r>
      <w:r w:rsidR="006B0456">
        <w:rPr>
          <w:szCs w:val="18"/>
        </w:rPr>
        <w:t>.</w:t>
      </w:r>
      <w:r w:rsidRPr="00CA2712">
        <w:rPr>
          <w:szCs w:val="18"/>
        </w:rPr>
        <w:t xml:space="preserve"> Corporate </w:t>
      </w:r>
      <w:r w:rsidR="00FE4F04">
        <w:rPr>
          <w:szCs w:val="18"/>
        </w:rPr>
        <w:t>e</w:t>
      </w:r>
      <w:r w:rsidRPr="00CA2712">
        <w:rPr>
          <w:szCs w:val="18"/>
        </w:rPr>
        <w:t xml:space="preserve">ffective </w:t>
      </w:r>
      <w:r w:rsidR="00FE4F04">
        <w:rPr>
          <w:szCs w:val="18"/>
        </w:rPr>
        <w:t>t</w:t>
      </w:r>
      <w:r w:rsidRPr="00CA2712">
        <w:rPr>
          <w:szCs w:val="18"/>
        </w:rPr>
        <w:t xml:space="preserve">ax </w:t>
      </w:r>
      <w:r w:rsidR="00FE4F04">
        <w:rPr>
          <w:szCs w:val="18"/>
        </w:rPr>
        <w:t>r</w:t>
      </w:r>
      <w:r w:rsidRPr="00CA2712">
        <w:rPr>
          <w:szCs w:val="18"/>
        </w:rPr>
        <w:t xml:space="preserve">ates: </w:t>
      </w:r>
      <w:r w:rsidR="00FE4F04">
        <w:rPr>
          <w:szCs w:val="18"/>
        </w:rPr>
        <w:t>m</w:t>
      </w:r>
      <w:r w:rsidRPr="00CA2712">
        <w:rPr>
          <w:szCs w:val="18"/>
        </w:rPr>
        <w:t xml:space="preserve">odel </w:t>
      </w:r>
      <w:r w:rsidR="00FE4F04">
        <w:rPr>
          <w:szCs w:val="18"/>
        </w:rPr>
        <w:t>d</w:t>
      </w:r>
      <w:r w:rsidRPr="00CA2712">
        <w:rPr>
          <w:szCs w:val="18"/>
        </w:rPr>
        <w:t xml:space="preserve">escription and </w:t>
      </w:r>
      <w:r w:rsidR="00FE4F04">
        <w:rPr>
          <w:szCs w:val="18"/>
        </w:rPr>
        <w:t>r</w:t>
      </w:r>
      <w:r w:rsidRPr="00CA2712">
        <w:rPr>
          <w:szCs w:val="18"/>
        </w:rPr>
        <w:t xml:space="preserve">esults from 36 OECD and </w:t>
      </w:r>
      <w:r w:rsidR="00FE4F04">
        <w:rPr>
          <w:szCs w:val="18"/>
        </w:rPr>
        <w:t>n</w:t>
      </w:r>
      <w:r w:rsidRPr="00CA2712">
        <w:rPr>
          <w:szCs w:val="18"/>
        </w:rPr>
        <w:t xml:space="preserve">on-OECD </w:t>
      </w:r>
      <w:r w:rsidR="00FE4F04">
        <w:rPr>
          <w:szCs w:val="18"/>
        </w:rPr>
        <w:t>c</w:t>
      </w:r>
      <w:r w:rsidRPr="00CA2712">
        <w:rPr>
          <w:szCs w:val="18"/>
        </w:rPr>
        <w:t>ountries</w:t>
      </w:r>
      <w:r w:rsidR="002211F0">
        <w:rPr>
          <w:szCs w:val="18"/>
        </w:rPr>
        <w:t>.</w:t>
      </w:r>
      <w:r w:rsidRPr="00CA2712">
        <w:rPr>
          <w:szCs w:val="18"/>
        </w:rPr>
        <w:t xml:space="preserve"> </w:t>
      </w:r>
      <w:r w:rsidRPr="00CA2712">
        <w:rPr>
          <w:i/>
          <w:iCs/>
          <w:szCs w:val="18"/>
        </w:rPr>
        <w:t>OECD Working Papers No. 38</w:t>
      </w:r>
      <w:r w:rsidRPr="00CA2712">
        <w:rPr>
          <w:szCs w:val="18"/>
        </w:rPr>
        <w:t xml:space="preserve">, </w:t>
      </w:r>
      <w:hyperlink r:id="rId136" w:history="1">
        <w:r w:rsidRPr="00CA2712">
          <w:rPr>
            <w:rStyle w:val="Hyperlink"/>
            <w:szCs w:val="18"/>
          </w:rPr>
          <w:t>https://dx.doi.org/10.1787/a07f9958-en</w:t>
        </w:r>
      </w:hyperlink>
    </w:p>
    <w:p w14:paraId="2D066753" w14:textId="7A2BC30E" w:rsidR="00B54BFC" w:rsidRDefault="00B54BFC" w:rsidP="00011191">
      <w:pPr>
        <w:rPr>
          <w:rStyle w:val="Hyperlink"/>
        </w:rPr>
      </w:pPr>
      <w:r w:rsidRPr="00861E33">
        <w:t>Inland Revenue and Treasury</w:t>
      </w:r>
      <w:r w:rsidR="00E53134">
        <w:t>.</w:t>
      </w:r>
      <w:r w:rsidRPr="00861E33">
        <w:t xml:space="preserve"> </w:t>
      </w:r>
      <w:r>
        <w:t>(</w:t>
      </w:r>
      <w:r w:rsidRPr="00861E33">
        <w:t>2004</w:t>
      </w:r>
      <w:r>
        <w:t>)</w:t>
      </w:r>
      <w:r w:rsidR="002211F0">
        <w:t>.</w:t>
      </w:r>
      <w:r w:rsidRPr="00861E33">
        <w:t xml:space="preserve"> </w:t>
      </w:r>
      <w:r w:rsidRPr="00DB7D73">
        <w:rPr>
          <w:rStyle w:val="Emphasis"/>
        </w:rPr>
        <w:t xml:space="preserve">Repairs and maintenance to tax depreciation rules </w:t>
      </w:r>
      <w:r w:rsidR="00E53134" w:rsidRPr="00DB7D73">
        <w:rPr>
          <w:rStyle w:val="Emphasis"/>
        </w:rPr>
        <w:t>–</w:t>
      </w:r>
      <w:r w:rsidRPr="00DB7D73">
        <w:rPr>
          <w:rStyle w:val="Emphasis"/>
        </w:rPr>
        <w:t xml:space="preserve"> an officials’ issues paper</w:t>
      </w:r>
      <w:r w:rsidR="002211F0">
        <w:t>.</w:t>
      </w:r>
      <w:r w:rsidRPr="00861E33">
        <w:t xml:space="preserve"> </w:t>
      </w:r>
      <w:hyperlink r:id="rId137" w:history="1">
        <w:r w:rsidRPr="00663094">
          <w:rPr>
            <w:rStyle w:val="Hyperlink"/>
          </w:rPr>
          <w:t>https://taxpolicy.ird.govt.nz/publications/2004/2004-ip-depreciation</w:t>
        </w:r>
      </w:hyperlink>
    </w:p>
    <w:p w14:paraId="57AC86A3" w14:textId="719D614E" w:rsidR="006E32C8" w:rsidRPr="00707784" w:rsidRDefault="00B039DE" w:rsidP="00011191">
      <w:r w:rsidRPr="00CA2712">
        <w:rPr>
          <w:szCs w:val="18"/>
        </w:rPr>
        <w:t>Summers, L.H. (1987)</w:t>
      </w:r>
      <w:r>
        <w:rPr>
          <w:szCs w:val="18"/>
        </w:rPr>
        <w:t>.</w:t>
      </w:r>
      <w:r w:rsidRPr="00CA2712">
        <w:rPr>
          <w:szCs w:val="18"/>
        </w:rPr>
        <w:t xml:space="preserve"> Investment </w:t>
      </w:r>
      <w:r>
        <w:rPr>
          <w:szCs w:val="18"/>
        </w:rPr>
        <w:t>i</w:t>
      </w:r>
      <w:r w:rsidRPr="00CA2712">
        <w:rPr>
          <w:szCs w:val="18"/>
        </w:rPr>
        <w:t xml:space="preserve">ncentives and the </w:t>
      </w:r>
      <w:r>
        <w:rPr>
          <w:szCs w:val="18"/>
        </w:rPr>
        <w:t>d</w:t>
      </w:r>
      <w:r w:rsidRPr="00CA2712">
        <w:rPr>
          <w:szCs w:val="18"/>
        </w:rPr>
        <w:t xml:space="preserve">iscounting of </w:t>
      </w:r>
      <w:r>
        <w:rPr>
          <w:szCs w:val="18"/>
        </w:rPr>
        <w:t>d</w:t>
      </w:r>
      <w:r w:rsidRPr="00CA2712">
        <w:rPr>
          <w:szCs w:val="18"/>
        </w:rPr>
        <w:t xml:space="preserve">epreciation </w:t>
      </w:r>
      <w:r>
        <w:rPr>
          <w:szCs w:val="18"/>
        </w:rPr>
        <w:t>a</w:t>
      </w:r>
      <w:r w:rsidRPr="00CA2712">
        <w:rPr>
          <w:szCs w:val="18"/>
        </w:rPr>
        <w:t>llowances</w:t>
      </w:r>
      <w:r>
        <w:rPr>
          <w:szCs w:val="18"/>
        </w:rPr>
        <w:t>.</w:t>
      </w:r>
      <w:r w:rsidRPr="00CA2712">
        <w:rPr>
          <w:szCs w:val="18"/>
        </w:rPr>
        <w:t xml:space="preserve"> </w:t>
      </w:r>
      <w:r>
        <w:rPr>
          <w:szCs w:val="18"/>
        </w:rPr>
        <w:t>I</w:t>
      </w:r>
      <w:r w:rsidRPr="00CA2712">
        <w:rPr>
          <w:szCs w:val="18"/>
        </w:rPr>
        <w:t xml:space="preserve">n M.S. Feldstein (Ed.), </w:t>
      </w:r>
      <w:r w:rsidRPr="00CA2712">
        <w:rPr>
          <w:i/>
          <w:iCs/>
          <w:szCs w:val="18"/>
        </w:rPr>
        <w:t xml:space="preserve">The </w:t>
      </w:r>
      <w:r w:rsidR="004A129E">
        <w:rPr>
          <w:i/>
          <w:iCs/>
          <w:szCs w:val="18"/>
        </w:rPr>
        <w:t>e</w:t>
      </w:r>
      <w:r w:rsidRPr="00CA2712">
        <w:rPr>
          <w:i/>
          <w:iCs/>
          <w:szCs w:val="18"/>
        </w:rPr>
        <w:t xml:space="preserve">ffects of </w:t>
      </w:r>
      <w:r w:rsidR="004A129E">
        <w:rPr>
          <w:i/>
          <w:iCs/>
          <w:szCs w:val="18"/>
        </w:rPr>
        <w:t>t</w:t>
      </w:r>
      <w:r w:rsidRPr="00CA2712">
        <w:rPr>
          <w:i/>
          <w:iCs/>
          <w:szCs w:val="18"/>
        </w:rPr>
        <w:t xml:space="preserve">axation on </w:t>
      </w:r>
      <w:r w:rsidR="004A129E">
        <w:rPr>
          <w:i/>
          <w:iCs/>
          <w:szCs w:val="18"/>
        </w:rPr>
        <w:t>c</w:t>
      </w:r>
      <w:r w:rsidRPr="00CA2712">
        <w:rPr>
          <w:i/>
          <w:iCs/>
          <w:szCs w:val="18"/>
        </w:rPr>
        <w:t xml:space="preserve">apital </w:t>
      </w:r>
      <w:r w:rsidR="004A129E">
        <w:rPr>
          <w:i/>
          <w:iCs/>
          <w:szCs w:val="18"/>
        </w:rPr>
        <w:t>a</w:t>
      </w:r>
      <w:r w:rsidRPr="00CA2712">
        <w:rPr>
          <w:i/>
          <w:iCs/>
          <w:szCs w:val="18"/>
        </w:rPr>
        <w:t>ccumulation</w:t>
      </w:r>
      <w:r w:rsidR="004A129E">
        <w:rPr>
          <w:szCs w:val="18"/>
        </w:rPr>
        <w:t>.</w:t>
      </w:r>
      <w:r w:rsidRPr="00CA2712">
        <w:rPr>
          <w:szCs w:val="18"/>
        </w:rPr>
        <w:t xml:space="preserve"> pp. 295–304, University of Chicago Press.</w:t>
      </w:r>
    </w:p>
    <w:p w14:paraId="1019DB5E" w14:textId="327D1ED7" w:rsidR="00B46476" w:rsidRPr="00707784" w:rsidRDefault="00AA4B7B" w:rsidP="00A97630">
      <w:r w:rsidRPr="00707784">
        <w:t>McLeod Review</w:t>
      </w:r>
      <w:r w:rsidR="00087503">
        <w:t xml:space="preserve">. </w:t>
      </w:r>
      <w:r w:rsidR="001545BF">
        <w:t>(</w:t>
      </w:r>
      <w:r w:rsidR="00A97630">
        <w:t>2001).</w:t>
      </w:r>
      <w:r w:rsidRPr="00707784">
        <w:t xml:space="preserve"> </w:t>
      </w:r>
      <w:r w:rsidR="00A97630" w:rsidRPr="00DB7D73">
        <w:rPr>
          <w:rStyle w:val="Emphasis"/>
        </w:rPr>
        <w:t xml:space="preserve">Tax Review 2001 – </w:t>
      </w:r>
      <w:r w:rsidRPr="00DB7D73">
        <w:rPr>
          <w:rStyle w:val="Emphasis"/>
        </w:rPr>
        <w:t xml:space="preserve">Final </w:t>
      </w:r>
      <w:r w:rsidR="0076527A" w:rsidRPr="00DB7D73">
        <w:rPr>
          <w:rStyle w:val="Emphasis"/>
        </w:rPr>
        <w:t>r</w:t>
      </w:r>
      <w:r w:rsidRPr="00DB7D73">
        <w:rPr>
          <w:rStyle w:val="Emphasis"/>
        </w:rPr>
        <w:t>eport</w:t>
      </w:r>
      <w:r w:rsidR="00A97630">
        <w:t>.</w:t>
      </w:r>
      <w:r w:rsidR="0086034F" w:rsidRPr="00DB7D73">
        <w:t xml:space="preserve"> </w:t>
      </w:r>
      <w:hyperlink r:id="rId138" w:history="1">
        <w:r w:rsidR="004521E5" w:rsidRPr="00A97630">
          <w:rPr>
            <w:rStyle w:val="Hyperlink"/>
          </w:rPr>
          <w:t>https://www.treasury.govt.nz/sites/default/files/2007-11/taxreview2001-report.pdf</w:t>
        </w:r>
      </w:hyperlink>
    </w:p>
    <w:p w14:paraId="05A848BD" w14:textId="67FBCF2A" w:rsidR="004521E5" w:rsidRDefault="00394997" w:rsidP="00011191">
      <w:pPr>
        <w:rPr>
          <w:szCs w:val="20"/>
        </w:rPr>
      </w:pPr>
      <w:r w:rsidRPr="00CA2712">
        <w:rPr>
          <w:szCs w:val="18"/>
        </w:rPr>
        <w:t>Weisbach, D. (2004)</w:t>
      </w:r>
      <w:r>
        <w:rPr>
          <w:szCs w:val="18"/>
        </w:rPr>
        <w:t>.</w:t>
      </w:r>
      <w:r w:rsidRPr="00CA2712">
        <w:rPr>
          <w:szCs w:val="18"/>
        </w:rPr>
        <w:t xml:space="preserve"> </w:t>
      </w:r>
      <w:r w:rsidRPr="00B77198">
        <w:rPr>
          <w:szCs w:val="18"/>
        </w:rPr>
        <w:t>The (</w:t>
      </w:r>
      <w:r>
        <w:rPr>
          <w:szCs w:val="18"/>
        </w:rPr>
        <w:t>n</w:t>
      </w:r>
      <w:r w:rsidRPr="00B77198">
        <w:rPr>
          <w:szCs w:val="18"/>
        </w:rPr>
        <w:t>on</w:t>
      </w:r>
      <w:r>
        <w:rPr>
          <w:szCs w:val="18"/>
        </w:rPr>
        <w:t>-</w:t>
      </w:r>
      <w:r w:rsidRPr="00B77198">
        <w:rPr>
          <w:szCs w:val="18"/>
        </w:rPr>
        <w:t>)</w:t>
      </w:r>
      <w:r w:rsidR="0077644B">
        <w:rPr>
          <w:szCs w:val="18"/>
        </w:rPr>
        <w:t>t</w:t>
      </w:r>
      <w:r w:rsidRPr="00B77198">
        <w:rPr>
          <w:szCs w:val="18"/>
        </w:rPr>
        <w:t>axation of</w:t>
      </w:r>
      <w:r w:rsidR="0077644B">
        <w:rPr>
          <w:szCs w:val="18"/>
        </w:rPr>
        <w:t xml:space="preserve"> r</w:t>
      </w:r>
      <w:r w:rsidRPr="00B77198">
        <w:rPr>
          <w:szCs w:val="18"/>
        </w:rPr>
        <w:t>isk</w:t>
      </w:r>
      <w:r>
        <w:rPr>
          <w:i/>
          <w:iCs/>
          <w:szCs w:val="18"/>
        </w:rPr>
        <w:t>.</w:t>
      </w:r>
      <w:r w:rsidRPr="00CA2712">
        <w:rPr>
          <w:szCs w:val="18"/>
        </w:rPr>
        <w:t xml:space="preserve"> Chicago Law School.</w:t>
      </w:r>
    </w:p>
    <w:p w14:paraId="29467D22" w14:textId="00D21965" w:rsidR="00806178" w:rsidRDefault="009B16BD" w:rsidP="00D82914">
      <w:r w:rsidRPr="00CA2712">
        <w:rPr>
          <w:szCs w:val="18"/>
        </w:rPr>
        <w:t>Zwick, E. and Mahon, J</w:t>
      </w:r>
      <w:r>
        <w:rPr>
          <w:szCs w:val="18"/>
        </w:rPr>
        <w:t>.</w:t>
      </w:r>
      <w:r w:rsidRPr="00CA2712">
        <w:rPr>
          <w:szCs w:val="18"/>
        </w:rPr>
        <w:t xml:space="preserve"> (2017)</w:t>
      </w:r>
      <w:r w:rsidR="00F10279">
        <w:rPr>
          <w:szCs w:val="18"/>
        </w:rPr>
        <w:t>.</w:t>
      </w:r>
      <w:r w:rsidRPr="00CA2712">
        <w:rPr>
          <w:szCs w:val="18"/>
        </w:rPr>
        <w:t xml:space="preserve"> Tax policy and heterogeneous investment </w:t>
      </w:r>
      <w:proofErr w:type="spellStart"/>
      <w:r w:rsidRPr="00CA2712">
        <w:rPr>
          <w:szCs w:val="18"/>
        </w:rPr>
        <w:t>behav</w:t>
      </w:r>
      <w:r>
        <w:rPr>
          <w:szCs w:val="18"/>
        </w:rPr>
        <w:t>i</w:t>
      </w:r>
      <w:r w:rsidRPr="00CA2712">
        <w:rPr>
          <w:szCs w:val="18"/>
        </w:rPr>
        <w:t>or</w:t>
      </w:r>
      <w:proofErr w:type="spellEnd"/>
      <w:r w:rsidR="00F10279">
        <w:rPr>
          <w:szCs w:val="18"/>
        </w:rPr>
        <w:t>.</w:t>
      </w:r>
      <w:r w:rsidRPr="00CA2712">
        <w:rPr>
          <w:szCs w:val="18"/>
        </w:rPr>
        <w:t xml:space="preserve"> </w:t>
      </w:r>
      <w:r w:rsidRPr="00CA2712">
        <w:rPr>
          <w:i/>
          <w:iCs/>
          <w:szCs w:val="18"/>
        </w:rPr>
        <w:t>American Economic Review</w:t>
      </w:r>
      <w:r w:rsidRPr="00CA2712">
        <w:rPr>
          <w:szCs w:val="18"/>
        </w:rPr>
        <w:t>, Vol 107, No 1, 217</w:t>
      </w:r>
      <w:r w:rsidR="00E53134" w:rsidRPr="00831ADE">
        <w:rPr>
          <w:szCs w:val="18"/>
        </w:rPr>
        <w:t>–</w:t>
      </w:r>
      <w:r w:rsidRPr="00CA2712">
        <w:rPr>
          <w:szCs w:val="18"/>
        </w:rPr>
        <w:t>48.</w:t>
      </w:r>
    </w:p>
    <w:sectPr w:rsidR="00806178" w:rsidSect="00235661">
      <w:pgSz w:w="11906" w:h="16838" w:code="9"/>
      <w:pgMar w:top="1304" w:right="1559" w:bottom="1134" w:left="1559"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1EB42" w14:textId="77777777" w:rsidR="00183FF7" w:rsidRDefault="00183FF7">
      <w:r>
        <w:separator/>
      </w:r>
    </w:p>
    <w:p w14:paraId="664B0A62" w14:textId="77777777" w:rsidR="00183FF7" w:rsidRDefault="00183FF7"/>
  </w:endnote>
  <w:endnote w:type="continuationSeparator" w:id="0">
    <w:p w14:paraId="3859B8DF" w14:textId="77777777" w:rsidR="00183FF7" w:rsidRDefault="00183FF7">
      <w:r>
        <w:continuationSeparator/>
      </w:r>
    </w:p>
    <w:p w14:paraId="651601CD" w14:textId="77777777" w:rsidR="00183FF7" w:rsidRDefault="00183FF7"/>
  </w:endnote>
  <w:endnote w:type="continuationNotice" w:id="1">
    <w:p w14:paraId="4ED8D382" w14:textId="77777777" w:rsidR="00183FF7" w:rsidRDefault="00183FF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1FD1" w14:textId="77777777" w:rsidR="001A3EBC" w:rsidRDefault="001A3E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B702" w14:textId="77777777" w:rsidR="001A3EBC" w:rsidRDefault="001A3EBC">
    <w:pPr>
      <w:pStyle w:val="Footer"/>
      <w:jc w:val="right"/>
    </w:pPr>
    <w:r>
      <w:fldChar w:fldCharType="begin"/>
    </w:r>
    <w:r>
      <w:instrText xml:space="preserve"> PAGE </w:instrText>
    </w:r>
    <w:r>
      <w:fldChar w:fldCharType="separate"/>
    </w:r>
    <w:r>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198886"/>
      <w:docPartObj>
        <w:docPartGallery w:val="Page Numbers (Bottom of Page)"/>
        <w:docPartUnique/>
      </w:docPartObj>
    </w:sdtPr>
    <w:sdtEndPr>
      <w:rPr>
        <w:noProof/>
      </w:rPr>
    </w:sdtEndPr>
    <w:sdtContent>
      <w:p w14:paraId="1D13D7A9" w14:textId="12D90376" w:rsidR="00203869" w:rsidRDefault="00940CE5" w:rsidP="005A01F7">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00762" w14:textId="77777777" w:rsidR="00183FF7" w:rsidRDefault="00183FF7">
      <w:r>
        <w:separator/>
      </w:r>
    </w:p>
  </w:footnote>
  <w:footnote w:type="continuationSeparator" w:id="0">
    <w:p w14:paraId="054D93C9" w14:textId="77777777" w:rsidR="00183FF7" w:rsidRDefault="00183FF7">
      <w:r>
        <w:continuationSeparator/>
      </w:r>
    </w:p>
    <w:p w14:paraId="0C2B3647" w14:textId="77777777" w:rsidR="00183FF7" w:rsidRDefault="00183FF7"/>
  </w:footnote>
  <w:footnote w:type="continuationNotice" w:id="1">
    <w:p w14:paraId="2824AB4B" w14:textId="77777777" w:rsidR="00183FF7" w:rsidRDefault="00183FF7">
      <w:pPr>
        <w:spacing w:before="0"/>
      </w:pPr>
    </w:p>
  </w:footnote>
  <w:footnote w:id="2">
    <w:p w14:paraId="2F9A0A5A" w14:textId="05AA71A8" w:rsidR="00DE181F" w:rsidRPr="00225605" w:rsidRDefault="0019277A" w:rsidP="006A45F9">
      <w:pPr>
        <w:pStyle w:val="FootnoteText"/>
        <w:jc w:val="left"/>
      </w:pPr>
      <w:r w:rsidRPr="006A45F9">
        <w:rPr>
          <w:rStyle w:val="FootnoteReference"/>
        </w:rPr>
        <w:footnoteRef/>
      </w:r>
      <w:r w:rsidRPr="006A45F9">
        <w:t xml:space="preserve"> </w:t>
      </w:r>
      <w:r w:rsidRPr="00225605">
        <w:t xml:space="preserve">Inland Revenue. (2022). </w:t>
      </w:r>
      <w:r w:rsidR="00225605" w:rsidRPr="00225605">
        <w:rPr>
          <w:i/>
          <w:iCs/>
        </w:rPr>
        <w:t>Final</w:t>
      </w:r>
      <w:r w:rsidR="00EA1528" w:rsidRPr="00225605">
        <w:rPr>
          <w:rStyle w:val="Emphasis"/>
          <w:i w:val="0"/>
          <w:iCs w:val="0"/>
        </w:rPr>
        <w:t xml:space="preserve"> </w:t>
      </w:r>
      <w:r w:rsidR="00EA1528" w:rsidRPr="00225605">
        <w:rPr>
          <w:rStyle w:val="Emphasis"/>
        </w:rPr>
        <w:t>l</w:t>
      </w:r>
      <w:r w:rsidRPr="00225605">
        <w:rPr>
          <w:rStyle w:val="Emphasis"/>
        </w:rPr>
        <w:t>ong-term insights briefing</w:t>
      </w:r>
      <w:r w:rsidRPr="00225605">
        <w:t>.</w:t>
      </w:r>
    </w:p>
    <w:p w14:paraId="68959FB3" w14:textId="27F5A920" w:rsidR="0019277A" w:rsidRPr="00225605" w:rsidRDefault="008F32C3" w:rsidP="006A45F9">
      <w:pPr>
        <w:pStyle w:val="FootnoteText"/>
        <w:jc w:val="left"/>
      </w:pPr>
      <w:hyperlink r:id="rId1" w:history="1">
        <w:r w:rsidR="00940DAC" w:rsidRPr="00225605">
          <w:rPr>
            <w:rStyle w:val="Hyperlink"/>
          </w:rPr>
          <w:t>https://taxpolicy.ird.govt.nz/publications/2022/2022-other-final-ltib</w:t>
        </w:r>
      </w:hyperlink>
    </w:p>
  </w:footnote>
  <w:footnote w:id="3">
    <w:p w14:paraId="6DD20A30" w14:textId="77777777" w:rsidR="00940DAC" w:rsidRPr="00225605" w:rsidRDefault="002E7B2E" w:rsidP="002E7B2E">
      <w:pPr>
        <w:pStyle w:val="FootnoteText"/>
      </w:pPr>
      <w:r w:rsidRPr="00225605">
        <w:rPr>
          <w:rStyle w:val="FootnoteReference"/>
        </w:rPr>
        <w:footnoteRef/>
      </w:r>
      <w:r w:rsidRPr="00225605">
        <w:t xml:space="preserve"> The draft LTIB and former technical appendices are available at</w:t>
      </w:r>
      <w:r w:rsidR="00940DAC" w:rsidRPr="00225605">
        <w:t>:</w:t>
      </w:r>
    </w:p>
    <w:p w14:paraId="6502D257" w14:textId="2D393739" w:rsidR="002E7B2E" w:rsidRPr="003E53F7" w:rsidRDefault="008F32C3" w:rsidP="002E7B2E">
      <w:pPr>
        <w:pStyle w:val="FootnoteText"/>
        <w:rPr>
          <w:lang w:val="en-US"/>
        </w:rPr>
      </w:pPr>
      <w:hyperlink r:id="rId2" w:history="1">
        <w:r w:rsidR="00940DAC" w:rsidRPr="00225605">
          <w:rPr>
            <w:rStyle w:val="Hyperlink"/>
          </w:rPr>
          <w:t>https://taxpolicy.ird.govt.nz/publications/2022/2022-other-draft-ltib</w:t>
        </w:r>
      </w:hyperlink>
    </w:p>
  </w:footnote>
  <w:footnote w:id="4">
    <w:p w14:paraId="48FE4203" w14:textId="23DB87F7" w:rsidR="00177F24" w:rsidRPr="006A45F9" w:rsidRDefault="00177F24">
      <w:pPr>
        <w:pStyle w:val="FootnoteText"/>
      </w:pPr>
      <w:r w:rsidRPr="006A45F9">
        <w:rPr>
          <w:rStyle w:val="FootnoteReference"/>
        </w:rPr>
        <w:footnoteRef/>
      </w:r>
      <w:r w:rsidRPr="006A45F9">
        <w:t xml:space="preserve"> OECD. </w:t>
      </w:r>
      <w:proofErr w:type="spellStart"/>
      <w:r w:rsidRPr="00B91D5F">
        <w:rPr>
          <w:rStyle w:val="Emphasis"/>
        </w:rPr>
        <w:t>OECD.Stat</w:t>
      </w:r>
      <w:proofErr w:type="spellEnd"/>
      <w:r w:rsidRPr="006A45F9">
        <w:t xml:space="preserve">. Public Sector, Taxation and Market Regulation &gt; Taxation &gt; Corporate Tax Statistics &gt; Effective Tax Rates. </w:t>
      </w:r>
      <w:hyperlink r:id="rId3" w:history="1">
        <w:r w:rsidRPr="006A45F9">
          <w:rPr>
            <w:rStyle w:val="Hyperlink"/>
          </w:rPr>
          <w:t>https://stats.oecd.org/</w:t>
        </w:r>
      </w:hyperlink>
    </w:p>
  </w:footnote>
  <w:footnote w:id="5">
    <w:p w14:paraId="14FD7098" w14:textId="7AFEFAAE" w:rsidR="007C1EA1" w:rsidRPr="006A45F9" w:rsidRDefault="007C1EA1" w:rsidP="007C1EA1">
      <w:pPr>
        <w:pStyle w:val="FootnoteText"/>
        <w:rPr>
          <w:rStyle w:val="FooterChar"/>
        </w:rPr>
      </w:pPr>
      <w:r w:rsidRPr="006A45F9">
        <w:rPr>
          <w:rStyle w:val="FootnoteReference"/>
        </w:rPr>
        <w:footnoteRef/>
      </w:r>
      <w:r w:rsidRPr="006A45F9">
        <w:t xml:space="preserve"> </w:t>
      </w:r>
      <w:r w:rsidR="00686F35">
        <w:t>While our cost of capital measures are identical,</w:t>
      </w:r>
      <w:r w:rsidR="00226613">
        <w:t xml:space="preserve"> there is a difference </w:t>
      </w:r>
      <w:r w:rsidR="00170CE4">
        <w:t xml:space="preserve">in our estimates of EMTRs because of the indirect way that the OECD calculates these. </w:t>
      </w:r>
      <w:r w:rsidR="00686F35" w:rsidRPr="006A45F9">
        <w:t xml:space="preserve">The OECD calculates its EMTR as a weighted average of the EMTRs for a fully equity-financed and a fully debt-financed investment. This can make their estimates appear inconsistent with their cost of capital estimates. Our EMTR is always given by </w:t>
      </w:r>
      <w:r w:rsidR="008B31AF" w:rsidRPr="006A45F9">
        <w:rPr>
          <w:position w:val="-10"/>
        </w:rPr>
        <w:object w:dxaOrig="1640" w:dyaOrig="300" w14:anchorId="1F394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82.5pt;height:15.75pt" o:ole="">
            <v:imagedata r:id="rId4" o:title=""/>
          </v:shape>
          <o:OLEObject Type="Embed" ProgID="Equation.DSMT4" ShapeID="_x0000_i1084" DrawAspect="Content" ObjectID="_1723472682" r:id="rId5"/>
        </w:object>
      </w:r>
      <w:r w:rsidR="00686F35" w:rsidRPr="006A45F9">
        <w:t xml:space="preserve"> where </w:t>
      </w:r>
      <w:r w:rsidR="00686F35" w:rsidRPr="006A45F9">
        <w:rPr>
          <w:i/>
          <w:iCs/>
        </w:rPr>
        <w:t>p</w:t>
      </w:r>
      <w:r w:rsidR="00686F35" w:rsidRPr="006A45F9">
        <w:t xml:space="preserve"> is the cost of capital for the partially debt-financed investment and </w:t>
      </w:r>
      <w:r w:rsidR="00B56E62" w:rsidRPr="006A45F9">
        <w:rPr>
          <w:position w:val="-10"/>
        </w:rPr>
        <w:object w:dxaOrig="360" w:dyaOrig="300" w14:anchorId="74562183">
          <v:shape id="_x0000_i1086" type="#_x0000_t75" style="width:19.5pt;height:15.75pt" o:ole="">
            <v:imagedata r:id="rId6" o:title=""/>
          </v:shape>
          <o:OLEObject Type="Embed" ProgID="Equation.DSMT4" ShapeID="_x0000_i1086" DrawAspect="Content" ObjectID="_1723472683" r:id="rId7"/>
        </w:object>
      </w:r>
      <w:r w:rsidR="00686F35" w:rsidRPr="006A45F9">
        <w:t xml:space="preserve"> is the real weighted average cost of funds to the economy. For example, suppose</w:t>
      </w:r>
      <w:r w:rsidR="00B56E62" w:rsidRPr="006A45F9">
        <w:rPr>
          <w:position w:val="-10"/>
        </w:rPr>
        <w:object w:dxaOrig="760" w:dyaOrig="300" w14:anchorId="27508970">
          <v:shape id="_x0000_i1088" type="#_x0000_t75" style="width:39.75pt;height:15.75pt" o:ole="">
            <v:imagedata r:id="rId8" o:title=""/>
          </v:shape>
          <o:OLEObject Type="Embed" ProgID="Equation.DSMT4" ShapeID="_x0000_i1088" DrawAspect="Content" ObjectID="_1723472684" r:id="rId9"/>
        </w:object>
      </w:r>
      <w:r w:rsidR="00686F35" w:rsidRPr="006A45F9">
        <w:t xml:space="preserve">, the cost of capital for a 100% equity-financed investment is 4%, the cost of capital for a 100% debt-financed investment is 2% and the cost of capital for a 50% debt-financed investment is 3%. We would calculate the EMTR for a 50% debt-financed investment as being zero (because the cost of capital and cost of funds are both 3%). The OECD methodology would result in their estimate being </w:t>
      </w:r>
      <w:r w:rsidR="00686F35" w:rsidRPr="006A45F9">
        <w:noBreakHyphen/>
        <w:t xml:space="preserve">12.5% because the EMTR for a 100% equity-financed investment is 25% and the EMTR for a 100% debt-financed investment is </w:t>
      </w:r>
      <w:r w:rsidR="00686F35" w:rsidRPr="006A45F9">
        <w:noBreakHyphen/>
        <w:t>50%.</w:t>
      </w:r>
    </w:p>
  </w:footnote>
  <w:footnote w:id="6">
    <w:p w14:paraId="6B3E8AD8" w14:textId="32998FCB" w:rsidR="005B4870" w:rsidRPr="006A45F9" w:rsidRDefault="005B4870" w:rsidP="005B4870">
      <w:pPr>
        <w:pStyle w:val="FootnoteText"/>
        <w:rPr>
          <w:rStyle w:val="FooterChar"/>
        </w:rPr>
      </w:pPr>
      <w:r w:rsidRPr="006A45F9">
        <w:rPr>
          <w:rStyle w:val="FootnoteReference"/>
        </w:rPr>
        <w:footnoteRef/>
      </w:r>
      <w:r w:rsidRPr="006A45F9">
        <w:t xml:space="preserve"> </w:t>
      </w:r>
      <w:r w:rsidRPr="006A45F9">
        <w:rPr>
          <w:rStyle w:val="FooterChar"/>
        </w:rPr>
        <w:t>Note that the OECD</w:t>
      </w:r>
      <w:r w:rsidR="00E47E95">
        <w:rPr>
          <w:rStyle w:val="FooterChar"/>
        </w:rPr>
        <w:t xml:space="preserve"> in their modelling (see Hanappi, 2018) </w:t>
      </w:r>
      <w:r w:rsidRPr="006A45F9">
        <w:rPr>
          <w:rStyle w:val="FooterChar"/>
        </w:rPr>
        <w:t>discount returns net of cash flows associated with borrowing (including borrowing, repayments of loans and interest payments) at the discount rate of shareholders rather than at a weighted</w:t>
      </w:r>
      <w:r w:rsidR="00637381">
        <w:rPr>
          <w:rStyle w:val="FooterChar"/>
        </w:rPr>
        <w:t xml:space="preserve"> </w:t>
      </w:r>
      <w:r w:rsidRPr="006A45F9">
        <w:rPr>
          <w:rStyle w:val="FooterChar"/>
        </w:rPr>
        <w:t>average interest rate. A marginal investment is one that just breaks even for shareholders when cash flows are discounted at this rate. But a marginal investment will also be one at which the net present value is zero when all cash flows (inclusive of those associated with borrowing) are discounted at the weighted average cost of funds. We take this second approach, which simplifies the model.</w:t>
      </w:r>
    </w:p>
  </w:footnote>
  <w:footnote w:id="7">
    <w:p w14:paraId="59D53AE1" w14:textId="40A7F12D" w:rsidR="007C1EA1" w:rsidRPr="006A45F9" w:rsidRDefault="007C1EA1" w:rsidP="007C1EA1">
      <w:pPr>
        <w:pStyle w:val="FootnoteText"/>
        <w:rPr>
          <w:rStyle w:val="FooterChar"/>
        </w:rPr>
      </w:pPr>
      <w:r w:rsidRPr="006A45F9">
        <w:rPr>
          <w:rStyle w:val="FootnoteReference"/>
        </w:rPr>
        <w:footnoteRef/>
      </w:r>
      <w:r w:rsidRPr="006A45F9">
        <w:t xml:space="preserve"> </w:t>
      </w:r>
      <w:r w:rsidR="000C70F8" w:rsidRPr="006A45F9">
        <w:t xml:space="preserve">See </w:t>
      </w:r>
      <w:r w:rsidRPr="006A45F9">
        <w:rPr>
          <w:rStyle w:val="FooterChar"/>
        </w:rPr>
        <w:t xml:space="preserve">Hall, R.E. and D.W. Jorgenson </w:t>
      </w:r>
      <w:r w:rsidR="004A7009" w:rsidRPr="006A45F9">
        <w:rPr>
          <w:rStyle w:val="FooterChar"/>
        </w:rPr>
        <w:t>(</w:t>
      </w:r>
      <w:r w:rsidRPr="006A45F9">
        <w:rPr>
          <w:rStyle w:val="FooterChar"/>
        </w:rPr>
        <w:t>1967</w:t>
      </w:r>
      <w:r w:rsidR="004A7009" w:rsidRPr="006A45F9">
        <w:rPr>
          <w:rStyle w:val="FooterChar"/>
        </w:rPr>
        <w:t>)</w:t>
      </w:r>
      <w:r w:rsidRPr="006A45F9">
        <w:rPr>
          <w:rStyle w:val="FooterChar"/>
        </w:rPr>
        <w:t>.</w:t>
      </w:r>
    </w:p>
  </w:footnote>
  <w:footnote w:id="8">
    <w:p w14:paraId="762C8B11" w14:textId="19DD094D" w:rsidR="00E64783" w:rsidRPr="00C92668" w:rsidRDefault="00E64783">
      <w:pPr>
        <w:pStyle w:val="FootnoteText"/>
        <w:rPr>
          <w:lang w:val="en-US"/>
        </w:rPr>
      </w:pPr>
      <w:r>
        <w:rPr>
          <w:rStyle w:val="FootnoteReference"/>
        </w:rPr>
        <w:footnoteRef/>
      </w:r>
      <w:r>
        <w:t xml:space="preserve"> </w:t>
      </w:r>
      <w:r w:rsidRPr="0019147D">
        <w:rPr>
          <w:lang w:val="en-US"/>
        </w:rPr>
        <w:t xml:space="preserve">One referee </w:t>
      </w:r>
      <w:r w:rsidR="003F7992" w:rsidRPr="0019147D">
        <w:rPr>
          <w:lang w:val="en-US"/>
        </w:rPr>
        <w:t xml:space="preserve">expressed concerns about </w:t>
      </w:r>
      <w:r w:rsidR="001B4CF2" w:rsidRPr="0019147D">
        <w:rPr>
          <w:lang w:val="en-US"/>
        </w:rPr>
        <w:t>our use of the OECD assumption that the real costs of debt and equity are the same. He commented that</w:t>
      </w:r>
      <w:r w:rsidR="00766C36" w:rsidRPr="0019147D">
        <w:rPr>
          <w:lang w:val="en-US"/>
        </w:rPr>
        <w:t xml:space="preserve"> our assumption was incompatible with capital market equilibrium. </w:t>
      </w:r>
      <w:r w:rsidR="00A420F9" w:rsidRPr="0019147D">
        <w:rPr>
          <w:lang w:val="en-US"/>
        </w:rPr>
        <w:t xml:space="preserve">In many countries </w:t>
      </w:r>
      <w:r w:rsidR="00BD6760" w:rsidRPr="0019147D">
        <w:rPr>
          <w:lang w:val="en-US"/>
        </w:rPr>
        <w:t xml:space="preserve">income from </w:t>
      </w:r>
      <w:r w:rsidR="00087305" w:rsidRPr="0019147D">
        <w:rPr>
          <w:lang w:val="en-US"/>
        </w:rPr>
        <w:t xml:space="preserve">abroad on </w:t>
      </w:r>
      <w:r w:rsidR="00BD6760" w:rsidRPr="0019147D">
        <w:rPr>
          <w:lang w:val="en-US"/>
        </w:rPr>
        <w:t xml:space="preserve">debt instruments is taxed more heavily than income from </w:t>
      </w:r>
      <w:r w:rsidR="00087305" w:rsidRPr="0019147D">
        <w:rPr>
          <w:lang w:val="en-US"/>
        </w:rPr>
        <w:t xml:space="preserve">abroad on </w:t>
      </w:r>
      <w:r w:rsidR="00BD6760" w:rsidRPr="0019147D">
        <w:rPr>
          <w:lang w:val="en-US"/>
        </w:rPr>
        <w:t>equity instruments</w:t>
      </w:r>
      <w:r w:rsidR="00087305" w:rsidRPr="0019147D">
        <w:rPr>
          <w:lang w:val="en-US"/>
        </w:rPr>
        <w:t xml:space="preserve">. This suggests that </w:t>
      </w:r>
      <w:r w:rsidR="002179D0" w:rsidRPr="0019147D">
        <w:rPr>
          <w:lang w:val="en-US"/>
        </w:rPr>
        <w:t xml:space="preserve">debt instruments should </w:t>
      </w:r>
      <w:r w:rsidR="0004433C" w:rsidRPr="0019147D">
        <w:rPr>
          <w:lang w:val="en-US"/>
        </w:rPr>
        <w:t>be required to generate higher risk-adjusted returns than equity instruments.</w:t>
      </w:r>
      <w:r w:rsidR="004B2010" w:rsidRPr="0019147D">
        <w:rPr>
          <w:lang w:val="en-US"/>
        </w:rPr>
        <w:t xml:space="preserve"> A practical problem though is </w:t>
      </w:r>
      <w:r w:rsidR="00AD1A0B" w:rsidRPr="0019147D">
        <w:rPr>
          <w:lang w:val="en-US"/>
        </w:rPr>
        <w:t>in deciding an appropriate premium for debt given differences of tax treatments in different countries. There are similar issue</w:t>
      </w:r>
      <w:r w:rsidR="00D9789B" w:rsidRPr="0019147D">
        <w:rPr>
          <w:lang w:val="en-US"/>
        </w:rPr>
        <w:t>s with modelling inflation. We assume that a fixed real return is required on debt instruments irrespective of the domestic interest rate. If</w:t>
      </w:r>
      <w:r w:rsidR="00E655D8" w:rsidRPr="0019147D">
        <w:rPr>
          <w:lang w:val="en-US"/>
        </w:rPr>
        <w:t xml:space="preserve"> interest receipts are taxed at income tax rates while exchange losses are deducted at a lower capital gains tax rate, it is possible for </w:t>
      </w:r>
      <w:r w:rsidR="00DD5A26" w:rsidRPr="0019147D">
        <w:rPr>
          <w:lang w:val="en-US"/>
        </w:rPr>
        <w:t xml:space="preserve">higher domestic inflation rates to push up the real </w:t>
      </w:r>
      <w:r w:rsidR="006848AC" w:rsidRPr="0019147D">
        <w:rPr>
          <w:lang w:val="en-US"/>
        </w:rPr>
        <w:t>interest rate the New Zealand is required to pay on its debt. These are complex issues which we</w:t>
      </w:r>
      <w:r w:rsidR="00EE00F3" w:rsidRPr="0019147D">
        <w:rPr>
          <w:lang w:val="en-US"/>
        </w:rPr>
        <w:t xml:space="preserve"> ignore in this study.</w:t>
      </w:r>
      <w:r w:rsidR="00E362A7" w:rsidRPr="0019147D">
        <w:rPr>
          <w:lang w:val="en-US"/>
        </w:rPr>
        <w:t xml:space="preserve"> </w:t>
      </w:r>
      <w:proofErr w:type="spellStart"/>
      <w:r w:rsidR="00D11A17" w:rsidRPr="0019147D">
        <w:rPr>
          <w:lang w:val="en-US"/>
        </w:rPr>
        <w:t>Boadway</w:t>
      </w:r>
      <w:proofErr w:type="spellEnd"/>
      <w:r w:rsidR="00D11A17" w:rsidRPr="0019147D">
        <w:rPr>
          <w:lang w:val="en-US"/>
        </w:rPr>
        <w:t>, Bruce and Mintz (1984) is a</w:t>
      </w:r>
      <w:r w:rsidR="00C80022" w:rsidRPr="0019147D">
        <w:rPr>
          <w:lang w:val="en-US"/>
        </w:rPr>
        <w:t xml:space="preserve"> fo</w:t>
      </w:r>
      <w:r w:rsidR="00BD1366" w:rsidRPr="0019147D">
        <w:rPr>
          <w:lang w:val="en-US"/>
        </w:rPr>
        <w:t xml:space="preserve">rmal model which </w:t>
      </w:r>
      <w:r w:rsidR="00736D66" w:rsidRPr="0019147D">
        <w:rPr>
          <w:lang w:val="en-US"/>
        </w:rPr>
        <w:t xml:space="preserve">works through these issues. </w:t>
      </w:r>
      <w:r w:rsidR="00E362A7" w:rsidRPr="0019147D">
        <w:rPr>
          <w:lang w:val="en-US"/>
        </w:rPr>
        <w:t>As is</w:t>
      </w:r>
      <w:r w:rsidR="00E362A7">
        <w:rPr>
          <w:lang w:val="en-US"/>
        </w:rPr>
        <w:t xml:space="preserve"> </w:t>
      </w:r>
      <w:r w:rsidR="00E362A7" w:rsidRPr="0019147D">
        <w:rPr>
          <w:lang w:val="en-US"/>
        </w:rPr>
        <w:t>discussed later, we do</w:t>
      </w:r>
      <w:r w:rsidR="003C4AA3" w:rsidRPr="0019147D">
        <w:rPr>
          <w:lang w:val="en-US"/>
        </w:rPr>
        <w:t>, however, check whether results are sensitive to the assumption that the real required returns on debt and equity are the same. Changing this assumption slightly has li</w:t>
      </w:r>
      <w:r w:rsidR="004076F6" w:rsidRPr="00800F46">
        <w:rPr>
          <w:lang w:val="en-US"/>
        </w:rPr>
        <w:t>ttle effects on our estimates o</w:t>
      </w:r>
      <w:r w:rsidR="004076F6" w:rsidRPr="00832C2B">
        <w:rPr>
          <w:lang w:val="en-US"/>
        </w:rPr>
        <w:t>f EMTRs.</w:t>
      </w:r>
    </w:p>
  </w:footnote>
  <w:footnote w:id="9">
    <w:p w14:paraId="48D8BF77" w14:textId="17F81029" w:rsidR="008E3BBB" w:rsidRPr="000F054C" w:rsidRDefault="008E3BBB">
      <w:pPr>
        <w:pStyle w:val="FootnoteText"/>
      </w:pPr>
      <w:r w:rsidRPr="006A45F9">
        <w:rPr>
          <w:rStyle w:val="FootnoteReference"/>
        </w:rPr>
        <w:footnoteRef/>
      </w:r>
      <w:r w:rsidRPr="006A45F9">
        <w:t xml:space="preserve"> Inland Revenue and Treasury</w:t>
      </w:r>
      <w:r w:rsidR="00343D4B" w:rsidRPr="006A45F9">
        <w:t>.</w:t>
      </w:r>
      <w:r w:rsidRPr="006A45F9">
        <w:t xml:space="preserve"> (2004)</w:t>
      </w:r>
      <w:r w:rsidR="00343D4B" w:rsidRPr="006A45F9">
        <w:t>.</w:t>
      </w:r>
      <w:r w:rsidRPr="006A45F9">
        <w:t xml:space="preserve"> </w:t>
      </w:r>
      <w:r w:rsidRPr="006A45F9">
        <w:rPr>
          <w:i/>
          <w:iCs/>
        </w:rPr>
        <w:t xml:space="preserve">Repairs and maintenance to tax depreciation rules </w:t>
      </w:r>
      <w:r w:rsidR="00343D4B" w:rsidRPr="006A45F9">
        <w:rPr>
          <w:i/>
          <w:iCs/>
        </w:rPr>
        <w:t>–</w:t>
      </w:r>
      <w:r w:rsidRPr="006A45F9">
        <w:rPr>
          <w:i/>
          <w:iCs/>
        </w:rPr>
        <w:t xml:space="preserve"> an officials’ issues paper</w:t>
      </w:r>
      <w:r w:rsidRPr="006A45F9">
        <w:t xml:space="preserve">. </w:t>
      </w:r>
      <w:hyperlink r:id="rId10" w:history="1">
        <w:r w:rsidRPr="006A45F9">
          <w:rPr>
            <w:rStyle w:val="Hyperlink"/>
          </w:rPr>
          <w:t>https://taxpolicy.ird.govt.nz/publications/2004/2004-ip-depreciation</w:t>
        </w:r>
      </w:hyperlink>
    </w:p>
  </w:footnote>
  <w:footnote w:id="10">
    <w:p w14:paraId="569C2352" w14:textId="773873FF" w:rsidR="00A964B5" w:rsidRPr="006A45F9" w:rsidRDefault="00A964B5" w:rsidP="00802495">
      <w:pPr>
        <w:pStyle w:val="FootnoteText"/>
        <w:jc w:val="left"/>
      </w:pPr>
      <w:r w:rsidRPr="006A45F9">
        <w:rPr>
          <w:rStyle w:val="FootnoteReference"/>
        </w:rPr>
        <w:footnoteRef/>
      </w:r>
      <w:r w:rsidR="00117297" w:rsidRPr="006A45F9">
        <w:t xml:space="preserve"> </w:t>
      </w:r>
      <w:r w:rsidR="00117297" w:rsidRPr="00CA2F0D">
        <w:t xml:space="preserve">These BEA estimates are available at </w:t>
      </w:r>
      <w:hyperlink r:id="rId11" w:history="1">
        <w:r w:rsidR="006A45F9" w:rsidRPr="00CA2F0D">
          <w:rPr>
            <w:rStyle w:val="Hyperlink"/>
          </w:rPr>
          <w:t>https://search.bea.gov/search?affiliate=u.s.bureauofeconomicanalysis&amp;query=depreciation+rates</w:t>
        </w:r>
      </w:hyperlink>
    </w:p>
  </w:footnote>
  <w:footnote w:id="11">
    <w:p w14:paraId="613E6149" w14:textId="417926ED" w:rsidR="0029729D" w:rsidRPr="000F054C" w:rsidRDefault="0029729D" w:rsidP="0029729D">
      <w:pPr>
        <w:pStyle w:val="FootnoteText"/>
        <w:rPr>
          <w:szCs w:val="18"/>
        </w:rPr>
      </w:pPr>
      <w:r w:rsidRPr="006A45F9">
        <w:rPr>
          <w:rStyle w:val="FootnoteReference"/>
        </w:rPr>
        <w:footnoteRef/>
      </w:r>
      <w:r w:rsidRPr="006A45F9">
        <w:t xml:space="preserve"> </w:t>
      </w:r>
      <w:r w:rsidRPr="006A45F9">
        <w:rPr>
          <w:szCs w:val="18"/>
        </w:rPr>
        <w:t xml:space="preserve">Treating buildings as being either commercial or industrial buildings with an economic depreciation rate of 2.69% is consistent with the approach the OECD used up until 2021. The </w:t>
      </w:r>
      <w:r w:rsidR="00E76C0C">
        <w:rPr>
          <w:szCs w:val="18"/>
        </w:rPr>
        <w:t xml:space="preserve">OECD </w:t>
      </w:r>
      <w:r w:rsidRPr="006A45F9">
        <w:rPr>
          <w:szCs w:val="18"/>
        </w:rPr>
        <w:t>ha</w:t>
      </w:r>
      <w:r w:rsidR="00E76C0C">
        <w:rPr>
          <w:szCs w:val="18"/>
        </w:rPr>
        <w:t>s</w:t>
      </w:r>
      <w:r w:rsidRPr="006A45F9">
        <w:rPr>
          <w:szCs w:val="18"/>
        </w:rPr>
        <w:t xml:space="preserve"> recently updated their work to include a wider group of structures within their definition of buildings. This has led them to estimate a slightly higher average economic depreciation rate of 3.29%. Because we are continuing to use the OECD’s former approach, there is a slight inconsistency between how we define buildings and the OECD’s current definition.</w:t>
      </w:r>
    </w:p>
  </w:footnote>
  <w:footnote w:id="12">
    <w:p w14:paraId="31271EF6" w14:textId="77777777" w:rsidR="0029729D" w:rsidRPr="000F054C" w:rsidRDefault="0029729D" w:rsidP="0029729D">
      <w:pPr>
        <w:pStyle w:val="FootnoteText"/>
        <w:rPr>
          <w:szCs w:val="18"/>
        </w:rPr>
      </w:pPr>
      <w:r w:rsidRPr="006A45F9">
        <w:rPr>
          <w:rStyle w:val="FootnoteReference"/>
          <w:szCs w:val="18"/>
        </w:rPr>
        <w:footnoteRef/>
      </w:r>
      <w:r w:rsidRPr="006A45F9">
        <w:rPr>
          <w:szCs w:val="18"/>
        </w:rPr>
        <w:t xml:space="preserve"> Note that because land is in fixed supply, this will mean that a low EMTR for land is likely to produce little in the way of real investment distortions. It can, however, create ownership biases, with those on high marginal tax rates being attracted to investments with low EMTRs.</w:t>
      </w:r>
    </w:p>
  </w:footnote>
  <w:footnote w:id="13">
    <w:p w14:paraId="592B8354" w14:textId="443B6C0D" w:rsidR="00C978E8" w:rsidRPr="00444F07" w:rsidRDefault="00C978E8">
      <w:pPr>
        <w:pStyle w:val="FootnoteText"/>
        <w:rPr>
          <w:lang w:val="en-US"/>
        </w:rPr>
      </w:pPr>
      <w:r>
        <w:rPr>
          <w:rStyle w:val="FootnoteReference"/>
        </w:rPr>
        <w:footnoteRef/>
      </w:r>
      <w:r>
        <w:t xml:space="preserve"> </w:t>
      </w:r>
      <w:r w:rsidR="00EB495B">
        <w:t xml:space="preserve">It should be noted that even for assets </w:t>
      </w:r>
      <w:r w:rsidR="007F7BFC">
        <w:t>that</w:t>
      </w:r>
      <w:r w:rsidR="001C50B2">
        <w:t xml:space="preserve"> depreciate extremely quickly and </w:t>
      </w:r>
      <w:r w:rsidR="00457075">
        <w:t xml:space="preserve">are </w:t>
      </w:r>
      <w:r w:rsidR="001C50B2">
        <w:t>fully depreciate</w:t>
      </w:r>
      <w:r w:rsidR="002D70FE">
        <w:t>d</w:t>
      </w:r>
      <w:r w:rsidR="001C50B2">
        <w:t xml:space="preserve"> over </w:t>
      </w:r>
      <w:r w:rsidR="00457075">
        <w:t xml:space="preserve">the year they are first used, an important difference </w:t>
      </w:r>
      <w:r w:rsidR="002117EE">
        <w:t xml:space="preserve">exists </w:t>
      </w:r>
      <w:r w:rsidR="00457075">
        <w:t xml:space="preserve">between economic depreciation and expensing. An asset </w:t>
      </w:r>
      <w:r w:rsidR="001F61FF">
        <w:t xml:space="preserve">acquired at the end of year 0 </w:t>
      </w:r>
      <w:r w:rsidR="002117EE">
        <w:t>that</w:t>
      </w:r>
      <w:r w:rsidR="001F61FF">
        <w:t xml:space="preserve"> is subject to economic depreciation </w:t>
      </w:r>
      <w:r w:rsidR="00645CC4">
        <w:t>is assumed to be depreciable in year 1</w:t>
      </w:r>
      <w:r w:rsidR="002117EE">
        <w:t>,</w:t>
      </w:r>
      <w:r w:rsidR="00645CC4">
        <w:t xml:space="preserve"> whereas an asset that can be expensed is assumed to be depreciable in year 0, the year in which it is acquired. </w:t>
      </w:r>
      <w:r w:rsidR="00904CFE">
        <w:t>This is consistent with the OECD methodology.</w:t>
      </w:r>
    </w:p>
  </w:footnote>
  <w:footnote w:id="14">
    <w:p w14:paraId="6E02319F" w14:textId="77777777" w:rsidR="00650F49" w:rsidRDefault="00C81F98" w:rsidP="00C81F98">
      <w:pPr>
        <w:pStyle w:val="FootnoteText"/>
      </w:pPr>
      <w:r>
        <w:rPr>
          <w:rStyle w:val="FootnoteReference"/>
        </w:rPr>
        <w:footnoteRef/>
      </w:r>
      <w:r>
        <w:t xml:space="preserve"> </w:t>
      </w:r>
      <w:r w:rsidRPr="00707784">
        <w:t>McLeod Review</w:t>
      </w:r>
      <w:r>
        <w:t>. (2001).</w:t>
      </w:r>
      <w:r w:rsidRPr="00707784">
        <w:t xml:space="preserve"> </w:t>
      </w:r>
      <w:r w:rsidRPr="00DB7D73">
        <w:rPr>
          <w:rStyle w:val="Emphasis"/>
        </w:rPr>
        <w:t>Tax Review 2001 – Final report</w:t>
      </w:r>
      <w:r>
        <w:t>.</w:t>
      </w:r>
    </w:p>
    <w:p w14:paraId="132CEC3F" w14:textId="4619DE4B" w:rsidR="00C81F98" w:rsidRDefault="008F32C3">
      <w:pPr>
        <w:pStyle w:val="FootnoteText"/>
      </w:pPr>
      <w:hyperlink r:id="rId12" w:history="1">
        <w:r w:rsidR="00C81F98" w:rsidRPr="00A97630">
          <w:rPr>
            <w:rStyle w:val="Hyperlink"/>
          </w:rPr>
          <w:t>https://www.treasury.govt.nz/sites/default/files/2007-11/taxreview2001-report.pdf</w:t>
        </w:r>
      </w:hyperlink>
      <w:r w:rsidR="00436A86">
        <w:rPr>
          <w:rStyle w:val="Hyperlink"/>
        </w:rPr>
        <w:t xml:space="preserve"> </w:t>
      </w:r>
    </w:p>
  </w:footnote>
  <w:footnote w:id="15">
    <w:p w14:paraId="6E5BB3A5" w14:textId="22E3D84E" w:rsidR="009C1F81" w:rsidRPr="000F054C" w:rsidRDefault="009C1F81" w:rsidP="009C1F81">
      <w:pPr>
        <w:pStyle w:val="FootnoteText"/>
        <w:rPr>
          <w:szCs w:val="18"/>
        </w:rPr>
      </w:pPr>
      <w:r w:rsidRPr="006A45F9">
        <w:rPr>
          <w:rStyle w:val="FootnoteReference"/>
          <w:szCs w:val="18"/>
        </w:rPr>
        <w:footnoteRef/>
      </w:r>
      <w:r w:rsidRPr="006A45F9">
        <w:rPr>
          <w:szCs w:val="18"/>
        </w:rPr>
        <w:t xml:space="preserve"> More precisely, with inflation at rate </w:t>
      </w:r>
      <w:r w:rsidRPr="006A45F9">
        <w:rPr>
          <w:position w:val="-6"/>
          <w:szCs w:val="18"/>
        </w:rPr>
        <w:object w:dxaOrig="195" w:dyaOrig="195" w14:anchorId="5E9EE2A4">
          <v:shape id="_x0000_i1090" type="#_x0000_t75" style="width:10.5pt;height:10.5pt" o:ole="">
            <v:imagedata r:id="rId13" o:title=""/>
          </v:shape>
          <o:OLEObject Type="Embed" ProgID="Equation.DSMT4" ShapeID="_x0000_i1090" DrawAspect="Content" ObjectID="_1723472685" r:id="rId14"/>
        </w:object>
      </w:r>
      <w:r w:rsidRPr="006A45F9">
        <w:rPr>
          <w:szCs w:val="18"/>
        </w:rPr>
        <w:t xml:space="preserve">, the domestic real interest rate will rise to </w:t>
      </w:r>
      <w:r w:rsidR="0020721B" w:rsidRPr="006A45F9">
        <w:rPr>
          <w:position w:val="-10"/>
          <w:szCs w:val="18"/>
        </w:rPr>
        <w:object w:dxaOrig="1780" w:dyaOrig="300" w14:anchorId="1069A76A">
          <v:shape id="_x0000_i1092" type="#_x0000_t75" style="width:87.75pt;height:17.25pt" o:ole="">
            <v:imagedata r:id="rId15" o:title=""/>
          </v:shape>
          <o:OLEObject Type="Embed" ProgID="Equation.DSMT4" ShapeID="_x0000_i1092" DrawAspect="Content" ObjectID="_1723472686" r:id="rId16"/>
        </w:object>
      </w:r>
      <w:r w:rsidR="0020721B">
        <w:rPr>
          <w:szCs w:val="18"/>
        </w:rPr>
        <w:t xml:space="preserve"> as was discussed in Appendix 1.</w:t>
      </w:r>
    </w:p>
  </w:footnote>
  <w:footnote w:id="16">
    <w:p w14:paraId="4F07BC59" w14:textId="19EDDBD0" w:rsidR="009C1F81" w:rsidRPr="000F054C" w:rsidRDefault="009C1F81" w:rsidP="009C1F81">
      <w:pPr>
        <w:pStyle w:val="FootnoteText"/>
        <w:rPr>
          <w:szCs w:val="18"/>
        </w:rPr>
      </w:pPr>
      <w:r w:rsidRPr="006A45F9">
        <w:rPr>
          <w:rStyle w:val="FootnoteReference"/>
          <w:szCs w:val="18"/>
        </w:rPr>
        <w:footnoteRef/>
      </w:r>
      <w:r w:rsidRPr="006A45F9">
        <w:rPr>
          <w:szCs w:val="18"/>
        </w:rPr>
        <w:t xml:space="preserve"> </w:t>
      </w:r>
      <w:r w:rsidRPr="000F054C">
        <w:rPr>
          <w:szCs w:val="18"/>
        </w:rPr>
        <w:t xml:space="preserve">There is an exemption from AIL </w:t>
      </w:r>
      <w:r w:rsidR="00695C6D">
        <w:rPr>
          <w:szCs w:val="18"/>
        </w:rPr>
        <w:t>and</w:t>
      </w:r>
      <w:r w:rsidRPr="000F054C">
        <w:rPr>
          <w:szCs w:val="18"/>
        </w:rPr>
        <w:t xml:space="preserve"> NRWT for widely issued bonds. We assume the benefit of this concession is limited and that it cannot be used widely to step around AIL and negate any upward pressure on domestic interest rates.</w:t>
      </w:r>
    </w:p>
  </w:footnote>
  <w:footnote w:id="17">
    <w:p w14:paraId="65CDE7CF" w14:textId="3BB8D36A" w:rsidR="00251612" w:rsidRPr="003B78DE" w:rsidRDefault="00251612" w:rsidP="00251612">
      <w:pPr>
        <w:pStyle w:val="FootnoteText"/>
        <w:rPr>
          <w:lang w:val="en-US"/>
        </w:rPr>
      </w:pPr>
      <w:r>
        <w:rPr>
          <w:rStyle w:val="FootnoteReference"/>
        </w:rPr>
        <w:footnoteRef/>
      </w:r>
      <w:r>
        <w:t xml:space="preserve"> These results rest on the OECD’s assumption that the real costs of debt and equity capital (net of any New Zealand taxes and adjusted for risk) are the same. One reviewer question</w:t>
      </w:r>
      <w:r w:rsidR="004D0C12">
        <w:t>ed</w:t>
      </w:r>
      <w:r>
        <w:t xml:space="preserve"> whether this assumption might be creating an inconsistency as non-residents are often taxed more heavily on interest receipts than on equity returns. It could be argued that capital market equilibrium should require higher risk-adjusted returns on debt than on equity</w:t>
      </w:r>
      <w:r w:rsidR="00AA1DE3">
        <w:t xml:space="preserve"> because in many </w:t>
      </w:r>
      <w:r w:rsidR="005C2098">
        <w:t>countries debt is taxed more heavily than returns on equity</w:t>
      </w:r>
      <w:r>
        <w:t>. These sorts of issues could possibly be explored further in future work. For this LTIB</w:t>
      </w:r>
      <w:r w:rsidR="004D0C12">
        <w:t>,</w:t>
      </w:r>
      <w:r>
        <w:t xml:space="preserve"> we are using the OECD’s assumption that the risk-adjusted costs of the two forms of finance are the same. </w:t>
      </w:r>
      <w:r>
        <w:rPr>
          <w:lang w:val="en-US"/>
        </w:rPr>
        <w:t xml:space="preserve">We did examine a run where the required return on equity was 3.0% while the required return on </w:t>
      </w:r>
      <w:r w:rsidR="004D0C12">
        <w:rPr>
          <w:lang w:val="en-US"/>
        </w:rPr>
        <w:t xml:space="preserve">debt was </w:t>
      </w:r>
      <w:r>
        <w:rPr>
          <w:lang w:val="en-US"/>
        </w:rPr>
        <w:t>3.5%</w:t>
      </w:r>
      <w:r w:rsidR="00250580">
        <w:rPr>
          <w:lang w:val="en-US"/>
        </w:rPr>
        <w:t>,</w:t>
      </w:r>
      <w:r>
        <w:rPr>
          <w:lang w:val="en-US"/>
        </w:rPr>
        <w:t xml:space="preserve"> but this had very little effect on EMTRs. The broad conclusions of this appendix are unlikely to be very sensitive to the exact assumptions being made about whether costs of debt and equity are identical.</w:t>
      </w:r>
    </w:p>
  </w:footnote>
  <w:footnote w:id="18">
    <w:p w14:paraId="5E86EACB" w14:textId="08F62ED0" w:rsidR="009C1F81" w:rsidRPr="006A45F9" w:rsidRDefault="009C1F81" w:rsidP="009C1F81">
      <w:pPr>
        <w:pStyle w:val="FootnoteText"/>
        <w:rPr>
          <w:szCs w:val="18"/>
        </w:rPr>
      </w:pPr>
      <w:r w:rsidRPr="006A45F9">
        <w:rPr>
          <w:rStyle w:val="FootnoteReference"/>
        </w:rPr>
        <w:footnoteRef/>
      </w:r>
      <w:r w:rsidRPr="006A45F9">
        <w:t xml:space="preserve"> </w:t>
      </w:r>
      <w:r w:rsidRPr="006A45F9">
        <w:rPr>
          <w:szCs w:val="18"/>
        </w:rPr>
        <w:t xml:space="preserve">The real interest rate rises to </w:t>
      </w:r>
      <w:r w:rsidR="00E30F1C" w:rsidRPr="006A45F9">
        <w:rPr>
          <w:position w:val="-10"/>
          <w:szCs w:val="18"/>
        </w:rPr>
        <w:object w:dxaOrig="2740" w:dyaOrig="300" w14:anchorId="3B833F46">
          <v:shape id="_x0000_i1094" type="#_x0000_t75" style="width:136.5pt;height:15.75pt" o:ole="">
            <v:imagedata r:id="rId17" o:title=""/>
          </v:shape>
          <o:OLEObject Type="Embed" ProgID="Equation.DSMT4" ShapeID="_x0000_i1094" DrawAspect="Content" ObjectID="_1723472687" r:id="rId18"/>
        </w:object>
      </w:r>
      <w:r w:rsidRPr="006A45F9">
        <w:rPr>
          <w:szCs w:val="18"/>
        </w:rPr>
        <w:t xml:space="preserve"> where </w:t>
      </w:r>
      <w:r w:rsidRPr="006A45F9">
        <w:rPr>
          <w:position w:val="-10"/>
          <w:szCs w:val="18"/>
        </w:rPr>
        <w:object w:dxaOrig="225" w:dyaOrig="308" w14:anchorId="351F249E">
          <v:shape id="_x0000_i1096" type="#_x0000_t75" style="width:10.5pt;height:17.25pt" o:ole="">
            <v:imagedata r:id="rId19" o:title=""/>
          </v:shape>
          <o:OLEObject Type="Embed" ProgID="Equation.DSMT4" ShapeID="_x0000_i1096" DrawAspect="Content" ObjectID="_1723472688" r:id="rId20"/>
        </w:object>
      </w:r>
      <w:r w:rsidRPr="006A45F9">
        <w:rPr>
          <w:szCs w:val="18"/>
        </w:rPr>
        <w:t xml:space="preserve"> is the rate of NRWT.</w:t>
      </w:r>
    </w:p>
  </w:footnote>
  <w:footnote w:id="19">
    <w:p w14:paraId="6B26F4AA" w14:textId="3679EAAA" w:rsidR="00170106" w:rsidRPr="000F054C" w:rsidRDefault="00170106" w:rsidP="00170106">
      <w:pPr>
        <w:pStyle w:val="FootnoteText"/>
      </w:pPr>
      <w:r w:rsidRPr="006A45F9">
        <w:rPr>
          <w:rStyle w:val="FootnoteReference"/>
        </w:rPr>
        <w:footnoteRef/>
      </w:r>
      <w:r w:rsidRPr="006A45F9">
        <w:t xml:space="preserve"> </w:t>
      </w:r>
      <w:r w:rsidRPr="000F054C">
        <w:t>Note that EMTRs can become somewhat difficult to interpret when we start to take account of creditable taxes</w:t>
      </w:r>
      <w:r w:rsidR="00BE559A">
        <w:t>,</w:t>
      </w:r>
      <w:r w:rsidRPr="000F054C">
        <w:t xml:space="preserve"> such as NRWT. </w:t>
      </w:r>
      <w:r w:rsidR="00ED185B">
        <w:t xml:space="preserve">To </w:t>
      </w:r>
      <w:r w:rsidR="00DB5A16">
        <w:t>see this</w:t>
      </w:r>
      <w:r w:rsidR="00ED185B">
        <w:t>, suppose inflation is zero and</w:t>
      </w:r>
      <w:r w:rsidR="001B5362">
        <w:t xml:space="preserve"> the interest rate that is required to be paid on related-party debt is 3%</w:t>
      </w:r>
      <w:r w:rsidR="00DC42AB">
        <w:t>. In the absence of NRWT</w:t>
      </w:r>
      <w:r w:rsidR="00FE38EE">
        <w:t xml:space="preserve"> or AIL, firms borrowing from related parties abroad do so at an interest rate of </w:t>
      </w:r>
      <w:r w:rsidR="00E32B52">
        <w:t xml:space="preserve">3%. Now suppose that NRWT at a rate of </w:t>
      </w:r>
      <w:r w:rsidR="00D7729A">
        <w:t xml:space="preserve">10% is levied and this is fully creditable. The borrower continues to pay 3% but 0.3% goes to the New Zealand government in tax. The </w:t>
      </w:r>
      <w:r w:rsidR="00A42BA1">
        <w:t xml:space="preserve">net </w:t>
      </w:r>
      <w:r w:rsidR="00D7729A">
        <w:t xml:space="preserve">cost </w:t>
      </w:r>
      <w:r w:rsidR="00A42BA1">
        <w:t xml:space="preserve">of interest to New Zealand </w:t>
      </w:r>
      <w:r w:rsidR="008A2F62">
        <w:t xml:space="preserve">of this loan </w:t>
      </w:r>
      <w:r w:rsidR="00A42BA1">
        <w:t>as a whole (taking account of the tax received by the Government</w:t>
      </w:r>
      <w:r w:rsidR="00CD76CE">
        <w:t>)</w:t>
      </w:r>
      <w:r w:rsidR="00A42BA1">
        <w:t xml:space="preserve"> </w:t>
      </w:r>
      <w:r w:rsidR="001321AC">
        <w:t>falls to</w:t>
      </w:r>
      <w:r w:rsidR="00A42BA1">
        <w:t xml:space="preserve"> 2.7%. </w:t>
      </w:r>
      <w:r w:rsidR="006578F7">
        <w:t>This tax would not affect the cost of capital</w:t>
      </w:r>
      <w:r w:rsidR="00622925">
        <w:t xml:space="preserve"> as the tax is fully creditable. </w:t>
      </w:r>
      <w:r w:rsidR="00404F6A">
        <w:t>However,</w:t>
      </w:r>
      <w:r w:rsidR="00622925">
        <w:t xml:space="preserve"> depending on how EMTRs are defined</w:t>
      </w:r>
      <w:r w:rsidR="00404F6A">
        <w:t>,</w:t>
      </w:r>
      <w:r w:rsidR="00622925">
        <w:t xml:space="preserve"> it might be thought to </w:t>
      </w:r>
      <w:r w:rsidR="008F4848">
        <w:t>increase</w:t>
      </w:r>
      <w:r w:rsidR="00622925">
        <w:t xml:space="preserve"> EMTRs</w:t>
      </w:r>
      <w:r w:rsidR="00983A2D">
        <w:t>. While it would not be affecting the cost of capital for firms</w:t>
      </w:r>
      <w:r w:rsidR="002A01CB">
        <w:t>,</w:t>
      </w:r>
      <w:r w:rsidR="00622925">
        <w:t xml:space="preserve"> it would lower the cost of </w:t>
      </w:r>
      <w:r w:rsidR="0021468C">
        <w:t>funds</w:t>
      </w:r>
      <w:r w:rsidR="00622925">
        <w:t xml:space="preserve"> to New Zealand</w:t>
      </w:r>
      <w:r w:rsidR="005B043A">
        <w:t xml:space="preserve"> </w:t>
      </w:r>
      <w:r w:rsidR="00A42BA1">
        <w:t>as a whole</w:t>
      </w:r>
      <w:r w:rsidR="00F14BE8">
        <w:t xml:space="preserve">. </w:t>
      </w:r>
      <w:r w:rsidR="006638F4">
        <w:t xml:space="preserve">This sort of increase in EMTR </w:t>
      </w:r>
      <w:r w:rsidR="00F36C3C">
        <w:t xml:space="preserve">obviously can have very different welfare consequences </w:t>
      </w:r>
      <w:r w:rsidR="00217B49">
        <w:t>to th</w:t>
      </w:r>
      <w:r w:rsidR="00CD0393">
        <w:t xml:space="preserve">ose </w:t>
      </w:r>
      <w:r w:rsidR="00F36C3C">
        <w:t xml:space="preserve">from an increase in EMTRs </w:t>
      </w:r>
      <w:r w:rsidR="00A260E4">
        <w:t xml:space="preserve">because of increases in costs of capital. </w:t>
      </w:r>
      <w:r w:rsidR="00C76358">
        <w:t>To minimise potential confusion</w:t>
      </w:r>
      <w:r w:rsidRPr="000F054C">
        <w:t>, we do not provide tables showing EMTRs when we are working with NRWT and non-residents are able to claim credits for NRWT.</w:t>
      </w:r>
    </w:p>
  </w:footnote>
  <w:footnote w:id="20">
    <w:p w14:paraId="410408BE" w14:textId="77777777" w:rsidR="00A303F4" w:rsidRPr="000F054C" w:rsidRDefault="00A303F4" w:rsidP="00A303F4">
      <w:pPr>
        <w:pStyle w:val="FootnoteText"/>
      </w:pPr>
      <w:r w:rsidRPr="006A45F9">
        <w:rPr>
          <w:rStyle w:val="FootnoteReference"/>
        </w:rPr>
        <w:footnoteRef/>
      </w:r>
      <w:r w:rsidRPr="006A45F9">
        <w:t xml:space="preserve"> </w:t>
      </w:r>
      <w:r w:rsidRPr="000F054C">
        <w:t>Statistics NZ National Accounts Data for the year to 31 March 2021.</w:t>
      </w:r>
    </w:p>
  </w:footnote>
  <w:footnote w:id="21">
    <w:p w14:paraId="7C5A517D" w14:textId="12ABB983" w:rsidR="00615C98" w:rsidRPr="00640980" w:rsidRDefault="00615C98">
      <w:pPr>
        <w:pStyle w:val="FootnoteText"/>
        <w:rPr>
          <w:lang w:val="en-US"/>
        </w:rPr>
      </w:pPr>
      <w:r>
        <w:rPr>
          <w:rStyle w:val="FootnoteReference"/>
        </w:rPr>
        <w:footnoteRef/>
      </w:r>
      <w:r>
        <w:t xml:space="preserve"> </w:t>
      </w:r>
      <w:r w:rsidRPr="000F054C">
        <w:t>The McLeod Review Final Report made this assumption (see Part B of Annex E, pp. 139–140) when it examined how the rules at that time could affect effective tax rates (ETRs). Note that a key difference between the ETRs being estimated by the McLeod Review and our EMTRs is that the McLeod Review assumed that income is always being taxed fully at the company level. The McLeod Review did not attempt to capture the way in which EMTRs can be affected, not only by tax rates and levels of debt finance</w:t>
      </w:r>
      <w:r w:rsidR="004D7A24">
        <w:t>,</w:t>
      </w:r>
      <w:r w:rsidRPr="000F054C">
        <w:t xml:space="preserve"> but also by tax depreciation rules</w:t>
      </w:r>
      <w:r>
        <w:t xml:space="preserve"> and by inflation</w:t>
      </w:r>
      <w:r w:rsidRPr="000F054C">
        <w:t>. These additional effects are being modelled in the OECD work and in our analysis.</w:t>
      </w:r>
    </w:p>
  </w:footnote>
  <w:footnote w:id="22">
    <w:p w14:paraId="18862C6F" w14:textId="77777777" w:rsidR="00A303F4" w:rsidRPr="000F054C" w:rsidRDefault="00A303F4" w:rsidP="00A303F4">
      <w:pPr>
        <w:pStyle w:val="FootnoteText"/>
      </w:pPr>
      <w:r w:rsidRPr="006A45F9">
        <w:rPr>
          <w:rStyle w:val="FootnoteReference"/>
        </w:rPr>
        <w:footnoteRef/>
      </w:r>
      <w:r w:rsidRPr="006A45F9">
        <w:t xml:space="preserve"> In presenting this data, we ignore a relatively small group of 40 firms with negative or zero levels of equity.</w:t>
      </w:r>
    </w:p>
  </w:footnote>
  <w:footnote w:id="23">
    <w:p w14:paraId="6083791D" w14:textId="77777777" w:rsidR="00F52546" w:rsidRPr="000F054C" w:rsidRDefault="00F52546" w:rsidP="000E30EE">
      <w:pPr>
        <w:pStyle w:val="FootnoteText"/>
      </w:pPr>
      <w:r w:rsidRPr="006A45F9">
        <w:rPr>
          <w:rStyle w:val="FootnoteReference"/>
        </w:rPr>
        <w:footnoteRef/>
      </w:r>
      <w:r w:rsidRPr="006A45F9">
        <w:t xml:space="preserve"> An on-lending concession allows firms to have a higher safe harbour if they are on-lending funds. This means that some firms with debt ratios above 60% could possibly be within the thin capitalisation safe harbour and so clustering may be greater than is evident from the table. However, it is still likely that the majority of firms are not clustered at safe harbour limits. The data suggests that 74% of firms have debt ratios below 50%.</w:t>
      </w:r>
    </w:p>
  </w:footnote>
  <w:footnote w:id="24">
    <w:p w14:paraId="2C6982A0" w14:textId="7C0D1E05" w:rsidR="00771780" w:rsidRPr="004E1D3C" w:rsidRDefault="00771780" w:rsidP="00771780">
      <w:pPr>
        <w:pStyle w:val="FootnoteText"/>
        <w:rPr>
          <w:lang w:val="en-US"/>
        </w:rPr>
      </w:pPr>
      <w:r>
        <w:rPr>
          <w:rStyle w:val="FootnoteReference"/>
        </w:rPr>
        <w:footnoteRef/>
      </w:r>
      <w:r>
        <w:t xml:space="preserve"> </w:t>
      </w:r>
      <w:r w:rsidR="009F5965">
        <w:t>The LTIB</w:t>
      </w:r>
      <w:r>
        <w:t xml:space="preserve"> discuss</w:t>
      </w:r>
      <w:r w:rsidR="00C91696">
        <w:t>es</w:t>
      </w:r>
      <w:r>
        <w:t xml:space="preserve"> the possibility of inflation indexation and of a dual income tax with a possibly lower flat rate of tax on capital income. Either of these might relieve tax biases not by taxing business income from SMEs more heavily but by reducing taxes on some relatively heavily taxed forms of saving.</w:t>
      </w:r>
    </w:p>
  </w:footnote>
  <w:footnote w:id="25">
    <w:p w14:paraId="1BA963BA" w14:textId="77777777" w:rsidR="00937CBA" w:rsidRPr="003F0246" w:rsidRDefault="00937CBA" w:rsidP="00937CBA">
      <w:pPr>
        <w:pStyle w:val="FootnoteText"/>
        <w:rPr>
          <w:szCs w:val="18"/>
        </w:rPr>
      </w:pPr>
      <w:r w:rsidRPr="006A45F9">
        <w:rPr>
          <w:rStyle w:val="FootnoteReference"/>
        </w:rPr>
        <w:footnoteRef/>
      </w:r>
      <w:r w:rsidRPr="006A45F9">
        <w:t xml:space="preserve"> </w:t>
      </w:r>
      <w:r w:rsidRPr="003F0246">
        <w:rPr>
          <w:szCs w:val="18"/>
        </w:rPr>
        <w:t>Note that only certain diminishing value depreciation rates are allowed for tax purposes. For example, 2%, 4% and 8% are allowed as depreciation rates, but not 3.3% or 5.8%. In reality, land improvements will be depreciated at a variety of these allowed depreciation rates. Assuming a depreciation rate of 5.8% is only a rough, on-average approximation.</w:t>
      </w:r>
    </w:p>
  </w:footnote>
  <w:footnote w:id="26">
    <w:p w14:paraId="558A220C" w14:textId="77777777" w:rsidR="00045A04" w:rsidRPr="003F0246" w:rsidRDefault="00045A04" w:rsidP="00045A04">
      <w:pPr>
        <w:pStyle w:val="FootnoteText"/>
        <w:rPr>
          <w:szCs w:val="18"/>
        </w:rPr>
      </w:pPr>
      <w:r w:rsidRPr="006A45F9">
        <w:rPr>
          <w:rStyle w:val="FootnoteReference"/>
        </w:rPr>
        <w:footnoteRef/>
      </w:r>
      <w:r w:rsidRPr="006A45F9">
        <w:t xml:space="preserve"> </w:t>
      </w:r>
      <w:r w:rsidRPr="003F0246">
        <w:rPr>
          <w:szCs w:val="18"/>
        </w:rPr>
        <w:t>This assumes a single ‘average’ depreciation rate for each of the income periods. In practice, there were a discrete number of different depreciation rates allowed. Assets were depreciated at the closest depreciation rate for an asset with the relevant estimated useful life.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7DB9" w14:textId="528C18E0" w:rsidR="00DD0769" w:rsidRDefault="00F755F2" w:rsidP="00F755F2">
    <w:pPr>
      <w:pStyle w:val="Header"/>
      <w:jc w:val="right"/>
    </w:pPr>
    <w:r>
      <w:tab/>
    </w:r>
    <w:r>
      <w:tab/>
      <w:t>G74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9BC94" w14:textId="73347AB5" w:rsidR="007B214E" w:rsidRDefault="007B21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6F91" w14:textId="0F6C72E2" w:rsidR="007B214E" w:rsidRDefault="00DD0769">
    <w:pPr>
      <w:pStyle w:val="Header"/>
    </w:pPr>
    <w:r>
      <w:rPr>
        <w:noProof/>
      </w:rPr>
      <mc:AlternateContent>
        <mc:Choice Requires="wps">
          <w:drawing>
            <wp:anchor distT="0" distB="0" distL="114300" distR="114300" simplePos="0" relativeHeight="251663874" behindDoc="0" locked="0" layoutInCell="0" allowOverlap="1" wp14:anchorId="4E7FF702" wp14:editId="02529ABF">
              <wp:simplePos x="0" y="0"/>
              <wp:positionH relativeFrom="page">
                <wp:posOffset>0</wp:posOffset>
              </wp:positionH>
              <wp:positionV relativeFrom="page">
                <wp:posOffset>190500</wp:posOffset>
              </wp:positionV>
              <wp:extent cx="7560310" cy="273050"/>
              <wp:effectExtent l="0" t="0" r="0" b="12700"/>
              <wp:wrapNone/>
              <wp:docPr id="4" name="MSIPCM4bf2478689a7a3cf68ea9219" descr="{&quot;HashCode&quot;:-99505713,&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05A91F" w14:textId="58273CDD" w:rsidR="00DD0769" w:rsidRPr="00F755F2" w:rsidRDefault="00F755F2" w:rsidP="00F755F2">
                          <w:pPr>
                            <w:spacing w:before="0"/>
                            <w:jc w:val="center"/>
                            <w:rPr>
                              <w:rFonts w:ascii="Calibri" w:hAnsi="Calibri" w:cs="Calibri"/>
                              <w:color w:val="000000"/>
                            </w:rPr>
                          </w:pPr>
                          <w:r w:rsidRPr="00F755F2">
                            <w:rPr>
                              <w:rFonts w:ascii="Calibri" w:hAnsi="Calibri" w:cs="Calibri"/>
                              <w:color w:val="000000"/>
                            </w:rPr>
                            <w:t>[IN CONFIDENCE RELEASE EXTERNAL]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E7FF702" id="_x0000_t202" coordsize="21600,21600" o:spt="202" path="m,l,21600r21600,l21600,xe">
              <v:stroke joinstyle="miter"/>
              <v:path gradientshapeok="t" o:connecttype="rect"/>
            </v:shapetype>
            <v:shape id="MSIPCM4bf2478689a7a3cf68ea9219" o:spid="_x0000_s1028" type="#_x0000_t202" alt="{&quot;HashCode&quot;:-99505713,&quot;Height&quot;:841.0,&quot;Width&quot;:595.0,&quot;Placement&quot;:&quot;Header&quot;,&quot;Index&quot;:&quot;Primary&quot;,&quot;Section&quot;:2,&quot;Top&quot;:0.0,&quot;Left&quot;:0.0}" style="position:absolute;left:0;text-align:left;margin-left:0;margin-top:15pt;width:595.3pt;height:21.5pt;z-index:25166387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U4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saBvM+9ELG18HFcpmSUFWWhbXZWB5LR8wisi/d&#10;K3P2BH9A4h5hEBcr3rHQ5/ZoL/cBpEoURXx7NE+woyITc6fXEyX/9j9lXd744hcA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IGbdTgXAgAAKwQAAA4AAAAAAAAAAAAAAAAALgIAAGRycy9lMm9Eb2MueG1sUEsBAi0AFAAGAAgA&#10;AAAhAEsiCebcAAAABwEAAA8AAAAAAAAAAAAAAAAAcQQAAGRycy9kb3ducmV2LnhtbFBLBQYAAAAA&#10;BAAEAPMAAAB6BQAAAAA=&#10;" o:allowincell="f" filled="f" stroked="f" strokeweight=".5pt">
              <v:textbox inset=",0,,0">
                <w:txbxContent>
                  <w:p w14:paraId="5D05A91F" w14:textId="58273CDD" w:rsidR="00DD0769" w:rsidRPr="00F755F2" w:rsidRDefault="00F755F2" w:rsidP="00F755F2">
                    <w:pPr>
                      <w:spacing w:before="0"/>
                      <w:jc w:val="center"/>
                      <w:rPr>
                        <w:rFonts w:ascii="Calibri" w:hAnsi="Calibri" w:cs="Calibri"/>
                        <w:color w:val="000000"/>
                      </w:rPr>
                    </w:pPr>
                    <w:r w:rsidRPr="00F755F2">
                      <w:rPr>
                        <w:rFonts w:ascii="Calibri" w:hAnsi="Calibri" w:cs="Calibri"/>
                        <w:color w:val="000000"/>
                      </w:rPr>
                      <w:t>[IN CONFIDENCE RELEASE EXTERNAL]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B709" w14:textId="5404A740" w:rsidR="007B214E" w:rsidRDefault="00FC0081">
    <w:pPr>
      <w:pStyle w:val="Header"/>
    </w:pPr>
    <w:r>
      <w:rPr>
        <w:noProof/>
      </w:rPr>
      <mc:AlternateContent>
        <mc:Choice Requires="wps">
          <w:drawing>
            <wp:anchor distT="0" distB="0" distL="114300" distR="114300" simplePos="1" relativeHeight="251657899" behindDoc="0" locked="0" layoutInCell="0" allowOverlap="1" wp14:anchorId="519131F8" wp14:editId="3A57E8DD">
              <wp:simplePos x="0" y="190500"/>
              <wp:positionH relativeFrom="page">
                <wp:posOffset>0</wp:posOffset>
              </wp:positionH>
              <wp:positionV relativeFrom="page">
                <wp:posOffset>190500</wp:posOffset>
              </wp:positionV>
              <wp:extent cx="7560310" cy="273050"/>
              <wp:effectExtent l="0" t="0" r="0" b="12700"/>
              <wp:wrapNone/>
              <wp:docPr id="10" name="MSIPCM495a4e7093cfcfc958e26388" descr="{&quot;HashCode&quot;:-99505713,&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FA5E02" w14:textId="60A15C26" w:rsidR="00FC0081" w:rsidRPr="00F755F2" w:rsidRDefault="00F755F2" w:rsidP="00F755F2">
                          <w:pPr>
                            <w:spacing w:before="0"/>
                            <w:jc w:val="center"/>
                            <w:rPr>
                              <w:rFonts w:ascii="Calibri" w:hAnsi="Calibri" w:cs="Calibri"/>
                              <w:color w:val="000000"/>
                            </w:rPr>
                          </w:pPr>
                          <w:r w:rsidRPr="00F755F2">
                            <w:rPr>
                              <w:rFonts w:ascii="Calibri" w:hAnsi="Calibri" w:cs="Calibri"/>
                              <w:color w:val="000000"/>
                            </w:rPr>
                            <w:t>[IN CONFIDENCE RELEASE EXTERNAL]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19131F8" id="_x0000_t202" coordsize="21600,21600" o:spt="202" path="m,l,21600r21600,l21600,xe">
              <v:stroke joinstyle="miter"/>
              <v:path gradientshapeok="t" o:connecttype="rect"/>
            </v:shapetype>
            <v:shape id="MSIPCM495a4e7093cfcfc958e26388" o:spid="_x0000_s1029" type="#_x0000_t202" alt="{&quot;HashCode&quot;:-99505713,&quot;Height&quot;:841.0,&quot;Width&quot;:595.0,&quot;Placement&quot;:&quot;Header&quot;,&quot;Index&quot;:&quot;FirstPage&quot;,&quot;Section&quot;:2,&quot;Top&quot;:0.0,&quot;Left&quot;:0.0}" style="position:absolute;left:0;text-align:left;margin-left:0;margin-top:15pt;width:595.3pt;height:21.5pt;z-index:25165789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Sw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MJj3oRcyvg4ulsuUhKqyLKzNxvJYOmIWkX3p&#10;XpmzJ/gDEvcIg7hY8Y6FPrdHe7kPIJtEUcS3R/MEOyoyMXd6PVHyb/9T1uWNL34B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HEU9LAXAgAAKwQAAA4AAAAAAAAAAAAAAAAALgIAAGRycy9lMm9Eb2MueG1sUEsBAi0AFAAGAAgA&#10;AAAhAEsiCebcAAAABwEAAA8AAAAAAAAAAAAAAAAAcQQAAGRycy9kb3ducmV2LnhtbFBLBQYAAAAA&#10;BAAEAPMAAAB6BQAAAAA=&#10;" o:allowincell="f" filled="f" stroked="f" strokeweight=".5pt">
              <v:textbox inset=",0,,0">
                <w:txbxContent>
                  <w:p w14:paraId="32FA5E02" w14:textId="60A15C26" w:rsidR="00FC0081" w:rsidRPr="00F755F2" w:rsidRDefault="00F755F2" w:rsidP="00F755F2">
                    <w:pPr>
                      <w:spacing w:before="0"/>
                      <w:jc w:val="center"/>
                      <w:rPr>
                        <w:rFonts w:ascii="Calibri" w:hAnsi="Calibri" w:cs="Calibri"/>
                        <w:color w:val="000000"/>
                      </w:rPr>
                    </w:pPr>
                    <w:r w:rsidRPr="00F755F2">
                      <w:rPr>
                        <w:rFonts w:ascii="Calibri" w:hAnsi="Calibri" w:cs="Calibri"/>
                        <w:color w:val="000000"/>
                      </w:rPr>
                      <w:t>[IN CONFIDENCE RELEASE EXTERNAL]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DD53D" w14:textId="45B8C879" w:rsidR="007B214E" w:rsidRDefault="007B214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2AFD" w14:textId="6A253157" w:rsidR="007B214E" w:rsidRDefault="007B214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B897" w14:textId="2D99E3C6" w:rsidR="007B214E" w:rsidRDefault="00FC0081">
    <w:pPr>
      <w:pStyle w:val="Header"/>
    </w:pPr>
    <w:r>
      <w:rPr>
        <w:noProof/>
      </w:rPr>
      <mc:AlternateContent>
        <mc:Choice Requires="wps">
          <w:drawing>
            <wp:anchor distT="0" distB="0" distL="114300" distR="114300" simplePos="1" relativeHeight="251665280" behindDoc="0" locked="0" layoutInCell="0" allowOverlap="1" wp14:anchorId="03C3E4CC" wp14:editId="4061FD25">
              <wp:simplePos x="0" y="190500"/>
              <wp:positionH relativeFrom="page">
                <wp:posOffset>0</wp:posOffset>
              </wp:positionH>
              <wp:positionV relativeFrom="page">
                <wp:posOffset>190500</wp:posOffset>
              </wp:positionV>
              <wp:extent cx="7560310" cy="273050"/>
              <wp:effectExtent l="0" t="0" r="0" b="12700"/>
              <wp:wrapNone/>
              <wp:docPr id="12" name="MSIPCM8f4e40cea3157382d05f2296" descr="{&quot;HashCode&quot;:-99505713,&quot;Height&quot;:841.0,&quot;Width&quot;:595.0,&quot;Placement&quot;:&quot;Head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75D28F" w14:textId="0B9D376E" w:rsidR="00FC0081" w:rsidRPr="00F755F2" w:rsidRDefault="00F755F2" w:rsidP="00F755F2">
                          <w:pPr>
                            <w:spacing w:before="0"/>
                            <w:jc w:val="center"/>
                            <w:rPr>
                              <w:rFonts w:ascii="Calibri" w:hAnsi="Calibri" w:cs="Calibri"/>
                              <w:color w:val="000000"/>
                            </w:rPr>
                          </w:pPr>
                          <w:r w:rsidRPr="00F755F2">
                            <w:rPr>
                              <w:rFonts w:ascii="Calibri" w:hAnsi="Calibri" w:cs="Calibri"/>
                              <w:color w:val="000000"/>
                            </w:rPr>
                            <w:t>[IN CONFIDENCE RELEASE EXTERNAL]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C3E4CC" id="_x0000_t202" coordsize="21600,21600" o:spt="202" path="m,l,21600r21600,l21600,xe">
              <v:stroke joinstyle="miter"/>
              <v:path gradientshapeok="t" o:connecttype="rect"/>
            </v:shapetype>
            <v:shape id="MSIPCM8f4e40cea3157382d05f2296" o:spid="_x0000_s1031" type="#_x0000_t202" alt="{&quot;HashCode&quot;:-99505713,&quot;Height&quot;:841.0,&quot;Width&quot;:595.0,&quot;Placement&quot;:&quot;Header&quot;,&quot;Index&quot;:&quot;FirstPage&quot;,&quot;Section&quot;:3,&quot;Top&quot;:0.0,&quot;Left&quot;:0.0}" style="position:absolute;left:0;text-align:left;margin-left:0;margin-top:15pt;width:595.3pt;height:21.5pt;z-index:2516652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NM4EzUXAgAAKwQAAA4AAAAAAAAAAAAAAAAALgIAAGRycy9lMm9Eb2MueG1sUEsBAi0AFAAGAAgA&#10;AAAhAEsiCebcAAAABwEAAA8AAAAAAAAAAAAAAAAAcQQAAGRycy9kb3ducmV2LnhtbFBLBQYAAAAA&#10;BAAEAPMAAAB6BQAAAAA=&#10;" o:allowincell="f" filled="f" stroked="f" strokeweight=".5pt">
              <v:textbox inset=",0,,0">
                <w:txbxContent>
                  <w:p w14:paraId="7975D28F" w14:textId="0B9D376E" w:rsidR="00FC0081" w:rsidRPr="00F755F2" w:rsidRDefault="00F755F2" w:rsidP="00F755F2">
                    <w:pPr>
                      <w:spacing w:before="0"/>
                      <w:jc w:val="center"/>
                      <w:rPr>
                        <w:rFonts w:ascii="Calibri" w:hAnsi="Calibri" w:cs="Calibri"/>
                        <w:color w:val="000000"/>
                      </w:rPr>
                    </w:pPr>
                    <w:r w:rsidRPr="00F755F2">
                      <w:rPr>
                        <w:rFonts w:ascii="Calibri" w:hAnsi="Calibri" w:cs="Calibri"/>
                        <w:color w:val="000000"/>
                      </w:rPr>
                      <w:t>[IN CONFIDENCE RELEASE EXTERNAL]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54CF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4A70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E2FA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45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9AFC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2A9A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4238D9F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D72914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B5A4CAE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001D71"/>
    <w:multiLevelType w:val="hybridMultilevel"/>
    <w:tmpl w:val="6616F5A0"/>
    <w:lvl w:ilvl="0" w:tplc="14090001">
      <w:start w:val="1"/>
      <w:numFmt w:val="bullet"/>
      <w:lvlText w:val=""/>
      <w:lvlJc w:val="left"/>
      <w:pPr>
        <w:ind w:left="1571" w:hanging="360"/>
      </w:pPr>
      <w:rPr>
        <w:rFonts w:ascii="Symbol" w:hAnsi="Symbol" w:hint="default"/>
      </w:rPr>
    </w:lvl>
    <w:lvl w:ilvl="1" w:tplc="14090001">
      <w:start w:val="1"/>
      <w:numFmt w:val="bullet"/>
      <w:lvlText w:val=""/>
      <w:lvlJc w:val="left"/>
      <w:pPr>
        <w:ind w:left="2291" w:hanging="360"/>
      </w:pPr>
      <w:rPr>
        <w:rFonts w:ascii="Symbol" w:hAnsi="Symbol" w:hint="default"/>
      </w:r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10" w15:restartNumberingAfterBreak="0">
    <w:nsid w:val="06384DBD"/>
    <w:multiLevelType w:val="multilevel"/>
    <w:tmpl w:val="760C358C"/>
    <w:styleLink w:val="Table-Bulle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06EE136D"/>
    <w:multiLevelType w:val="multilevel"/>
    <w:tmpl w:val="DDD499D4"/>
    <w:lvl w:ilvl="0">
      <w:start w:val="1"/>
      <w:numFmt w:val="decimal"/>
      <w:suff w:val="nothing"/>
      <w:lvlText w:val="CHAPTER %1"/>
      <w:lvlJc w:val="left"/>
      <w:pPr>
        <w:ind w:left="3970" w:firstLine="0"/>
      </w:pPr>
      <w:rPr>
        <w:rFonts w:ascii="Verdana" w:hAnsi="Verdana" w:hint="default"/>
        <w:b/>
        <w:i w:val="0"/>
        <w:caps w:val="0"/>
        <w:strike w:val="0"/>
        <w:dstrike w:val="0"/>
        <w:vanish w:val="0"/>
        <w:sz w:val="24"/>
        <w:szCs w:val="24"/>
        <w:vertAlign w:val="baseline"/>
      </w:rPr>
    </w:lvl>
    <w:lvl w:ilvl="1">
      <w:start w:val="1"/>
      <w:numFmt w:val="decimal"/>
      <w:lvlText w:val="%1.%2"/>
      <w:lvlJc w:val="left"/>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2" w15:restartNumberingAfterBreak="0">
    <w:nsid w:val="16CE2375"/>
    <w:multiLevelType w:val="hybridMultilevel"/>
    <w:tmpl w:val="DB1078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190935F8"/>
    <w:multiLevelType w:val="multilevel"/>
    <w:tmpl w:val="58AE67B0"/>
    <w:lvl w:ilvl="0">
      <w:start w:val="1"/>
      <w:numFmt w:val="decimal"/>
      <w:suff w:val="nothing"/>
      <w:lvlText w:val="CHAPTER %1"/>
      <w:lvlJc w:val="left"/>
      <w:pPr>
        <w:ind w:left="3970" w:firstLine="0"/>
      </w:pPr>
      <w:rPr>
        <w:rFonts w:ascii="Verdana" w:hAnsi="Verdana" w:hint="default"/>
        <w:b/>
        <w:i w:val="0"/>
        <w:caps w:val="0"/>
        <w:strike w:val="0"/>
        <w:dstrike w:val="0"/>
        <w:vanish w:val="0"/>
        <w:sz w:val="24"/>
        <w:szCs w:val="24"/>
        <w:vertAlign w:val="baseline"/>
      </w:rPr>
    </w:lvl>
    <w:lvl w:ilvl="1">
      <w:start w:val="1"/>
      <w:numFmt w:val="decimal"/>
      <w:lvlText w:val="%1.%2"/>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4" w15:restartNumberingAfterBreak="0">
    <w:nsid w:val="194D4C3A"/>
    <w:multiLevelType w:val="multilevel"/>
    <w:tmpl w:val="760C358C"/>
    <w:styleLink w:val="Table-Bullet10p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205D4690"/>
    <w:multiLevelType w:val="hybridMultilevel"/>
    <w:tmpl w:val="96C204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22A726AA"/>
    <w:multiLevelType w:val="multilevel"/>
    <w:tmpl w:val="5FA25E5C"/>
    <w:lvl w:ilvl="0">
      <w:start w:val="3"/>
      <w:numFmt w:val="decimal"/>
      <w:suff w:val="nothing"/>
      <w:lvlText w:val="APPENDIX 4.%1"/>
      <w:lvlJc w:val="left"/>
      <w:pPr>
        <w:ind w:left="0" w:firstLine="0"/>
      </w:pPr>
      <w:rPr>
        <w:rFonts w:ascii="Verdana" w:hAnsi="Verdana" w:hint="default"/>
        <w:b/>
        <w:i w:val="0"/>
        <w:caps w:val="0"/>
        <w:strike w:val="0"/>
        <w:dstrike w:val="0"/>
        <w:vanish w:val="0"/>
        <w:sz w:val="24"/>
        <w:vertAlign w:val="baseline"/>
      </w:rPr>
    </w:lvl>
    <w:lvl w:ilvl="1">
      <w:start w:val="1"/>
      <w:numFmt w:val="decimal"/>
      <w:lvlText w:val="4.%1.%2"/>
      <w:lvlJc w:val="left"/>
      <w:pPr>
        <w:tabs>
          <w:tab w:val="num" w:pos="851"/>
        </w:tabs>
        <w:ind w:left="851" w:hanging="851"/>
      </w:pPr>
      <w:rPr>
        <w:rFonts w:ascii="Verdana" w:hAnsi="Verdana" w:hint="default"/>
        <w:b w:val="0"/>
        <w:i w:val="0"/>
        <w:caps w:val="0"/>
        <w:strike w:val="0"/>
        <w:dstrike w:val="0"/>
        <w:vanish w:val="0"/>
        <w:sz w:val="20"/>
        <w:vertAlign w:val="baseline"/>
      </w:rPr>
    </w:lvl>
    <w:lvl w:ilvl="2">
      <w:start w:val="1"/>
      <w:numFmt w:val="bullet"/>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7" w15:restartNumberingAfterBreak="0">
    <w:nsid w:val="24F15A7B"/>
    <w:multiLevelType w:val="hybridMultilevel"/>
    <w:tmpl w:val="BA04A6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2BD30453"/>
    <w:multiLevelType w:val="hybridMultilevel"/>
    <w:tmpl w:val="4B600374"/>
    <w:lvl w:ilvl="0" w:tplc="14090001">
      <w:start w:val="1"/>
      <w:numFmt w:val="bullet"/>
      <w:lvlText w:val=""/>
      <w:lvlJc w:val="left"/>
      <w:pPr>
        <w:ind w:left="1494" w:hanging="360"/>
      </w:pPr>
      <w:rPr>
        <w:rFonts w:ascii="Symbol" w:hAnsi="Symbol"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19" w15:restartNumberingAfterBreak="0">
    <w:nsid w:val="3F6A7C68"/>
    <w:multiLevelType w:val="multilevel"/>
    <w:tmpl w:val="760C358C"/>
    <w:styleLink w:val="Table-BulletedLis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0333541"/>
    <w:multiLevelType w:val="hybridMultilevel"/>
    <w:tmpl w:val="6FB637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24460CB"/>
    <w:multiLevelType w:val="multilevel"/>
    <w:tmpl w:val="41A028FC"/>
    <w:lvl w:ilvl="0">
      <w:start w:val="1"/>
      <w:numFmt w:val="decimal"/>
      <w:suff w:val="nothing"/>
      <w:lvlText w:val="CHAPTER %1"/>
      <w:lvlJc w:val="left"/>
      <w:pPr>
        <w:ind w:left="3970" w:firstLine="0"/>
      </w:pPr>
      <w:rPr>
        <w:rFonts w:ascii="Verdana" w:hAnsi="Verdana" w:hint="default"/>
        <w:b/>
        <w:i w:val="0"/>
        <w:caps w:val="0"/>
        <w:strike w:val="0"/>
        <w:dstrike w:val="0"/>
        <w:vanish w:val="0"/>
        <w:sz w:val="24"/>
        <w:szCs w:val="24"/>
        <w:vertAlign w:val="baseline"/>
      </w:rPr>
    </w:lvl>
    <w:lvl w:ilvl="1">
      <w:start w:val="1"/>
      <w:numFmt w:val="decimal"/>
      <w:lvlText w:val="%1.%2"/>
      <w:lvlJc w:val="left"/>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2" w15:restartNumberingAfterBreak="0">
    <w:nsid w:val="430E3B15"/>
    <w:multiLevelType w:val="multilevel"/>
    <w:tmpl w:val="2354BF38"/>
    <w:lvl w:ilvl="0">
      <w:start w:val="2"/>
      <w:numFmt w:val="decimal"/>
      <w:suff w:val="nothing"/>
      <w:lvlText w:val="APPENDIX 4.%1"/>
      <w:lvlJc w:val="left"/>
      <w:pPr>
        <w:ind w:left="0" w:firstLine="0"/>
      </w:pPr>
      <w:rPr>
        <w:rFonts w:ascii="Verdana" w:hAnsi="Verdana" w:hint="default"/>
        <w:b/>
        <w:i w:val="0"/>
        <w:caps w:val="0"/>
        <w:strike w:val="0"/>
        <w:dstrike w:val="0"/>
        <w:vanish w:val="0"/>
        <w:sz w:val="24"/>
        <w:vertAlign w:val="baseline"/>
      </w:rPr>
    </w:lvl>
    <w:lvl w:ilvl="1">
      <w:start w:val="1"/>
      <w:numFmt w:val="decimal"/>
      <w:lvlText w:val="4.%1.%2"/>
      <w:lvlJc w:val="left"/>
      <w:pPr>
        <w:tabs>
          <w:tab w:val="num" w:pos="851"/>
        </w:tabs>
        <w:ind w:left="851" w:hanging="851"/>
      </w:pPr>
      <w:rPr>
        <w:rFonts w:ascii="Verdana" w:hAnsi="Verdana" w:hint="default"/>
        <w:b w:val="0"/>
        <w:i w:val="0"/>
        <w:caps w:val="0"/>
        <w:strike w:val="0"/>
        <w:dstrike w:val="0"/>
        <w:vanish w:val="0"/>
        <w:sz w:val="20"/>
        <w:vertAlign w:val="baseline"/>
      </w:rPr>
    </w:lvl>
    <w:lvl w:ilvl="2">
      <w:start w:val="1"/>
      <w:numFmt w:val="bullet"/>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3" w15:restartNumberingAfterBreak="0">
    <w:nsid w:val="44BB017B"/>
    <w:multiLevelType w:val="multilevel"/>
    <w:tmpl w:val="75FA6454"/>
    <w:lvl w:ilvl="0">
      <w:start w:val="1"/>
      <w:numFmt w:val="decimal"/>
      <w:suff w:val="nothing"/>
      <w:lvlText w:val="CHAPTER %1"/>
      <w:lvlJc w:val="left"/>
      <w:pPr>
        <w:ind w:left="3970" w:firstLine="0"/>
      </w:pPr>
      <w:rPr>
        <w:rFonts w:ascii="Verdana" w:hAnsi="Verdana" w:hint="default"/>
        <w:b/>
        <w:i w:val="0"/>
        <w:caps w:val="0"/>
        <w:strike w:val="0"/>
        <w:dstrike w:val="0"/>
        <w:vanish w:val="0"/>
        <w:sz w:val="24"/>
        <w:szCs w:val="24"/>
        <w:vertAlign w:val="baseline"/>
      </w:rPr>
    </w:lvl>
    <w:lvl w:ilvl="1">
      <w:start w:val="1"/>
      <w:numFmt w:val="decimal"/>
      <w:lvlText w:val="%1.%2"/>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4" w15:restartNumberingAfterBreak="0">
    <w:nsid w:val="44D560B6"/>
    <w:multiLevelType w:val="hybridMultilevel"/>
    <w:tmpl w:val="BCA8EC40"/>
    <w:lvl w:ilvl="0" w:tplc="1C80C91E">
      <w:start w:val="1"/>
      <w:numFmt w:val="bullet"/>
      <w:lvlText w:val=""/>
      <w:lvlJc w:val="left"/>
      <w:pPr>
        <w:ind w:left="1080" w:hanging="360"/>
      </w:pPr>
      <w:rPr>
        <w:rFonts w:ascii="Symbol" w:hAnsi="Symbol" w:hint="default"/>
      </w:rPr>
    </w:lvl>
    <w:lvl w:ilvl="1" w:tplc="14090003" w:tentative="1">
      <w:start w:val="1"/>
      <w:numFmt w:val="bullet"/>
      <w:lvlText w:val="o"/>
      <w:lvlJc w:val="left"/>
      <w:pPr>
        <w:ind w:left="937" w:hanging="360"/>
      </w:pPr>
      <w:rPr>
        <w:rFonts w:ascii="Courier New" w:hAnsi="Courier New" w:cs="Courier New" w:hint="default"/>
      </w:rPr>
    </w:lvl>
    <w:lvl w:ilvl="2" w:tplc="14090005" w:tentative="1">
      <w:start w:val="1"/>
      <w:numFmt w:val="bullet"/>
      <w:lvlText w:val=""/>
      <w:lvlJc w:val="left"/>
      <w:pPr>
        <w:ind w:left="1657" w:hanging="360"/>
      </w:pPr>
      <w:rPr>
        <w:rFonts w:ascii="Wingdings" w:hAnsi="Wingdings" w:hint="default"/>
      </w:rPr>
    </w:lvl>
    <w:lvl w:ilvl="3" w:tplc="14090001" w:tentative="1">
      <w:start w:val="1"/>
      <w:numFmt w:val="bullet"/>
      <w:lvlText w:val=""/>
      <w:lvlJc w:val="left"/>
      <w:pPr>
        <w:ind w:left="2377" w:hanging="360"/>
      </w:pPr>
      <w:rPr>
        <w:rFonts w:ascii="Symbol" w:hAnsi="Symbol" w:hint="default"/>
      </w:rPr>
    </w:lvl>
    <w:lvl w:ilvl="4" w:tplc="14090003" w:tentative="1">
      <w:start w:val="1"/>
      <w:numFmt w:val="bullet"/>
      <w:lvlText w:val="o"/>
      <w:lvlJc w:val="left"/>
      <w:pPr>
        <w:ind w:left="3097" w:hanging="360"/>
      </w:pPr>
      <w:rPr>
        <w:rFonts w:ascii="Courier New" w:hAnsi="Courier New" w:cs="Courier New" w:hint="default"/>
      </w:rPr>
    </w:lvl>
    <w:lvl w:ilvl="5" w:tplc="14090005" w:tentative="1">
      <w:start w:val="1"/>
      <w:numFmt w:val="bullet"/>
      <w:lvlText w:val=""/>
      <w:lvlJc w:val="left"/>
      <w:pPr>
        <w:ind w:left="3817" w:hanging="360"/>
      </w:pPr>
      <w:rPr>
        <w:rFonts w:ascii="Wingdings" w:hAnsi="Wingdings" w:hint="default"/>
      </w:rPr>
    </w:lvl>
    <w:lvl w:ilvl="6" w:tplc="14090001" w:tentative="1">
      <w:start w:val="1"/>
      <w:numFmt w:val="bullet"/>
      <w:lvlText w:val=""/>
      <w:lvlJc w:val="left"/>
      <w:pPr>
        <w:ind w:left="4537" w:hanging="360"/>
      </w:pPr>
      <w:rPr>
        <w:rFonts w:ascii="Symbol" w:hAnsi="Symbol" w:hint="default"/>
      </w:rPr>
    </w:lvl>
    <w:lvl w:ilvl="7" w:tplc="14090003" w:tentative="1">
      <w:start w:val="1"/>
      <w:numFmt w:val="bullet"/>
      <w:lvlText w:val="o"/>
      <w:lvlJc w:val="left"/>
      <w:pPr>
        <w:ind w:left="5257" w:hanging="360"/>
      </w:pPr>
      <w:rPr>
        <w:rFonts w:ascii="Courier New" w:hAnsi="Courier New" w:cs="Courier New" w:hint="default"/>
      </w:rPr>
    </w:lvl>
    <w:lvl w:ilvl="8" w:tplc="14090005" w:tentative="1">
      <w:start w:val="1"/>
      <w:numFmt w:val="bullet"/>
      <w:lvlText w:val=""/>
      <w:lvlJc w:val="left"/>
      <w:pPr>
        <w:ind w:left="5977" w:hanging="360"/>
      </w:pPr>
      <w:rPr>
        <w:rFonts w:ascii="Wingdings" w:hAnsi="Wingdings" w:hint="default"/>
      </w:rPr>
    </w:lvl>
  </w:abstractNum>
  <w:abstractNum w:abstractNumId="25" w15:restartNumberingAfterBreak="0">
    <w:nsid w:val="47AE2DEE"/>
    <w:multiLevelType w:val="multilevel"/>
    <w:tmpl w:val="1FCC3238"/>
    <w:lvl w:ilvl="0">
      <w:start w:val="1"/>
      <w:numFmt w:val="decimal"/>
      <w:pStyle w:val="Heading1-Appendix"/>
      <w:suff w:val="nothing"/>
      <w:lvlText w:val="APPENDIX %1"/>
      <w:lvlJc w:val="left"/>
      <w:pPr>
        <w:ind w:left="7372" w:firstLine="0"/>
      </w:pPr>
      <w:rPr>
        <w:rFonts w:ascii="Verdana" w:hAnsi="Verdana" w:hint="default"/>
        <w:b/>
        <w:i w:val="0"/>
        <w:caps w:val="0"/>
        <w:strike w:val="0"/>
        <w:dstrike w:val="0"/>
        <w:vanish w:val="0"/>
        <w:sz w:val="24"/>
        <w:szCs w:val="24"/>
        <w:vertAlign w:val="baseline"/>
      </w:rPr>
    </w:lvl>
    <w:lvl w:ilvl="1">
      <w:start w:val="1"/>
      <w:numFmt w:val="decimal"/>
      <w:pStyle w:val="NumberedParagraph"/>
      <w:lvlText w:val="%1.%2"/>
      <w:lvlJc w:val="left"/>
      <w:pPr>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NumberedParagraph-BulletL1"/>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pStyle w:val="NumberedParagraph-BulletL2"/>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6" w15:restartNumberingAfterBreak="0">
    <w:nsid w:val="49296A6D"/>
    <w:multiLevelType w:val="hybridMultilevel"/>
    <w:tmpl w:val="2BDCDCC4"/>
    <w:lvl w:ilvl="0" w:tplc="E78A3D20">
      <w:start w:val="1"/>
      <w:numFmt w:val="bullet"/>
      <w:pStyle w:val="SummaryandQFS-BulletL1"/>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27" w15:restartNumberingAfterBreak="0">
    <w:nsid w:val="4AD16A41"/>
    <w:multiLevelType w:val="hybridMultilevel"/>
    <w:tmpl w:val="767AA85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CD706A0"/>
    <w:multiLevelType w:val="multilevel"/>
    <w:tmpl w:val="D8A86770"/>
    <w:numStyleLink w:val="NumberedList"/>
  </w:abstractNum>
  <w:abstractNum w:abstractNumId="29" w15:restartNumberingAfterBreak="0">
    <w:nsid w:val="4D201353"/>
    <w:multiLevelType w:val="multilevel"/>
    <w:tmpl w:val="F5B4A89A"/>
    <w:lvl w:ilvl="0">
      <w:start w:val="3"/>
      <w:numFmt w:val="decimal"/>
      <w:suff w:val="nothing"/>
      <w:lvlText w:val="APPENDIX %1.1"/>
      <w:lvlJc w:val="left"/>
      <w:pPr>
        <w:ind w:left="0" w:firstLine="0"/>
      </w:pPr>
      <w:rPr>
        <w:rFonts w:ascii="Verdana" w:hAnsi="Verdana" w:hint="default"/>
        <w:b/>
        <w:i w:val="0"/>
        <w:caps w:val="0"/>
        <w:strike w:val="0"/>
        <w:dstrike w:val="0"/>
        <w:vanish w:val="0"/>
        <w:sz w:val="24"/>
        <w:vertAlign w:val="baseline"/>
      </w:rPr>
    </w:lvl>
    <w:lvl w:ilvl="1">
      <w:start w:val="3"/>
      <w:numFmt w:val="decimal"/>
      <w:lvlText w:val="4.1.%2"/>
      <w:lvlJc w:val="left"/>
      <w:pPr>
        <w:ind w:left="360" w:hanging="360"/>
      </w:pPr>
      <w:rPr>
        <w:rFonts w:ascii="Verdana" w:hAnsi="Verdana" w:hint="default"/>
        <w:sz w:val="20"/>
      </w:rPr>
    </w:lvl>
    <w:lvl w:ilvl="2">
      <w:start w:val="1"/>
      <w:numFmt w:val="bullet"/>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30" w15:restartNumberingAfterBreak="0">
    <w:nsid w:val="4F872CE9"/>
    <w:multiLevelType w:val="hybridMultilevel"/>
    <w:tmpl w:val="957A161C"/>
    <w:lvl w:ilvl="0" w:tplc="B1744CDE">
      <w:start w:val="1"/>
      <w:numFmt w:val="decimal"/>
      <w:lvlText w:val="%1."/>
      <w:lvlJc w:val="lef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31" w15:restartNumberingAfterBreak="0">
    <w:nsid w:val="51C5331C"/>
    <w:multiLevelType w:val="hybridMultilevel"/>
    <w:tmpl w:val="11AA0496"/>
    <w:lvl w:ilvl="0" w:tplc="9D729144">
      <w:start w:val="1"/>
      <w:numFmt w:val="decimal"/>
      <w:lvlText w:val="%1."/>
      <w:lvlJc w:val="left"/>
      <w:pPr>
        <w:ind w:left="1571" w:hanging="360"/>
      </w:pPr>
    </w:lvl>
    <w:lvl w:ilvl="1" w:tplc="14090001">
      <w:start w:val="1"/>
      <w:numFmt w:val="bullet"/>
      <w:lvlText w:val=""/>
      <w:lvlJc w:val="left"/>
      <w:pPr>
        <w:ind w:left="2291" w:hanging="360"/>
      </w:pPr>
      <w:rPr>
        <w:rFonts w:ascii="Symbol" w:hAnsi="Symbol" w:hint="default"/>
      </w:r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32" w15:restartNumberingAfterBreak="0">
    <w:nsid w:val="54463F1E"/>
    <w:multiLevelType w:val="hybridMultilevel"/>
    <w:tmpl w:val="51082C7C"/>
    <w:lvl w:ilvl="0" w:tplc="9D729144">
      <w:start w:val="1"/>
      <w:numFmt w:val="decimal"/>
      <w:lvlText w:val="%1."/>
      <w:lvlJc w:val="left"/>
      <w:pPr>
        <w:ind w:left="1571" w:hanging="360"/>
      </w:pPr>
    </w:lvl>
    <w:lvl w:ilvl="1" w:tplc="14090019">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33" w15:restartNumberingAfterBreak="0">
    <w:nsid w:val="579064A7"/>
    <w:multiLevelType w:val="multilevel"/>
    <w:tmpl w:val="ABDE0030"/>
    <w:lvl w:ilvl="0">
      <w:start w:val="1"/>
      <w:numFmt w:val="decimal"/>
      <w:lvlText w:val="%1."/>
      <w:lvlJc w:val="left"/>
      <w:pPr>
        <w:tabs>
          <w:tab w:val="num" w:pos="567"/>
        </w:tabs>
        <w:ind w:left="567" w:hanging="567"/>
      </w:pPr>
      <w:rPr>
        <w:rFonts w:hint="default"/>
        <w:i w:val="0"/>
        <w:iCs w:val="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AC57DF9"/>
    <w:multiLevelType w:val="multilevel"/>
    <w:tmpl w:val="21EE2864"/>
    <w:lvl w:ilvl="0">
      <w:start w:val="3"/>
      <w:numFmt w:val="decimal"/>
      <w:suff w:val="nothing"/>
      <w:lvlText w:val="APPENDIX %1.1"/>
      <w:lvlJc w:val="left"/>
      <w:pPr>
        <w:ind w:left="0" w:firstLine="0"/>
      </w:pPr>
      <w:rPr>
        <w:rFonts w:ascii="Verdana" w:hAnsi="Verdana" w:hint="default"/>
        <w:b/>
        <w:i w:val="0"/>
        <w:caps w:val="0"/>
        <w:strike w:val="0"/>
        <w:dstrike w:val="0"/>
        <w:vanish w:val="0"/>
        <w:sz w:val="24"/>
        <w:vertAlign w:val="baseline"/>
      </w:rPr>
    </w:lvl>
    <w:lvl w:ilvl="1">
      <w:start w:val="1"/>
      <w:numFmt w:val="decimal"/>
      <w:lvlText w:val="3.1.%2"/>
      <w:lvlJc w:val="left"/>
      <w:pPr>
        <w:ind w:left="3763" w:hanging="360"/>
      </w:pPr>
      <w:rPr>
        <w:rFonts w:ascii="Verdana" w:hAnsi="Verdana" w:hint="default"/>
        <w:sz w:val="20"/>
      </w:rPr>
    </w:lvl>
    <w:lvl w:ilvl="2">
      <w:start w:val="1"/>
      <w:numFmt w:val="bullet"/>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35" w15:restartNumberingAfterBreak="0">
    <w:nsid w:val="5B587CB2"/>
    <w:multiLevelType w:val="multilevel"/>
    <w:tmpl w:val="4D900B60"/>
    <w:lvl w:ilvl="0">
      <w:start w:val="3"/>
      <w:numFmt w:val="decimal"/>
      <w:suff w:val="nothing"/>
      <w:lvlText w:val="APPENDIX %1.1"/>
      <w:lvlJc w:val="left"/>
      <w:pPr>
        <w:ind w:left="0" w:firstLine="0"/>
      </w:pPr>
      <w:rPr>
        <w:rFonts w:ascii="Verdana" w:hAnsi="Verdana" w:hint="default"/>
        <w:b/>
        <w:i w:val="0"/>
        <w:caps w:val="0"/>
        <w:strike w:val="0"/>
        <w:dstrike w:val="0"/>
        <w:vanish w:val="0"/>
        <w:sz w:val="24"/>
        <w:vertAlign w:val="baseline"/>
      </w:rPr>
    </w:lvl>
    <w:lvl w:ilvl="1">
      <w:start w:val="1"/>
      <w:numFmt w:val="decimal"/>
      <w:lvlText w:val="4.1.%2"/>
      <w:lvlJc w:val="left"/>
      <w:pPr>
        <w:ind w:left="360" w:hanging="360"/>
      </w:pPr>
      <w:rPr>
        <w:rFonts w:ascii="Verdana" w:hAnsi="Verdana" w:hint="default"/>
        <w:sz w:val="20"/>
      </w:rPr>
    </w:lvl>
    <w:lvl w:ilvl="2">
      <w:start w:val="1"/>
      <w:numFmt w:val="bullet"/>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36" w15:restartNumberingAfterBreak="0">
    <w:nsid w:val="6204755D"/>
    <w:multiLevelType w:val="multilevel"/>
    <w:tmpl w:val="D8A86770"/>
    <w:styleLink w:val="NumberedList"/>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7DA665C"/>
    <w:multiLevelType w:val="multilevel"/>
    <w:tmpl w:val="EBFCAC30"/>
    <w:lvl w:ilvl="0">
      <w:start w:val="1"/>
      <w:numFmt w:val="bullet"/>
      <w:pStyle w:val="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Times New Roman" w:hAnsi="Times New Roman" w:cs="Times New Roman" w:hint="default"/>
      </w:rPr>
    </w:lvl>
    <w:lvl w:ilvl="2">
      <w:start w:val="1"/>
      <w:numFmt w:val="bullet"/>
      <w:pStyle w:val="ListBullet3"/>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8" w15:restartNumberingAfterBreak="0">
    <w:nsid w:val="6A981CA4"/>
    <w:multiLevelType w:val="multilevel"/>
    <w:tmpl w:val="FC2A69F2"/>
    <w:lvl w:ilvl="0">
      <w:start w:val="3"/>
      <w:numFmt w:val="decimal"/>
      <w:suff w:val="nothing"/>
      <w:lvlText w:val="APPENDIX %1.1"/>
      <w:lvlJc w:val="left"/>
      <w:pPr>
        <w:ind w:left="0" w:firstLine="0"/>
      </w:pPr>
      <w:rPr>
        <w:rFonts w:ascii="Verdana" w:hAnsi="Verdana" w:hint="default"/>
        <w:b/>
        <w:i w:val="0"/>
        <w:caps w:val="0"/>
        <w:strike w:val="0"/>
        <w:dstrike w:val="0"/>
        <w:vanish w:val="0"/>
        <w:sz w:val="24"/>
        <w:vertAlign w:val="baseline"/>
      </w:rPr>
    </w:lvl>
    <w:lvl w:ilvl="1">
      <w:start w:val="1"/>
      <w:numFmt w:val="decimal"/>
      <w:lvlText w:val="%1.1.%2"/>
      <w:lvlJc w:val="left"/>
      <w:pPr>
        <w:tabs>
          <w:tab w:val="num" w:pos="851"/>
        </w:tabs>
        <w:ind w:left="851" w:hanging="851"/>
      </w:pPr>
      <w:rPr>
        <w:rFonts w:ascii="Verdana" w:hAnsi="Verdana" w:hint="default"/>
        <w:b w:val="0"/>
        <w:i w:val="0"/>
        <w:caps w:val="0"/>
        <w:strike w:val="0"/>
        <w:dstrike w:val="0"/>
        <w:vanish w:val="0"/>
        <w:sz w:val="20"/>
        <w:vertAlign w:val="baseline"/>
      </w:rPr>
    </w:lvl>
    <w:lvl w:ilvl="2">
      <w:start w:val="1"/>
      <w:numFmt w:val="bullet"/>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39" w15:restartNumberingAfterBreak="0">
    <w:nsid w:val="6C2210EE"/>
    <w:multiLevelType w:val="multilevel"/>
    <w:tmpl w:val="79309486"/>
    <w:lvl w:ilvl="0">
      <w:start w:val="1"/>
      <w:numFmt w:val="decimal"/>
      <w:suff w:val="nothing"/>
      <w:lvlText w:val="CHAPTER %1"/>
      <w:lvlJc w:val="left"/>
      <w:pPr>
        <w:ind w:left="3970" w:firstLine="0"/>
      </w:pPr>
      <w:rPr>
        <w:rFonts w:ascii="Verdana" w:hAnsi="Verdana" w:hint="default"/>
        <w:b/>
        <w:i w:val="0"/>
        <w:caps w:val="0"/>
        <w:strike w:val="0"/>
        <w:dstrike w:val="0"/>
        <w:vanish w:val="0"/>
        <w:sz w:val="24"/>
        <w:szCs w:val="24"/>
        <w:vertAlign w:val="baseline"/>
      </w:rPr>
    </w:lvl>
    <w:lvl w:ilvl="1">
      <w:start w:val="1"/>
      <w:numFmt w:val="decimal"/>
      <w:lvlText w:val="%1.%2"/>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40" w15:restartNumberingAfterBreak="0">
    <w:nsid w:val="6E1A283E"/>
    <w:multiLevelType w:val="multilevel"/>
    <w:tmpl w:val="6CBC0200"/>
    <w:lvl w:ilvl="0">
      <w:start w:val="1"/>
      <w:numFmt w:val="bullet"/>
      <w:pStyle w:val="Example-ListBullet1"/>
      <w:lvlText w:val=""/>
      <w:lvlJc w:val="left"/>
      <w:pPr>
        <w:ind w:left="0" w:firstLine="284"/>
      </w:pPr>
      <w:rPr>
        <w:rFonts w:ascii="Symbol" w:hAnsi="Symbol" w:hint="default"/>
      </w:rPr>
    </w:lvl>
    <w:lvl w:ilvl="1">
      <w:start w:val="1"/>
      <w:numFmt w:val="bullet"/>
      <w:lvlText w:val="–"/>
      <w:lvlJc w:val="left"/>
      <w:pPr>
        <w:ind w:left="284" w:hanging="284"/>
      </w:pPr>
      <w:rPr>
        <w:rFonts w:ascii="Times New Roman" w:hAnsi="Times New Roman" w:cs="Times New Roman" w:hint="default"/>
      </w:rPr>
    </w:lvl>
    <w:lvl w:ilvl="2">
      <w:start w:val="1"/>
      <w:numFmt w:val="bullet"/>
      <w:lvlText w:val=""/>
      <w:lvlJc w:val="left"/>
      <w:pPr>
        <w:ind w:left="568" w:firstLine="284"/>
      </w:pPr>
      <w:rPr>
        <w:rFonts w:ascii="Wingdings" w:hAnsi="Wingdings" w:hint="default"/>
      </w:rPr>
    </w:lvl>
    <w:lvl w:ilvl="3">
      <w:start w:val="1"/>
      <w:numFmt w:val="bullet"/>
      <w:lvlText w:val=""/>
      <w:lvlJc w:val="left"/>
      <w:pPr>
        <w:ind w:left="852" w:firstLine="284"/>
      </w:pPr>
      <w:rPr>
        <w:rFonts w:ascii="Symbol" w:hAnsi="Symbol" w:hint="default"/>
      </w:rPr>
    </w:lvl>
    <w:lvl w:ilvl="4">
      <w:start w:val="1"/>
      <w:numFmt w:val="bullet"/>
      <w:lvlText w:val="o"/>
      <w:lvlJc w:val="left"/>
      <w:pPr>
        <w:ind w:left="1136" w:firstLine="284"/>
      </w:pPr>
      <w:rPr>
        <w:rFonts w:ascii="Courier New" w:hAnsi="Courier New" w:cs="Courier New" w:hint="default"/>
      </w:rPr>
    </w:lvl>
    <w:lvl w:ilvl="5">
      <w:start w:val="1"/>
      <w:numFmt w:val="bullet"/>
      <w:lvlText w:val=""/>
      <w:lvlJc w:val="left"/>
      <w:pPr>
        <w:ind w:left="1420" w:firstLine="284"/>
      </w:pPr>
      <w:rPr>
        <w:rFonts w:ascii="Wingdings" w:hAnsi="Wingdings" w:hint="default"/>
      </w:rPr>
    </w:lvl>
    <w:lvl w:ilvl="6">
      <w:start w:val="1"/>
      <w:numFmt w:val="bullet"/>
      <w:lvlText w:val=""/>
      <w:lvlJc w:val="left"/>
      <w:pPr>
        <w:ind w:left="1704" w:firstLine="284"/>
      </w:pPr>
      <w:rPr>
        <w:rFonts w:ascii="Symbol" w:hAnsi="Symbol" w:hint="default"/>
      </w:rPr>
    </w:lvl>
    <w:lvl w:ilvl="7">
      <w:start w:val="1"/>
      <w:numFmt w:val="bullet"/>
      <w:lvlText w:val="o"/>
      <w:lvlJc w:val="left"/>
      <w:pPr>
        <w:ind w:left="1988" w:firstLine="284"/>
      </w:pPr>
      <w:rPr>
        <w:rFonts w:ascii="Courier New" w:hAnsi="Courier New" w:cs="Courier New" w:hint="default"/>
      </w:rPr>
    </w:lvl>
    <w:lvl w:ilvl="8">
      <w:start w:val="1"/>
      <w:numFmt w:val="bullet"/>
      <w:lvlText w:val=""/>
      <w:lvlJc w:val="left"/>
      <w:pPr>
        <w:ind w:left="2272" w:firstLine="284"/>
      </w:pPr>
      <w:rPr>
        <w:rFonts w:ascii="Wingdings" w:hAnsi="Wingdings" w:hint="default"/>
      </w:rPr>
    </w:lvl>
  </w:abstractNum>
  <w:abstractNum w:abstractNumId="41" w15:restartNumberingAfterBreak="0">
    <w:nsid w:val="74436CC6"/>
    <w:multiLevelType w:val="hybridMultilevel"/>
    <w:tmpl w:val="6262AD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2" w15:restartNumberingAfterBreak="0">
    <w:nsid w:val="77A24DBA"/>
    <w:multiLevelType w:val="hybridMultilevel"/>
    <w:tmpl w:val="3FA62B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79F46A38"/>
    <w:multiLevelType w:val="multilevel"/>
    <w:tmpl w:val="0C6606AA"/>
    <w:lvl w:ilvl="0">
      <w:start w:val="1"/>
      <w:numFmt w:val="decimal"/>
      <w:pStyle w:val="NumberedParagraph-NumberedLists"/>
      <w:lvlText w:val="%1."/>
      <w:lvlJc w:val="left"/>
      <w:pPr>
        <w:tabs>
          <w:tab w:val="num" w:pos="1418"/>
        </w:tabs>
        <w:ind w:left="1418" w:hanging="567"/>
      </w:pPr>
      <w:rPr>
        <w:rFonts w:ascii="Times New Roman" w:hAnsi="Times New Roman" w:hint="default"/>
        <w:sz w:val="24"/>
      </w:rPr>
    </w:lvl>
    <w:lvl w:ilvl="1">
      <w:start w:val="1"/>
      <w:numFmt w:val="lowerLetter"/>
      <w:lvlText w:val="%2."/>
      <w:lvlJc w:val="left"/>
      <w:pPr>
        <w:tabs>
          <w:tab w:val="num" w:pos="1985"/>
        </w:tabs>
        <w:ind w:left="1985" w:hanging="567"/>
      </w:pPr>
      <w:rPr>
        <w:rFonts w:ascii="Verdana" w:hAnsi="Verdana" w:hint="default"/>
        <w:sz w:val="24"/>
      </w:rPr>
    </w:lvl>
    <w:lvl w:ilvl="2">
      <w:start w:val="1"/>
      <w:numFmt w:val="lowerRoman"/>
      <w:lvlText w:val="%3."/>
      <w:lvlJc w:val="right"/>
      <w:pPr>
        <w:tabs>
          <w:tab w:val="num" w:pos="2552"/>
        </w:tabs>
        <w:ind w:left="2552" w:hanging="426"/>
      </w:pPr>
      <w:rPr>
        <w:rFonts w:ascii="Times New Roman" w:hAnsi="Times New Roman" w:hint="default"/>
        <w:sz w:val="24"/>
      </w:rPr>
    </w:lvl>
    <w:lvl w:ilvl="3">
      <w:start w:val="1"/>
      <w:numFmt w:val="decimal"/>
      <w:lvlText w:val="%4."/>
      <w:lvlJc w:val="left"/>
      <w:pPr>
        <w:tabs>
          <w:tab w:val="num" w:pos="2977"/>
        </w:tabs>
        <w:ind w:left="3119" w:hanging="567"/>
      </w:pPr>
      <w:rPr>
        <w:rFonts w:hint="default"/>
      </w:rPr>
    </w:lvl>
    <w:lvl w:ilvl="4">
      <w:start w:val="1"/>
      <w:numFmt w:val="lowerLetter"/>
      <w:lvlText w:val="%5."/>
      <w:lvlJc w:val="left"/>
      <w:pPr>
        <w:tabs>
          <w:tab w:val="num" w:pos="3544"/>
        </w:tabs>
        <w:ind w:left="3686" w:hanging="567"/>
      </w:pPr>
      <w:rPr>
        <w:rFonts w:hint="default"/>
      </w:rPr>
    </w:lvl>
    <w:lvl w:ilvl="5">
      <w:start w:val="1"/>
      <w:numFmt w:val="lowerRoman"/>
      <w:lvlText w:val="%6."/>
      <w:lvlJc w:val="right"/>
      <w:pPr>
        <w:tabs>
          <w:tab w:val="num" w:pos="4111"/>
        </w:tabs>
        <w:ind w:left="4253" w:hanging="567"/>
      </w:pPr>
      <w:rPr>
        <w:rFonts w:hint="default"/>
      </w:rPr>
    </w:lvl>
    <w:lvl w:ilvl="6">
      <w:start w:val="1"/>
      <w:numFmt w:val="decimal"/>
      <w:lvlText w:val="%7."/>
      <w:lvlJc w:val="left"/>
      <w:pPr>
        <w:tabs>
          <w:tab w:val="num" w:pos="4678"/>
        </w:tabs>
        <w:ind w:left="4820" w:hanging="567"/>
      </w:pPr>
      <w:rPr>
        <w:rFonts w:hint="default"/>
      </w:rPr>
    </w:lvl>
    <w:lvl w:ilvl="7">
      <w:start w:val="1"/>
      <w:numFmt w:val="lowerLetter"/>
      <w:lvlText w:val="%8."/>
      <w:lvlJc w:val="left"/>
      <w:pPr>
        <w:tabs>
          <w:tab w:val="num" w:pos="5245"/>
        </w:tabs>
        <w:ind w:left="5387" w:hanging="567"/>
      </w:pPr>
      <w:rPr>
        <w:rFonts w:hint="default"/>
      </w:rPr>
    </w:lvl>
    <w:lvl w:ilvl="8">
      <w:start w:val="1"/>
      <w:numFmt w:val="lowerRoman"/>
      <w:lvlText w:val="%9."/>
      <w:lvlJc w:val="right"/>
      <w:pPr>
        <w:tabs>
          <w:tab w:val="num" w:pos="5812"/>
        </w:tabs>
        <w:ind w:left="5954" w:hanging="567"/>
      </w:pPr>
      <w:rPr>
        <w:rFonts w:hint="default"/>
      </w:rPr>
    </w:lvl>
  </w:abstractNum>
  <w:abstractNum w:abstractNumId="44" w15:restartNumberingAfterBreak="0">
    <w:nsid w:val="7E460C25"/>
    <w:multiLevelType w:val="multilevel"/>
    <w:tmpl w:val="3DF410B6"/>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43"/>
  </w:num>
  <w:num w:numId="4">
    <w:abstractNumId w:val="40"/>
  </w:num>
  <w:num w:numId="5">
    <w:abstractNumId w:val="43"/>
  </w:num>
  <w:num w:numId="6">
    <w:abstractNumId w:val="10"/>
  </w:num>
  <w:num w:numId="7">
    <w:abstractNumId w:val="14"/>
  </w:num>
  <w:num w:numId="8">
    <w:abstractNumId w:val="19"/>
  </w:num>
  <w:num w:numId="9">
    <w:abstractNumId w:val="44"/>
  </w:num>
  <w:num w:numId="10">
    <w:abstractNumId w:val="23"/>
  </w:num>
  <w:num w:numId="11">
    <w:abstractNumId w:val="8"/>
  </w:num>
  <w:num w:numId="12">
    <w:abstractNumId w:val="26"/>
  </w:num>
  <w:num w:numId="13">
    <w:abstractNumId w:val="6"/>
  </w:num>
  <w:num w:numId="14">
    <w:abstractNumId w:val="42"/>
  </w:num>
  <w:num w:numId="15">
    <w:abstractNumId w:val="15"/>
  </w:num>
  <w:num w:numId="16">
    <w:abstractNumId w:val="17"/>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28"/>
  </w:num>
  <w:num w:numId="20">
    <w:abstractNumId w:val="5"/>
  </w:num>
  <w:num w:numId="21">
    <w:abstractNumId w:val="4"/>
  </w:num>
  <w:num w:numId="22">
    <w:abstractNumId w:val="7"/>
  </w:num>
  <w:num w:numId="23">
    <w:abstractNumId w:val="3"/>
  </w:num>
  <w:num w:numId="24">
    <w:abstractNumId w:val="2"/>
  </w:num>
  <w:num w:numId="25">
    <w:abstractNumId w:val="1"/>
  </w:num>
  <w:num w:numId="26">
    <w:abstractNumId w:val="0"/>
  </w:num>
  <w:num w:numId="27">
    <w:abstractNumId w:val="33"/>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4"/>
  </w:num>
  <w:num w:numId="31">
    <w:abstractNumId w:val="41"/>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7"/>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23"/>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13"/>
    <w:lvlOverride w:ilvl="0">
      <w:lvl w:ilvl="0">
        <w:start w:val="1"/>
        <w:numFmt w:val="decimal"/>
        <w:suff w:val="nothing"/>
        <w:lvlText w:val="CHAPTER %1"/>
        <w:lvlJc w:val="left"/>
        <w:pPr>
          <w:ind w:left="3970" w:firstLine="0"/>
        </w:pPr>
        <w:rPr>
          <w:rFonts w:ascii="Verdana" w:hAnsi="Verdana" w:hint="default"/>
          <w:b/>
          <w:i w:val="0"/>
          <w:caps w:val="0"/>
          <w:strike w:val="0"/>
          <w:dstrike w:val="0"/>
          <w:vanish w:val="0"/>
          <w:sz w:val="24"/>
          <w:szCs w:val="24"/>
          <w:vertAlign w:val="baseline"/>
        </w:rPr>
      </w:lvl>
    </w:lvlOverride>
    <w:lvlOverride w:ilvl="1">
      <w:lvl w:ilvl="1">
        <w:start w:val="1"/>
        <w:numFmt w:val="decimal"/>
        <w:lvlText w:val="%1.%2"/>
        <w:lvlJc w:val="left"/>
        <w:pPr>
          <w:tabs>
            <w:tab w:val="num" w:pos="851"/>
          </w:tabs>
          <w:ind w:left="851" w:hanging="851"/>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bullet"/>
        <w:lvlText w:val=""/>
        <w:lvlJc w:val="left"/>
        <w:pPr>
          <w:tabs>
            <w:tab w:val="num" w:pos="1418"/>
          </w:tabs>
          <w:ind w:left="1418" w:hanging="567"/>
        </w:pPr>
        <w:rPr>
          <w:rFonts w:ascii="Symbol" w:hAnsi="Symbol" w:hint="default"/>
          <w:b w:val="0"/>
          <w:i w:val="0"/>
          <w:caps w:val="0"/>
          <w:strike w:val="0"/>
          <w:dstrike w:val="0"/>
          <w:sz w:val="24"/>
          <w:vertAlign w:val="baseline"/>
        </w:rPr>
      </w:lvl>
    </w:lvlOverride>
    <w:lvlOverride w:ilvl="3">
      <w:lvl w:ilvl="3">
        <w:start w:val="1"/>
        <w:numFmt w:val="bullet"/>
        <w:lvlText w:val="–"/>
        <w:lvlJc w:val="left"/>
        <w:pPr>
          <w:tabs>
            <w:tab w:val="num" w:pos="1985"/>
          </w:tabs>
          <w:ind w:left="1985" w:hanging="567"/>
        </w:pPr>
        <w:rPr>
          <w:rFonts w:ascii="Times New Roman" w:hAnsi="Times New Roman" w:cs="Times New Roman" w:hint="default"/>
        </w:rPr>
      </w:lvl>
    </w:lvlOverride>
    <w:lvlOverride w:ilvl="4">
      <w:lvl w:ilvl="4">
        <w:start w:val="1"/>
        <w:numFmt w:val="none"/>
        <w:lvlText w:val=""/>
        <w:lvlJc w:val="left"/>
        <w:pPr>
          <w:tabs>
            <w:tab w:val="num" w:pos="851"/>
          </w:tabs>
          <w:ind w:left="851" w:hanging="851"/>
        </w:pPr>
        <w:rPr>
          <w:rFonts w:hint="default"/>
        </w:rPr>
      </w:lvl>
    </w:lvlOverride>
    <w:lvlOverride w:ilvl="5">
      <w:lvl w:ilvl="5">
        <w:start w:val="1"/>
        <w:numFmt w:val="none"/>
        <w:lvlText w:val=""/>
        <w:lvlJc w:val="left"/>
        <w:pPr>
          <w:tabs>
            <w:tab w:val="num" w:pos="851"/>
          </w:tabs>
          <w:ind w:left="851" w:hanging="851"/>
        </w:pPr>
        <w:rPr>
          <w:rFonts w:hint="default"/>
        </w:rPr>
      </w:lvl>
    </w:lvlOverride>
    <w:lvlOverride w:ilvl="6">
      <w:lvl w:ilvl="6">
        <w:start w:val="1"/>
        <w:numFmt w:val="none"/>
        <w:lvlText w:val=""/>
        <w:lvlJc w:val="left"/>
        <w:pPr>
          <w:tabs>
            <w:tab w:val="num" w:pos="851"/>
          </w:tabs>
          <w:ind w:left="851" w:hanging="851"/>
        </w:pPr>
        <w:rPr>
          <w:rFonts w:hint="default"/>
        </w:rPr>
      </w:lvl>
    </w:lvlOverride>
    <w:lvlOverride w:ilvl="7">
      <w:lvl w:ilvl="7">
        <w:start w:val="1"/>
        <w:numFmt w:val="none"/>
        <w:lvlText w:val=""/>
        <w:lvlJc w:val="left"/>
        <w:pPr>
          <w:tabs>
            <w:tab w:val="num" w:pos="851"/>
          </w:tabs>
          <w:ind w:left="851" w:hanging="851"/>
        </w:pPr>
        <w:rPr>
          <w:rFonts w:hint="default"/>
        </w:rPr>
      </w:lvl>
    </w:lvlOverride>
    <w:lvlOverride w:ilvl="8">
      <w:lvl w:ilvl="8">
        <w:start w:val="1"/>
        <w:numFmt w:val="none"/>
        <w:lvlText w:val=""/>
        <w:lvlJc w:val="left"/>
        <w:pPr>
          <w:tabs>
            <w:tab w:val="num" w:pos="851"/>
          </w:tabs>
          <w:ind w:left="851" w:hanging="851"/>
        </w:pPr>
        <w:rPr>
          <w:rFonts w:hint="default"/>
        </w:rPr>
      </w:lvl>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11"/>
  </w:num>
  <w:num w:numId="52">
    <w:abstractNumId w:val="11"/>
  </w:num>
  <w:num w:numId="53">
    <w:abstractNumId w:val="21"/>
  </w:num>
  <w:num w:numId="54">
    <w:abstractNumId w:val="21"/>
  </w:num>
  <w:num w:numId="55">
    <w:abstractNumId w:val="21"/>
  </w:num>
  <w:num w:numId="56">
    <w:abstractNumId w:val="21"/>
  </w:num>
  <w:num w:numId="57">
    <w:abstractNumId w:val="21"/>
  </w:num>
  <w:num w:numId="58">
    <w:abstractNumId w:val="25"/>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num>
  <w:num w:numId="61">
    <w:abstractNumId w:val="25"/>
  </w:num>
  <w:num w:numId="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5"/>
  </w:num>
  <w:num w:numId="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num>
  <w:num w:numId="66">
    <w:abstractNumId w:val="25"/>
  </w:num>
  <w:num w:numId="67">
    <w:abstractNumId w:val="25"/>
  </w:num>
  <w:num w:numId="68">
    <w:abstractNumId w:val="38"/>
  </w:num>
  <w:num w:numId="69">
    <w:abstractNumId w:val="25"/>
  </w:num>
  <w:num w:numId="70">
    <w:abstractNumId w:val="38"/>
  </w:num>
  <w:num w:numId="71">
    <w:abstractNumId w:val="38"/>
  </w:num>
  <w:num w:numId="72">
    <w:abstractNumId w:val="22"/>
  </w:num>
  <w:num w:numId="73">
    <w:abstractNumId w:val="16"/>
  </w:num>
  <w:num w:numId="74">
    <w:abstractNumId w:val="38"/>
  </w:num>
  <w:num w:numId="75">
    <w:abstractNumId w:val="38"/>
  </w:num>
  <w:num w:numId="76">
    <w:abstractNumId w:val="38"/>
  </w:num>
  <w:num w:numId="77">
    <w:abstractNumId w:val="38"/>
  </w:num>
  <w:num w:numId="78">
    <w:abstractNumId w:val="38"/>
  </w:num>
  <w:num w:numId="79">
    <w:abstractNumId w:val="38"/>
  </w:num>
  <w:num w:numId="80">
    <w:abstractNumId w:val="38"/>
  </w:num>
  <w:num w:numId="81">
    <w:abstractNumId w:val="38"/>
  </w:num>
  <w:num w:numId="82">
    <w:abstractNumId w:val="38"/>
  </w:num>
  <w:num w:numId="83">
    <w:abstractNumId w:val="38"/>
  </w:num>
  <w:num w:numId="84">
    <w:abstractNumId w:val="38"/>
  </w:num>
  <w:num w:numId="85">
    <w:abstractNumId w:val="38"/>
  </w:num>
  <w:num w:numId="86">
    <w:abstractNumId w:val="38"/>
  </w:num>
  <w:num w:numId="87">
    <w:abstractNumId w:val="38"/>
  </w:num>
  <w:num w:numId="88">
    <w:abstractNumId w:val="38"/>
  </w:num>
  <w:num w:numId="89">
    <w:abstractNumId w:val="38"/>
  </w:num>
  <w:num w:numId="90">
    <w:abstractNumId w:val="38"/>
  </w:num>
  <w:num w:numId="91">
    <w:abstractNumId w:val="38"/>
  </w:num>
  <w:num w:numId="92">
    <w:abstractNumId w:val="38"/>
  </w:num>
  <w:num w:numId="93">
    <w:abstractNumId w:val="38"/>
  </w:num>
  <w:num w:numId="94">
    <w:abstractNumId w:val="38"/>
  </w:num>
  <w:num w:numId="95">
    <w:abstractNumId w:val="38"/>
  </w:num>
  <w:num w:numId="96">
    <w:abstractNumId w:val="38"/>
  </w:num>
  <w:num w:numId="97">
    <w:abstractNumId w:val="29"/>
  </w:num>
  <w:num w:numId="98">
    <w:abstractNumId w:val="34"/>
  </w:num>
  <w:num w:numId="99">
    <w:abstractNumId w:val="34"/>
  </w:num>
  <w:num w:numId="100">
    <w:abstractNumId w:val="35"/>
  </w:num>
  <w:num w:numId="101">
    <w:abstractNumId w:val="30"/>
  </w:num>
  <w:num w:numId="102">
    <w:abstractNumId w:val="32"/>
  </w:num>
  <w:num w:numId="103">
    <w:abstractNumId w:val="31"/>
  </w:num>
  <w:num w:numId="104">
    <w:abstractNumId w:val="9"/>
  </w:num>
  <w:num w:numId="1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4"/>
  </w:num>
  <w:num w:numId="10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5"/>
  </w:num>
  <w:num w:numId="109">
    <w:abstractNumId w:val="25"/>
  </w:num>
  <w:num w:numId="110">
    <w:abstractNumId w:val="25"/>
  </w:num>
  <w:num w:numId="111">
    <w:abstractNumId w:val="25"/>
  </w:num>
  <w:num w:numId="112">
    <w:abstractNumId w:val="25"/>
  </w:num>
  <w:num w:numId="113">
    <w:abstractNumId w:val="25"/>
  </w:num>
  <w:num w:numId="114">
    <w:abstractNumId w:val="25"/>
  </w:num>
  <w:num w:numId="115">
    <w:abstractNumId w:val="18"/>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characterSpacingControl w:val="doNotCompress"/>
  <w:hdrShapeDefaults>
    <o:shapedefaults v:ext="edit" spidmax="211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1DD"/>
    <w:rsid w:val="0000036F"/>
    <w:rsid w:val="000008DC"/>
    <w:rsid w:val="00000C02"/>
    <w:rsid w:val="00000DC5"/>
    <w:rsid w:val="000022BC"/>
    <w:rsid w:val="00002857"/>
    <w:rsid w:val="00002B5E"/>
    <w:rsid w:val="00003596"/>
    <w:rsid w:val="00003E47"/>
    <w:rsid w:val="00004336"/>
    <w:rsid w:val="00004F1C"/>
    <w:rsid w:val="00006180"/>
    <w:rsid w:val="00006BD0"/>
    <w:rsid w:val="000072B9"/>
    <w:rsid w:val="00007DA2"/>
    <w:rsid w:val="00010D0D"/>
    <w:rsid w:val="00011191"/>
    <w:rsid w:val="000112E8"/>
    <w:rsid w:val="00011FEC"/>
    <w:rsid w:val="00012085"/>
    <w:rsid w:val="000123F5"/>
    <w:rsid w:val="00013D54"/>
    <w:rsid w:val="00014C92"/>
    <w:rsid w:val="000150AE"/>
    <w:rsid w:val="00015296"/>
    <w:rsid w:val="00017B0F"/>
    <w:rsid w:val="00021019"/>
    <w:rsid w:val="00021385"/>
    <w:rsid w:val="000221C9"/>
    <w:rsid w:val="0002245D"/>
    <w:rsid w:val="00023384"/>
    <w:rsid w:val="00023590"/>
    <w:rsid w:val="00024337"/>
    <w:rsid w:val="00027043"/>
    <w:rsid w:val="0002709F"/>
    <w:rsid w:val="00027648"/>
    <w:rsid w:val="00027D65"/>
    <w:rsid w:val="0003036E"/>
    <w:rsid w:val="00030475"/>
    <w:rsid w:val="00030E27"/>
    <w:rsid w:val="00031484"/>
    <w:rsid w:val="00031E4D"/>
    <w:rsid w:val="000321CA"/>
    <w:rsid w:val="000327D2"/>
    <w:rsid w:val="00032B6E"/>
    <w:rsid w:val="00033053"/>
    <w:rsid w:val="00035045"/>
    <w:rsid w:val="00035095"/>
    <w:rsid w:val="00035414"/>
    <w:rsid w:val="00035E6E"/>
    <w:rsid w:val="00037026"/>
    <w:rsid w:val="0004075F"/>
    <w:rsid w:val="00040DD3"/>
    <w:rsid w:val="00040FD6"/>
    <w:rsid w:val="00041544"/>
    <w:rsid w:val="0004233C"/>
    <w:rsid w:val="00044115"/>
    <w:rsid w:val="0004433C"/>
    <w:rsid w:val="00044C9D"/>
    <w:rsid w:val="00044E66"/>
    <w:rsid w:val="00044E9B"/>
    <w:rsid w:val="0004533F"/>
    <w:rsid w:val="00045A04"/>
    <w:rsid w:val="00045F22"/>
    <w:rsid w:val="00046909"/>
    <w:rsid w:val="00047D7C"/>
    <w:rsid w:val="00052ABF"/>
    <w:rsid w:val="00053AD7"/>
    <w:rsid w:val="00053ED8"/>
    <w:rsid w:val="000540B8"/>
    <w:rsid w:val="00054865"/>
    <w:rsid w:val="00054C10"/>
    <w:rsid w:val="000552A3"/>
    <w:rsid w:val="000557FA"/>
    <w:rsid w:val="00055997"/>
    <w:rsid w:val="000561DF"/>
    <w:rsid w:val="00057487"/>
    <w:rsid w:val="00057E30"/>
    <w:rsid w:val="00061720"/>
    <w:rsid w:val="0006177A"/>
    <w:rsid w:val="00061C64"/>
    <w:rsid w:val="000627D0"/>
    <w:rsid w:val="00062D8E"/>
    <w:rsid w:val="00063111"/>
    <w:rsid w:val="000648DA"/>
    <w:rsid w:val="00064C71"/>
    <w:rsid w:val="00065AD6"/>
    <w:rsid w:val="00065FF2"/>
    <w:rsid w:val="000669B7"/>
    <w:rsid w:val="00066ADE"/>
    <w:rsid w:val="00066EAF"/>
    <w:rsid w:val="00066FF0"/>
    <w:rsid w:val="00067010"/>
    <w:rsid w:val="0006740C"/>
    <w:rsid w:val="00067AB7"/>
    <w:rsid w:val="00067C22"/>
    <w:rsid w:val="00067D35"/>
    <w:rsid w:val="00067DCF"/>
    <w:rsid w:val="000706A9"/>
    <w:rsid w:val="00070E0E"/>
    <w:rsid w:val="00071568"/>
    <w:rsid w:val="00071BCF"/>
    <w:rsid w:val="00072037"/>
    <w:rsid w:val="00072567"/>
    <w:rsid w:val="0007267E"/>
    <w:rsid w:val="0007286A"/>
    <w:rsid w:val="0007363F"/>
    <w:rsid w:val="000741A3"/>
    <w:rsid w:val="00074A9B"/>
    <w:rsid w:val="0007560B"/>
    <w:rsid w:val="00075FC7"/>
    <w:rsid w:val="0007662D"/>
    <w:rsid w:val="000766DA"/>
    <w:rsid w:val="000779EC"/>
    <w:rsid w:val="00080395"/>
    <w:rsid w:val="000807F6"/>
    <w:rsid w:val="00081022"/>
    <w:rsid w:val="00081940"/>
    <w:rsid w:val="000820B2"/>
    <w:rsid w:val="000826C3"/>
    <w:rsid w:val="0008309A"/>
    <w:rsid w:val="000835D6"/>
    <w:rsid w:val="00083AAB"/>
    <w:rsid w:val="00084171"/>
    <w:rsid w:val="00087305"/>
    <w:rsid w:val="00087503"/>
    <w:rsid w:val="000875C0"/>
    <w:rsid w:val="000876AB"/>
    <w:rsid w:val="000876F5"/>
    <w:rsid w:val="0008795A"/>
    <w:rsid w:val="000902E1"/>
    <w:rsid w:val="00090930"/>
    <w:rsid w:val="00090D40"/>
    <w:rsid w:val="0009166B"/>
    <w:rsid w:val="00091879"/>
    <w:rsid w:val="0009415B"/>
    <w:rsid w:val="0009453D"/>
    <w:rsid w:val="00094791"/>
    <w:rsid w:val="00094BD1"/>
    <w:rsid w:val="000A0229"/>
    <w:rsid w:val="000A0755"/>
    <w:rsid w:val="000A082F"/>
    <w:rsid w:val="000A119E"/>
    <w:rsid w:val="000A2062"/>
    <w:rsid w:val="000A262A"/>
    <w:rsid w:val="000A289A"/>
    <w:rsid w:val="000A30C2"/>
    <w:rsid w:val="000A425A"/>
    <w:rsid w:val="000A48BD"/>
    <w:rsid w:val="000A5816"/>
    <w:rsid w:val="000A5B05"/>
    <w:rsid w:val="000A6C41"/>
    <w:rsid w:val="000A6E3B"/>
    <w:rsid w:val="000A7275"/>
    <w:rsid w:val="000A7F46"/>
    <w:rsid w:val="000B08F6"/>
    <w:rsid w:val="000B1802"/>
    <w:rsid w:val="000B298C"/>
    <w:rsid w:val="000B2AB4"/>
    <w:rsid w:val="000B398C"/>
    <w:rsid w:val="000B3A50"/>
    <w:rsid w:val="000B4CD1"/>
    <w:rsid w:val="000B571C"/>
    <w:rsid w:val="000B62BA"/>
    <w:rsid w:val="000B6FAE"/>
    <w:rsid w:val="000B7886"/>
    <w:rsid w:val="000B7B1C"/>
    <w:rsid w:val="000B7BA7"/>
    <w:rsid w:val="000B7BDE"/>
    <w:rsid w:val="000C037D"/>
    <w:rsid w:val="000C0AF6"/>
    <w:rsid w:val="000C0C05"/>
    <w:rsid w:val="000C0C83"/>
    <w:rsid w:val="000C0D52"/>
    <w:rsid w:val="000C146A"/>
    <w:rsid w:val="000C15C6"/>
    <w:rsid w:val="000C163D"/>
    <w:rsid w:val="000C1827"/>
    <w:rsid w:val="000C24F6"/>
    <w:rsid w:val="000C2A45"/>
    <w:rsid w:val="000C2BD8"/>
    <w:rsid w:val="000C37E9"/>
    <w:rsid w:val="000C42B2"/>
    <w:rsid w:val="000C4B05"/>
    <w:rsid w:val="000C4CB2"/>
    <w:rsid w:val="000C5444"/>
    <w:rsid w:val="000C6077"/>
    <w:rsid w:val="000C70F8"/>
    <w:rsid w:val="000C7A9B"/>
    <w:rsid w:val="000D0357"/>
    <w:rsid w:val="000D0474"/>
    <w:rsid w:val="000D0F7D"/>
    <w:rsid w:val="000D15B2"/>
    <w:rsid w:val="000D1DD3"/>
    <w:rsid w:val="000D2AE6"/>
    <w:rsid w:val="000D2C63"/>
    <w:rsid w:val="000D34F8"/>
    <w:rsid w:val="000D38FB"/>
    <w:rsid w:val="000D3DDE"/>
    <w:rsid w:val="000D575D"/>
    <w:rsid w:val="000D6974"/>
    <w:rsid w:val="000D705E"/>
    <w:rsid w:val="000D7825"/>
    <w:rsid w:val="000E0072"/>
    <w:rsid w:val="000E007B"/>
    <w:rsid w:val="000E0455"/>
    <w:rsid w:val="000E050E"/>
    <w:rsid w:val="000E1769"/>
    <w:rsid w:val="000E234D"/>
    <w:rsid w:val="000E30EE"/>
    <w:rsid w:val="000E4977"/>
    <w:rsid w:val="000E4BC4"/>
    <w:rsid w:val="000E602E"/>
    <w:rsid w:val="000E6939"/>
    <w:rsid w:val="000E6FF1"/>
    <w:rsid w:val="000E70E1"/>
    <w:rsid w:val="000F054C"/>
    <w:rsid w:val="000F1AA9"/>
    <w:rsid w:val="000F1DBF"/>
    <w:rsid w:val="000F23FE"/>
    <w:rsid w:val="000F27E2"/>
    <w:rsid w:val="000F3D90"/>
    <w:rsid w:val="000F3E02"/>
    <w:rsid w:val="000F4CA7"/>
    <w:rsid w:val="000F4E20"/>
    <w:rsid w:val="000F522D"/>
    <w:rsid w:val="000F562C"/>
    <w:rsid w:val="000F5DAE"/>
    <w:rsid w:val="000F68F9"/>
    <w:rsid w:val="000F73A6"/>
    <w:rsid w:val="000F7574"/>
    <w:rsid w:val="000F7DEE"/>
    <w:rsid w:val="001002DB"/>
    <w:rsid w:val="00100425"/>
    <w:rsid w:val="00101924"/>
    <w:rsid w:val="001027CB"/>
    <w:rsid w:val="00102947"/>
    <w:rsid w:val="00102C9C"/>
    <w:rsid w:val="00102CE3"/>
    <w:rsid w:val="001030A5"/>
    <w:rsid w:val="001030B2"/>
    <w:rsid w:val="00103589"/>
    <w:rsid w:val="001037AC"/>
    <w:rsid w:val="00103D31"/>
    <w:rsid w:val="00103EAE"/>
    <w:rsid w:val="00104F7A"/>
    <w:rsid w:val="00105162"/>
    <w:rsid w:val="001051B3"/>
    <w:rsid w:val="00105601"/>
    <w:rsid w:val="00105972"/>
    <w:rsid w:val="00106A41"/>
    <w:rsid w:val="00107105"/>
    <w:rsid w:val="00107967"/>
    <w:rsid w:val="001079B7"/>
    <w:rsid w:val="00111FD4"/>
    <w:rsid w:val="00112132"/>
    <w:rsid w:val="0011214E"/>
    <w:rsid w:val="00112420"/>
    <w:rsid w:val="00113361"/>
    <w:rsid w:val="00113584"/>
    <w:rsid w:val="00113BA9"/>
    <w:rsid w:val="00117297"/>
    <w:rsid w:val="00117FD7"/>
    <w:rsid w:val="0012047B"/>
    <w:rsid w:val="001206DD"/>
    <w:rsid w:val="00120DF0"/>
    <w:rsid w:val="0012191C"/>
    <w:rsid w:val="0012223C"/>
    <w:rsid w:val="00122271"/>
    <w:rsid w:val="001225C2"/>
    <w:rsid w:val="00122D3A"/>
    <w:rsid w:val="00123F07"/>
    <w:rsid w:val="001243A1"/>
    <w:rsid w:val="001248E9"/>
    <w:rsid w:val="00124931"/>
    <w:rsid w:val="00125AA9"/>
    <w:rsid w:val="0012608E"/>
    <w:rsid w:val="001262F9"/>
    <w:rsid w:val="00126E7D"/>
    <w:rsid w:val="00127026"/>
    <w:rsid w:val="001273B8"/>
    <w:rsid w:val="00127E78"/>
    <w:rsid w:val="00130F81"/>
    <w:rsid w:val="001315E2"/>
    <w:rsid w:val="001321AC"/>
    <w:rsid w:val="00132E41"/>
    <w:rsid w:val="001331D1"/>
    <w:rsid w:val="001332F4"/>
    <w:rsid w:val="00133A92"/>
    <w:rsid w:val="00134331"/>
    <w:rsid w:val="0013461D"/>
    <w:rsid w:val="00135430"/>
    <w:rsid w:val="001368B9"/>
    <w:rsid w:val="00136A20"/>
    <w:rsid w:val="00137166"/>
    <w:rsid w:val="0013729A"/>
    <w:rsid w:val="001373E7"/>
    <w:rsid w:val="00137510"/>
    <w:rsid w:val="001408C8"/>
    <w:rsid w:val="00140BE8"/>
    <w:rsid w:val="001411B0"/>
    <w:rsid w:val="001418CA"/>
    <w:rsid w:val="00141D6F"/>
    <w:rsid w:val="00141DB1"/>
    <w:rsid w:val="001423ED"/>
    <w:rsid w:val="0014283E"/>
    <w:rsid w:val="00144445"/>
    <w:rsid w:val="001448F7"/>
    <w:rsid w:val="001457CB"/>
    <w:rsid w:val="00145802"/>
    <w:rsid w:val="00145EAD"/>
    <w:rsid w:val="001467F6"/>
    <w:rsid w:val="00146C6B"/>
    <w:rsid w:val="00146D40"/>
    <w:rsid w:val="00146D67"/>
    <w:rsid w:val="001506A5"/>
    <w:rsid w:val="00150700"/>
    <w:rsid w:val="001511A1"/>
    <w:rsid w:val="00151296"/>
    <w:rsid w:val="0015225B"/>
    <w:rsid w:val="0015260C"/>
    <w:rsid w:val="0015390C"/>
    <w:rsid w:val="001539F3"/>
    <w:rsid w:val="001545BF"/>
    <w:rsid w:val="001546F9"/>
    <w:rsid w:val="0015535F"/>
    <w:rsid w:val="0015542D"/>
    <w:rsid w:val="0015543C"/>
    <w:rsid w:val="00155458"/>
    <w:rsid w:val="0015603F"/>
    <w:rsid w:val="0015706C"/>
    <w:rsid w:val="00157120"/>
    <w:rsid w:val="00157B3F"/>
    <w:rsid w:val="001601B6"/>
    <w:rsid w:val="00160582"/>
    <w:rsid w:val="0016060A"/>
    <w:rsid w:val="00160ED3"/>
    <w:rsid w:val="001614D9"/>
    <w:rsid w:val="0016195E"/>
    <w:rsid w:val="00162130"/>
    <w:rsid w:val="0016248F"/>
    <w:rsid w:val="001625C2"/>
    <w:rsid w:val="001638B0"/>
    <w:rsid w:val="00164A27"/>
    <w:rsid w:val="00164AC9"/>
    <w:rsid w:val="0016501C"/>
    <w:rsid w:val="001651C4"/>
    <w:rsid w:val="00165225"/>
    <w:rsid w:val="00165226"/>
    <w:rsid w:val="00165575"/>
    <w:rsid w:val="00165655"/>
    <w:rsid w:val="001669F7"/>
    <w:rsid w:val="00170106"/>
    <w:rsid w:val="0017054F"/>
    <w:rsid w:val="00170B8F"/>
    <w:rsid w:val="00170CE4"/>
    <w:rsid w:val="00172203"/>
    <w:rsid w:val="00173066"/>
    <w:rsid w:val="00173B07"/>
    <w:rsid w:val="001742EE"/>
    <w:rsid w:val="0017499F"/>
    <w:rsid w:val="00174CB9"/>
    <w:rsid w:val="001757F7"/>
    <w:rsid w:val="001758FB"/>
    <w:rsid w:val="00176A03"/>
    <w:rsid w:val="00177BD4"/>
    <w:rsid w:val="00177BE4"/>
    <w:rsid w:val="00177F24"/>
    <w:rsid w:val="0018004E"/>
    <w:rsid w:val="0018042C"/>
    <w:rsid w:val="00180C3D"/>
    <w:rsid w:val="00180EDE"/>
    <w:rsid w:val="001820F3"/>
    <w:rsid w:val="00182834"/>
    <w:rsid w:val="00182AA4"/>
    <w:rsid w:val="00182DEF"/>
    <w:rsid w:val="00182EF6"/>
    <w:rsid w:val="001834E2"/>
    <w:rsid w:val="00183780"/>
    <w:rsid w:val="00183E77"/>
    <w:rsid w:val="00183FF7"/>
    <w:rsid w:val="00184751"/>
    <w:rsid w:val="00184AC1"/>
    <w:rsid w:val="00184CE1"/>
    <w:rsid w:val="00184F1E"/>
    <w:rsid w:val="0018516D"/>
    <w:rsid w:val="00185282"/>
    <w:rsid w:val="00185320"/>
    <w:rsid w:val="0018593A"/>
    <w:rsid w:val="00185C9C"/>
    <w:rsid w:val="00185F89"/>
    <w:rsid w:val="001861E4"/>
    <w:rsid w:val="00186F55"/>
    <w:rsid w:val="00186FB8"/>
    <w:rsid w:val="001872E4"/>
    <w:rsid w:val="00187F99"/>
    <w:rsid w:val="0019018C"/>
    <w:rsid w:val="001901E2"/>
    <w:rsid w:val="001905BC"/>
    <w:rsid w:val="00190B91"/>
    <w:rsid w:val="0019147D"/>
    <w:rsid w:val="00191524"/>
    <w:rsid w:val="0019277A"/>
    <w:rsid w:val="00192C16"/>
    <w:rsid w:val="00193A2C"/>
    <w:rsid w:val="00195F3E"/>
    <w:rsid w:val="00196D7A"/>
    <w:rsid w:val="001970A8"/>
    <w:rsid w:val="00197C79"/>
    <w:rsid w:val="001A0189"/>
    <w:rsid w:val="001A165B"/>
    <w:rsid w:val="001A1E77"/>
    <w:rsid w:val="001A227E"/>
    <w:rsid w:val="001A2C68"/>
    <w:rsid w:val="001A3924"/>
    <w:rsid w:val="001A3EBC"/>
    <w:rsid w:val="001A3FCA"/>
    <w:rsid w:val="001A539E"/>
    <w:rsid w:val="001A5538"/>
    <w:rsid w:val="001A5BD7"/>
    <w:rsid w:val="001A6315"/>
    <w:rsid w:val="001A6804"/>
    <w:rsid w:val="001A6819"/>
    <w:rsid w:val="001A6E89"/>
    <w:rsid w:val="001A7780"/>
    <w:rsid w:val="001A77FA"/>
    <w:rsid w:val="001B0B2E"/>
    <w:rsid w:val="001B1057"/>
    <w:rsid w:val="001B1228"/>
    <w:rsid w:val="001B1604"/>
    <w:rsid w:val="001B2AAA"/>
    <w:rsid w:val="001B2D05"/>
    <w:rsid w:val="001B329F"/>
    <w:rsid w:val="001B383F"/>
    <w:rsid w:val="001B3ABB"/>
    <w:rsid w:val="001B3B5A"/>
    <w:rsid w:val="001B3D88"/>
    <w:rsid w:val="001B3F7E"/>
    <w:rsid w:val="001B4CF2"/>
    <w:rsid w:val="001B4EA1"/>
    <w:rsid w:val="001B5362"/>
    <w:rsid w:val="001B5841"/>
    <w:rsid w:val="001B6206"/>
    <w:rsid w:val="001B66A4"/>
    <w:rsid w:val="001B69AB"/>
    <w:rsid w:val="001B6DDD"/>
    <w:rsid w:val="001B7A26"/>
    <w:rsid w:val="001C013D"/>
    <w:rsid w:val="001C01DB"/>
    <w:rsid w:val="001C027B"/>
    <w:rsid w:val="001C0403"/>
    <w:rsid w:val="001C080B"/>
    <w:rsid w:val="001C1EFA"/>
    <w:rsid w:val="001C23D4"/>
    <w:rsid w:val="001C2675"/>
    <w:rsid w:val="001C4B26"/>
    <w:rsid w:val="001C50B2"/>
    <w:rsid w:val="001C5484"/>
    <w:rsid w:val="001C593E"/>
    <w:rsid w:val="001C6906"/>
    <w:rsid w:val="001C6C10"/>
    <w:rsid w:val="001C7B23"/>
    <w:rsid w:val="001D01A4"/>
    <w:rsid w:val="001D08C3"/>
    <w:rsid w:val="001D13EC"/>
    <w:rsid w:val="001D1922"/>
    <w:rsid w:val="001D1D1C"/>
    <w:rsid w:val="001D3318"/>
    <w:rsid w:val="001D3A2F"/>
    <w:rsid w:val="001D3BF4"/>
    <w:rsid w:val="001D3CE8"/>
    <w:rsid w:val="001D5008"/>
    <w:rsid w:val="001D63BE"/>
    <w:rsid w:val="001D688D"/>
    <w:rsid w:val="001D68AA"/>
    <w:rsid w:val="001D6EE3"/>
    <w:rsid w:val="001D7071"/>
    <w:rsid w:val="001D7EF4"/>
    <w:rsid w:val="001E011C"/>
    <w:rsid w:val="001E0CEB"/>
    <w:rsid w:val="001E15E5"/>
    <w:rsid w:val="001E378B"/>
    <w:rsid w:val="001E55D4"/>
    <w:rsid w:val="001E5E8B"/>
    <w:rsid w:val="001E7675"/>
    <w:rsid w:val="001E7736"/>
    <w:rsid w:val="001E7C0C"/>
    <w:rsid w:val="001F0E02"/>
    <w:rsid w:val="001F0F59"/>
    <w:rsid w:val="001F31A2"/>
    <w:rsid w:val="001F3A52"/>
    <w:rsid w:val="001F4689"/>
    <w:rsid w:val="001F6140"/>
    <w:rsid w:val="001F61FF"/>
    <w:rsid w:val="001F794C"/>
    <w:rsid w:val="001F7A35"/>
    <w:rsid w:val="001F7F49"/>
    <w:rsid w:val="001F7F98"/>
    <w:rsid w:val="002003AF"/>
    <w:rsid w:val="002003B5"/>
    <w:rsid w:val="002006CA"/>
    <w:rsid w:val="0020125B"/>
    <w:rsid w:val="00201822"/>
    <w:rsid w:val="002019D5"/>
    <w:rsid w:val="002024A3"/>
    <w:rsid w:val="002031EC"/>
    <w:rsid w:val="00203820"/>
    <w:rsid w:val="00203869"/>
    <w:rsid w:val="00203C6E"/>
    <w:rsid w:val="00203D2F"/>
    <w:rsid w:val="00204712"/>
    <w:rsid w:val="0020721B"/>
    <w:rsid w:val="0020795D"/>
    <w:rsid w:val="00210129"/>
    <w:rsid w:val="00210487"/>
    <w:rsid w:val="002108E7"/>
    <w:rsid w:val="00210BBB"/>
    <w:rsid w:val="002117EE"/>
    <w:rsid w:val="00211C77"/>
    <w:rsid w:val="002122F4"/>
    <w:rsid w:val="00212C4B"/>
    <w:rsid w:val="002137EC"/>
    <w:rsid w:val="0021441D"/>
    <w:rsid w:val="0021468C"/>
    <w:rsid w:val="00215A3D"/>
    <w:rsid w:val="00215D66"/>
    <w:rsid w:val="00215F7B"/>
    <w:rsid w:val="00216DEF"/>
    <w:rsid w:val="002179D0"/>
    <w:rsid w:val="00217B49"/>
    <w:rsid w:val="002205F7"/>
    <w:rsid w:val="00220B41"/>
    <w:rsid w:val="002211F0"/>
    <w:rsid w:val="0022121A"/>
    <w:rsid w:val="0022146B"/>
    <w:rsid w:val="00221B12"/>
    <w:rsid w:val="00221C79"/>
    <w:rsid w:val="00221CD8"/>
    <w:rsid w:val="00223290"/>
    <w:rsid w:val="00224322"/>
    <w:rsid w:val="00224B10"/>
    <w:rsid w:val="00224F36"/>
    <w:rsid w:val="002254C0"/>
    <w:rsid w:val="00225605"/>
    <w:rsid w:val="002265EF"/>
    <w:rsid w:val="00226613"/>
    <w:rsid w:val="00227204"/>
    <w:rsid w:val="00227F30"/>
    <w:rsid w:val="00230C05"/>
    <w:rsid w:val="00232FCF"/>
    <w:rsid w:val="00233624"/>
    <w:rsid w:val="00234C07"/>
    <w:rsid w:val="00235661"/>
    <w:rsid w:val="00235969"/>
    <w:rsid w:val="00236165"/>
    <w:rsid w:val="002364ED"/>
    <w:rsid w:val="00236B5D"/>
    <w:rsid w:val="0023796B"/>
    <w:rsid w:val="00240772"/>
    <w:rsid w:val="00240C59"/>
    <w:rsid w:val="00240FC7"/>
    <w:rsid w:val="00241057"/>
    <w:rsid w:val="00242D58"/>
    <w:rsid w:val="00242DA0"/>
    <w:rsid w:val="00243DCC"/>
    <w:rsid w:val="00243F4C"/>
    <w:rsid w:val="00244A26"/>
    <w:rsid w:val="00244FF8"/>
    <w:rsid w:val="00245549"/>
    <w:rsid w:val="00245CA6"/>
    <w:rsid w:val="00246E61"/>
    <w:rsid w:val="00246EC3"/>
    <w:rsid w:val="0024736E"/>
    <w:rsid w:val="002473A7"/>
    <w:rsid w:val="00247C66"/>
    <w:rsid w:val="00250580"/>
    <w:rsid w:val="002506AB"/>
    <w:rsid w:val="00250B58"/>
    <w:rsid w:val="00250DC6"/>
    <w:rsid w:val="002514ED"/>
    <w:rsid w:val="00251612"/>
    <w:rsid w:val="0025253B"/>
    <w:rsid w:val="00252B76"/>
    <w:rsid w:val="00252EF6"/>
    <w:rsid w:val="00253313"/>
    <w:rsid w:val="00253C79"/>
    <w:rsid w:val="00254950"/>
    <w:rsid w:val="00254C82"/>
    <w:rsid w:val="002559A0"/>
    <w:rsid w:val="00255F2F"/>
    <w:rsid w:val="00256229"/>
    <w:rsid w:val="00257545"/>
    <w:rsid w:val="0025771D"/>
    <w:rsid w:val="002578A7"/>
    <w:rsid w:val="00257946"/>
    <w:rsid w:val="00261F17"/>
    <w:rsid w:val="00262020"/>
    <w:rsid w:val="0026209F"/>
    <w:rsid w:val="0026287E"/>
    <w:rsid w:val="00262F0F"/>
    <w:rsid w:val="002637CD"/>
    <w:rsid w:val="0026498C"/>
    <w:rsid w:val="0026551B"/>
    <w:rsid w:val="00265B95"/>
    <w:rsid w:val="00265FC4"/>
    <w:rsid w:val="00266307"/>
    <w:rsid w:val="002668DE"/>
    <w:rsid w:val="00267465"/>
    <w:rsid w:val="00270516"/>
    <w:rsid w:val="00270727"/>
    <w:rsid w:val="00271175"/>
    <w:rsid w:val="00272101"/>
    <w:rsid w:val="00272121"/>
    <w:rsid w:val="0027223B"/>
    <w:rsid w:val="00273677"/>
    <w:rsid w:val="00273995"/>
    <w:rsid w:val="00273B8C"/>
    <w:rsid w:val="00274BD8"/>
    <w:rsid w:val="00275CE9"/>
    <w:rsid w:val="002767F5"/>
    <w:rsid w:val="00276CB9"/>
    <w:rsid w:val="0028068D"/>
    <w:rsid w:val="00280C0A"/>
    <w:rsid w:val="0028109D"/>
    <w:rsid w:val="00281885"/>
    <w:rsid w:val="00282591"/>
    <w:rsid w:val="00283333"/>
    <w:rsid w:val="00283369"/>
    <w:rsid w:val="002833D5"/>
    <w:rsid w:val="00283901"/>
    <w:rsid w:val="00283BE6"/>
    <w:rsid w:val="00283C3B"/>
    <w:rsid w:val="00283D9B"/>
    <w:rsid w:val="002844AA"/>
    <w:rsid w:val="00284DAE"/>
    <w:rsid w:val="00284F7C"/>
    <w:rsid w:val="00284F8C"/>
    <w:rsid w:val="002853AF"/>
    <w:rsid w:val="00285F6B"/>
    <w:rsid w:val="00286106"/>
    <w:rsid w:val="00286934"/>
    <w:rsid w:val="00287674"/>
    <w:rsid w:val="0028797A"/>
    <w:rsid w:val="00287AF6"/>
    <w:rsid w:val="00287DCA"/>
    <w:rsid w:val="002907C0"/>
    <w:rsid w:val="00290A02"/>
    <w:rsid w:val="00291418"/>
    <w:rsid w:val="0029163F"/>
    <w:rsid w:val="0029164E"/>
    <w:rsid w:val="0029171F"/>
    <w:rsid w:val="00291A1B"/>
    <w:rsid w:val="00291E86"/>
    <w:rsid w:val="0029232B"/>
    <w:rsid w:val="002923DD"/>
    <w:rsid w:val="0029247C"/>
    <w:rsid w:val="00293189"/>
    <w:rsid w:val="00293B87"/>
    <w:rsid w:val="002948B6"/>
    <w:rsid w:val="00295640"/>
    <w:rsid w:val="002967D4"/>
    <w:rsid w:val="002968BA"/>
    <w:rsid w:val="00296DF2"/>
    <w:rsid w:val="00296FAD"/>
    <w:rsid w:val="0029729D"/>
    <w:rsid w:val="00297C9E"/>
    <w:rsid w:val="002A01CB"/>
    <w:rsid w:val="002A233D"/>
    <w:rsid w:val="002A2A99"/>
    <w:rsid w:val="002A3571"/>
    <w:rsid w:val="002A3DD8"/>
    <w:rsid w:val="002A42ED"/>
    <w:rsid w:val="002A4518"/>
    <w:rsid w:val="002A4A8E"/>
    <w:rsid w:val="002A4D4B"/>
    <w:rsid w:val="002A4FF1"/>
    <w:rsid w:val="002A5569"/>
    <w:rsid w:val="002A5A84"/>
    <w:rsid w:val="002A5ACE"/>
    <w:rsid w:val="002A768D"/>
    <w:rsid w:val="002A7EF1"/>
    <w:rsid w:val="002B0526"/>
    <w:rsid w:val="002B055A"/>
    <w:rsid w:val="002B0A8B"/>
    <w:rsid w:val="002B0C98"/>
    <w:rsid w:val="002B0D19"/>
    <w:rsid w:val="002B1472"/>
    <w:rsid w:val="002B1787"/>
    <w:rsid w:val="002B1EE2"/>
    <w:rsid w:val="002B22E8"/>
    <w:rsid w:val="002B2473"/>
    <w:rsid w:val="002B3B1F"/>
    <w:rsid w:val="002B43F0"/>
    <w:rsid w:val="002B46C2"/>
    <w:rsid w:val="002B5395"/>
    <w:rsid w:val="002B603E"/>
    <w:rsid w:val="002B61A5"/>
    <w:rsid w:val="002B6F0E"/>
    <w:rsid w:val="002B75F3"/>
    <w:rsid w:val="002B7B0D"/>
    <w:rsid w:val="002C033F"/>
    <w:rsid w:val="002C0E8D"/>
    <w:rsid w:val="002C1360"/>
    <w:rsid w:val="002C1608"/>
    <w:rsid w:val="002C18FB"/>
    <w:rsid w:val="002C2776"/>
    <w:rsid w:val="002C2C91"/>
    <w:rsid w:val="002C2EE8"/>
    <w:rsid w:val="002C3528"/>
    <w:rsid w:val="002C3D6E"/>
    <w:rsid w:val="002C41E5"/>
    <w:rsid w:val="002C45B2"/>
    <w:rsid w:val="002C4B18"/>
    <w:rsid w:val="002C5851"/>
    <w:rsid w:val="002C59CD"/>
    <w:rsid w:val="002C5E8E"/>
    <w:rsid w:val="002C6AE7"/>
    <w:rsid w:val="002C787D"/>
    <w:rsid w:val="002C7CBF"/>
    <w:rsid w:val="002D0D04"/>
    <w:rsid w:val="002D0FD3"/>
    <w:rsid w:val="002D1338"/>
    <w:rsid w:val="002D1DD7"/>
    <w:rsid w:val="002D21BA"/>
    <w:rsid w:val="002D30EF"/>
    <w:rsid w:val="002D3A60"/>
    <w:rsid w:val="002D3F72"/>
    <w:rsid w:val="002D54F1"/>
    <w:rsid w:val="002D6901"/>
    <w:rsid w:val="002D702C"/>
    <w:rsid w:val="002D70FE"/>
    <w:rsid w:val="002D740F"/>
    <w:rsid w:val="002D7509"/>
    <w:rsid w:val="002D796F"/>
    <w:rsid w:val="002E04E7"/>
    <w:rsid w:val="002E07F4"/>
    <w:rsid w:val="002E10A6"/>
    <w:rsid w:val="002E13A6"/>
    <w:rsid w:val="002E1CB5"/>
    <w:rsid w:val="002E2C88"/>
    <w:rsid w:val="002E3BFC"/>
    <w:rsid w:val="002E58BF"/>
    <w:rsid w:val="002E5FCA"/>
    <w:rsid w:val="002E6496"/>
    <w:rsid w:val="002E6721"/>
    <w:rsid w:val="002E6AD6"/>
    <w:rsid w:val="002E7168"/>
    <w:rsid w:val="002E73C6"/>
    <w:rsid w:val="002E7B2E"/>
    <w:rsid w:val="002E7BC9"/>
    <w:rsid w:val="002F04EA"/>
    <w:rsid w:val="002F0F90"/>
    <w:rsid w:val="002F19CC"/>
    <w:rsid w:val="002F1B57"/>
    <w:rsid w:val="002F2066"/>
    <w:rsid w:val="002F23BC"/>
    <w:rsid w:val="002F23F9"/>
    <w:rsid w:val="002F34B9"/>
    <w:rsid w:val="002F3E64"/>
    <w:rsid w:val="002F456A"/>
    <w:rsid w:val="002F5D9D"/>
    <w:rsid w:val="002F7350"/>
    <w:rsid w:val="002F7824"/>
    <w:rsid w:val="002F7BE0"/>
    <w:rsid w:val="002F7E3B"/>
    <w:rsid w:val="00300149"/>
    <w:rsid w:val="003005A9"/>
    <w:rsid w:val="003011DD"/>
    <w:rsid w:val="00301483"/>
    <w:rsid w:val="00301572"/>
    <w:rsid w:val="00301743"/>
    <w:rsid w:val="003018FD"/>
    <w:rsid w:val="00301C85"/>
    <w:rsid w:val="0030204B"/>
    <w:rsid w:val="00302A17"/>
    <w:rsid w:val="00302EE8"/>
    <w:rsid w:val="00303D63"/>
    <w:rsid w:val="00304868"/>
    <w:rsid w:val="00304E33"/>
    <w:rsid w:val="003064CE"/>
    <w:rsid w:val="00306817"/>
    <w:rsid w:val="0030683E"/>
    <w:rsid w:val="0030735D"/>
    <w:rsid w:val="00307EE4"/>
    <w:rsid w:val="00313166"/>
    <w:rsid w:val="00313FC3"/>
    <w:rsid w:val="00314711"/>
    <w:rsid w:val="003150E2"/>
    <w:rsid w:val="003154F5"/>
    <w:rsid w:val="00316E3C"/>
    <w:rsid w:val="003175BE"/>
    <w:rsid w:val="003203CA"/>
    <w:rsid w:val="00320443"/>
    <w:rsid w:val="00320B15"/>
    <w:rsid w:val="00320FBB"/>
    <w:rsid w:val="003222A9"/>
    <w:rsid w:val="00322A81"/>
    <w:rsid w:val="003234EC"/>
    <w:rsid w:val="003237E1"/>
    <w:rsid w:val="00323D40"/>
    <w:rsid w:val="003240C8"/>
    <w:rsid w:val="00324C6F"/>
    <w:rsid w:val="0032614C"/>
    <w:rsid w:val="003261A0"/>
    <w:rsid w:val="0032641F"/>
    <w:rsid w:val="0032700A"/>
    <w:rsid w:val="003277D2"/>
    <w:rsid w:val="00327D70"/>
    <w:rsid w:val="003304F0"/>
    <w:rsid w:val="00330599"/>
    <w:rsid w:val="003307D1"/>
    <w:rsid w:val="00331285"/>
    <w:rsid w:val="00331CF0"/>
    <w:rsid w:val="003332D0"/>
    <w:rsid w:val="00333B1F"/>
    <w:rsid w:val="00333C42"/>
    <w:rsid w:val="0033466B"/>
    <w:rsid w:val="0033679A"/>
    <w:rsid w:val="00336837"/>
    <w:rsid w:val="00336ED3"/>
    <w:rsid w:val="0033709F"/>
    <w:rsid w:val="003408FD"/>
    <w:rsid w:val="00340BAE"/>
    <w:rsid w:val="00341B48"/>
    <w:rsid w:val="003436E8"/>
    <w:rsid w:val="00343A16"/>
    <w:rsid w:val="00343D4B"/>
    <w:rsid w:val="00344354"/>
    <w:rsid w:val="00344FB3"/>
    <w:rsid w:val="003458A3"/>
    <w:rsid w:val="003468DC"/>
    <w:rsid w:val="003504BF"/>
    <w:rsid w:val="00350CE7"/>
    <w:rsid w:val="00351B7B"/>
    <w:rsid w:val="00351C27"/>
    <w:rsid w:val="00353059"/>
    <w:rsid w:val="003534C9"/>
    <w:rsid w:val="00354375"/>
    <w:rsid w:val="0035500B"/>
    <w:rsid w:val="00355ACE"/>
    <w:rsid w:val="00355F3C"/>
    <w:rsid w:val="00356010"/>
    <w:rsid w:val="00356036"/>
    <w:rsid w:val="00356726"/>
    <w:rsid w:val="00357D7B"/>
    <w:rsid w:val="003603FF"/>
    <w:rsid w:val="00360C15"/>
    <w:rsid w:val="0036152F"/>
    <w:rsid w:val="0036156B"/>
    <w:rsid w:val="00361FF7"/>
    <w:rsid w:val="0036210E"/>
    <w:rsid w:val="003623FB"/>
    <w:rsid w:val="0036280F"/>
    <w:rsid w:val="003634B4"/>
    <w:rsid w:val="003634C3"/>
    <w:rsid w:val="00365216"/>
    <w:rsid w:val="003652CC"/>
    <w:rsid w:val="00365AFE"/>
    <w:rsid w:val="00366204"/>
    <w:rsid w:val="0036639A"/>
    <w:rsid w:val="0036676F"/>
    <w:rsid w:val="00366F3C"/>
    <w:rsid w:val="003674AC"/>
    <w:rsid w:val="00370D99"/>
    <w:rsid w:val="00371B22"/>
    <w:rsid w:val="00372264"/>
    <w:rsid w:val="00372924"/>
    <w:rsid w:val="00373060"/>
    <w:rsid w:val="00373DAB"/>
    <w:rsid w:val="0037406A"/>
    <w:rsid w:val="00375E63"/>
    <w:rsid w:val="003764A0"/>
    <w:rsid w:val="00376675"/>
    <w:rsid w:val="00376AC4"/>
    <w:rsid w:val="00376F5C"/>
    <w:rsid w:val="00377773"/>
    <w:rsid w:val="00377DBF"/>
    <w:rsid w:val="003802A1"/>
    <w:rsid w:val="00380FCE"/>
    <w:rsid w:val="003815DE"/>
    <w:rsid w:val="003815E6"/>
    <w:rsid w:val="00381B95"/>
    <w:rsid w:val="003820D4"/>
    <w:rsid w:val="00383109"/>
    <w:rsid w:val="003836F1"/>
    <w:rsid w:val="00383EA0"/>
    <w:rsid w:val="00384A70"/>
    <w:rsid w:val="00384EE3"/>
    <w:rsid w:val="003851C9"/>
    <w:rsid w:val="003859A0"/>
    <w:rsid w:val="003859E2"/>
    <w:rsid w:val="00386D13"/>
    <w:rsid w:val="00386DE4"/>
    <w:rsid w:val="00387B48"/>
    <w:rsid w:val="00390395"/>
    <w:rsid w:val="003905CD"/>
    <w:rsid w:val="003911E9"/>
    <w:rsid w:val="00391B0E"/>
    <w:rsid w:val="00391CC7"/>
    <w:rsid w:val="00391F9F"/>
    <w:rsid w:val="00394921"/>
    <w:rsid w:val="00394997"/>
    <w:rsid w:val="00394E93"/>
    <w:rsid w:val="0039505D"/>
    <w:rsid w:val="00395109"/>
    <w:rsid w:val="0039525A"/>
    <w:rsid w:val="003959E1"/>
    <w:rsid w:val="0039694B"/>
    <w:rsid w:val="00396BCE"/>
    <w:rsid w:val="00396F8F"/>
    <w:rsid w:val="003A010A"/>
    <w:rsid w:val="003A0B51"/>
    <w:rsid w:val="003A0C31"/>
    <w:rsid w:val="003A1A68"/>
    <w:rsid w:val="003A1B14"/>
    <w:rsid w:val="003A239B"/>
    <w:rsid w:val="003A2589"/>
    <w:rsid w:val="003A28DE"/>
    <w:rsid w:val="003A30C6"/>
    <w:rsid w:val="003A3679"/>
    <w:rsid w:val="003A3BE5"/>
    <w:rsid w:val="003A441F"/>
    <w:rsid w:val="003A475C"/>
    <w:rsid w:val="003A4B04"/>
    <w:rsid w:val="003A4B09"/>
    <w:rsid w:val="003A4D91"/>
    <w:rsid w:val="003A5145"/>
    <w:rsid w:val="003A57E0"/>
    <w:rsid w:val="003A5ACD"/>
    <w:rsid w:val="003A5C9E"/>
    <w:rsid w:val="003A6515"/>
    <w:rsid w:val="003A6F8E"/>
    <w:rsid w:val="003A74E5"/>
    <w:rsid w:val="003B03C1"/>
    <w:rsid w:val="003B04B6"/>
    <w:rsid w:val="003B0B80"/>
    <w:rsid w:val="003B1078"/>
    <w:rsid w:val="003B14F1"/>
    <w:rsid w:val="003B1B7C"/>
    <w:rsid w:val="003B1F55"/>
    <w:rsid w:val="003B229A"/>
    <w:rsid w:val="003B2CEF"/>
    <w:rsid w:val="003B2E7A"/>
    <w:rsid w:val="003B2F76"/>
    <w:rsid w:val="003B30D7"/>
    <w:rsid w:val="003B31D4"/>
    <w:rsid w:val="003B4F8C"/>
    <w:rsid w:val="003B5177"/>
    <w:rsid w:val="003B5962"/>
    <w:rsid w:val="003B5C38"/>
    <w:rsid w:val="003B7A38"/>
    <w:rsid w:val="003C0A1F"/>
    <w:rsid w:val="003C0D08"/>
    <w:rsid w:val="003C218D"/>
    <w:rsid w:val="003C2C52"/>
    <w:rsid w:val="003C4040"/>
    <w:rsid w:val="003C40E7"/>
    <w:rsid w:val="003C4A3B"/>
    <w:rsid w:val="003C4AA3"/>
    <w:rsid w:val="003C4E22"/>
    <w:rsid w:val="003C553F"/>
    <w:rsid w:val="003C5E43"/>
    <w:rsid w:val="003C6CE6"/>
    <w:rsid w:val="003C6D5F"/>
    <w:rsid w:val="003C6DAB"/>
    <w:rsid w:val="003C6E6A"/>
    <w:rsid w:val="003C70CE"/>
    <w:rsid w:val="003D0199"/>
    <w:rsid w:val="003D1724"/>
    <w:rsid w:val="003D1865"/>
    <w:rsid w:val="003D21BE"/>
    <w:rsid w:val="003D3268"/>
    <w:rsid w:val="003D3F4E"/>
    <w:rsid w:val="003D40D0"/>
    <w:rsid w:val="003D41D2"/>
    <w:rsid w:val="003D421F"/>
    <w:rsid w:val="003D43B7"/>
    <w:rsid w:val="003D45AB"/>
    <w:rsid w:val="003D48C8"/>
    <w:rsid w:val="003D5960"/>
    <w:rsid w:val="003D6685"/>
    <w:rsid w:val="003D68DE"/>
    <w:rsid w:val="003D6E33"/>
    <w:rsid w:val="003D7040"/>
    <w:rsid w:val="003D775B"/>
    <w:rsid w:val="003D79A1"/>
    <w:rsid w:val="003D7B80"/>
    <w:rsid w:val="003E03E0"/>
    <w:rsid w:val="003E0507"/>
    <w:rsid w:val="003E077D"/>
    <w:rsid w:val="003E0AFD"/>
    <w:rsid w:val="003E1DF9"/>
    <w:rsid w:val="003E2AE7"/>
    <w:rsid w:val="003E33AE"/>
    <w:rsid w:val="003E3A6E"/>
    <w:rsid w:val="003E3DDC"/>
    <w:rsid w:val="003E4EDC"/>
    <w:rsid w:val="003E53F7"/>
    <w:rsid w:val="003E541A"/>
    <w:rsid w:val="003E60B1"/>
    <w:rsid w:val="003E6E33"/>
    <w:rsid w:val="003E7710"/>
    <w:rsid w:val="003F0246"/>
    <w:rsid w:val="003F06B3"/>
    <w:rsid w:val="003F143C"/>
    <w:rsid w:val="003F375C"/>
    <w:rsid w:val="003F4EED"/>
    <w:rsid w:val="003F4FA9"/>
    <w:rsid w:val="003F57C8"/>
    <w:rsid w:val="003F5EAB"/>
    <w:rsid w:val="003F5F3F"/>
    <w:rsid w:val="003F5F43"/>
    <w:rsid w:val="003F6641"/>
    <w:rsid w:val="003F6A2F"/>
    <w:rsid w:val="003F6F8F"/>
    <w:rsid w:val="003F7992"/>
    <w:rsid w:val="00400694"/>
    <w:rsid w:val="00400753"/>
    <w:rsid w:val="00400CB8"/>
    <w:rsid w:val="0040110B"/>
    <w:rsid w:val="00401403"/>
    <w:rsid w:val="0040327F"/>
    <w:rsid w:val="004036B9"/>
    <w:rsid w:val="00404F6A"/>
    <w:rsid w:val="004063DA"/>
    <w:rsid w:val="0040673C"/>
    <w:rsid w:val="004076F6"/>
    <w:rsid w:val="004078DE"/>
    <w:rsid w:val="00407BD2"/>
    <w:rsid w:val="00410638"/>
    <w:rsid w:val="00410E04"/>
    <w:rsid w:val="00411435"/>
    <w:rsid w:val="00412028"/>
    <w:rsid w:val="004123A7"/>
    <w:rsid w:val="0041399F"/>
    <w:rsid w:val="0041452C"/>
    <w:rsid w:val="00415B5C"/>
    <w:rsid w:val="0041650C"/>
    <w:rsid w:val="0041692B"/>
    <w:rsid w:val="00416AE7"/>
    <w:rsid w:val="00420FCD"/>
    <w:rsid w:val="004228D6"/>
    <w:rsid w:val="00423FE1"/>
    <w:rsid w:val="00426254"/>
    <w:rsid w:val="0042661E"/>
    <w:rsid w:val="00427B2C"/>
    <w:rsid w:val="00427D52"/>
    <w:rsid w:val="00430EB3"/>
    <w:rsid w:val="00432534"/>
    <w:rsid w:val="00433849"/>
    <w:rsid w:val="0043508B"/>
    <w:rsid w:val="004353B5"/>
    <w:rsid w:val="0043567E"/>
    <w:rsid w:val="00435F4C"/>
    <w:rsid w:val="00436249"/>
    <w:rsid w:val="004363D9"/>
    <w:rsid w:val="00436A86"/>
    <w:rsid w:val="00437BB8"/>
    <w:rsid w:val="00440218"/>
    <w:rsid w:val="004439C9"/>
    <w:rsid w:val="00444275"/>
    <w:rsid w:val="00444F07"/>
    <w:rsid w:val="00444F9D"/>
    <w:rsid w:val="0044597F"/>
    <w:rsid w:val="00446356"/>
    <w:rsid w:val="00446AFD"/>
    <w:rsid w:val="00446E59"/>
    <w:rsid w:val="00447217"/>
    <w:rsid w:val="00447F49"/>
    <w:rsid w:val="00450450"/>
    <w:rsid w:val="00450648"/>
    <w:rsid w:val="00451300"/>
    <w:rsid w:val="0045217E"/>
    <w:rsid w:val="004521E5"/>
    <w:rsid w:val="0045221C"/>
    <w:rsid w:val="00452338"/>
    <w:rsid w:val="0045344E"/>
    <w:rsid w:val="00453B7E"/>
    <w:rsid w:val="00453CDB"/>
    <w:rsid w:val="00453D09"/>
    <w:rsid w:val="00454879"/>
    <w:rsid w:val="00454A4F"/>
    <w:rsid w:val="00454C49"/>
    <w:rsid w:val="004550D3"/>
    <w:rsid w:val="0045585E"/>
    <w:rsid w:val="00456DCF"/>
    <w:rsid w:val="00456E5F"/>
    <w:rsid w:val="00457075"/>
    <w:rsid w:val="00457187"/>
    <w:rsid w:val="004572A7"/>
    <w:rsid w:val="00460CC0"/>
    <w:rsid w:val="00460F64"/>
    <w:rsid w:val="00461D04"/>
    <w:rsid w:val="00462069"/>
    <w:rsid w:val="0046299D"/>
    <w:rsid w:val="00462A83"/>
    <w:rsid w:val="00462E33"/>
    <w:rsid w:val="00463A4B"/>
    <w:rsid w:val="0046448C"/>
    <w:rsid w:val="0046470E"/>
    <w:rsid w:val="00464898"/>
    <w:rsid w:val="004652A4"/>
    <w:rsid w:val="00465867"/>
    <w:rsid w:val="004659D6"/>
    <w:rsid w:val="004661CC"/>
    <w:rsid w:val="004663B1"/>
    <w:rsid w:val="00467080"/>
    <w:rsid w:val="00467C4D"/>
    <w:rsid w:val="00471A58"/>
    <w:rsid w:val="00471E5C"/>
    <w:rsid w:val="004737AC"/>
    <w:rsid w:val="00473A39"/>
    <w:rsid w:val="00473CED"/>
    <w:rsid w:val="00473ED6"/>
    <w:rsid w:val="00474431"/>
    <w:rsid w:val="004751DF"/>
    <w:rsid w:val="004755FE"/>
    <w:rsid w:val="0047569E"/>
    <w:rsid w:val="00475E03"/>
    <w:rsid w:val="004777B7"/>
    <w:rsid w:val="004800B2"/>
    <w:rsid w:val="0048097C"/>
    <w:rsid w:val="00481032"/>
    <w:rsid w:val="004810A8"/>
    <w:rsid w:val="004812C9"/>
    <w:rsid w:val="00481A19"/>
    <w:rsid w:val="00481E36"/>
    <w:rsid w:val="00481FAA"/>
    <w:rsid w:val="004839E8"/>
    <w:rsid w:val="004840FA"/>
    <w:rsid w:val="00485966"/>
    <w:rsid w:val="00486525"/>
    <w:rsid w:val="00486992"/>
    <w:rsid w:val="0048779B"/>
    <w:rsid w:val="0048782B"/>
    <w:rsid w:val="00487B26"/>
    <w:rsid w:val="0049114F"/>
    <w:rsid w:val="00491168"/>
    <w:rsid w:val="00491530"/>
    <w:rsid w:val="004916A9"/>
    <w:rsid w:val="00491CED"/>
    <w:rsid w:val="0049224F"/>
    <w:rsid w:val="00492715"/>
    <w:rsid w:val="004950BE"/>
    <w:rsid w:val="0049524C"/>
    <w:rsid w:val="00495D3C"/>
    <w:rsid w:val="00495DBE"/>
    <w:rsid w:val="00496314"/>
    <w:rsid w:val="004971AD"/>
    <w:rsid w:val="00497706"/>
    <w:rsid w:val="00497B64"/>
    <w:rsid w:val="004A09DC"/>
    <w:rsid w:val="004A0C34"/>
    <w:rsid w:val="004A129E"/>
    <w:rsid w:val="004A13FF"/>
    <w:rsid w:val="004A15D7"/>
    <w:rsid w:val="004A4A67"/>
    <w:rsid w:val="004A4CD3"/>
    <w:rsid w:val="004A54BD"/>
    <w:rsid w:val="004A57D0"/>
    <w:rsid w:val="004A61E6"/>
    <w:rsid w:val="004A6653"/>
    <w:rsid w:val="004A7009"/>
    <w:rsid w:val="004A7D86"/>
    <w:rsid w:val="004B0BF2"/>
    <w:rsid w:val="004B1C56"/>
    <w:rsid w:val="004B1DB3"/>
    <w:rsid w:val="004B2010"/>
    <w:rsid w:val="004B4743"/>
    <w:rsid w:val="004B4DD5"/>
    <w:rsid w:val="004B4F74"/>
    <w:rsid w:val="004B5AD4"/>
    <w:rsid w:val="004C02C3"/>
    <w:rsid w:val="004C11E0"/>
    <w:rsid w:val="004C13FC"/>
    <w:rsid w:val="004C14BC"/>
    <w:rsid w:val="004C170B"/>
    <w:rsid w:val="004C2559"/>
    <w:rsid w:val="004C29B9"/>
    <w:rsid w:val="004C2ECD"/>
    <w:rsid w:val="004C3D6E"/>
    <w:rsid w:val="004C40E6"/>
    <w:rsid w:val="004C48AF"/>
    <w:rsid w:val="004C4960"/>
    <w:rsid w:val="004C548F"/>
    <w:rsid w:val="004C5A8F"/>
    <w:rsid w:val="004C5AEB"/>
    <w:rsid w:val="004C7436"/>
    <w:rsid w:val="004C7577"/>
    <w:rsid w:val="004C77F8"/>
    <w:rsid w:val="004C796B"/>
    <w:rsid w:val="004D025A"/>
    <w:rsid w:val="004D0770"/>
    <w:rsid w:val="004D0C12"/>
    <w:rsid w:val="004D0F9B"/>
    <w:rsid w:val="004D0FDA"/>
    <w:rsid w:val="004D1B75"/>
    <w:rsid w:val="004D1B7C"/>
    <w:rsid w:val="004D1B89"/>
    <w:rsid w:val="004D232B"/>
    <w:rsid w:val="004D262F"/>
    <w:rsid w:val="004D394E"/>
    <w:rsid w:val="004D4CA4"/>
    <w:rsid w:val="004D4F9A"/>
    <w:rsid w:val="004D5BF6"/>
    <w:rsid w:val="004D7104"/>
    <w:rsid w:val="004D7A24"/>
    <w:rsid w:val="004D7F94"/>
    <w:rsid w:val="004E0A92"/>
    <w:rsid w:val="004E17E6"/>
    <w:rsid w:val="004E18AC"/>
    <w:rsid w:val="004E2D26"/>
    <w:rsid w:val="004E2FC8"/>
    <w:rsid w:val="004E3E08"/>
    <w:rsid w:val="004E414F"/>
    <w:rsid w:val="004E440F"/>
    <w:rsid w:val="004E55C5"/>
    <w:rsid w:val="004E56DE"/>
    <w:rsid w:val="004E5FFB"/>
    <w:rsid w:val="004E66BC"/>
    <w:rsid w:val="004E7518"/>
    <w:rsid w:val="004F1AB4"/>
    <w:rsid w:val="004F1CA4"/>
    <w:rsid w:val="004F2106"/>
    <w:rsid w:val="004F214E"/>
    <w:rsid w:val="004F23B9"/>
    <w:rsid w:val="004F284E"/>
    <w:rsid w:val="004F3862"/>
    <w:rsid w:val="004F4D5C"/>
    <w:rsid w:val="004F4E8A"/>
    <w:rsid w:val="004F503F"/>
    <w:rsid w:val="004F5224"/>
    <w:rsid w:val="004F5930"/>
    <w:rsid w:val="004F630A"/>
    <w:rsid w:val="004F6337"/>
    <w:rsid w:val="004F64F0"/>
    <w:rsid w:val="004F69AC"/>
    <w:rsid w:val="004F75EE"/>
    <w:rsid w:val="004F7D8C"/>
    <w:rsid w:val="004F7F22"/>
    <w:rsid w:val="00500174"/>
    <w:rsid w:val="005001FD"/>
    <w:rsid w:val="005011BD"/>
    <w:rsid w:val="00501595"/>
    <w:rsid w:val="00501795"/>
    <w:rsid w:val="00501867"/>
    <w:rsid w:val="00501BF6"/>
    <w:rsid w:val="0050216D"/>
    <w:rsid w:val="0050297F"/>
    <w:rsid w:val="005034AF"/>
    <w:rsid w:val="005053A7"/>
    <w:rsid w:val="0050569A"/>
    <w:rsid w:val="00505BFD"/>
    <w:rsid w:val="00505C64"/>
    <w:rsid w:val="00506363"/>
    <w:rsid w:val="005063D2"/>
    <w:rsid w:val="005069D3"/>
    <w:rsid w:val="00506F33"/>
    <w:rsid w:val="0051145F"/>
    <w:rsid w:val="005115B7"/>
    <w:rsid w:val="005119FF"/>
    <w:rsid w:val="005122E5"/>
    <w:rsid w:val="005125BB"/>
    <w:rsid w:val="005127B3"/>
    <w:rsid w:val="00512E55"/>
    <w:rsid w:val="00513395"/>
    <w:rsid w:val="00515619"/>
    <w:rsid w:val="0051643C"/>
    <w:rsid w:val="0051782B"/>
    <w:rsid w:val="00520029"/>
    <w:rsid w:val="00520CDC"/>
    <w:rsid w:val="00520CEB"/>
    <w:rsid w:val="00522CAC"/>
    <w:rsid w:val="00523023"/>
    <w:rsid w:val="0052362D"/>
    <w:rsid w:val="005247E1"/>
    <w:rsid w:val="00524C0C"/>
    <w:rsid w:val="00524E49"/>
    <w:rsid w:val="00524FD2"/>
    <w:rsid w:val="005251CE"/>
    <w:rsid w:val="005258B7"/>
    <w:rsid w:val="00530203"/>
    <w:rsid w:val="00530F31"/>
    <w:rsid w:val="00531D33"/>
    <w:rsid w:val="0053223E"/>
    <w:rsid w:val="00532E0F"/>
    <w:rsid w:val="00533049"/>
    <w:rsid w:val="005331F3"/>
    <w:rsid w:val="00533C70"/>
    <w:rsid w:val="00534544"/>
    <w:rsid w:val="00534962"/>
    <w:rsid w:val="00534F67"/>
    <w:rsid w:val="005353D0"/>
    <w:rsid w:val="005354D4"/>
    <w:rsid w:val="00535B19"/>
    <w:rsid w:val="00536A94"/>
    <w:rsid w:val="00536C72"/>
    <w:rsid w:val="00537304"/>
    <w:rsid w:val="00540F7B"/>
    <w:rsid w:val="00542003"/>
    <w:rsid w:val="00542941"/>
    <w:rsid w:val="00542C4B"/>
    <w:rsid w:val="00542EC7"/>
    <w:rsid w:val="0054312E"/>
    <w:rsid w:val="005433F8"/>
    <w:rsid w:val="00543951"/>
    <w:rsid w:val="00545740"/>
    <w:rsid w:val="005460B4"/>
    <w:rsid w:val="00546231"/>
    <w:rsid w:val="005462B1"/>
    <w:rsid w:val="005473FA"/>
    <w:rsid w:val="00547CB8"/>
    <w:rsid w:val="00550041"/>
    <w:rsid w:val="005507DF"/>
    <w:rsid w:val="005509D6"/>
    <w:rsid w:val="0055182B"/>
    <w:rsid w:val="00551B8D"/>
    <w:rsid w:val="00552348"/>
    <w:rsid w:val="00554274"/>
    <w:rsid w:val="005556E0"/>
    <w:rsid w:val="005558BB"/>
    <w:rsid w:val="00555C5A"/>
    <w:rsid w:val="00555CAA"/>
    <w:rsid w:val="00555FF6"/>
    <w:rsid w:val="0055677E"/>
    <w:rsid w:val="00556EA4"/>
    <w:rsid w:val="00557234"/>
    <w:rsid w:val="005572E7"/>
    <w:rsid w:val="005576A0"/>
    <w:rsid w:val="005603C9"/>
    <w:rsid w:val="00562937"/>
    <w:rsid w:val="00562A21"/>
    <w:rsid w:val="00562ACA"/>
    <w:rsid w:val="00562F0D"/>
    <w:rsid w:val="005638F9"/>
    <w:rsid w:val="0056422A"/>
    <w:rsid w:val="00564867"/>
    <w:rsid w:val="00564C70"/>
    <w:rsid w:val="00564FF7"/>
    <w:rsid w:val="00565895"/>
    <w:rsid w:val="00565B96"/>
    <w:rsid w:val="00565C28"/>
    <w:rsid w:val="005663A8"/>
    <w:rsid w:val="005667C7"/>
    <w:rsid w:val="00567C04"/>
    <w:rsid w:val="0057109D"/>
    <w:rsid w:val="0057127B"/>
    <w:rsid w:val="0057131E"/>
    <w:rsid w:val="0057161D"/>
    <w:rsid w:val="00572764"/>
    <w:rsid w:val="00573342"/>
    <w:rsid w:val="00573455"/>
    <w:rsid w:val="005737A1"/>
    <w:rsid w:val="0057401A"/>
    <w:rsid w:val="0057405A"/>
    <w:rsid w:val="00574600"/>
    <w:rsid w:val="005746D7"/>
    <w:rsid w:val="00575EB0"/>
    <w:rsid w:val="005762A0"/>
    <w:rsid w:val="005771E7"/>
    <w:rsid w:val="00577A25"/>
    <w:rsid w:val="00580226"/>
    <w:rsid w:val="00581ADD"/>
    <w:rsid w:val="00581ECE"/>
    <w:rsid w:val="00582990"/>
    <w:rsid w:val="005844EE"/>
    <w:rsid w:val="00584B95"/>
    <w:rsid w:val="00585084"/>
    <w:rsid w:val="005859ED"/>
    <w:rsid w:val="00586ECE"/>
    <w:rsid w:val="00587089"/>
    <w:rsid w:val="00587B96"/>
    <w:rsid w:val="00587C52"/>
    <w:rsid w:val="00587F4E"/>
    <w:rsid w:val="00590B5F"/>
    <w:rsid w:val="00590EAB"/>
    <w:rsid w:val="0059107C"/>
    <w:rsid w:val="0059168C"/>
    <w:rsid w:val="00592546"/>
    <w:rsid w:val="005926BD"/>
    <w:rsid w:val="00592BC3"/>
    <w:rsid w:val="00592DE7"/>
    <w:rsid w:val="0059319A"/>
    <w:rsid w:val="005936BD"/>
    <w:rsid w:val="00594318"/>
    <w:rsid w:val="0059465F"/>
    <w:rsid w:val="00595374"/>
    <w:rsid w:val="0059567C"/>
    <w:rsid w:val="00595DDD"/>
    <w:rsid w:val="005963CD"/>
    <w:rsid w:val="00596478"/>
    <w:rsid w:val="00596F63"/>
    <w:rsid w:val="005A01F7"/>
    <w:rsid w:val="005A0389"/>
    <w:rsid w:val="005A0586"/>
    <w:rsid w:val="005A082D"/>
    <w:rsid w:val="005A1143"/>
    <w:rsid w:val="005A13D8"/>
    <w:rsid w:val="005A19F6"/>
    <w:rsid w:val="005A1ACD"/>
    <w:rsid w:val="005A1AE5"/>
    <w:rsid w:val="005A27FB"/>
    <w:rsid w:val="005A431B"/>
    <w:rsid w:val="005A4438"/>
    <w:rsid w:val="005A4A9D"/>
    <w:rsid w:val="005A57DD"/>
    <w:rsid w:val="005A59B4"/>
    <w:rsid w:val="005A653F"/>
    <w:rsid w:val="005A67D2"/>
    <w:rsid w:val="005A69F4"/>
    <w:rsid w:val="005A6CC3"/>
    <w:rsid w:val="005A7A0A"/>
    <w:rsid w:val="005B02F6"/>
    <w:rsid w:val="005B043A"/>
    <w:rsid w:val="005B0737"/>
    <w:rsid w:val="005B0C58"/>
    <w:rsid w:val="005B0CD5"/>
    <w:rsid w:val="005B15A6"/>
    <w:rsid w:val="005B2C92"/>
    <w:rsid w:val="005B2E1B"/>
    <w:rsid w:val="005B2F72"/>
    <w:rsid w:val="005B3386"/>
    <w:rsid w:val="005B3B7B"/>
    <w:rsid w:val="005B4162"/>
    <w:rsid w:val="005B4870"/>
    <w:rsid w:val="005B49B2"/>
    <w:rsid w:val="005B4F8C"/>
    <w:rsid w:val="005B5036"/>
    <w:rsid w:val="005B5AEF"/>
    <w:rsid w:val="005B5B2D"/>
    <w:rsid w:val="005B609B"/>
    <w:rsid w:val="005B67C6"/>
    <w:rsid w:val="005B718D"/>
    <w:rsid w:val="005B777D"/>
    <w:rsid w:val="005B7820"/>
    <w:rsid w:val="005B7F09"/>
    <w:rsid w:val="005C016E"/>
    <w:rsid w:val="005C0418"/>
    <w:rsid w:val="005C068B"/>
    <w:rsid w:val="005C06A1"/>
    <w:rsid w:val="005C0C4F"/>
    <w:rsid w:val="005C0DA1"/>
    <w:rsid w:val="005C2098"/>
    <w:rsid w:val="005C2266"/>
    <w:rsid w:val="005C24C5"/>
    <w:rsid w:val="005C26CC"/>
    <w:rsid w:val="005C39E3"/>
    <w:rsid w:val="005C51B9"/>
    <w:rsid w:val="005C6918"/>
    <w:rsid w:val="005C783B"/>
    <w:rsid w:val="005D02CE"/>
    <w:rsid w:val="005D09E6"/>
    <w:rsid w:val="005D0BEA"/>
    <w:rsid w:val="005D1AC3"/>
    <w:rsid w:val="005D23A9"/>
    <w:rsid w:val="005D30FC"/>
    <w:rsid w:val="005D3DE1"/>
    <w:rsid w:val="005D42DD"/>
    <w:rsid w:val="005D4A58"/>
    <w:rsid w:val="005D5BDC"/>
    <w:rsid w:val="005D5CA8"/>
    <w:rsid w:val="005D5E25"/>
    <w:rsid w:val="005D6400"/>
    <w:rsid w:val="005D69F6"/>
    <w:rsid w:val="005D6B26"/>
    <w:rsid w:val="005D6E2C"/>
    <w:rsid w:val="005D720D"/>
    <w:rsid w:val="005D749B"/>
    <w:rsid w:val="005E0EC1"/>
    <w:rsid w:val="005E0F73"/>
    <w:rsid w:val="005E1520"/>
    <w:rsid w:val="005E2310"/>
    <w:rsid w:val="005E253C"/>
    <w:rsid w:val="005E34A2"/>
    <w:rsid w:val="005E367F"/>
    <w:rsid w:val="005E3B36"/>
    <w:rsid w:val="005E40B7"/>
    <w:rsid w:val="005E5B10"/>
    <w:rsid w:val="005E5F0B"/>
    <w:rsid w:val="005E6632"/>
    <w:rsid w:val="005E6692"/>
    <w:rsid w:val="005E6D5C"/>
    <w:rsid w:val="005E6DFB"/>
    <w:rsid w:val="005E7058"/>
    <w:rsid w:val="005E75F1"/>
    <w:rsid w:val="005F0747"/>
    <w:rsid w:val="005F07D8"/>
    <w:rsid w:val="005F08E6"/>
    <w:rsid w:val="005F128B"/>
    <w:rsid w:val="005F143D"/>
    <w:rsid w:val="005F16A0"/>
    <w:rsid w:val="005F2B47"/>
    <w:rsid w:val="005F2E04"/>
    <w:rsid w:val="005F2F74"/>
    <w:rsid w:val="005F3177"/>
    <w:rsid w:val="005F34DD"/>
    <w:rsid w:val="005F359C"/>
    <w:rsid w:val="005F3615"/>
    <w:rsid w:val="005F36A9"/>
    <w:rsid w:val="005F3A3C"/>
    <w:rsid w:val="005F58F9"/>
    <w:rsid w:val="005F5CAB"/>
    <w:rsid w:val="005F5ED1"/>
    <w:rsid w:val="005F5F0A"/>
    <w:rsid w:val="005F6402"/>
    <w:rsid w:val="005F6956"/>
    <w:rsid w:val="005F7E16"/>
    <w:rsid w:val="0060023C"/>
    <w:rsid w:val="006005AB"/>
    <w:rsid w:val="00600FCD"/>
    <w:rsid w:val="00601132"/>
    <w:rsid w:val="0060127D"/>
    <w:rsid w:val="00601461"/>
    <w:rsid w:val="00601961"/>
    <w:rsid w:val="00601A35"/>
    <w:rsid w:val="00601C8A"/>
    <w:rsid w:val="00602702"/>
    <w:rsid w:val="00602CFB"/>
    <w:rsid w:val="00603248"/>
    <w:rsid w:val="00603CA3"/>
    <w:rsid w:val="00604285"/>
    <w:rsid w:val="006049D4"/>
    <w:rsid w:val="00605262"/>
    <w:rsid w:val="00605842"/>
    <w:rsid w:val="00605BAF"/>
    <w:rsid w:val="006066A2"/>
    <w:rsid w:val="00606BF8"/>
    <w:rsid w:val="00607359"/>
    <w:rsid w:val="00610235"/>
    <w:rsid w:val="006107C5"/>
    <w:rsid w:val="00610B6A"/>
    <w:rsid w:val="0061163F"/>
    <w:rsid w:val="006118DB"/>
    <w:rsid w:val="00613CBC"/>
    <w:rsid w:val="00614077"/>
    <w:rsid w:val="00615C98"/>
    <w:rsid w:val="006165BB"/>
    <w:rsid w:val="00616CBF"/>
    <w:rsid w:val="006172F3"/>
    <w:rsid w:val="0061778F"/>
    <w:rsid w:val="0062033E"/>
    <w:rsid w:val="0062079E"/>
    <w:rsid w:val="006216EC"/>
    <w:rsid w:val="006219A7"/>
    <w:rsid w:val="00622010"/>
    <w:rsid w:val="006222D5"/>
    <w:rsid w:val="00622851"/>
    <w:rsid w:val="00622925"/>
    <w:rsid w:val="0062391C"/>
    <w:rsid w:val="00623CA4"/>
    <w:rsid w:val="00626202"/>
    <w:rsid w:val="0062651B"/>
    <w:rsid w:val="006315A9"/>
    <w:rsid w:val="006316C0"/>
    <w:rsid w:val="0063350C"/>
    <w:rsid w:val="00634A0D"/>
    <w:rsid w:val="00634A55"/>
    <w:rsid w:val="006370E5"/>
    <w:rsid w:val="0063721C"/>
    <w:rsid w:val="00637381"/>
    <w:rsid w:val="00637804"/>
    <w:rsid w:val="006379C7"/>
    <w:rsid w:val="00637D8F"/>
    <w:rsid w:val="00640446"/>
    <w:rsid w:val="006405CF"/>
    <w:rsid w:val="00640980"/>
    <w:rsid w:val="006413AB"/>
    <w:rsid w:val="00642587"/>
    <w:rsid w:val="006425C1"/>
    <w:rsid w:val="00643358"/>
    <w:rsid w:val="00643A53"/>
    <w:rsid w:val="00644621"/>
    <w:rsid w:val="006446B9"/>
    <w:rsid w:val="00644DF2"/>
    <w:rsid w:val="00644FAE"/>
    <w:rsid w:val="0064513A"/>
    <w:rsid w:val="006451A0"/>
    <w:rsid w:val="00645276"/>
    <w:rsid w:val="00645641"/>
    <w:rsid w:val="00645645"/>
    <w:rsid w:val="006456AF"/>
    <w:rsid w:val="00645CC4"/>
    <w:rsid w:val="00645D32"/>
    <w:rsid w:val="0064695A"/>
    <w:rsid w:val="00646FB8"/>
    <w:rsid w:val="00650EC2"/>
    <w:rsid w:val="00650F49"/>
    <w:rsid w:val="006510E9"/>
    <w:rsid w:val="006514C3"/>
    <w:rsid w:val="00651E52"/>
    <w:rsid w:val="00654444"/>
    <w:rsid w:val="00654DD0"/>
    <w:rsid w:val="00654F17"/>
    <w:rsid w:val="00655190"/>
    <w:rsid w:val="00655321"/>
    <w:rsid w:val="006559EB"/>
    <w:rsid w:val="00655A2E"/>
    <w:rsid w:val="00656097"/>
    <w:rsid w:val="006570FA"/>
    <w:rsid w:val="006571FE"/>
    <w:rsid w:val="006578F7"/>
    <w:rsid w:val="006602CC"/>
    <w:rsid w:val="00660302"/>
    <w:rsid w:val="00660ABF"/>
    <w:rsid w:val="006612B2"/>
    <w:rsid w:val="006618C4"/>
    <w:rsid w:val="00661EBD"/>
    <w:rsid w:val="006624D8"/>
    <w:rsid w:val="006630B4"/>
    <w:rsid w:val="00663779"/>
    <w:rsid w:val="00663823"/>
    <w:rsid w:val="006638F4"/>
    <w:rsid w:val="00664E66"/>
    <w:rsid w:val="00665443"/>
    <w:rsid w:val="00665487"/>
    <w:rsid w:val="00665A9A"/>
    <w:rsid w:val="0066627E"/>
    <w:rsid w:val="006667FC"/>
    <w:rsid w:val="00666B2B"/>
    <w:rsid w:val="00667ED8"/>
    <w:rsid w:val="006700C5"/>
    <w:rsid w:val="0067053F"/>
    <w:rsid w:val="00670C2B"/>
    <w:rsid w:val="00670F23"/>
    <w:rsid w:val="00671441"/>
    <w:rsid w:val="00671A77"/>
    <w:rsid w:val="0067211A"/>
    <w:rsid w:val="00672A71"/>
    <w:rsid w:val="00672A88"/>
    <w:rsid w:val="006733D8"/>
    <w:rsid w:val="006740C9"/>
    <w:rsid w:val="0067450B"/>
    <w:rsid w:val="00674E16"/>
    <w:rsid w:val="006751D1"/>
    <w:rsid w:val="006755B1"/>
    <w:rsid w:val="006760DD"/>
    <w:rsid w:val="0067611C"/>
    <w:rsid w:val="00676323"/>
    <w:rsid w:val="0067638F"/>
    <w:rsid w:val="0067654C"/>
    <w:rsid w:val="00681C3B"/>
    <w:rsid w:val="00681C4D"/>
    <w:rsid w:val="00682C3C"/>
    <w:rsid w:val="006839DE"/>
    <w:rsid w:val="00683EBF"/>
    <w:rsid w:val="006848AC"/>
    <w:rsid w:val="00684900"/>
    <w:rsid w:val="00684AE9"/>
    <w:rsid w:val="00685895"/>
    <w:rsid w:val="006862BB"/>
    <w:rsid w:val="00686F35"/>
    <w:rsid w:val="00687181"/>
    <w:rsid w:val="00691A58"/>
    <w:rsid w:val="00691E31"/>
    <w:rsid w:val="00692DFF"/>
    <w:rsid w:val="00693089"/>
    <w:rsid w:val="00693097"/>
    <w:rsid w:val="00693524"/>
    <w:rsid w:val="00693953"/>
    <w:rsid w:val="00694725"/>
    <w:rsid w:val="00694E93"/>
    <w:rsid w:val="00695BCD"/>
    <w:rsid w:val="00695C6D"/>
    <w:rsid w:val="006960F3"/>
    <w:rsid w:val="00697D21"/>
    <w:rsid w:val="00697FF3"/>
    <w:rsid w:val="006A0070"/>
    <w:rsid w:val="006A01DE"/>
    <w:rsid w:val="006A0C65"/>
    <w:rsid w:val="006A14B0"/>
    <w:rsid w:val="006A17F4"/>
    <w:rsid w:val="006A333F"/>
    <w:rsid w:val="006A3506"/>
    <w:rsid w:val="006A3F2C"/>
    <w:rsid w:val="006A415E"/>
    <w:rsid w:val="006A45F9"/>
    <w:rsid w:val="006A4723"/>
    <w:rsid w:val="006A5120"/>
    <w:rsid w:val="006A5C3E"/>
    <w:rsid w:val="006A76DE"/>
    <w:rsid w:val="006A7887"/>
    <w:rsid w:val="006B00B8"/>
    <w:rsid w:val="006B011A"/>
    <w:rsid w:val="006B0456"/>
    <w:rsid w:val="006B18E2"/>
    <w:rsid w:val="006B228E"/>
    <w:rsid w:val="006B2CE5"/>
    <w:rsid w:val="006B382B"/>
    <w:rsid w:val="006B4055"/>
    <w:rsid w:val="006B4168"/>
    <w:rsid w:val="006B4896"/>
    <w:rsid w:val="006B5320"/>
    <w:rsid w:val="006B59AA"/>
    <w:rsid w:val="006B5D22"/>
    <w:rsid w:val="006B6659"/>
    <w:rsid w:val="006B6801"/>
    <w:rsid w:val="006B6AAB"/>
    <w:rsid w:val="006B6CE6"/>
    <w:rsid w:val="006B6E8E"/>
    <w:rsid w:val="006B7062"/>
    <w:rsid w:val="006B7725"/>
    <w:rsid w:val="006B77C3"/>
    <w:rsid w:val="006B7BF5"/>
    <w:rsid w:val="006B7CCD"/>
    <w:rsid w:val="006C14A9"/>
    <w:rsid w:val="006C1A36"/>
    <w:rsid w:val="006C213B"/>
    <w:rsid w:val="006C2FD7"/>
    <w:rsid w:val="006C31E1"/>
    <w:rsid w:val="006C34BA"/>
    <w:rsid w:val="006C3CFF"/>
    <w:rsid w:val="006C4307"/>
    <w:rsid w:val="006C475C"/>
    <w:rsid w:val="006C4DF1"/>
    <w:rsid w:val="006C4FE0"/>
    <w:rsid w:val="006C57ED"/>
    <w:rsid w:val="006C62BE"/>
    <w:rsid w:val="006C697F"/>
    <w:rsid w:val="006C6D58"/>
    <w:rsid w:val="006C6DA2"/>
    <w:rsid w:val="006C6DFA"/>
    <w:rsid w:val="006C70AF"/>
    <w:rsid w:val="006C71C5"/>
    <w:rsid w:val="006C75FC"/>
    <w:rsid w:val="006C7D99"/>
    <w:rsid w:val="006C7FE1"/>
    <w:rsid w:val="006D088A"/>
    <w:rsid w:val="006D0E71"/>
    <w:rsid w:val="006D1806"/>
    <w:rsid w:val="006D1B23"/>
    <w:rsid w:val="006D2179"/>
    <w:rsid w:val="006D2367"/>
    <w:rsid w:val="006D3639"/>
    <w:rsid w:val="006D3D7E"/>
    <w:rsid w:val="006D4469"/>
    <w:rsid w:val="006D4D0A"/>
    <w:rsid w:val="006D5B39"/>
    <w:rsid w:val="006D5FDA"/>
    <w:rsid w:val="006D6697"/>
    <w:rsid w:val="006D6CC2"/>
    <w:rsid w:val="006D70BF"/>
    <w:rsid w:val="006D7125"/>
    <w:rsid w:val="006D722D"/>
    <w:rsid w:val="006D7647"/>
    <w:rsid w:val="006E0C97"/>
    <w:rsid w:val="006E0E70"/>
    <w:rsid w:val="006E1655"/>
    <w:rsid w:val="006E20CE"/>
    <w:rsid w:val="006E2183"/>
    <w:rsid w:val="006E2265"/>
    <w:rsid w:val="006E32C8"/>
    <w:rsid w:val="006E4077"/>
    <w:rsid w:val="006E4207"/>
    <w:rsid w:val="006E4C0F"/>
    <w:rsid w:val="006E4DC3"/>
    <w:rsid w:val="006E5017"/>
    <w:rsid w:val="006E5145"/>
    <w:rsid w:val="006E5256"/>
    <w:rsid w:val="006E576F"/>
    <w:rsid w:val="006E5C98"/>
    <w:rsid w:val="006E5DD2"/>
    <w:rsid w:val="006E6AE6"/>
    <w:rsid w:val="006E7808"/>
    <w:rsid w:val="006E7B3B"/>
    <w:rsid w:val="006E7FAE"/>
    <w:rsid w:val="006F06F6"/>
    <w:rsid w:val="006F26B9"/>
    <w:rsid w:val="006F2765"/>
    <w:rsid w:val="006F3886"/>
    <w:rsid w:val="006F5996"/>
    <w:rsid w:val="006F6772"/>
    <w:rsid w:val="006F6B22"/>
    <w:rsid w:val="006F779A"/>
    <w:rsid w:val="006F7FF5"/>
    <w:rsid w:val="00701956"/>
    <w:rsid w:val="00701C90"/>
    <w:rsid w:val="00701EC6"/>
    <w:rsid w:val="00702B7E"/>
    <w:rsid w:val="00702E38"/>
    <w:rsid w:val="007038B1"/>
    <w:rsid w:val="007043E9"/>
    <w:rsid w:val="00704A8C"/>
    <w:rsid w:val="0070517B"/>
    <w:rsid w:val="00705E8F"/>
    <w:rsid w:val="00706988"/>
    <w:rsid w:val="00706E7D"/>
    <w:rsid w:val="00707784"/>
    <w:rsid w:val="007078A0"/>
    <w:rsid w:val="007079D3"/>
    <w:rsid w:val="00710393"/>
    <w:rsid w:val="0071198A"/>
    <w:rsid w:val="00711E34"/>
    <w:rsid w:val="0071230A"/>
    <w:rsid w:val="007123C7"/>
    <w:rsid w:val="00714289"/>
    <w:rsid w:val="007145DA"/>
    <w:rsid w:val="00714B55"/>
    <w:rsid w:val="00714B70"/>
    <w:rsid w:val="00715E1F"/>
    <w:rsid w:val="00716AF4"/>
    <w:rsid w:val="0071725F"/>
    <w:rsid w:val="007173C3"/>
    <w:rsid w:val="007179CE"/>
    <w:rsid w:val="00720C7A"/>
    <w:rsid w:val="00721108"/>
    <w:rsid w:val="00721C90"/>
    <w:rsid w:val="00721DBF"/>
    <w:rsid w:val="00721F01"/>
    <w:rsid w:val="00721F43"/>
    <w:rsid w:val="00722612"/>
    <w:rsid w:val="00723090"/>
    <w:rsid w:val="007231A1"/>
    <w:rsid w:val="00723639"/>
    <w:rsid w:val="007249E1"/>
    <w:rsid w:val="00725229"/>
    <w:rsid w:val="0072524D"/>
    <w:rsid w:val="00725856"/>
    <w:rsid w:val="00725FBA"/>
    <w:rsid w:val="0072639B"/>
    <w:rsid w:val="00726E3A"/>
    <w:rsid w:val="007272BC"/>
    <w:rsid w:val="00727937"/>
    <w:rsid w:val="00727D33"/>
    <w:rsid w:val="007301BA"/>
    <w:rsid w:val="0073096E"/>
    <w:rsid w:val="007313C7"/>
    <w:rsid w:val="00731CA0"/>
    <w:rsid w:val="00732266"/>
    <w:rsid w:val="00733082"/>
    <w:rsid w:val="0073338D"/>
    <w:rsid w:val="00733724"/>
    <w:rsid w:val="00733E1E"/>
    <w:rsid w:val="00734F8D"/>
    <w:rsid w:val="0073500B"/>
    <w:rsid w:val="00735BC0"/>
    <w:rsid w:val="00735D9C"/>
    <w:rsid w:val="00736D66"/>
    <w:rsid w:val="00736E9E"/>
    <w:rsid w:val="00737538"/>
    <w:rsid w:val="00737627"/>
    <w:rsid w:val="00737852"/>
    <w:rsid w:val="00737E95"/>
    <w:rsid w:val="00740A97"/>
    <w:rsid w:val="00740E28"/>
    <w:rsid w:val="00741061"/>
    <w:rsid w:val="00741796"/>
    <w:rsid w:val="00742B37"/>
    <w:rsid w:val="0074310B"/>
    <w:rsid w:val="007433A6"/>
    <w:rsid w:val="007433B9"/>
    <w:rsid w:val="00743450"/>
    <w:rsid w:val="00744E56"/>
    <w:rsid w:val="0074569D"/>
    <w:rsid w:val="00745AC2"/>
    <w:rsid w:val="00745E9F"/>
    <w:rsid w:val="007460A6"/>
    <w:rsid w:val="00746374"/>
    <w:rsid w:val="00746F46"/>
    <w:rsid w:val="00747563"/>
    <w:rsid w:val="00747BC5"/>
    <w:rsid w:val="00747E61"/>
    <w:rsid w:val="00750BA0"/>
    <w:rsid w:val="00751589"/>
    <w:rsid w:val="007515B6"/>
    <w:rsid w:val="007519A6"/>
    <w:rsid w:val="0075287A"/>
    <w:rsid w:val="00752894"/>
    <w:rsid w:val="00752CF5"/>
    <w:rsid w:val="007539A9"/>
    <w:rsid w:val="007540D0"/>
    <w:rsid w:val="00754852"/>
    <w:rsid w:val="00754C3F"/>
    <w:rsid w:val="0075533A"/>
    <w:rsid w:val="0075662B"/>
    <w:rsid w:val="007576C3"/>
    <w:rsid w:val="007579BC"/>
    <w:rsid w:val="00761298"/>
    <w:rsid w:val="00761EEB"/>
    <w:rsid w:val="00762259"/>
    <w:rsid w:val="0076350E"/>
    <w:rsid w:val="007639BB"/>
    <w:rsid w:val="00763AA3"/>
    <w:rsid w:val="00763CAD"/>
    <w:rsid w:val="0076435A"/>
    <w:rsid w:val="00764A61"/>
    <w:rsid w:val="00764D2A"/>
    <w:rsid w:val="00765120"/>
    <w:rsid w:val="0076527A"/>
    <w:rsid w:val="00765965"/>
    <w:rsid w:val="0076653F"/>
    <w:rsid w:val="00766C36"/>
    <w:rsid w:val="00770087"/>
    <w:rsid w:val="00770886"/>
    <w:rsid w:val="0077174E"/>
    <w:rsid w:val="00771780"/>
    <w:rsid w:val="00772545"/>
    <w:rsid w:val="00772B6B"/>
    <w:rsid w:val="00772F3D"/>
    <w:rsid w:val="00773350"/>
    <w:rsid w:val="007735B3"/>
    <w:rsid w:val="007743FB"/>
    <w:rsid w:val="00774CD6"/>
    <w:rsid w:val="00775691"/>
    <w:rsid w:val="007756C8"/>
    <w:rsid w:val="00775AFE"/>
    <w:rsid w:val="007761E5"/>
    <w:rsid w:val="0077644B"/>
    <w:rsid w:val="007770A7"/>
    <w:rsid w:val="00777C12"/>
    <w:rsid w:val="007800F0"/>
    <w:rsid w:val="007801F2"/>
    <w:rsid w:val="0078048F"/>
    <w:rsid w:val="00780946"/>
    <w:rsid w:val="00780F81"/>
    <w:rsid w:val="00780FA5"/>
    <w:rsid w:val="00781385"/>
    <w:rsid w:val="00781931"/>
    <w:rsid w:val="00781C04"/>
    <w:rsid w:val="00781CB2"/>
    <w:rsid w:val="00781DE3"/>
    <w:rsid w:val="00781E0C"/>
    <w:rsid w:val="00782EFE"/>
    <w:rsid w:val="00783872"/>
    <w:rsid w:val="00783ED1"/>
    <w:rsid w:val="007847CD"/>
    <w:rsid w:val="00784D69"/>
    <w:rsid w:val="007856A0"/>
    <w:rsid w:val="00785F28"/>
    <w:rsid w:val="00786021"/>
    <w:rsid w:val="007864DC"/>
    <w:rsid w:val="00787A27"/>
    <w:rsid w:val="0079065F"/>
    <w:rsid w:val="00790CDF"/>
    <w:rsid w:val="00791466"/>
    <w:rsid w:val="00791A3F"/>
    <w:rsid w:val="00791A51"/>
    <w:rsid w:val="00792593"/>
    <w:rsid w:val="0079300F"/>
    <w:rsid w:val="007938B0"/>
    <w:rsid w:val="00793E75"/>
    <w:rsid w:val="00794495"/>
    <w:rsid w:val="0079544C"/>
    <w:rsid w:val="00796269"/>
    <w:rsid w:val="00797AE3"/>
    <w:rsid w:val="007A00C8"/>
    <w:rsid w:val="007A04BD"/>
    <w:rsid w:val="007A05F5"/>
    <w:rsid w:val="007A21CB"/>
    <w:rsid w:val="007A2462"/>
    <w:rsid w:val="007A3104"/>
    <w:rsid w:val="007A3C13"/>
    <w:rsid w:val="007A572A"/>
    <w:rsid w:val="007A5D40"/>
    <w:rsid w:val="007A690A"/>
    <w:rsid w:val="007A6E63"/>
    <w:rsid w:val="007A7713"/>
    <w:rsid w:val="007A782D"/>
    <w:rsid w:val="007B0084"/>
    <w:rsid w:val="007B00CE"/>
    <w:rsid w:val="007B08DC"/>
    <w:rsid w:val="007B199C"/>
    <w:rsid w:val="007B1D37"/>
    <w:rsid w:val="007B214E"/>
    <w:rsid w:val="007B2593"/>
    <w:rsid w:val="007B2AB9"/>
    <w:rsid w:val="007B2F98"/>
    <w:rsid w:val="007B30A1"/>
    <w:rsid w:val="007B439D"/>
    <w:rsid w:val="007B45BA"/>
    <w:rsid w:val="007B5518"/>
    <w:rsid w:val="007B57B5"/>
    <w:rsid w:val="007B5ED6"/>
    <w:rsid w:val="007B6116"/>
    <w:rsid w:val="007B6340"/>
    <w:rsid w:val="007C19E6"/>
    <w:rsid w:val="007C1EA1"/>
    <w:rsid w:val="007C42CE"/>
    <w:rsid w:val="007C480D"/>
    <w:rsid w:val="007C5FB3"/>
    <w:rsid w:val="007C6246"/>
    <w:rsid w:val="007C64EF"/>
    <w:rsid w:val="007C6BF3"/>
    <w:rsid w:val="007C75C4"/>
    <w:rsid w:val="007C762D"/>
    <w:rsid w:val="007C7AF9"/>
    <w:rsid w:val="007D0638"/>
    <w:rsid w:val="007D1682"/>
    <w:rsid w:val="007D300F"/>
    <w:rsid w:val="007D3388"/>
    <w:rsid w:val="007D3959"/>
    <w:rsid w:val="007D5AF4"/>
    <w:rsid w:val="007D5DCE"/>
    <w:rsid w:val="007D62E4"/>
    <w:rsid w:val="007D65BB"/>
    <w:rsid w:val="007D6D24"/>
    <w:rsid w:val="007D7170"/>
    <w:rsid w:val="007E02CE"/>
    <w:rsid w:val="007E0487"/>
    <w:rsid w:val="007E0E5D"/>
    <w:rsid w:val="007E0F77"/>
    <w:rsid w:val="007E16B4"/>
    <w:rsid w:val="007E17C7"/>
    <w:rsid w:val="007E224B"/>
    <w:rsid w:val="007E3369"/>
    <w:rsid w:val="007E4AB7"/>
    <w:rsid w:val="007E5163"/>
    <w:rsid w:val="007E5A62"/>
    <w:rsid w:val="007E7469"/>
    <w:rsid w:val="007F0192"/>
    <w:rsid w:val="007F0553"/>
    <w:rsid w:val="007F0937"/>
    <w:rsid w:val="007F1AF5"/>
    <w:rsid w:val="007F2353"/>
    <w:rsid w:val="007F24C1"/>
    <w:rsid w:val="007F2C15"/>
    <w:rsid w:val="007F5428"/>
    <w:rsid w:val="007F5523"/>
    <w:rsid w:val="007F5575"/>
    <w:rsid w:val="007F5963"/>
    <w:rsid w:val="007F64C0"/>
    <w:rsid w:val="007F68BA"/>
    <w:rsid w:val="007F6E7B"/>
    <w:rsid w:val="007F7061"/>
    <w:rsid w:val="007F74B9"/>
    <w:rsid w:val="007F7873"/>
    <w:rsid w:val="007F7BFC"/>
    <w:rsid w:val="007F7EE3"/>
    <w:rsid w:val="00800160"/>
    <w:rsid w:val="00800B78"/>
    <w:rsid w:val="00800F46"/>
    <w:rsid w:val="008014F1"/>
    <w:rsid w:val="008015F1"/>
    <w:rsid w:val="008018B6"/>
    <w:rsid w:val="0080235A"/>
    <w:rsid w:val="00802372"/>
    <w:rsid w:val="00802495"/>
    <w:rsid w:val="008045F9"/>
    <w:rsid w:val="00806178"/>
    <w:rsid w:val="00806734"/>
    <w:rsid w:val="0081057E"/>
    <w:rsid w:val="00810A57"/>
    <w:rsid w:val="008114BD"/>
    <w:rsid w:val="00811C46"/>
    <w:rsid w:val="00811D9B"/>
    <w:rsid w:val="00812025"/>
    <w:rsid w:val="00812847"/>
    <w:rsid w:val="008135B9"/>
    <w:rsid w:val="00813764"/>
    <w:rsid w:val="00813BCC"/>
    <w:rsid w:val="00814316"/>
    <w:rsid w:val="0081438E"/>
    <w:rsid w:val="0081451A"/>
    <w:rsid w:val="00814712"/>
    <w:rsid w:val="00815016"/>
    <w:rsid w:val="0081528C"/>
    <w:rsid w:val="00815783"/>
    <w:rsid w:val="00815E8C"/>
    <w:rsid w:val="0081687C"/>
    <w:rsid w:val="00817142"/>
    <w:rsid w:val="008171B1"/>
    <w:rsid w:val="00817BC2"/>
    <w:rsid w:val="00817C0E"/>
    <w:rsid w:val="00817DC9"/>
    <w:rsid w:val="008205EA"/>
    <w:rsid w:val="00820E0C"/>
    <w:rsid w:val="00821155"/>
    <w:rsid w:val="00821704"/>
    <w:rsid w:val="008224E4"/>
    <w:rsid w:val="00824467"/>
    <w:rsid w:val="008246B5"/>
    <w:rsid w:val="00824A5F"/>
    <w:rsid w:val="00825463"/>
    <w:rsid w:val="008267EE"/>
    <w:rsid w:val="008271CE"/>
    <w:rsid w:val="00827A78"/>
    <w:rsid w:val="0083017F"/>
    <w:rsid w:val="008305A7"/>
    <w:rsid w:val="008315A8"/>
    <w:rsid w:val="00831CC3"/>
    <w:rsid w:val="00831F97"/>
    <w:rsid w:val="008322A9"/>
    <w:rsid w:val="00832C2B"/>
    <w:rsid w:val="00832CE7"/>
    <w:rsid w:val="00834748"/>
    <w:rsid w:val="00835164"/>
    <w:rsid w:val="00835E8D"/>
    <w:rsid w:val="00836502"/>
    <w:rsid w:val="00836DC9"/>
    <w:rsid w:val="00837747"/>
    <w:rsid w:val="00837BA9"/>
    <w:rsid w:val="0084011E"/>
    <w:rsid w:val="0084257B"/>
    <w:rsid w:val="00842DDA"/>
    <w:rsid w:val="008433FB"/>
    <w:rsid w:val="008437B4"/>
    <w:rsid w:val="008443A5"/>
    <w:rsid w:val="00844944"/>
    <w:rsid w:val="008449AC"/>
    <w:rsid w:val="00844E24"/>
    <w:rsid w:val="008450E6"/>
    <w:rsid w:val="0084518A"/>
    <w:rsid w:val="00845353"/>
    <w:rsid w:val="008467D9"/>
    <w:rsid w:val="008468A9"/>
    <w:rsid w:val="00847E4B"/>
    <w:rsid w:val="00850B49"/>
    <w:rsid w:val="00850BEA"/>
    <w:rsid w:val="00850CEF"/>
    <w:rsid w:val="00852676"/>
    <w:rsid w:val="00852CF5"/>
    <w:rsid w:val="008535CE"/>
    <w:rsid w:val="00853C3E"/>
    <w:rsid w:val="00853CA7"/>
    <w:rsid w:val="00854759"/>
    <w:rsid w:val="00856CA4"/>
    <w:rsid w:val="00856D0F"/>
    <w:rsid w:val="00856DDE"/>
    <w:rsid w:val="00857658"/>
    <w:rsid w:val="0086034F"/>
    <w:rsid w:val="00860D49"/>
    <w:rsid w:val="00860E8D"/>
    <w:rsid w:val="00860FA5"/>
    <w:rsid w:val="00861061"/>
    <w:rsid w:val="00862056"/>
    <w:rsid w:val="00863168"/>
    <w:rsid w:val="00863FFF"/>
    <w:rsid w:val="00865B77"/>
    <w:rsid w:val="00865F7F"/>
    <w:rsid w:val="008667F0"/>
    <w:rsid w:val="0086773A"/>
    <w:rsid w:val="00867B4A"/>
    <w:rsid w:val="00872093"/>
    <w:rsid w:val="008722B1"/>
    <w:rsid w:val="008737F6"/>
    <w:rsid w:val="00873992"/>
    <w:rsid w:val="00873A0B"/>
    <w:rsid w:val="008744A3"/>
    <w:rsid w:val="00874E61"/>
    <w:rsid w:val="00875454"/>
    <w:rsid w:val="00875B3D"/>
    <w:rsid w:val="00876057"/>
    <w:rsid w:val="008762B6"/>
    <w:rsid w:val="008763EC"/>
    <w:rsid w:val="00876AA8"/>
    <w:rsid w:val="00877747"/>
    <w:rsid w:val="00877AE1"/>
    <w:rsid w:val="00877E24"/>
    <w:rsid w:val="0088035B"/>
    <w:rsid w:val="0088086E"/>
    <w:rsid w:val="0088141D"/>
    <w:rsid w:val="00881768"/>
    <w:rsid w:val="00882D6C"/>
    <w:rsid w:val="008834D7"/>
    <w:rsid w:val="00884C24"/>
    <w:rsid w:val="00885080"/>
    <w:rsid w:val="00885B7A"/>
    <w:rsid w:val="00886C55"/>
    <w:rsid w:val="00887384"/>
    <w:rsid w:val="008874BB"/>
    <w:rsid w:val="008875DF"/>
    <w:rsid w:val="0088768F"/>
    <w:rsid w:val="0088777D"/>
    <w:rsid w:val="00890344"/>
    <w:rsid w:val="00890B4F"/>
    <w:rsid w:val="00891664"/>
    <w:rsid w:val="008935C9"/>
    <w:rsid w:val="00893E1B"/>
    <w:rsid w:val="00893F73"/>
    <w:rsid w:val="00894034"/>
    <w:rsid w:val="00894434"/>
    <w:rsid w:val="00895366"/>
    <w:rsid w:val="008955A5"/>
    <w:rsid w:val="00895877"/>
    <w:rsid w:val="00895999"/>
    <w:rsid w:val="00896095"/>
    <w:rsid w:val="008973DD"/>
    <w:rsid w:val="00897402"/>
    <w:rsid w:val="00897E54"/>
    <w:rsid w:val="00897FC2"/>
    <w:rsid w:val="008A025E"/>
    <w:rsid w:val="008A0B44"/>
    <w:rsid w:val="008A1811"/>
    <w:rsid w:val="008A1F6F"/>
    <w:rsid w:val="008A2479"/>
    <w:rsid w:val="008A280E"/>
    <w:rsid w:val="008A2B06"/>
    <w:rsid w:val="008A2C43"/>
    <w:rsid w:val="008A2EC6"/>
    <w:rsid w:val="008A2F62"/>
    <w:rsid w:val="008A3A83"/>
    <w:rsid w:val="008A3C49"/>
    <w:rsid w:val="008A3C58"/>
    <w:rsid w:val="008A4822"/>
    <w:rsid w:val="008A4CDF"/>
    <w:rsid w:val="008A4F91"/>
    <w:rsid w:val="008A5862"/>
    <w:rsid w:val="008A5AEA"/>
    <w:rsid w:val="008A5BC8"/>
    <w:rsid w:val="008A5D58"/>
    <w:rsid w:val="008A5E1F"/>
    <w:rsid w:val="008A5F43"/>
    <w:rsid w:val="008A620F"/>
    <w:rsid w:val="008A6228"/>
    <w:rsid w:val="008A663F"/>
    <w:rsid w:val="008A6DB0"/>
    <w:rsid w:val="008A730F"/>
    <w:rsid w:val="008A7685"/>
    <w:rsid w:val="008A7BE7"/>
    <w:rsid w:val="008A7E55"/>
    <w:rsid w:val="008B0D9C"/>
    <w:rsid w:val="008B1047"/>
    <w:rsid w:val="008B1590"/>
    <w:rsid w:val="008B23C9"/>
    <w:rsid w:val="008B26FE"/>
    <w:rsid w:val="008B2FC7"/>
    <w:rsid w:val="008B31AF"/>
    <w:rsid w:val="008B43F9"/>
    <w:rsid w:val="008B46BD"/>
    <w:rsid w:val="008B4823"/>
    <w:rsid w:val="008B4F57"/>
    <w:rsid w:val="008B5261"/>
    <w:rsid w:val="008B5C8C"/>
    <w:rsid w:val="008C0086"/>
    <w:rsid w:val="008C0EAC"/>
    <w:rsid w:val="008C103E"/>
    <w:rsid w:val="008C1D58"/>
    <w:rsid w:val="008C1D8F"/>
    <w:rsid w:val="008C30D2"/>
    <w:rsid w:val="008C3995"/>
    <w:rsid w:val="008C3D5E"/>
    <w:rsid w:val="008C3DFF"/>
    <w:rsid w:val="008C4212"/>
    <w:rsid w:val="008C4E31"/>
    <w:rsid w:val="008C5540"/>
    <w:rsid w:val="008C656B"/>
    <w:rsid w:val="008C7521"/>
    <w:rsid w:val="008C7DAE"/>
    <w:rsid w:val="008D0345"/>
    <w:rsid w:val="008D1D01"/>
    <w:rsid w:val="008D279D"/>
    <w:rsid w:val="008D2D46"/>
    <w:rsid w:val="008D2E63"/>
    <w:rsid w:val="008D3F1A"/>
    <w:rsid w:val="008D4BA5"/>
    <w:rsid w:val="008D5560"/>
    <w:rsid w:val="008D56EF"/>
    <w:rsid w:val="008D5C99"/>
    <w:rsid w:val="008D6957"/>
    <w:rsid w:val="008D70FC"/>
    <w:rsid w:val="008D75BB"/>
    <w:rsid w:val="008D7A9B"/>
    <w:rsid w:val="008D7D7D"/>
    <w:rsid w:val="008E0802"/>
    <w:rsid w:val="008E19A5"/>
    <w:rsid w:val="008E1FE1"/>
    <w:rsid w:val="008E22D3"/>
    <w:rsid w:val="008E3BBB"/>
    <w:rsid w:val="008E45F9"/>
    <w:rsid w:val="008E475C"/>
    <w:rsid w:val="008E51C5"/>
    <w:rsid w:val="008E5986"/>
    <w:rsid w:val="008E5AEE"/>
    <w:rsid w:val="008E5C41"/>
    <w:rsid w:val="008E5D75"/>
    <w:rsid w:val="008E699C"/>
    <w:rsid w:val="008E6C67"/>
    <w:rsid w:val="008E72CA"/>
    <w:rsid w:val="008E7335"/>
    <w:rsid w:val="008E77DB"/>
    <w:rsid w:val="008E784C"/>
    <w:rsid w:val="008E7B18"/>
    <w:rsid w:val="008F1C40"/>
    <w:rsid w:val="008F40AE"/>
    <w:rsid w:val="008F40F1"/>
    <w:rsid w:val="008F46E9"/>
    <w:rsid w:val="008F4848"/>
    <w:rsid w:val="008F4C57"/>
    <w:rsid w:val="008F55DB"/>
    <w:rsid w:val="008F6269"/>
    <w:rsid w:val="008F6532"/>
    <w:rsid w:val="008F74D2"/>
    <w:rsid w:val="008F7F81"/>
    <w:rsid w:val="0090015E"/>
    <w:rsid w:val="00901A63"/>
    <w:rsid w:val="00901F3E"/>
    <w:rsid w:val="00902D8F"/>
    <w:rsid w:val="00903101"/>
    <w:rsid w:val="00904593"/>
    <w:rsid w:val="00904CFE"/>
    <w:rsid w:val="00905E3E"/>
    <w:rsid w:val="00905E68"/>
    <w:rsid w:val="0090609F"/>
    <w:rsid w:val="00906F43"/>
    <w:rsid w:val="00907F85"/>
    <w:rsid w:val="00907FC4"/>
    <w:rsid w:val="00911196"/>
    <w:rsid w:val="00911706"/>
    <w:rsid w:val="00914283"/>
    <w:rsid w:val="00914BA1"/>
    <w:rsid w:val="00915A79"/>
    <w:rsid w:val="00916874"/>
    <w:rsid w:val="00917ACE"/>
    <w:rsid w:val="0092068E"/>
    <w:rsid w:val="00920925"/>
    <w:rsid w:val="00921199"/>
    <w:rsid w:val="00922749"/>
    <w:rsid w:val="00922CD3"/>
    <w:rsid w:val="009230AB"/>
    <w:rsid w:val="00923C82"/>
    <w:rsid w:val="009240AE"/>
    <w:rsid w:val="0092447C"/>
    <w:rsid w:val="00924548"/>
    <w:rsid w:val="0092576D"/>
    <w:rsid w:val="00926534"/>
    <w:rsid w:val="00926946"/>
    <w:rsid w:val="00927E89"/>
    <w:rsid w:val="00927EDB"/>
    <w:rsid w:val="00930B76"/>
    <w:rsid w:val="00931380"/>
    <w:rsid w:val="009319B0"/>
    <w:rsid w:val="009324BE"/>
    <w:rsid w:val="00933671"/>
    <w:rsid w:val="009337ED"/>
    <w:rsid w:val="00934737"/>
    <w:rsid w:val="00935A43"/>
    <w:rsid w:val="00936616"/>
    <w:rsid w:val="00936C85"/>
    <w:rsid w:val="00937CBA"/>
    <w:rsid w:val="00940CE5"/>
    <w:rsid w:val="00940DAC"/>
    <w:rsid w:val="009411B0"/>
    <w:rsid w:val="00941E20"/>
    <w:rsid w:val="00941EDB"/>
    <w:rsid w:val="009444E1"/>
    <w:rsid w:val="009451F3"/>
    <w:rsid w:val="00945C2F"/>
    <w:rsid w:val="00945FE7"/>
    <w:rsid w:val="009504B9"/>
    <w:rsid w:val="00952372"/>
    <w:rsid w:val="009528A6"/>
    <w:rsid w:val="0095414C"/>
    <w:rsid w:val="00954565"/>
    <w:rsid w:val="009546E5"/>
    <w:rsid w:val="00954C8A"/>
    <w:rsid w:val="00955A32"/>
    <w:rsid w:val="009565D0"/>
    <w:rsid w:val="009571E6"/>
    <w:rsid w:val="0095745B"/>
    <w:rsid w:val="009576AD"/>
    <w:rsid w:val="009607A4"/>
    <w:rsid w:val="00960E5E"/>
    <w:rsid w:val="00962F9E"/>
    <w:rsid w:val="00965524"/>
    <w:rsid w:val="00966DB5"/>
    <w:rsid w:val="0096767B"/>
    <w:rsid w:val="009678BC"/>
    <w:rsid w:val="00967A37"/>
    <w:rsid w:val="00970CA6"/>
    <w:rsid w:val="00973817"/>
    <w:rsid w:val="009746E5"/>
    <w:rsid w:val="009752E0"/>
    <w:rsid w:val="009753A9"/>
    <w:rsid w:val="009754CE"/>
    <w:rsid w:val="00975936"/>
    <w:rsid w:val="009762FF"/>
    <w:rsid w:val="00976718"/>
    <w:rsid w:val="009777A3"/>
    <w:rsid w:val="00980054"/>
    <w:rsid w:val="0098022C"/>
    <w:rsid w:val="009810C8"/>
    <w:rsid w:val="00981270"/>
    <w:rsid w:val="009814C2"/>
    <w:rsid w:val="0098154B"/>
    <w:rsid w:val="00981FF7"/>
    <w:rsid w:val="009828C2"/>
    <w:rsid w:val="0098321D"/>
    <w:rsid w:val="00983A2D"/>
    <w:rsid w:val="00983E7B"/>
    <w:rsid w:val="009843D9"/>
    <w:rsid w:val="00984777"/>
    <w:rsid w:val="00984D14"/>
    <w:rsid w:val="00985BD2"/>
    <w:rsid w:val="0098645B"/>
    <w:rsid w:val="00986EF7"/>
    <w:rsid w:val="009873A9"/>
    <w:rsid w:val="00990048"/>
    <w:rsid w:val="00990413"/>
    <w:rsid w:val="00991169"/>
    <w:rsid w:val="00992011"/>
    <w:rsid w:val="009923D3"/>
    <w:rsid w:val="009927C3"/>
    <w:rsid w:val="00992C15"/>
    <w:rsid w:val="00993C65"/>
    <w:rsid w:val="00994123"/>
    <w:rsid w:val="00994E15"/>
    <w:rsid w:val="00995542"/>
    <w:rsid w:val="00995894"/>
    <w:rsid w:val="0099612C"/>
    <w:rsid w:val="00996310"/>
    <w:rsid w:val="00996397"/>
    <w:rsid w:val="00996667"/>
    <w:rsid w:val="00997B06"/>
    <w:rsid w:val="009A0B99"/>
    <w:rsid w:val="009A11D5"/>
    <w:rsid w:val="009A2AF4"/>
    <w:rsid w:val="009A2E0F"/>
    <w:rsid w:val="009A377D"/>
    <w:rsid w:val="009A5DCE"/>
    <w:rsid w:val="009A6131"/>
    <w:rsid w:val="009A6552"/>
    <w:rsid w:val="009A65A8"/>
    <w:rsid w:val="009A7090"/>
    <w:rsid w:val="009A79B0"/>
    <w:rsid w:val="009B05FA"/>
    <w:rsid w:val="009B16BD"/>
    <w:rsid w:val="009B1DF1"/>
    <w:rsid w:val="009B250A"/>
    <w:rsid w:val="009B2C50"/>
    <w:rsid w:val="009B2C63"/>
    <w:rsid w:val="009B3043"/>
    <w:rsid w:val="009B4A13"/>
    <w:rsid w:val="009B684A"/>
    <w:rsid w:val="009B6950"/>
    <w:rsid w:val="009B6CC9"/>
    <w:rsid w:val="009B6FB3"/>
    <w:rsid w:val="009B73A2"/>
    <w:rsid w:val="009B772A"/>
    <w:rsid w:val="009B7BDA"/>
    <w:rsid w:val="009C0216"/>
    <w:rsid w:val="009C02C5"/>
    <w:rsid w:val="009C0E3D"/>
    <w:rsid w:val="009C160D"/>
    <w:rsid w:val="009C1C3C"/>
    <w:rsid w:val="009C1F81"/>
    <w:rsid w:val="009C26F5"/>
    <w:rsid w:val="009C28A3"/>
    <w:rsid w:val="009C5006"/>
    <w:rsid w:val="009C550C"/>
    <w:rsid w:val="009C5B51"/>
    <w:rsid w:val="009C629E"/>
    <w:rsid w:val="009C72B6"/>
    <w:rsid w:val="009C76AA"/>
    <w:rsid w:val="009D04BE"/>
    <w:rsid w:val="009D0A62"/>
    <w:rsid w:val="009D1164"/>
    <w:rsid w:val="009D1951"/>
    <w:rsid w:val="009D1FE3"/>
    <w:rsid w:val="009D23E0"/>
    <w:rsid w:val="009D26A3"/>
    <w:rsid w:val="009D29B2"/>
    <w:rsid w:val="009D2AA4"/>
    <w:rsid w:val="009D31B3"/>
    <w:rsid w:val="009D40AB"/>
    <w:rsid w:val="009D4B4F"/>
    <w:rsid w:val="009D4BBF"/>
    <w:rsid w:val="009D537E"/>
    <w:rsid w:val="009D545F"/>
    <w:rsid w:val="009D5D52"/>
    <w:rsid w:val="009D6FDA"/>
    <w:rsid w:val="009D70C7"/>
    <w:rsid w:val="009D789B"/>
    <w:rsid w:val="009D7EBD"/>
    <w:rsid w:val="009E1030"/>
    <w:rsid w:val="009E125D"/>
    <w:rsid w:val="009E1407"/>
    <w:rsid w:val="009E17C1"/>
    <w:rsid w:val="009E260E"/>
    <w:rsid w:val="009E2BA8"/>
    <w:rsid w:val="009E3252"/>
    <w:rsid w:val="009E3D52"/>
    <w:rsid w:val="009E4B56"/>
    <w:rsid w:val="009E50DF"/>
    <w:rsid w:val="009E5609"/>
    <w:rsid w:val="009E5734"/>
    <w:rsid w:val="009E650F"/>
    <w:rsid w:val="009E7343"/>
    <w:rsid w:val="009E79F0"/>
    <w:rsid w:val="009F047E"/>
    <w:rsid w:val="009F1331"/>
    <w:rsid w:val="009F146B"/>
    <w:rsid w:val="009F24EF"/>
    <w:rsid w:val="009F273C"/>
    <w:rsid w:val="009F3283"/>
    <w:rsid w:val="009F3356"/>
    <w:rsid w:val="009F3C5D"/>
    <w:rsid w:val="009F42CB"/>
    <w:rsid w:val="009F4623"/>
    <w:rsid w:val="009F46AD"/>
    <w:rsid w:val="009F47AD"/>
    <w:rsid w:val="009F5965"/>
    <w:rsid w:val="009F5B8D"/>
    <w:rsid w:val="009F628E"/>
    <w:rsid w:val="009F7259"/>
    <w:rsid w:val="009F7D73"/>
    <w:rsid w:val="00A00498"/>
    <w:rsid w:val="00A0051D"/>
    <w:rsid w:val="00A008FC"/>
    <w:rsid w:val="00A0183C"/>
    <w:rsid w:val="00A01ACE"/>
    <w:rsid w:val="00A024A2"/>
    <w:rsid w:val="00A02E76"/>
    <w:rsid w:val="00A03A29"/>
    <w:rsid w:val="00A03A54"/>
    <w:rsid w:val="00A03A87"/>
    <w:rsid w:val="00A03B1E"/>
    <w:rsid w:val="00A03E2E"/>
    <w:rsid w:val="00A0409F"/>
    <w:rsid w:val="00A04186"/>
    <w:rsid w:val="00A04CD3"/>
    <w:rsid w:val="00A05685"/>
    <w:rsid w:val="00A05F4B"/>
    <w:rsid w:val="00A0639C"/>
    <w:rsid w:val="00A06A06"/>
    <w:rsid w:val="00A10C73"/>
    <w:rsid w:val="00A11C20"/>
    <w:rsid w:val="00A11EA8"/>
    <w:rsid w:val="00A134AC"/>
    <w:rsid w:val="00A14DF1"/>
    <w:rsid w:val="00A15418"/>
    <w:rsid w:val="00A17B03"/>
    <w:rsid w:val="00A20197"/>
    <w:rsid w:val="00A205EE"/>
    <w:rsid w:val="00A206BA"/>
    <w:rsid w:val="00A20B77"/>
    <w:rsid w:val="00A20BC2"/>
    <w:rsid w:val="00A2151C"/>
    <w:rsid w:val="00A216EF"/>
    <w:rsid w:val="00A217D0"/>
    <w:rsid w:val="00A21C8A"/>
    <w:rsid w:val="00A22495"/>
    <w:rsid w:val="00A22636"/>
    <w:rsid w:val="00A2335F"/>
    <w:rsid w:val="00A24397"/>
    <w:rsid w:val="00A24486"/>
    <w:rsid w:val="00A24665"/>
    <w:rsid w:val="00A24B7F"/>
    <w:rsid w:val="00A25C63"/>
    <w:rsid w:val="00A260E4"/>
    <w:rsid w:val="00A2634A"/>
    <w:rsid w:val="00A265F6"/>
    <w:rsid w:val="00A26ACA"/>
    <w:rsid w:val="00A26E29"/>
    <w:rsid w:val="00A26E36"/>
    <w:rsid w:val="00A26EB5"/>
    <w:rsid w:val="00A27C5B"/>
    <w:rsid w:val="00A301E7"/>
    <w:rsid w:val="00A303F4"/>
    <w:rsid w:val="00A30ABE"/>
    <w:rsid w:val="00A312C2"/>
    <w:rsid w:val="00A317AE"/>
    <w:rsid w:val="00A31E7A"/>
    <w:rsid w:val="00A327E9"/>
    <w:rsid w:val="00A32D48"/>
    <w:rsid w:val="00A33D07"/>
    <w:rsid w:val="00A34006"/>
    <w:rsid w:val="00A341BF"/>
    <w:rsid w:val="00A3441B"/>
    <w:rsid w:val="00A34FE1"/>
    <w:rsid w:val="00A3601D"/>
    <w:rsid w:val="00A361FA"/>
    <w:rsid w:val="00A36BF4"/>
    <w:rsid w:val="00A3774E"/>
    <w:rsid w:val="00A378DF"/>
    <w:rsid w:val="00A37A96"/>
    <w:rsid w:val="00A37DED"/>
    <w:rsid w:val="00A40893"/>
    <w:rsid w:val="00A41621"/>
    <w:rsid w:val="00A41A3B"/>
    <w:rsid w:val="00A41B02"/>
    <w:rsid w:val="00A420F9"/>
    <w:rsid w:val="00A4289B"/>
    <w:rsid w:val="00A42BA1"/>
    <w:rsid w:val="00A442DA"/>
    <w:rsid w:val="00A4490D"/>
    <w:rsid w:val="00A44C2B"/>
    <w:rsid w:val="00A44C7C"/>
    <w:rsid w:val="00A4651F"/>
    <w:rsid w:val="00A4653C"/>
    <w:rsid w:val="00A4689A"/>
    <w:rsid w:val="00A4725D"/>
    <w:rsid w:val="00A476CE"/>
    <w:rsid w:val="00A477F0"/>
    <w:rsid w:val="00A506DE"/>
    <w:rsid w:val="00A533B6"/>
    <w:rsid w:val="00A5382D"/>
    <w:rsid w:val="00A53CF5"/>
    <w:rsid w:val="00A54102"/>
    <w:rsid w:val="00A543E3"/>
    <w:rsid w:val="00A548E4"/>
    <w:rsid w:val="00A5553B"/>
    <w:rsid w:val="00A56089"/>
    <w:rsid w:val="00A569C3"/>
    <w:rsid w:val="00A56A12"/>
    <w:rsid w:val="00A57000"/>
    <w:rsid w:val="00A5726B"/>
    <w:rsid w:val="00A574E1"/>
    <w:rsid w:val="00A57633"/>
    <w:rsid w:val="00A60F8B"/>
    <w:rsid w:val="00A61107"/>
    <w:rsid w:val="00A613F0"/>
    <w:rsid w:val="00A61CAA"/>
    <w:rsid w:val="00A627CB"/>
    <w:rsid w:val="00A6284B"/>
    <w:rsid w:val="00A62C0F"/>
    <w:rsid w:val="00A62CE1"/>
    <w:rsid w:val="00A6368B"/>
    <w:rsid w:val="00A63C4A"/>
    <w:rsid w:val="00A64067"/>
    <w:rsid w:val="00A64A08"/>
    <w:rsid w:val="00A64B7E"/>
    <w:rsid w:val="00A65465"/>
    <w:rsid w:val="00A65568"/>
    <w:rsid w:val="00A6592A"/>
    <w:rsid w:val="00A669AD"/>
    <w:rsid w:val="00A66CE5"/>
    <w:rsid w:val="00A672F5"/>
    <w:rsid w:val="00A701FA"/>
    <w:rsid w:val="00A7053B"/>
    <w:rsid w:val="00A707EA"/>
    <w:rsid w:val="00A70A92"/>
    <w:rsid w:val="00A70DD1"/>
    <w:rsid w:val="00A7123C"/>
    <w:rsid w:val="00A717C8"/>
    <w:rsid w:val="00A71AA4"/>
    <w:rsid w:val="00A71D74"/>
    <w:rsid w:val="00A7241E"/>
    <w:rsid w:val="00A72AC8"/>
    <w:rsid w:val="00A72B86"/>
    <w:rsid w:val="00A736B6"/>
    <w:rsid w:val="00A73708"/>
    <w:rsid w:val="00A73BCE"/>
    <w:rsid w:val="00A74278"/>
    <w:rsid w:val="00A74CBA"/>
    <w:rsid w:val="00A74D6E"/>
    <w:rsid w:val="00A750C9"/>
    <w:rsid w:val="00A760B2"/>
    <w:rsid w:val="00A771F7"/>
    <w:rsid w:val="00A80241"/>
    <w:rsid w:val="00A8093F"/>
    <w:rsid w:val="00A80A9B"/>
    <w:rsid w:val="00A80EC9"/>
    <w:rsid w:val="00A80F19"/>
    <w:rsid w:val="00A81C08"/>
    <w:rsid w:val="00A8228C"/>
    <w:rsid w:val="00A84289"/>
    <w:rsid w:val="00A84AEE"/>
    <w:rsid w:val="00A85243"/>
    <w:rsid w:val="00A8563B"/>
    <w:rsid w:val="00A8648D"/>
    <w:rsid w:val="00A866E4"/>
    <w:rsid w:val="00A867E4"/>
    <w:rsid w:val="00A86B69"/>
    <w:rsid w:val="00A86BBD"/>
    <w:rsid w:val="00A86C69"/>
    <w:rsid w:val="00A87CCC"/>
    <w:rsid w:val="00A87E60"/>
    <w:rsid w:val="00A90219"/>
    <w:rsid w:val="00A90304"/>
    <w:rsid w:val="00A90D7B"/>
    <w:rsid w:val="00A90E18"/>
    <w:rsid w:val="00A91B7F"/>
    <w:rsid w:val="00A92634"/>
    <w:rsid w:val="00A9468E"/>
    <w:rsid w:val="00A94D7A"/>
    <w:rsid w:val="00A9591A"/>
    <w:rsid w:val="00A95F5B"/>
    <w:rsid w:val="00A964B5"/>
    <w:rsid w:val="00A97630"/>
    <w:rsid w:val="00AA04D1"/>
    <w:rsid w:val="00AA1136"/>
    <w:rsid w:val="00AA14A4"/>
    <w:rsid w:val="00AA176A"/>
    <w:rsid w:val="00AA1DE3"/>
    <w:rsid w:val="00AA2195"/>
    <w:rsid w:val="00AA3E22"/>
    <w:rsid w:val="00AA47DC"/>
    <w:rsid w:val="00AA4B7B"/>
    <w:rsid w:val="00AA57F7"/>
    <w:rsid w:val="00AA608A"/>
    <w:rsid w:val="00AA6095"/>
    <w:rsid w:val="00AA62F7"/>
    <w:rsid w:val="00AA6864"/>
    <w:rsid w:val="00AA6C5A"/>
    <w:rsid w:val="00AA733A"/>
    <w:rsid w:val="00AB08E8"/>
    <w:rsid w:val="00AB19C0"/>
    <w:rsid w:val="00AB1FF9"/>
    <w:rsid w:val="00AB2518"/>
    <w:rsid w:val="00AB47C9"/>
    <w:rsid w:val="00AB4F9F"/>
    <w:rsid w:val="00AB5327"/>
    <w:rsid w:val="00AB64E4"/>
    <w:rsid w:val="00AB6702"/>
    <w:rsid w:val="00AB7110"/>
    <w:rsid w:val="00AB7CDD"/>
    <w:rsid w:val="00AB7DA3"/>
    <w:rsid w:val="00AC029A"/>
    <w:rsid w:val="00AC0655"/>
    <w:rsid w:val="00AC1089"/>
    <w:rsid w:val="00AC13B4"/>
    <w:rsid w:val="00AC20FB"/>
    <w:rsid w:val="00AC230E"/>
    <w:rsid w:val="00AC2A0E"/>
    <w:rsid w:val="00AC2EEC"/>
    <w:rsid w:val="00AC3780"/>
    <w:rsid w:val="00AC3E54"/>
    <w:rsid w:val="00AC47F6"/>
    <w:rsid w:val="00AC4DF1"/>
    <w:rsid w:val="00AC504F"/>
    <w:rsid w:val="00AC5615"/>
    <w:rsid w:val="00AC561C"/>
    <w:rsid w:val="00AC5795"/>
    <w:rsid w:val="00AC5B21"/>
    <w:rsid w:val="00AC5FA0"/>
    <w:rsid w:val="00AC610C"/>
    <w:rsid w:val="00AC6562"/>
    <w:rsid w:val="00AC6625"/>
    <w:rsid w:val="00AC6F7A"/>
    <w:rsid w:val="00AC7178"/>
    <w:rsid w:val="00AC72AF"/>
    <w:rsid w:val="00AC72F6"/>
    <w:rsid w:val="00AC775D"/>
    <w:rsid w:val="00AC79B5"/>
    <w:rsid w:val="00AC7BA6"/>
    <w:rsid w:val="00AC7C8F"/>
    <w:rsid w:val="00AD0F6C"/>
    <w:rsid w:val="00AD1995"/>
    <w:rsid w:val="00AD1A0B"/>
    <w:rsid w:val="00AD20F8"/>
    <w:rsid w:val="00AD2C63"/>
    <w:rsid w:val="00AD34E2"/>
    <w:rsid w:val="00AD3566"/>
    <w:rsid w:val="00AD37BB"/>
    <w:rsid w:val="00AD3E25"/>
    <w:rsid w:val="00AD3F14"/>
    <w:rsid w:val="00AD4CD6"/>
    <w:rsid w:val="00AD544A"/>
    <w:rsid w:val="00AD5AB3"/>
    <w:rsid w:val="00AD60C8"/>
    <w:rsid w:val="00AD6111"/>
    <w:rsid w:val="00AD61E1"/>
    <w:rsid w:val="00AD6F22"/>
    <w:rsid w:val="00AD7155"/>
    <w:rsid w:val="00AD733C"/>
    <w:rsid w:val="00AD783F"/>
    <w:rsid w:val="00AE0023"/>
    <w:rsid w:val="00AE05B1"/>
    <w:rsid w:val="00AE1402"/>
    <w:rsid w:val="00AE1955"/>
    <w:rsid w:val="00AE260C"/>
    <w:rsid w:val="00AE2805"/>
    <w:rsid w:val="00AE3E24"/>
    <w:rsid w:val="00AE4050"/>
    <w:rsid w:val="00AE4B02"/>
    <w:rsid w:val="00AE4EF5"/>
    <w:rsid w:val="00AE6EDB"/>
    <w:rsid w:val="00AE74E1"/>
    <w:rsid w:val="00AE7891"/>
    <w:rsid w:val="00AE79C8"/>
    <w:rsid w:val="00AF06AB"/>
    <w:rsid w:val="00AF0BF2"/>
    <w:rsid w:val="00AF0FFB"/>
    <w:rsid w:val="00AF24F5"/>
    <w:rsid w:val="00AF3877"/>
    <w:rsid w:val="00AF3F65"/>
    <w:rsid w:val="00AF431E"/>
    <w:rsid w:val="00AF5942"/>
    <w:rsid w:val="00AF5DB4"/>
    <w:rsid w:val="00AF6195"/>
    <w:rsid w:val="00AF62F8"/>
    <w:rsid w:val="00AF6663"/>
    <w:rsid w:val="00AF6B94"/>
    <w:rsid w:val="00AF774C"/>
    <w:rsid w:val="00AF7A9A"/>
    <w:rsid w:val="00AF7B58"/>
    <w:rsid w:val="00B010DB"/>
    <w:rsid w:val="00B011A0"/>
    <w:rsid w:val="00B013C5"/>
    <w:rsid w:val="00B021F7"/>
    <w:rsid w:val="00B02DF9"/>
    <w:rsid w:val="00B03549"/>
    <w:rsid w:val="00B039DE"/>
    <w:rsid w:val="00B04351"/>
    <w:rsid w:val="00B04564"/>
    <w:rsid w:val="00B04899"/>
    <w:rsid w:val="00B048D9"/>
    <w:rsid w:val="00B04982"/>
    <w:rsid w:val="00B052E2"/>
    <w:rsid w:val="00B05511"/>
    <w:rsid w:val="00B056D1"/>
    <w:rsid w:val="00B06E27"/>
    <w:rsid w:val="00B071F1"/>
    <w:rsid w:val="00B11187"/>
    <w:rsid w:val="00B1178F"/>
    <w:rsid w:val="00B12C3E"/>
    <w:rsid w:val="00B135BA"/>
    <w:rsid w:val="00B1376B"/>
    <w:rsid w:val="00B14C8D"/>
    <w:rsid w:val="00B14D25"/>
    <w:rsid w:val="00B1522B"/>
    <w:rsid w:val="00B1563A"/>
    <w:rsid w:val="00B15914"/>
    <w:rsid w:val="00B15962"/>
    <w:rsid w:val="00B16415"/>
    <w:rsid w:val="00B17507"/>
    <w:rsid w:val="00B20E8C"/>
    <w:rsid w:val="00B2202D"/>
    <w:rsid w:val="00B23080"/>
    <w:rsid w:val="00B23C09"/>
    <w:rsid w:val="00B2424E"/>
    <w:rsid w:val="00B2436D"/>
    <w:rsid w:val="00B24875"/>
    <w:rsid w:val="00B253AF"/>
    <w:rsid w:val="00B25614"/>
    <w:rsid w:val="00B26D07"/>
    <w:rsid w:val="00B26E5E"/>
    <w:rsid w:val="00B3094C"/>
    <w:rsid w:val="00B30C69"/>
    <w:rsid w:val="00B30D56"/>
    <w:rsid w:val="00B31327"/>
    <w:rsid w:val="00B3151F"/>
    <w:rsid w:val="00B31C1A"/>
    <w:rsid w:val="00B31E17"/>
    <w:rsid w:val="00B33309"/>
    <w:rsid w:val="00B33A17"/>
    <w:rsid w:val="00B34F1E"/>
    <w:rsid w:val="00B35547"/>
    <w:rsid w:val="00B35A4A"/>
    <w:rsid w:val="00B35CE1"/>
    <w:rsid w:val="00B3699F"/>
    <w:rsid w:val="00B36BEF"/>
    <w:rsid w:val="00B36CA7"/>
    <w:rsid w:val="00B37227"/>
    <w:rsid w:val="00B37632"/>
    <w:rsid w:val="00B40C1D"/>
    <w:rsid w:val="00B40D1A"/>
    <w:rsid w:val="00B41F22"/>
    <w:rsid w:val="00B422A9"/>
    <w:rsid w:val="00B42762"/>
    <w:rsid w:val="00B42C53"/>
    <w:rsid w:val="00B42C58"/>
    <w:rsid w:val="00B42E9C"/>
    <w:rsid w:val="00B435A0"/>
    <w:rsid w:val="00B4412D"/>
    <w:rsid w:val="00B44340"/>
    <w:rsid w:val="00B45101"/>
    <w:rsid w:val="00B45E44"/>
    <w:rsid w:val="00B46476"/>
    <w:rsid w:val="00B46C18"/>
    <w:rsid w:val="00B46D49"/>
    <w:rsid w:val="00B50123"/>
    <w:rsid w:val="00B5095E"/>
    <w:rsid w:val="00B50CE7"/>
    <w:rsid w:val="00B51421"/>
    <w:rsid w:val="00B51D67"/>
    <w:rsid w:val="00B52444"/>
    <w:rsid w:val="00B5280A"/>
    <w:rsid w:val="00B540DF"/>
    <w:rsid w:val="00B54135"/>
    <w:rsid w:val="00B5473F"/>
    <w:rsid w:val="00B5476B"/>
    <w:rsid w:val="00B54B75"/>
    <w:rsid w:val="00B54BFC"/>
    <w:rsid w:val="00B54C35"/>
    <w:rsid w:val="00B54D52"/>
    <w:rsid w:val="00B55031"/>
    <w:rsid w:val="00B551B4"/>
    <w:rsid w:val="00B55608"/>
    <w:rsid w:val="00B5605C"/>
    <w:rsid w:val="00B56960"/>
    <w:rsid w:val="00B56E62"/>
    <w:rsid w:val="00B56E6E"/>
    <w:rsid w:val="00B57921"/>
    <w:rsid w:val="00B6055C"/>
    <w:rsid w:val="00B60BAD"/>
    <w:rsid w:val="00B60D1B"/>
    <w:rsid w:val="00B62730"/>
    <w:rsid w:val="00B635F1"/>
    <w:rsid w:val="00B65657"/>
    <w:rsid w:val="00B669EE"/>
    <w:rsid w:val="00B66C84"/>
    <w:rsid w:val="00B6771F"/>
    <w:rsid w:val="00B67E1C"/>
    <w:rsid w:val="00B67FC1"/>
    <w:rsid w:val="00B70107"/>
    <w:rsid w:val="00B708FD"/>
    <w:rsid w:val="00B70CDE"/>
    <w:rsid w:val="00B71144"/>
    <w:rsid w:val="00B7160F"/>
    <w:rsid w:val="00B7186D"/>
    <w:rsid w:val="00B718BF"/>
    <w:rsid w:val="00B721D0"/>
    <w:rsid w:val="00B728CC"/>
    <w:rsid w:val="00B731BE"/>
    <w:rsid w:val="00B73B11"/>
    <w:rsid w:val="00B74534"/>
    <w:rsid w:val="00B75DCC"/>
    <w:rsid w:val="00B75FAA"/>
    <w:rsid w:val="00B7617D"/>
    <w:rsid w:val="00B7676E"/>
    <w:rsid w:val="00B767F2"/>
    <w:rsid w:val="00B76F76"/>
    <w:rsid w:val="00B77198"/>
    <w:rsid w:val="00B779E9"/>
    <w:rsid w:val="00B80324"/>
    <w:rsid w:val="00B80502"/>
    <w:rsid w:val="00B80EDA"/>
    <w:rsid w:val="00B80FF5"/>
    <w:rsid w:val="00B81BA3"/>
    <w:rsid w:val="00B824D2"/>
    <w:rsid w:val="00B83B2D"/>
    <w:rsid w:val="00B84328"/>
    <w:rsid w:val="00B84BE0"/>
    <w:rsid w:val="00B84D84"/>
    <w:rsid w:val="00B84E23"/>
    <w:rsid w:val="00B8583E"/>
    <w:rsid w:val="00B85B76"/>
    <w:rsid w:val="00B869C9"/>
    <w:rsid w:val="00B87128"/>
    <w:rsid w:val="00B90D4D"/>
    <w:rsid w:val="00B912CE"/>
    <w:rsid w:val="00B914E1"/>
    <w:rsid w:val="00B917E9"/>
    <w:rsid w:val="00B91801"/>
    <w:rsid w:val="00B91D5F"/>
    <w:rsid w:val="00B92159"/>
    <w:rsid w:val="00B92AD8"/>
    <w:rsid w:val="00B92D03"/>
    <w:rsid w:val="00B92F2D"/>
    <w:rsid w:val="00B930FA"/>
    <w:rsid w:val="00B932FB"/>
    <w:rsid w:val="00B93C95"/>
    <w:rsid w:val="00B946AF"/>
    <w:rsid w:val="00B9605B"/>
    <w:rsid w:val="00B96395"/>
    <w:rsid w:val="00B96D8E"/>
    <w:rsid w:val="00B9788F"/>
    <w:rsid w:val="00BA1CEA"/>
    <w:rsid w:val="00BA1D3A"/>
    <w:rsid w:val="00BA1F30"/>
    <w:rsid w:val="00BA228F"/>
    <w:rsid w:val="00BA28F5"/>
    <w:rsid w:val="00BA299F"/>
    <w:rsid w:val="00BA2BAA"/>
    <w:rsid w:val="00BA34F9"/>
    <w:rsid w:val="00BA3791"/>
    <w:rsid w:val="00BA48B5"/>
    <w:rsid w:val="00BA6B73"/>
    <w:rsid w:val="00BA745D"/>
    <w:rsid w:val="00BB032C"/>
    <w:rsid w:val="00BB0397"/>
    <w:rsid w:val="00BB0817"/>
    <w:rsid w:val="00BB0D35"/>
    <w:rsid w:val="00BB15A2"/>
    <w:rsid w:val="00BB3AE3"/>
    <w:rsid w:val="00BB3C5D"/>
    <w:rsid w:val="00BB404F"/>
    <w:rsid w:val="00BB4716"/>
    <w:rsid w:val="00BB4A30"/>
    <w:rsid w:val="00BB4C6E"/>
    <w:rsid w:val="00BB4D2D"/>
    <w:rsid w:val="00BB5A34"/>
    <w:rsid w:val="00BB5F63"/>
    <w:rsid w:val="00BB5FB0"/>
    <w:rsid w:val="00BB7321"/>
    <w:rsid w:val="00BB7559"/>
    <w:rsid w:val="00BC060D"/>
    <w:rsid w:val="00BC076F"/>
    <w:rsid w:val="00BC0BB0"/>
    <w:rsid w:val="00BC0BCD"/>
    <w:rsid w:val="00BC122E"/>
    <w:rsid w:val="00BC14B7"/>
    <w:rsid w:val="00BC2D6C"/>
    <w:rsid w:val="00BC418A"/>
    <w:rsid w:val="00BC4343"/>
    <w:rsid w:val="00BC4607"/>
    <w:rsid w:val="00BC4BF1"/>
    <w:rsid w:val="00BC4DEE"/>
    <w:rsid w:val="00BC4EB5"/>
    <w:rsid w:val="00BC56F5"/>
    <w:rsid w:val="00BC5FBB"/>
    <w:rsid w:val="00BC7FCB"/>
    <w:rsid w:val="00BD0BC7"/>
    <w:rsid w:val="00BD1366"/>
    <w:rsid w:val="00BD166D"/>
    <w:rsid w:val="00BD215F"/>
    <w:rsid w:val="00BD2825"/>
    <w:rsid w:val="00BD2B32"/>
    <w:rsid w:val="00BD43F5"/>
    <w:rsid w:val="00BD4958"/>
    <w:rsid w:val="00BD6133"/>
    <w:rsid w:val="00BD6760"/>
    <w:rsid w:val="00BD6E11"/>
    <w:rsid w:val="00BE0C6E"/>
    <w:rsid w:val="00BE1FAE"/>
    <w:rsid w:val="00BE1FBC"/>
    <w:rsid w:val="00BE273A"/>
    <w:rsid w:val="00BE3432"/>
    <w:rsid w:val="00BE354B"/>
    <w:rsid w:val="00BE378E"/>
    <w:rsid w:val="00BE4127"/>
    <w:rsid w:val="00BE46D8"/>
    <w:rsid w:val="00BE4ACF"/>
    <w:rsid w:val="00BE559A"/>
    <w:rsid w:val="00BE714F"/>
    <w:rsid w:val="00BE7259"/>
    <w:rsid w:val="00BE760E"/>
    <w:rsid w:val="00BE784F"/>
    <w:rsid w:val="00BE79BF"/>
    <w:rsid w:val="00BF11C3"/>
    <w:rsid w:val="00BF137C"/>
    <w:rsid w:val="00BF1D73"/>
    <w:rsid w:val="00BF23AE"/>
    <w:rsid w:val="00BF291A"/>
    <w:rsid w:val="00BF2C12"/>
    <w:rsid w:val="00BF30DE"/>
    <w:rsid w:val="00BF4463"/>
    <w:rsid w:val="00BF763B"/>
    <w:rsid w:val="00C0201B"/>
    <w:rsid w:val="00C02133"/>
    <w:rsid w:val="00C0247A"/>
    <w:rsid w:val="00C02A66"/>
    <w:rsid w:val="00C02BA4"/>
    <w:rsid w:val="00C02D93"/>
    <w:rsid w:val="00C02F53"/>
    <w:rsid w:val="00C03367"/>
    <w:rsid w:val="00C035F3"/>
    <w:rsid w:val="00C038FF"/>
    <w:rsid w:val="00C0480C"/>
    <w:rsid w:val="00C0489E"/>
    <w:rsid w:val="00C04913"/>
    <w:rsid w:val="00C04BD8"/>
    <w:rsid w:val="00C05317"/>
    <w:rsid w:val="00C05452"/>
    <w:rsid w:val="00C057E9"/>
    <w:rsid w:val="00C069B6"/>
    <w:rsid w:val="00C07CD5"/>
    <w:rsid w:val="00C07D55"/>
    <w:rsid w:val="00C120E7"/>
    <w:rsid w:val="00C121F2"/>
    <w:rsid w:val="00C1237B"/>
    <w:rsid w:val="00C13230"/>
    <w:rsid w:val="00C132F5"/>
    <w:rsid w:val="00C13EF3"/>
    <w:rsid w:val="00C14227"/>
    <w:rsid w:val="00C14497"/>
    <w:rsid w:val="00C14FC8"/>
    <w:rsid w:val="00C161A6"/>
    <w:rsid w:val="00C164AD"/>
    <w:rsid w:val="00C1679F"/>
    <w:rsid w:val="00C17549"/>
    <w:rsid w:val="00C17BA4"/>
    <w:rsid w:val="00C2049E"/>
    <w:rsid w:val="00C20994"/>
    <w:rsid w:val="00C20CCF"/>
    <w:rsid w:val="00C215F2"/>
    <w:rsid w:val="00C251BA"/>
    <w:rsid w:val="00C2554B"/>
    <w:rsid w:val="00C2680F"/>
    <w:rsid w:val="00C27208"/>
    <w:rsid w:val="00C305A2"/>
    <w:rsid w:val="00C30FF2"/>
    <w:rsid w:val="00C31466"/>
    <w:rsid w:val="00C3204E"/>
    <w:rsid w:val="00C32E54"/>
    <w:rsid w:val="00C34349"/>
    <w:rsid w:val="00C34AE5"/>
    <w:rsid w:val="00C3512C"/>
    <w:rsid w:val="00C36DB0"/>
    <w:rsid w:val="00C40077"/>
    <w:rsid w:val="00C400B1"/>
    <w:rsid w:val="00C40BCC"/>
    <w:rsid w:val="00C4231A"/>
    <w:rsid w:val="00C42550"/>
    <w:rsid w:val="00C428AE"/>
    <w:rsid w:val="00C42BC3"/>
    <w:rsid w:val="00C446F8"/>
    <w:rsid w:val="00C45914"/>
    <w:rsid w:val="00C46149"/>
    <w:rsid w:val="00C46206"/>
    <w:rsid w:val="00C46B85"/>
    <w:rsid w:val="00C477AA"/>
    <w:rsid w:val="00C50504"/>
    <w:rsid w:val="00C50D1C"/>
    <w:rsid w:val="00C522D9"/>
    <w:rsid w:val="00C52459"/>
    <w:rsid w:val="00C526EB"/>
    <w:rsid w:val="00C52DE8"/>
    <w:rsid w:val="00C5301B"/>
    <w:rsid w:val="00C5355E"/>
    <w:rsid w:val="00C53DC9"/>
    <w:rsid w:val="00C545D9"/>
    <w:rsid w:val="00C5682A"/>
    <w:rsid w:val="00C56D7A"/>
    <w:rsid w:val="00C5742E"/>
    <w:rsid w:val="00C57877"/>
    <w:rsid w:val="00C57AFF"/>
    <w:rsid w:val="00C57D98"/>
    <w:rsid w:val="00C62C5D"/>
    <w:rsid w:val="00C63973"/>
    <w:rsid w:val="00C643E3"/>
    <w:rsid w:val="00C64731"/>
    <w:rsid w:val="00C650BF"/>
    <w:rsid w:val="00C66796"/>
    <w:rsid w:val="00C66ACF"/>
    <w:rsid w:val="00C670C2"/>
    <w:rsid w:val="00C672E5"/>
    <w:rsid w:val="00C673A5"/>
    <w:rsid w:val="00C67ABB"/>
    <w:rsid w:val="00C7015C"/>
    <w:rsid w:val="00C70E6A"/>
    <w:rsid w:val="00C70F5F"/>
    <w:rsid w:val="00C713E5"/>
    <w:rsid w:val="00C71BDB"/>
    <w:rsid w:val="00C733BA"/>
    <w:rsid w:val="00C74B3F"/>
    <w:rsid w:val="00C7559F"/>
    <w:rsid w:val="00C76358"/>
    <w:rsid w:val="00C76819"/>
    <w:rsid w:val="00C77C85"/>
    <w:rsid w:val="00C80022"/>
    <w:rsid w:val="00C808E9"/>
    <w:rsid w:val="00C8143D"/>
    <w:rsid w:val="00C81F98"/>
    <w:rsid w:val="00C8248F"/>
    <w:rsid w:val="00C82976"/>
    <w:rsid w:val="00C82D84"/>
    <w:rsid w:val="00C837C4"/>
    <w:rsid w:val="00C8408E"/>
    <w:rsid w:val="00C841B4"/>
    <w:rsid w:val="00C84631"/>
    <w:rsid w:val="00C84860"/>
    <w:rsid w:val="00C84ABD"/>
    <w:rsid w:val="00C8588A"/>
    <w:rsid w:val="00C867CC"/>
    <w:rsid w:val="00C87010"/>
    <w:rsid w:val="00C878DF"/>
    <w:rsid w:val="00C87A3B"/>
    <w:rsid w:val="00C90804"/>
    <w:rsid w:val="00C90CDB"/>
    <w:rsid w:val="00C91588"/>
    <w:rsid w:val="00C9164E"/>
    <w:rsid w:val="00C91696"/>
    <w:rsid w:val="00C91F59"/>
    <w:rsid w:val="00C92621"/>
    <w:rsid w:val="00C92668"/>
    <w:rsid w:val="00C927BD"/>
    <w:rsid w:val="00C92FE7"/>
    <w:rsid w:val="00C93513"/>
    <w:rsid w:val="00C938CD"/>
    <w:rsid w:val="00C939D5"/>
    <w:rsid w:val="00C942E1"/>
    <w:rsid w:val="00C94A8E"/>
    <w:rsid w:val="00C9558D"/>
    <w:rsid w:val="00C95641"/>
    <w:rsid w:val="00C95CBB"/>
    <w:rsid w:val="00C9787C"/>
    <w:rsid w:val="00C978E8"/>
    <w:rsid w:val="00C97FAA"/>
    <w:rsid w:val="00CA0BF8"/>
    <w:rsid w:val="00CA10B3"/>
    <w:rsid w:val="00CA20D8"/>
    <w:rsid w:val="00CA2712"/>
    <w:rsid w:val="00CA2F0D"/>
    <w:rsid w:val="00CA4EC2"/>
    <w:rsid w:val="00CA5245"/>
    <w:rsid w:val="00CA6F8E"/>
    <w:rsid w:val="00CA71DE"/>
    <w:rsid w:val="00CA72CD"/>
    <w:rsid w:val="00CA7886"/>
    <w:rsid w:val="00CA7C42"/>
    <w:rsid w:val="00CA7E7C"/>
    <w:rsid w:val="00CB0A49"/>
    <w:rsid w:val="00CB0B08"/>
    <w:rsid w:val="00CB0C73"/>
    <w:rsid w:val="00CB1135"/>
    <w:rsid w:val="00CB228C"/>
    <w:rsid w:val="00CB2329"/>
    <w:rsid w:val="00CB418C"/>
    <w:rsid w:val="00CB46DA"/>
    <w:rsid w:val="00CB4814"/>
    <w:rsid w:val="00CB4871"/>
    <w:rsid w:val="00CB4901"/>
    <w:rsid w:val="00CB4E24"/>
    <w:rsid w:val="00CB62D1"/>
    <w:rsid w:val="00CB62E3"/>
    <w:rsid w:val="00CB65EF"/>
    <w:rsid w:val="00CB754E"/>
    <w:rsid w:val="00CC0566"/>
    <w:rsid w:val="00CC1018"/>
    <w:rsid w:val="00CC164D"/>
    <w:rsid w:val="00CC1C2D"/>
    <w:rsid w:val="00CC23B5"/>
    <w:rsid w:val="00CC280D"/>
    <w:rsid w:val="00CC2827"/>
    <w:rsid w:val="00CC43B8"/>
    <w:rsid w:val="00CC4F68"/>
    <w:rsid w:val="00CC5C8F"/>
    <w:rsid w:val="00CC694F"/>
    <w:rsid w:val="00CC6E5C"/>
    <w:rsid w:val="00CC7AA6"/>
    <w:rsid w:val="00CD0393"/>
    <w:rsid w:val="00CD0A5C"/>
    <w:rsid w:val="00CD2C2E"/>
    <w:rsid w:val="00CD4F5C"/>
    <w:rsid w:val="00CD53CF"/>
    <w:rsid w:val="00CD5794"/>
    <w:rsid w:val="00CD6829"/>
    <w:rsid w:val="00CD76CE"/>
    <w:rsid w:val="00CE0D06"/>
    <w:rsid w:val="00CE111D"/>
    <w:rsid w:val="00CE1154"/>
    <w:rsid w:val="00CE1254"/>
    <w:rsid w:val="00CE179E"/>
    <w:rsid w:val="00CE1A7C"/>
    <w:rsid w:val="00CE1E2D"/>
    <w:rsid w:val="00CE2390"/>
    <w:rsid w:val="00CE290E"/>
    <w:rsid w:val="00CE3078"/>
    <w:rsid w:val="00CE3506"/>
    <w:rsid w:val="00CE3A28"/>
    <w:rsid w:val="00CE3C97"/>
    <w:rsid w:val="00CE4839"/>
    <w:rsid w:val="00CE4E80"/>
    <w:rsid w:val="00CE4F6E"/>
    <w:rsid w:val="00CE52D5"/>
    <w:rsid w:val="00CE5D90"/>
    <w:rsid w:val="00CE7498"/>
    <w:rsid w:val="00CE77B6"/>
    <w:rsid w:val="00CF06AF"/>
    <w:rsid w:val="00CF10FB"/>
    <w:rsid w:val="00CF1BEB"/>
    <w:rsid w:val="00CF1DB5"/>
    <w:rsid w:val="00CF22E6"/>
    <w:rsid w:val="00CF3344"/>
    <w:rsid w:val="00CF340D"/>
    <w:rsid w:val="00CF3FC2"/>
    <w:rsid w:val="00CF43E0"/>
    <w:rsid w:val="00CF7BA1"/>
    <w:rsid w:val="00D0209E"/>
    <w:rsid w:val="00D03C00"/>
    <w:rsid w:val="00D043C6"/>
    <w:rsid w:val="00D04599"/>
    <w:rsid w:val="00D04831"/>
    <w:rsid w:val="00D05D43"/>
    <w:rsid w:val="00D05F72"/>
    <w:rsid w:val="00D0664D"/>
    <w:rsid w:val="00D068E8"/>
    <w:rsid w:val="00D072C9"/>
    <w:rsid w:val="00D07FC6"/>
    <w:rsid w:val="00D11A17"/>
    <w:rsid w:val="00D1215D"/>
    <w:rsid w:val="00D1250F"/>
    <w:rsid w:val="00D13824"/>
    <w:rsid w:val="00D14DA3"/>
    <w:rsid w:val="00D14F8D"/>
    <w:rsid w:val="00D15623"/>
    <w:rsid w:val="00D157F9"/>
    <w:rsid w:val="00D16727"/>
    <w:rsid w:val="00D16C4B"/>
    <w:rsid w:val="00D16E6C"/>
    <w:rsid w:val="00D17240"/>
    <w:rsid w:val="00D17F0A"/>
    <w:rsid w:val="00D17F23"/>
    <w:rsid w:val="00D17FFC"/>
    <w:rsid w:val="00D20083"/>
    <w:rsid w:val="00D203D9"/>
    <w:rsid w:val="00D20AB8"/>
    <w:rsid w:val="00D226DD"/>
    <w:rsid w:val="00D23BB8"/>
    <w:rsid w:val="00D23D9A"/>
    <w:rsid w:val="00D2433F"/>
    <w:rsid w:val="00D24FD8"/>
    <w:rsid w:val="00D2625D"/>
    <w:rsid w:val="00D2655C"/>
    <w:rsid w:val="00D27B39"/>
    <w:rsid w:val="00D27BDE"/>
    <w:rsid w:val="00D27EBA"/>
    <w:rsid w:val="00D30A7A"/>
    <w:rsid w:val="00D30ACE"/>
    <w:rsid w:val="00D30D16"/>
    <w:rsid w:val="00D3100C"/>
    <w:rsid w:val="00D311F8"/>
    <w:rsid w:val="00D32105"/>
    <w:rsid w:val="00D374F8"/>
    <w:rsid w:val="00D37CA3"/>
    <w:rsid w:val="00D37F18"/>
    <w:rsid w:val="00D40409"/>
    <w:rsid w:val="00D405CB"/>
    <w:rsid w:val="00D4391A"/>
    <w:rsid w:val="00D4440A"/>
    <w:rsid w:val="00D450CE"/>
    <w:rsid w:val="00D454E9"/>
    <w:rsid w:val="00D45972"/>
    <w:rsid w:val="00D459A0"/>
    <w:rsid w:val="00D46B08"/>
    <w:rsid w:val="00D46F96"/>
    <w:rsid w:val="00D47073"/>
    <w:rsid w:val="00D470B4"/>
    <w:rsid w:val="00D47642"/>
    <w:rsid w:val="00D47A5B"/>
    <w:rsid w:val="00D50BC2"/>
    <w:rsid w:val="00D50F9F"/>
    <w:rsid w:val="00D51798"/>
    <w:rsid w:val="00D51CED"/>
    <w:rsid w:val="00D53386"/>
    <w:rsid w:val="00D542C8"/>
    <w:rsid w:val="00D54505"/>
    <w:rsid w:val="00D569B5"/>
    <w:rsid w:val="00D56B32"/>
    <w:rsid w:val="00D571C9"/>
    <w:rsid w:val="00D6030C"/>
    <w:rsid w:val="00D6096F"/>
    <w:rsid w:val="00D61229"/>
    <w:rsid w:val="00D61ABC"/>
    <w:rsid w:val="00D62065"/>
    <w:rsid w:val="00D635CB"/>
    <w:rsid w:val="00D63AA5"/>
    <w:rsid w:val="00D63ED4"/>
    <w:rsid w:val="00D640CE"/>
    <w:rsid w:val="00D641E9"/>
    <w:rsid w:val="00D654F3"/>
    <w:rsid w:val="00D6578C"/>
    <w:rsid w:val="00D65F0A"/>
    <w:rsid w:val="00D65FD6"/>
    <w:rsid w:val="00D6610E"/>
    <w:rsid w:val="00D66841"/>
    <w:rsid w:val="00D66934"/>
    <w:rsid w:val="00D67A08"/>
    <w:rsid w:val="00D67CE1"/>
    <w:rsid w:val="00D707BB"/>
    <w:rsid w:val="00D70FDD"/>
    <w:rsid w:val="00D719CB"/>
    <w:rsid w:val="00D71B97"/>
    <w:rsid w:val="00D72DDE"/>
    <w:rsid w:val="00D73DBD"/>
    <w:rsid w:val="00D7450E"/>
    <w:rsid w:val="00D7466B"/>
    <w:rsid w:val="00D75780"/>
    <w:rsid w:val="00D75EBB"/>
    <w:rsid w:val="00D7729A"/>
    <w:rsid w:val="00D7785D"/>
    <w:rsid w:val="00D77D92"/>
    <w:rsid w:val="00D80069"/>
    <w:rsid w:val="00D800B7"/>
    <w:rsid w:val="00D8110A"/>
    <w:rsid w:val="00D81333"/>
    <w:rsid w:val="00D8198E"/>
    <w:rsid w:val="00D8261E"/>
    <w:rsid w:val="00D82914"/>
    <w:rsid w:val="00D833B8"/>
    <w:rsid w:val="00D84307"/>
    <w:rsid w:val="00D8493F"/>
    <w:rsid w:val="00D85A22"/>
    <w:rsid w:val="00D85B55"/>
    <w:rsid w:val="00D860AE"/>
    <w:rsid w:val="00D8671A"/>
    <w:rsid w:val="00D8692C"/>
    <w:rsid w:val="00D872DB"/>
    <w:rsid w:val="00D87553"/>
    <w:rsid w:val="00D87BA8"/>
    <w:rsid w:val="00D9098E"/>
    <w:rsid w:val="00D90B48"/>
    <w:rsid w:val="00D90C2F"/>
    <w:rsid w:val="00D924B4"/>
    <w:rsid w:val="00D924E9"/>
    <w:rsid w:val="00D925E7"/>
    <w:rsid w:val="00D929C1"/>
    <w:rsid w:val="00D9392A"/>
    <w:rsid w:val="00D941A8"/>
    <w:rsid w:val="00D94817"/>
    <w:rsid w:val="00D94912"/>
    <w:rsid w:val="00D95101"/>
    <w:rsid w:val="00D95AC2"/>
    <w:rsid w:val="00D95DFF"/>
    <w:rsid w:val="00D9623C"/>
    <w:rsid w:val="00D96EA2"/>
    <w:rsid w:val="00D974A2"/>
    <w:rsid w:val="00D9789B"/>
    <w:rsid w:val="00D97923"/>
    <w:rsid w:val="00DA0086"/>
    <w:rsid w:val="00DA0FF3"/>
    <w:rsid w:val="00DA11DD"/>
    <w:rsid w:val="00DA15B8"/>
    <w:rsid w:val="00DA1903"/>
    <w:rsid w:val="00DA2038"/>
    <w:rsid w:val="00DA3080"/>
    <w:rsid w:val="00DA3433"/>
    <w:rsid w:val="00DA3564"/>
    <w:rsid w:val="00DA3A12"/>
    <w:rsid w:val="00DA3DF4"/>
    <w:rsid w:val="00DA5803"/>
    <w:rsid w:val="00DA58EF"/>
    <w:rsid w:val="00DA5CDE"/>
    <w:rsid w:val="00DA61DF"/>
    <w:rsid w:val="00DA6AF1"/>
    <w:rsid w:val="00DA74D4"/>
    <w:rsid w:val="00DB0BE0"/>
    <w:rsid w:val="00DB1243"/>
    <w:rsid w:val="00DB1A32"/>
    <w:rsid w:val="00DB205A"/>
    <w:rsid w:val="00DB29B5"/>
    <w:rsid w:val="00DB2A1C"/>
    <w:rsid w:val="00DB3D45"/>
    <w:rsid w:val="00DB406C"/>
    <w:rsid w:val="00DB41B3"/>
    <w:rsid w:val="00DB47FB"/>
    <w:rsid w:val="00DB5593"/>
    <w:rsid w:val="00DB55F4"/>
    <w:rsid w:val="00DB5A16"/>
    <w:rsid w:val="00DB6067"/>
    <w:rsid w:val="00DB66ED"/>
    <w:rsid w:val="00DB6B74"/>
    <w:rsid w:val="00DB7D73"/>
    <w:rsid w:val="00DB7DE1"/>
    <w:rsid w:val="00DB7EE9"/>
    <w:rsid w:val="00DC0F0A"/>
    <w:rsid w:val="00DC1B79"/>
    <w:rsid w:val="00DC24EB"/>
    <w:rsid w:val="00DC35D4"/>
    <w:rsid w:val="00DC3A2A"/>
    <w:rsid w:val="00DC3D4E"/>
    <w:rsid w:val="00DC3F30"/>
    <w:rsid w:val="00DC42AB"/>
    <w:rsid w:val="00DC4AC4"/>
    <w:rsid w:val="00DC4DF8"/>
    <w:rsid w:val="00DC6646"/>
    <w:rsid w:val="00DC66DF"/>
    <w:rsid w:val="00DD02DD"/>
    <w:rsid w:val="00DD054E"/>
    <w:rsid w:val="00DD0769"/>
    <w:rsid w:val="00DD1376"/>
    <w:rsid w:val="00DD22D1"/>
    <w:rsid w:val="00DD364E"/>
    <w:rsid w:val="00DD3FC7"/>
    <w:rsid w:val="00DD400E"/>
    <w:rsid w:val="00DD4890"/>
    <w:rsid w:val="00DD4D8F"/>
    <w:rsid w:val="00DD5239"/>
    <w:rsid w:val="00DD5A26"/>
    <w:rsid w:val="00DD659F"/>
    <w:rsid w:val="00DD6855"/>
    <w:rsid w:val="00DD79F8"/>
    <w:rsid w:val="00DD7B46"/>
    <w:rsid w:val="00DD7B5D"/>
    <w:rsid w:val="00DD7DA4"/>
    <w:rsid w:val="00DE0EFE"/>
    <w:rsid w:val="00DE0FA4"/>
    <w:rsid w:val="00DE181F"/>
    <w:rsid w:val="00DE1A95"/>
    <w:rsid w:val="00DE1EC9"/>
    <w:rsid w:val="00DE1F69"/>
    <w:rsid w:val="00DE2ED8"/>
    <w:rsid w:val="00DE2EEF"/>
    <w:rsid w:val="00DE2F4C"/>
    <w:rsid w:val="00DE30EE"/>
    <w:rsid w:val="00DE36F8"/>
    <w:rsid w:val="00DE3CBD"/>
    <w:rsid w:val="00DE4109"/>
    <w:rsid w:val="00DE5356"/>
    <w:rsid w:val="00DE5839"/>
    <w:rsid w:val="00DE5CF2"/>
    <w:rsid w:val="00DE5D35"/>
    <w:rsid w:val="00DE6576"/>
    <w:rsid w:val="00DE6A45"/>
    <w:rsid w:val="00DE7143"/>
    <w:rsid w:val="00DE7258"/>
    <w:rsid w:val="00DE72A9"/>
    <w:rsid w:val="00DF06D8"/>
    <w:rsid w:val="00DF08AB"/>
    <w:rsid w:val="00DF0E6F"/>
    <w:rsid w:val="00DF17C4"/>
    <w:rsid w:val="00DF180A"/>
    <w:rsid w:val="00DF1914"/>
    <w:rsid w:val="00DF1B0E"/>
    <w:rsid w:val="00DF2BA2"/>
    <w:rsid w:val="00DF3529"/>
    <w:rsid w:val="00DF50C7"/>
    <w:rsid w:val="00DF515B"/>
    <w:rsid w:val="00DF6092"/>
    <w:rsid w:val="00DF616A"/>
    <w:rsid w:val="00E01E9C"/>
    <w:rsid w:val="00E02EA8"/>
    <w:rsid w:val="00E03CE5"/>
    <w:rsid w:val="00E04033"/>
    <w:rsid w:val="00E04603"/>
    <w:rsid w:val="00E05494"/>
    <w:rsid w:val="00E06087"/>
    <w:rsid w:val="00E06526"/>
    <w:rsid w:val="00E06E22"/>
    <w:rsid w:val="00E072C6"/>
    <w:rsid w:val="00E0733A"/>
    <w:rsid w:val="00E07743"/>
    <w:rsid w:val="00E101DF"/>
    <w:rsid w:val="00E10513"/>
    <w:rsid w:val="00E1063A"/>
    <w:rsid w:val="00E10FF0"/>
    <w:rsid w:val="00E11C85"/>
    <w:rsid w:val="00E11EC3"/>
    <w:rsid w:val="00E120C9"/>
    <w:rsid w:val="00E125F4"/>
    <w:rsid w:val="00E12F74"/>
    <w:rsid w:val="00E133F7"/>
    <w:rsid w:val="00E13D3B"/>
    <w:rsid w:val="00E14CF5"/>
    <w:rsid w:val="00E14D86"/>
    <w:rsid w:val="00E1571B"/>
    <w:rsid w:val="00E15FDF"/>
    <w:rsid w:val="00E1601D"/>
    <w:rsid w:val="00E16A86"/>
    <w:rsid w:val="00E17259"/>
    <w:rsid w:val="00E17468"/>
    <w:rsid w:val="00E17FB1"/>
    <w:rsid w:val="00E208CA"/>
    <w:rsid w:val="00E22D08"/>
    <w:rsid w:val="00E23417"/>
    <w:rsid w:val="00E2374F"/>
    <w:rsid w:val="00E237BD"/>
    <w:rsid w:val="00E244D1"/>
    <w:rsid w:val="00E25038"/>
    <w:rsid w:val="00E26D24"/>
    <w:rsid w:val="00E26E01"/>
    <w:rsid w:val="00E27A83"/>
    <w:rsid w:val="00E308DE"/>
    <w:rsid w:val="00E30BA1"/>
    <w:rsid w:val="00E30C50"/>
    <w:rsid w:val="00E30E9C"/>
    <w:rsid w:val="00E30F1C"/>
    <w:rsid w:val="00E30F3E"/>
    <w:rsid w:val="00E31E00"/>
    <w:rsid w:val="00E32B52"/>
    <w:rsid w:val="00E33D75"/>
    <w:rsid w:val="00E34AFF"/>
    <w:rsid w:val="00E34E6A"/>
    <w:rsid w:val="00E35842"/>
    <w:rsid w:val="00E35955"/>
    <w:rsid w:val="00E362A7"/>
    <w:rsid w:val="00E367A6"/>
    <w:rsid w:val="00E3713A"/>
    <w:rsid w:val="00E3772F"/>
    <w:rsid w:val="00E40919"/>
    <w:rsid w:val="00E40E15"/>
    <w:rsid w:val="00E414C4"/>
    <w:rsid w:val="00E41835"/>
    <w:rsid w:val="00E419F9"/>
    <w:rsid w:val="00E42192"/>
    <w:rsid w:val="00E42890"/>
    <w:rsid w:val="00E433AE"/>
    <w:rsid w:val="00E43783"/>
    <w:rsid w:val="00E43D94"/>
    <w:rsid w:val="00E43EE7"/>
    <w:rsid w:val="00E440D0"/>
    <w:rsid w:val="00E442B5"/>
    <w:rsid w:val="00E44C3E"/>
    <w:rsid w:val="00E475A6"/>
    <w:rsid w:val="00E4777A"/>
    <w:rsid w:val="00E47C2C"/>
    <w:rsid w:val="00E47E95"/>
    <w:rsid w:val="00E47F9E"/>
    <w:rsid w:val="00E5082A"/>
    <w:rsid w:val="00E50E6D"/>
    <w:rsid w:val="00E51299"/>
    <w:rsid w:val="00E52BD6"/>
    <w:rsid w:val="00E53134"/>
    <w:rsid w:val="00E5331C"/>
    <w:rsid w:val="00E53C25"/>
    <w:rsid w:val="00E55F04"/>
    <w:rsid w:val="00E560D8"/>
    <w:rsid w:val="00E57387"/>
    <w:rsid w:val="00E574CD"/>
    <w:rsid w:val="00E5766C"/>
    <w:rsid w:val="00E57A19"/>
    <w:rsid w:val="00E57BB1"/>
    <w:rsid w:val="00E57CA2"/>
    <w:rsid w:val="00E619BC"/>
    <w:rsid w:val="00E61B6C"/>
    <w:rsid w:val="00E61BB5"/>
    <w:rsid w:val="00E61C70"/>
    <w:rsid w:val="00E61F31"/>
    <w:rsid w:val="00E6282C"/>
    <w:rsid w:val="00E62A78"/>
    <w:rsid w:val="00E635AD"/>
    <w:rsid w:val="00E639BB"/>
    <w:rsid w:val="00E63D02"/>
    <w:rsid w:val="00E645E2"/>
    <w:rsid w:val="00E64783"/>
    <w:rsid w:val="00E64A88"/>
    <w:rsid w:val="00E64B49"/>
    <w:rsid w:val="00E64E4D"/>
    <w:rsid w:val="00E651F5"/>
    <w:rsid w:val="00E655D8"/>
    <w:rsid w:val="00E6593B"/>
    <w:rsid w:val="00E66D99"/>
    <w:rsid w:val="00E67854"/>
    <w:rsid w:val="00E67865"/>
    <w:rsid w:val="00E70CEB"/>
    <w:rsid w:val="00E71E23"/>
    <w:rsid w:val="00E72B53"/>
    <w:rsid w:val="00E72CEC"/>
    <w:rsid w:val="00E735C8"/>
    <w:rsid w:val="00E73896"/>
    <w:rsid w:val="00E739B2"/>
    <w:rsid w:val="00E75272"/>
    <w:rsid w:val="00E7543F"/>
    <w:rsid w:val="00E75993"/>
    <w:rsid w:val="00E76001"/>
    <w:rsid w:val="00E76949"/>
    <w:rsid w:val="00E76B7D"/>
    <w:rsid w:val="00E76C0C"/>
    <w:rsid w:val="00E76D2F"/>
    <w:rsid w:val="00E76EAF"/>
    <w:rsid w:val="00E775A0"/>
    <w:rsid w:val="00E801F9"/>
    <w:rsid w:val="00E807EF"/>
    <w:rsid w:val="00E80BA8"/>
    <w:rsid w:val="00E82061"/>
    <w:rsid w:val="00E82132"/>
    <w:rsid w:val="00E82C4D"/>
    <w:rsid w:val="00E84382"/>
    <w:rsid w:val="00E84A95"/>
    <w:rsid w:val="00E868D5"/>
    <w:rsid w:val="00E86ADB"/>
    <w:rsid w:val="00E871A6"/>
    <w:rsid w:val="00E874B7"/>
    <w:rsid w:val="00E8771E"/>
    <w:rsid w:val="00E87B02"/>
    <w:rsid w:val="00E87D30"/>
    <w:rsid w:val="00E903F0"/>
    <w:rsid w:val="00E909A0"/>
    <w:rsid w:val="00E90AC2"/>
    <w:rsid w:val="00E91492"/>
    <w:rsid w:val="00E915B5"/>
    <w:rsid w:val="00E91658"/>
    <w:rsid w:val="00E9168A"/>
    <w:rsid w:val="00E916FD"/>
    <w:rsid w:val="00E91926"/>
    <w:rsid w:val="00E92218"/>
    <w:rsid w:val="00E92AC3"/>
    <w:rsid w:val="00E949C5"/>
    <w:rsid w:val="00E94A81"/>
    <w:rsid w:val="00E94DEF"/>
    <w:rsid w:val="00E9500E"/>
    <w:rsid w:val="00E95315"/>
    <w:rsid w:val="00E95427"/>
    <w:rsid w:val="00E95A61"/>
    <w:rsid w:val="00E95C77"/>
    <w:rsid w:val="00E96BE6"/>
    <w:rsid w:val="00E971E0"/>
    <w:rsid w:val="00E972BF"/>
    <w:rsid w:val="00E97BFD"/>
    <w:rsid w:val="00EA0161"/>
    <w:rsid w:val="00EA1205"/>
    <w:rsid w:val="00EA1366"/>
    <w:rsid w:val="00EA138B"/>
    <w:rsid w:val="00EA1528"/>
    <w:rsid w:val="00EA359A"/>
    <w:rsid w:val="00EA39F5"/>
    <w:rsid w:val="00EA3B6A"/>
    <w:rsid w:val="00EA4FF9"/>
    <w:rsid w:val="00EA5087"/>
    <w:rsid w:val="00EA6BFF"/>
    <w:rsid w:val="00EA6DC4"/>
    <w:rsid w:val="00EA726C"/>
    <w:rsid w:val="00EA72BC"/>
    <w:rsid w:val="00EA7D9C"/>
    <w:rsid w:val="00EA7DA0"/>
    <w:rsid w:val="00EA7E10"/>
    <w:rsid w:val="00EB0D69"/>
    <w:rsid w:val="00EB0FB1"/>
    <w:rsid w:val="00EB15EF"/>
    <w:rsid w:val="00EB1689"/>
    <w:rsid w:val="00EB1791"/>
    <w:rsid w:val="00EB1855"/>
    <w:rsid w:val="00EB1B55"/>
    <w:rsid w:val="00EB1D12"/>
    <w:rsid w:val="00EB2437"/>
    <w:rsid w:val="00EB250B"/>
    <w:rsid w:val="00EB4876"/>
    <w:rsid w:val="00EB495B"/>
    <w:rsid w:val="00EB49BF"/>
    <w:rsid w:val="00EB6D9D"/>
    <w:rsid w:val="00EB74EC"/>
    <w:rsid w:val="00EB7872"/>
    <w:rsid w:val="00EC0B74"/>
    <w:rsid w:val="00EC1639"/>
    <w:rsid w:val="00EC17F7"/>
    <w:rsid w:val="00EC19DA"/>
    <w:rsid w:val="00EC1B03"/>
    <w:rsid w:val="00EC3756"/>
    <w:rsid w:val="00EC5031"/>
    <w:rsid w:val="00EC5509"/>
    <w:rsid w:val="00EC60B7"/>
    <w:rsid w:val="00EC6D5C"/>
    <w:rsid w:val="00EC6FC3"/>
    <w:rsid w:val="00EC7056"/>
    <w:rsid w:val="00ED0D30"/>
    <w:rsid w:val="00ED0D92"/>
    <w:rsid w:val="00ED1787"/>
    <w:rsid w:val="00ED185B"/>
    <w:rsid w:val="00ED1CAA"/>
    <w:rsid w:val="00ED22A6"/>
    <w:rsid w:val="00ED2653"/>
    <w:rsid w:val="00ED29C9"/>
    <w:rsid w:val="00ED3DD9"/>
    <w:rsid w:val="00ED4F8A"/>
    <w:rsid w:val="00ED5A5A"/>
    <w:rsid w:val="00ED5D54"/>
    <w:rsid w:val="00ED6191"/>
    <w:rsid w:val="00ED6299"/>
    <w:rsid w:val="00ED68D4"/>
    <w:rsid w:val="00ED6D49"/>
    <w:rsid w:val="00ED6D57"/>
    <w:rsid w:val="00ED7E84"/>
    <w:rsid w:val="00EE00F3"/>
    <w:rsid w:val="00EE07DC"/>
    <w:rsid w:val="00EE1F8F"/>
    <w:rsid w:val="00EE299A"/>
    <w:rsid w:val="00EE3365"/>
    <w:rsid w:val="00EE3514"/>
    <w:rsid w:val="00EE38DD"/>
    <w:rsid w:val="00EE3BDC"/>
    <w:rsid w:val="00EE40A8"/>
    <w:rsid w:val="00EE438A"/>
    <w:rsid w:val="00EE6484"/>
    <w:rsid w:val="00EE67AC"/>
    <w:rsid w:val="00EF00CD"/>
    <w:rsid w:val="00EF0C59"/>
    <w:rsid w:val="00EF175B"/>
    <w:rsid w:val="00EF1970"/>
    <w:rsid w:val="00EF1C56"/>
    <w:rsid w:val="00EF1DD3"/>
    <w:rsid w:val="00EF1E00"/>
    <w:rsid w:val="00EF2435"/>
    <w:rsid w:val="00EF2E0C"/>
    <w:rsid w:val="00EF35FB"/>
    <w:rsid w:val="00EF3863"/>
    <w:rsid w:val="00EF3B5A"/>
    <w:rsid w:val="00EF3E06"/>
    <w:rsid w:val="00EF5239"/>
    <w:rsid w:val="00EF5994"/>
    <w:rsid w:val="00EF611C"/>
    <w:rsid w:val="00EF61E1"/>
    <w:rsid w:val="00EF7232"/>
    <w:rsid w:val="00EF7F4D"/>
    <w:rsid w:val="00F00CD9"/>
    <w:rsid w:val="00F00EB4"/>
    <w:rsid w:val="00F00F99"/>
    <w:rsid w:val="00F0100D"/>
    <w:rsid w:val="00F013F0"/>
    <w:rsid w:val="00F02097"/>
    <w:rsid w:val="00F0283C"/>
    <w:rsid w:val="00F02A8A"/>
    <w:rsid w:val="00F03C51"/>
    <w:rsid w:val="00F04AAF"/>
    <w:rsid w:val="00F04D2D"/>
    <w:rsid w:val="00F05020"/>
    <w:rsid w:val="00F05972"/>
    <w:rsid w:val="00F05D26"/>
    <w:rsid w:val="00F05E97"/>
    <w:rsid w:val="00F063F0"/>
    <w:rsid w:val="00F0692D"/>
    <w:rsid w:val="00F06DE8"/>
    <w:rsid w:val="00F0756D"/>
    <w:rsid w:val="00F077CB"/>
    <w:rsid w:val="00F079B3"/>
    <w:rsid w:val="00F079EF"/>
    <w:rsid w:val="00F10029"/>
    <w:rsid w:val="00F10279"/>
    <w:rsid w:val="00F10634"/>
    <w:rsid w:val="00F10CA1"/>
    <w:rsid w:val="00F11CA1"/>
    <w:rsid w:val="00F124AB"/>
    <w:rsid w:val="00F1251C"/>
    <w:rsid w:val="00F12861"/>
    <w:rsid w:val="00F1330E"/>
    <w:rsid w:val="00F133F7"/>
    <w:rsid w:val="00F13675"/>
    <w:rsid w:val="00F14576"/>
    <w:rsid w:val="00F14BE8"/>
    <w:rsid w:val="00F15281"/>
    <w:rsid w:val="00F15298"/>
    <w:rsid w:val="00F15B8F"/>
    <w:rsid w:val="00F15FFB"/>
    <w:rsid w:val="00F16487"/>
    <w:rsid w:val="00F169BC"/>
    <w:rsid w:val="00F17066"/>
    <w:rsid w:val="00F17925"/>
    <w:rsid w:val="00F17E38"/>
    <w:rsid w:val="00F205FB"/>
    <w:rsid w:val="00F20648"/>
    <w:rsid w:val="00F210A7"/>
    <w:rsid w:val="00F217FD"/>
    <w:rsid w:val="00F232E0"/>
    <w:rsid w:val="00F23512"/>
    <w:rsid w:val="00F2391B"/>
    <w:rsid w:val="00F23CE2"/>
    <w:rsid w:val="00F245AC"/>
    <w:rsid w:val="00F248B1"/>
    <w:rsid w:val="00F249C3"/>
    <w:rsid w:val="00F251AA"/>
    <w:rsid w:val="00F25F43"/>
    <w:rsid w:val="00F263CB"/>
    <w:rsid w:val="00F2671D"/>
    <w:rsid w:val="00F2708D"/>
    <w:rsid w:val="00F272B5"/>
    <w:rsid w:val="00F2783B"/>
    <w:rsid w:val="00F303C3"/>
    <w:rsid w:val="00F310D8"/>
    <w:rsid w:val="00F31739"/>
    <w:rsid w:val="00F31B24"/>
    <w:rsid w:val="00F31C15"/>
    <w:rsid w:val="00F321D6"/>
    <w:rsid w:val="00F3232D"/>
    <w:rsid w:val="00F33094"/>
    <w:rsid w:val="00F3434D"/>
    <w:rsid w:val="00F34604"/>
    <w:rsid w:val="00F34B4D"/>
    <w:rsid w:val="00F34C23"/>
    <w:rsid w:val="00F3556A"/>
    <w:rsid w:val="00F35836"/>
    <w:rsid w:val="00F35FC0"/>
    <w:rsid w:val="00F36C3C"/>
    <w:rsid w:val="00F36E8B"/>
    <w:rsid w:val="00F37295"/>
    <w:rsid w:val="00F374C2"/>
    <w:rsid w:val="00F37EC0"/>
    <w:rsid w:val="00F4087E"/>
    <w:rsid w:val="00F40EC8"/>
    <w:rsid w:val="00F41347"/>
    <w:rsid w:val="00F4159B"/>
    <w:rsid w:val="00F41710"/>
    <w:rsid w:val="00F42698"/>
    <w:rsid w:val="00F43DEB"/>
    <w:rsid w:val="00F44130"/>
    <w:rsid w:val="00F4416F"/>
    <w:rsid w:val="00F449F2"/>
    <w:rsid w:val="00F44B39"/>
    <w:rsid w:val="00F4548E"/>
    <w:rsid w:val="00F457CF"/>
    <w:rsid w:val="00F458A5"/>
    <w:rsid w:val="00F45A05"/>
    <w:rsid w:val="00F46470"/>
    <w:rsid w:val="00F4672D"/>
    <w:rsid w:val="00F4750F"/>
    <w:rsid w:val="00F502E4"/>
    <w:rsid w:val="00F50515"/>
    <w:rsid w:val="00F50BD2"/>
    <w:rsid w:val="00F5140D"/>
    <w:rsid w:val="00F517C3"/>
    <w:rsid w:val="00F5189A"/>
    <w:rsid w:val="00F52546"/>
    <w:rsid w:val="00F53B7C"/>
    <w:rsid w:val="00F54442"/>
    <w:rsid w:val="00F5466F"/>
    <w:rsid w:val="00F546AE"/>
    <w:rsid w:val="00F54A61"/>
    <w:rsid w:val="00F54AC1"/>
    <w:rsid w:val="00F54BB1"/>
    <w:rsid w:val="00F54FA8"/>
    <w:rsid w:val="00F55720"/>
    <w:rsid w:val="00F56714"/>
    <w:rsid w:val="00F56EDC"/>
    <w:rsid w:val="00F57BAF"/>
    <w:rsid w:val="00F60710"/>
    <w:rsid w:val="00F6180B"/>
    <w:rsid w:val="00F62097"/>
    <w:rsid w:val="00F6262B"/>
    <w:rsid w:val="00F63397"/>
    <w:rsid w:val="00F64CE7"/>
    <w:rsid w:val="00F65C3F"/>
    <w:rsid w:val="00F66F90"/>
    <w:rsid w:val="00F675D7"/>
    <w:rsid w:val="00F700D5"/>
    <w:rsid w:val="00F711C5"/>
    <w:rsid w:val="00F71C31"/>
    <w:rsid w:val="00F72A91"/>
    <w:rsid w:val="00F73247"/>
    <w:rsid w:val="00F732A3"/>
    <w:rsid w:val="00F73CF5"/>
    <w:rsid w:val="00F742FB"/>
    <w:rsid w:val="00F7468A"/>
    <w:rsid w:val="00F7489C"/>
    <w:rsid w:val="00F7550A"/>
    <w:rsid w:val="00F755F2"/>
    <w:rsid w:val="00F756C8"/>
    <w:rsid w:val="00F758E9"/>
    <w:rsid w:val="00F7592F"/>
    <w:rsid w:val="00F75E7E"/>
    <w:rsid w:val="00F75FAE"/>
    <w:rsid w:val="00F768B6"/>
    <w:rsid w:val="00F779B2"/>
    <w:rsid w:val="00F77C21"/>
    <w:rsid w:val="00F77CF9"/>
    <w:rsid w:val="00F77E27"/>
    <w:rsid w:val="00F8057E"/>
    <w:rsid w:val="00F80847"/>
    <w:rsid w:val="00F80952"/>
    <w:rsid w:val="00F8105A"/>
    <w:rsid w:val="00F8131F"/>
    <w:rsid w:val="00F81D88"/>
    <w:rsid w:val="00F828E8"/>
    <w:rsid w:val="00F8314E"/>
    <w:rsid w:val="00F8320B"/>
    <w:rsid w:val="00F8358E"/>
    <w:rsid w:val="00F83D77"/>
    <w:rsid w:val="00F867E1"/>
    <w:rsid w:val="00F86F1E"/>
    <w:rsid w:val="00F87602"/>
    <w:rsid w:val="00F87853"/>
    <w:rsid w:val="00F903A7"/>
    <w:rsid w:val="00F90620"/>
    <w:rsid w:val="00F90ABA"/>
    <w:rsid w:val="00F90F28"/>
    <w:rsid w:val="00F91CED"/>
    <w:rsid w:val="00F930FC"/>
    <w:rsid w:val="00F9331F"/>
    <w:rsid w:val="00F93913"/>
    <w:rsid w:val="00F949C0"/>
    <w:rsid w:val="00F953F6"/>
    <w:rsid w:val="00F9674C"/>
    <w:rsid w:val="00F968D5"/>
    <w:rsid w:val="00F97365"/>
    <w:rsid w:val="00FA133A"/>
    <w:rsid w:val="00FA1372"/>
    <w:rsid w:val="00FA1692"/>
    <w:rsid w:val="00FA25CD"/>
    <w:rsid w:val="00FA2E62"/>
    <w:rsid w:val="00FA302F"/>
    <w:rsid w:val="00FA3382"/>
    <w:rsid w:val="00FA37D8"/>
    <w:rsid w:val="00FA4E33"/>
    <w:rsid w:val="00FA5498"/>
    <w:rsid w:val="00FA56C5"/>
    <w:rsid w:val="00FA58C2"/>
    <w:rsid w:val="00FA5D57"/>
    <w:rsid w:val="00FA6352"/>
    <w:rsid w:val="00FA74AB"/>
    <w:rsid w:val="00FA7D20"/>
    <w:rsid w:val="00FA7DC2"/>
    <w:rsid w:val="00FB0567"/>
    <w:rsid w:val="00FB0C91"/>
    <w:rsid w:val="00FB0DB9"/>
    <w:rsid w:val="00FB2ACA"/>
    <w:rsid w:val="00FB2BE6"/>
    <w:rsid w:val="00FB2BFA"/>
    <w:rsid w:val="00FB2DA3"/>
    <w:rsid w:val="00FB3A38"/>
    <w:rsid w:val="00FB5A82"/>
    <w:rsid w:val="00FB639F"/>
    <w:rsid w:val="00FB64B2"/>
    <w:rsid w:val="00FB66B4"/>
    <w:rsid w:val="00FB7040"/>
    <w:rsid w:val="00FB7212"/>
    <w:rsid w:val="00FC0081"/>
    <w:rsid w:val="00FC0C75"/>
    <w:rsid w:val="00FC16F5"/>
    <w:rsid w:val="00FC1A28"/>
    <w:rsid w:val="00FC1CF1"/>
    <w:rsid w:val="00FC21BC"/>
    <w:rsid w:val="00FC30FC"/>
    <w:rsid w:val="00FC32D0"/>
    <w:rsid w:val="00FC3583"/>
    <w:rsid w:val="00FC3791"/>
    <w:rsid w:val="00FC39FA"/>
    <w:rsid w:val="00FC3EE5"/>
    <w:rsid w:val="00FC4BD7"/>
    <w:rsid w:val="00FC76B6"/>
    <w:rsid w:val="00FC7E3A"/>
    <w:rsid w:val="00FD0179"/>
    <w:rsid w:val="00FD0BB0"/>
    <w:rsid w:val="00FD0FED"/>
    <w:rsid w:val="00FD31FE"/>
    <w:rsid w:val="00FD38F0"/>
    <w:rsid w:val="00FD46C0"/>
    <w:rsid w:val="00FD4BDE"/>
    <w:rsid w:val="00FD61D2"/>
    <w:rsid w:val="00FD67A9"/>
    <w:rsid w:val="00FD7852"/>
    <w:rsid w:val="00FE045C"/>
    <w:rsid w:val="00FE07BB"/>
    <w:rsid w:val="00FE0FE2"/>
    <w:rsid w:val="00FE15A9"/>
    <w:rsid w:val="00FE24CB"/>
    <w:rsid w:val="00FE38EE"/>
    <w:rsid w:val="00FE3FB2"/>
    <w:rsid w:val="00FE4182"/>
    <w:rsid w:val="00FE4BF7"/>
    <w:rsid w:val="00FE4F04"/>
    <w:rsid w:val="00FE4F1F"/>
    <w:rsid w:val="00FE56DE"/>
    <w:rsid w:val="00FE5CEA"/>
    <w:rsid w:val="00FE6DEF"/>
    <w:rsid w:val="00FE787C"/>
    <w:rsid w:val="00FE78B4"/>
    <w:rsid w:val="00FE7FF4"/>
    <w:rsid w:val="00FF1194"/>
    <w:rsid w:val="00FF183A"/>
    <w:rsid w:val="00FF1D8C"/>
    <w:rsid w:val="00FF241C"/>
    <w:rsid w:val="00FF25F3"/>
    <w:rsid w:val="00FF2608"/>
    <w:rsid w:val="00FF27AF"/>
    <w:rsid w:val="00FF27CF"/>
    <w:rsid w:val="00FF4ACB"/>
    <w:rsid w:val="00FF629A"/>
    <w:rsid w:val="00FF6616"/>
    <w:rsid w:val="00FF69B0"/>
    <w:rsid w:val="00FF6E4C"/>
    <w:rsid w:val="00FF71F4"/>
    <w:rsid w:val="00FF780C"/>
    <w:rsid w:val="00FF7930"/>
    <w:rsid w:val="00FF7BCF"/>
    <w:rsid w:val="00FF7D25"/>
    <w:rsid w:val="00FF7DFD"/>
    <w:rsid w:val="0A5C24A8"/>
    <w:rsid w:val="0E84E70C"/>
    <w:rsid w:val="11474F34"/>
    <w:rsid w:val="32878F7F"/>
    <w:rsid w:val="33883D33"/>
    <w:rsid w:val="33B43E96"/>
    <w:rsid w:val="34A4D960"/>
    <w:rsid w:val="3AD66963"/>
    <w:rsid w:val="46AB52D9"/>
    <w:rsid w:val="4C67B393"/>
    <w:rsid w:val="5AD3018E"/>
    <w:rsid w:val="5F52770B"/>
    <w:rsid w:val="733F2279"/>
    <w:rsid w:val="7FFCCF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115"/>
    <o:shapelayout v:ext="edit">
      <o:idmap v:ext="edit" data="2"/>
    </o:shapelayout>
  </w:shapeDefaults>
  <w:decimalSymbol w:val="."/>
  <w:listSeparator w:val=","/>
  <w14:docId w14:val="4921E7C0"/>
  <w15:docId w15:val="{6A3AC7CB-2ED9-410D-B59E-76AEF55E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5F9"/>
    <w:pPr>
      <w:spacing w:before="200"/>
      <w:jc w:val="both"/>
    </w:pPr>
    <w:rPr>
      <w:rFonts w:ascii="Verdana" w:hAnsi="Verdana"/>
      <w:sz w:val="20"/>
    </w:rPr>
  </w:style>
  <w:style w:type="paragraph" w:styleId="Heading1">
    <w:name w:val="heading 1"/>
    <w:basedOn w:val="Normal"/>
    <w:next w:val="NumberedParagraph"/>
    <w:qFormat/>
    <w:rsid w:val="006B6E8E"/>
    <w:pPr>
      <w:spacing w:before="0" w:after="560"/>
      <w:jc w:val="center"/>
      <w:outlineLvl w:val="0"/>
    </w:pPr>
    <w:rPr>
      <w:b/>
      <w:color w:val="0D8390"/>
      <w:sz w:val="24"/>
      <w:szCs w:val="60"/>
    </w:rPr>
  </w:style>
  <w:style w:type="paragraph" w:styleId="Heading2">
    <w:name w:val="heading 2"/>
    <w:basedOn w:val="Normal"/>
    <w:next w:val="NumberedParagraph"/>
    <w:qFormat/>
    <w:rsid w:val="00D30ACE"/>
    <w:pPr>
      <w:keepNext/>
      <w:numPr>
        <w:ilvl w:val="1"/>
        <w:numId w:val="9"/>
      </w:numPr>
      <w:spacing w:before="400" w:after="200"/>
      <w:jc w:val="left"/>
      <w:outlineLvl w:val="1"/>
    </w:pPr>
    <w:rPr>
      <w:b/>
      <w:szCs w:val="26"/>
    </w:rPr>
  </w:style>
  <w:style w:type="paragraph" w:styleId="Heading3">
    <w:name w:val="heading 3"/>
    <w:basedOn w:val="Normal"/>
    <w:next w:val="NumberedParagraph"/>
    <w:link w:val="Heading3Char"/>
    <w:qFormat/>
    <w:rsid w:val="00575EB0"/>
    <w:pPr>
      <w:keepNext/>
      <w:numPr>
        <w:ilvl w:val="2"/>
        <w:numId w:val="9"/>
      </w:numPr>
      <w:spacing w:before="300" w:after="200"/>
      <w:jc w:val="left"/>
      <w:outlineLvl w:val="2"/>
    </w:pPr>
    <w:rPr>
      <w:b/>
      <w:i/>
    </w:rPr>
  </w:style>
  <w:style w:type="paragraph" w:styleId="Heading4">
    <w:name w:val="heading 4"/>
    <w:basedOn w:val="Normal"/>
    <w:next w:val="Normal"/>
    <w:qFormat/>
    <w:rsid w:val="002C0E8D"/>
    <w:pPr>
      <w:keepNext/>
      <w:numPr>
        <w:ilvl w:val="3"/>
        <w:numId w:val="9"/>
      </w:numPr>
      <w:jc w:val="left"/>
      <w:outlineLvl w:val="3"/>
    </w:pPr>
    <w:rPr>
      <w:i/>
    </w:rPr>
  </w:style>
  <w:style w:type="paragraph" w:styleId="Heading5">
    <w:name w:val="heading 5"/>
    <w:basedOn w:val="Heading4"/>
    <w:next w:val="Normal"/>
    <w:rsid w:val="00B917E9"/>
    <w:pPr>
      <w:numPr>
        <w:ilvl w:val="4"/>
      </w:numPr>
      <w:outlineLvl w:val="4"/>
    </w:pPr>
    <w:rPr>
      <w:b/>
    </w:rPr>
  </w:style>
  <w:style w:type="paragraph" w:styleId="Heading6">
    <w:name w:val="heading 6"/>
    <w:basedOn w:val="Normal"/>
    <w:next w:val="Normal"/>
    <w:semiHidden/>
    <w:pPr>
      <w:keepNext/>
      <w:numPr>
        <w:ilvl w:val="5"/>
        <w:numId w:val="9"/>
      </w:numPr>
      <w:outlineLvl w:val="5"/>
    </w:pPr>
    <w:rPr>
      <w:i/>
      <w:sz w:val="32"/>
    </w:rPr>
  </w:style>
  <w:style w:type="paragraph" w:styleId="Heading7">
    <w:name w:val="heading 7"/>
    <w:basedOn w:val="Normal"/>
    <w:next w:val="Normal"/>
    <w:semiHidden/>
    <w:pPr>
      <w:keepNext/>
      <w:numPr>
        <w:ilvl w:val="6"/>
        <w:numId w:val="9"/>
      </w:numPr>
      <w:outlineLvl w:val="6"/>
    </w:pPr>
    <w:rPr>
      <w:b/>
      <w:sz w:val="28"/>
    </w:rPr>
  </w:style>
  <w:style w:type="paragraph" w:styleId="Heading8">
    <w:name w:val="heading 8"/>
    <w:aliases w:val="Table heading"/>
    <w:basedOn w:val="Normal"/>
    <w:next w:val="Normal"/>
    <w:semiHidden/>
    <w:pPr>
      <w:keepNext/>
      <w:numPr>
        <w:ilvl w:val="7"/>
        <w:numId w:val="9"/>
      </w:numPr>
      <w:outlineLvl w:val="7"/>
    </w:pPr>
    <w:rPr>
      <w:sz w:val="28"/>
    </w:rPr>
  </w:style>
  <w:style w:type="paragraph" w:styleId="Heading9">
    <w:name w:val="heading 9"/>
    <w:basedOn w:val="Normal"/>
    <w:next w:val="Normal"/>
    <w:semiHidden/>
    <w:pPr>
      <w:keepNext/>
      <w:numPr>
        <w:ilvl w:val="8"/>
        <w:numId w:val="9"/>
      </w:numPr>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130F81"/>
    <w:rPr>
      <w:rFonts w:ascii="Verdana" w:hAnsi="Verdana"/>
      <w:sz w:val="18"/>
    </w:rPr>
  </w:style>
  <w:style w:type="paragraph" w:styleId="Footer">
    <w:name w:val="footer"/>
    <w:basedOn w:val="Normal"/>
    <w:link w:val="FooterChar"/>
    <w:uiPriority w:val="99"/>
    <w:rsid w:val="00130F81"/>
    <w:pPr>
      <w:jc w:val="center"/>
    </w:pPr>
    <w:rPr>
      <w:sz w:val="18"/>
    </w:rPr>
  </w:style>
  <w:style w:type="paragraph" w:customStyle="1" w:styleId="Example-Text">
    <w:name w:val="Example - Text"/>
    <w:basedOn w:val="Normal"/>
    <w:qFormat/>
    <w:rsid w:val="006118DB"/>
    <w:pPr>
      <w:pBdr>
        <w:top w:val="single" w:sz="4" w:space="10" w:color="auto"/>
        <w:left w:val="single" w:sz="4" w:space="4" w:color="auto"/>
        <w:bottom w:val="single" w:sz="4" w:space="10" w:color="auto"/>
        <w:right w:val="single" w:sz="4" w:space="4" w:color="auto"/>
      </w:pBdr>
      <w:spacing w:before="100"/>
      <w:ind w:left="993"/>
    </w:pPr>
    <w:rPr>
      <w:szCs w:val="20"/>
    </w:rPr>
  </w:style>
  <w:style w:type="paragraph" w:styleId="FootnoteText">
    <w:name w:val="footnote text"/>
    <w:basedOn w:val="Normal"/>
    <w:link w:val="FootnoteTextChar"/>
    <w:rsid w:val="00320B15"/>
    <w:pPr>
      <w:spacing w:before="40"/>
    </w:pPr>
    <w:rPr>
      <w:sz w:val="18"/>
    </w:rPr>
  </w:style>
  <w:style w:type="character" w:styleId="FootnoteReference">
    <w:name w:val="footnote reference"/>
    <w:basedOn w:val="DefaultParagraphFont"/>
    <w:semiHidden/>
    <w:rsid w:val="006A45F9"/>
    <w:rPr>
      <w:rFonts w:ascii="Verdana" w:hAnsi="Verdana"/>
      <w:vertAlign w:val="superscript"/>
    </w:rPr>
  </w:style>
  <w:style w:type="paragraph" w:styleId="Header">
    <w:name w:val="header"/>
    <w:basedOn w:val="Normal"/>
    <w:pPr>
      <w:tabs>
        <w:tab w:val="center" w:pos="4153"/>
        <w:tab w:val="right" w:pos="8306"/>
      </w:tabs>
    </w:pPr>
  </w:style>
  <w:style w:type="paragraph" w:styleId="TOC1">
    <w:name w:val="toc 1"/>
    <w:basedOn w:val="Normal"/>
    <w:next w:val="Normal"/>
    <w:uiPriority w:val="39"/>
    <w:rsid w:val="006D088A"/>
    <w:pPr>
      <w:tabs>
        <w:tab w:val="left" w:pos="1701"/>
        <w:tab w:val="right" w:leader="dot" w:pos="8789"/>
      </w:tabs>
      <w:spacing w:before="300" w:after="100"/>
      <w:ind w:left="1701" w:right="992" w:hanging="1701"/>
      <w:jc w:val="left"/>
    </w:pPr>
    <w:rPr>
      <w:b/>
      <w:noProof/>
    </w:rPr>
  </w:style>
  <w:style w:type="paragraph" w:styleId="TOC2">
    <w:name w:val="toc 2"/>
    <w:basedOn w:val="Normal"/>
    <w:next w:val="Normal"/>
    <w:uiPriority w:val="39"/>
    <w:rsid w:val="001448F7"/>
    <w:pPr>
      <w:tabs>
        <w:tab w:val="right" w:leader="dot" w:pos="8789"/>
      </w:tabs>
      <w:spacing w:before="40" w:after="40"/>
      <w:ind w:left="1701" w:right="567"/>
      <w:jc w:val="left"/>
    </w:pPr>
  </w:style>
  <w:style w:type="paragraph" w:styleId="TOC3">
    <w:name w:val="toc 3"/>
    <w:basedOn w:val="Normal"/>
    <w:next w:val="Normal"/>
    <w:autoRedefine/>
    <w:uiPriority w:val="39"/>
    <w:rsid w:val="008C7DAE"/>
    <w:pPr>
      <w:tabs>
        <w:tab w:val="right" w:pos="8789"/>
      </w:tabs>
      <w:spacing w:before="40" w:after="40"/>
      <w:ind w:left="1985" w:right="567"/>
      <w:jc w:val="left"/>
    </w:pPr>
  </w:style>
  <w:style w:type="paragraph" w:styleId="TOC4">
    <w:name w:val="toc 4"/>
    <w:basedOn w:val="Normal"/>
    <w:next w:val="Normal"/>
    <w:autoRedefine/>
    <w:uiPriority w:val="39"/>
    <w:pPr>
      <w:ind w:left="720"/>
    </w:pPr>
    <w:rPr>
      <w:sz w:val="18"/>
    </w:rPr>
  </w:style>
  <w:style w:type="paragraph" w:styleId="TOC5">
    <w:name w:val="toc 5"/>
    <w:basedOn w:val="Normal"/>
    <w:next w:val="Normal"/>
    <w:autoRedefine/>
    <w:uiPriority w:val="39"/>
    <w:pPr>
      <w:ind w:left="960"/>
    </w:pPr>
    <w:rPr>
      <w:sz w:val="18"/>
    </w:rPr>
  </w:style>
  <w:style w:type="paragraph" w:styleId="TOC6">
    <w:name w:val="toc 6"/>
    <w:basedOn w:val="Normal"/>
    <w:next w:val="Normal"/>
    <w:autoRedefine/>
    <w:uiPriority w:val="39"/>
    <w:pPr>
      <w:ind w:left="1200"/>
    </w:pPr>
    <w:rPr>
      <w:sz w:val="18"/>
    </w:rPr>
  </w:style>
  <w:style w:type="paragraph" w:styleId="TOC7">
    <w:name w:val="toc 7"/>
    <w:basedOn w:val="Normal"/>
    <w:next w:val="Normal"/>
    <w:autoRedefine/>
    <w:uiPriority w:val="39"/>
    <w:pPr>
      <w:ind w:left="1440"/>
    </w:pPr>
    <w:rPr>
      <w:sz w:val="18"/>
    </w:rPr>
  </w:style>
  <w:style w:type="paragraph" w:styleId="TOC8">
    <w:name w:val="toc 8"/>
    <w:basedOn w:val="Normal"/>
    <w:next w:val="Normal"/>
    <w:autoRedefine/>
    <w:uiPriority w:val="39"/>
    <w:pPr>
      <w:ind w:left="1680"/>
    </w:pPr>
    <w:rPr>
      <w:sz w:val="18"/>
    </w:rPr>
  </w:style>
  <w:style w:type="paragraph" w:styleId="TOC9">
    <w:name w:val="toc 9"/>
    <w:basedOn w:val="Normal"/>
    <w:next w:val="Normal"/>
    <w:autoRedefine/>
    <w:uiPriority w:val="39"/>
    <w:pPr>
      <w:ind w:left="1920"/>
    </w:pPr>
    <w:rPr>
      <w:sz w:val="18"/>
    </w:rPr>
  </w:style>
  <w:style w:type="paragraph" w:styleId="Quote">
    <w:name w:val="Quote"/>
    <w:basedOn w:val="Normal"/>
    <w:next w:val="Normal"/>
    <w:link w:val="QuoteChar"/>
    <w:autoRedefine/>
    <w:uiPriority w:val="29"/>
    <w:qFormat/>
    <w:rsid w:val="00ED1CAA"/>
    <w:pPr>
      <w:spacing w:before="100"/>
      <w:ind w:left="1418" w:right="567"/>
    </w:pPr>
    <w:rPr>
      <w:iCs/>
      <w:sz w:val="18"/>
    </w:rPr>
  </w:style>
  <w:style w:type="paragraph" w:styleId="DocumentMap">
    <w:name w:val="Document Map"/>
    <w:basedOn w:val="Normal"/>
    <w:semiHidden/>
    <w:pPr>
      <w:shd w:val="clear" w:color="auto" w:fill="000080"/>
    </w:pPr>
    <w:rPr>
      <w:rFonts w:ascii="Tahoma" w:hAnsi="Tahoma"/>
    </w:rPr>
  </w:style>
  <w:style w:type="paragraph" w:styleId="Title">
    <w:name w:val="Title"/>
    <w:next w:val="Subtitle"/>
    <w:link w:val="TitleChar"/>
    <w:rsid w:val="00D67CE1"/>
    <w:pPr>
      <w:pBdr>
        <w:bottom w:val="single" w:sz="4" w:space="6" w:color="auto"/>
      </w:pBdr>
      <w:spacing w:before="2400"/>
      <w:jc w:val="center"/>
    </w:pPr>
    <w:rPr>
      <w:rFonts w:ascii="Verdana" w:hAnsi="Verdana"/>
      <w:color w:val="0D8390"/>
      <w:sz w:val="56"/>
      <w:lang w:eastAsia="en-AU"/>
    </w:r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rsid w:val="00A627CB"/>
    <w:pPr>
      <w:pBdr>
        <w:bottom w:val="single" w:sz="4" w:space="6" w:color="auto"/>
      </w:pBdr>
      <w:jc w:val="left"/>
    </w:pPr>
    <w:rPr>
      <w:sz w:val="26"/>
      <w:lang w:val="en-US"/>
    </w:rPr>
  </w:style>
  <w:style w:type="paragraph" w:customStyle="1" w:styleId="Example-Heading1">
    <w:name w:val="Example - Heading 1"/>
    <w:basedOn w:val="Example-Text"/>
    <w:next w:val="Example-Text"/>
    <w:qFormat/>
    <w:rsid w:val="006118DB"/>
    <w:pPr>
      <w:spacing w:before="240"/>
      <w:jc w:val="left"/>
    </w:pPr>
    <w:rPr>
      <w:b/>
    </w:rPr>
  </w:style>
  <w:style w:type="character" w:customStyle="1" w:styleId="QuoteChar">
    <w:name w:val="Quote Char"/>
    <w:basedOn w:val="DefaultParagraphFont"/>
    <w:link w:val="Quote"/>
    <w:uiPriority w:val="29"/>
    <w:rsid w:val="00ED1CAA"/>
    <w:rPr>
      <w:rFonts w:ascii="Verdana" w:hAnsi="Verdana"/>
      <w:iCs/>
      <w:sz w:val="18"/>
    </w:rPr>
  </w:style>
  <w:style w:type="character" w:customStyle="1" w:styleId="CommentTextChar">
    <w:name w:val="Comment Text Char"/>
    <w:basedOn w:val="DefaultParagraphFont"/>
    <w:link w:val="CommentText"/>
    <w:uiPriority w:val="99"/>
    <w:rsid w:val="00A627CB"/>
    <w:rPr>
      <w:rFonts w:ascii="Verdana" w:hAnsi="Verdana"/>
      <w:sz w:val="26"/>
      <w:lang w:val="en-US"/>
    </w:rPr>
  </w:style>
  <w:style w:type="paragraph" w:styleId="IntenseQuote">
    <w:name w:val="Intense Quote"/>
    <w:basedOn w:val="Normal"/>
    <w:next w:val="Normal"/>
    <w:link w:val="IntenseQuoteChar"/>
    <w:uiPriority w:val="30"/>
    <w:qFormat/>
    <w:rsid w:val="00E949C5"/>
    <w:pPr>
      <w:spacing w:before="120"/>
      <w:ind w:left="1418" w:right="567"/>
    </w:pPr>
    <w:rPr>
      <w:i/>
      <w:iCs/>
      <w:sz w:val="18"/>
    </w:rPr>
  </w:style>
  <w:style w:type="character" w:customStyle="1" w:styleId="Heading3Char">
    <w:name w:val="Heading 3 Char"/>
    <w:basedOn w:val="DefaultParagraphFont"/>
    <w:link w:val="Heading3"/>
    <w:rsid w:val="00575EB0"/>
    <w:rPr>
      <w:rFonts w:ascii="Verdana" w:hAnsi="Verdana"/>
      <w:b/>
      <w:i/>
      <w:sz w:val="20"/>
    </w:rPr>
  </w:style>
  <w:style w:type="paragraph" w:styleId="BalloonText">
    <w:name w:val="Balloon Text"/>
    <w:basedOn w:val="Normal"/>
    <w:link w:val="BalloonTextChar"/>
    <w:uiPriority w:val="99"/>
    <w:semiHidden/>
    <w:unhideWhenUsed/>
    <w:rsid w:val="00952372"/>
    <w:rPr>
      <w:rFonts w:ascii="Tahoma" w:hAnsi="Tahoma" w:cs="Tahoma"/>
      <w:sz w:val="16"/>
      <w:szCs w:val="16"/>
    </w:rPr>
  </w:style>
  <w:style w:type="character" w:customStyle="1" w:styleId="BalloonTextChar">
    <w:name w:val="Balloon Text Char"/>
    <w:basedOn w:val="DefaultParagraphFont"/>
    <w:link w:val="BalloonText"/>
    <w:uiPriority w:val="99"/>
    <w:semiHidden/>
    <w:rsid w:val="00952372"/>
    <w:rPr>
      <w:rFonts w:ascii="Tahoma" w:hAnsi="Tahoma" w:cs="Tahoma"/>
      <w:sz w:val="16"/>
      <w:szCs w:val="16"/>
      <w:lang w:val="en-GB" w:eastAsia="en-AU"/>
    </w:rPr>
  </w:style>
  <w:style w:type="paragraph" w:styleId="ListParagraph">
    <w:name w:val="List Paragraph"/>
    <w:basedOn w:val="Normal"/>
    <w:uiPriority w:val="34"/>
    <w:rsid w:val="001758FB"/>
    <w:pPr>
      <w:ind w:left="851"/>
    </w:pPr>
    <w:rPr>
      <w:rFonts w:eastAsia="Calibri"/>
      <w:lang w:eastAsia="en-US"/>
    </w:rPr>
  </w:style>
  <w:style w:type="table" w:styleId="TableGrid">
    <w:name w:val="Table Grid"/>
    <w:basedOn w:val="TableNormal"/>
    <w:rsid w:val="00C67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E111D"/>
    <w:pPr>
      <w:pBdr>
        <w:bottom w:val="none" w:sz="0" w:space="0" w:color="auto"/>
      </w:pBdr>
      <w:jc w:val="both"/>
    </w:pPr>
    <w:rPr>
      <w:bCs/>
      <w:sz w:val="20"/>
      <w:lang w:val="en-GB"/>
    </w:rPr>
  </w:style>
  <w:style w:type="character" w:customStyle="1" w:styleId="CommentSubjectChar">
    <w:name w:val="Comment Subject Char"/>
    <w:basedOn w:val="CommentTextChar"/>
    <w:link w:val="CommentSubject"/>
    <w:uiPriority w:val="99"/>
    <w:semiHidden/>
    <w:rsid w:val="00CE111D"/>
    <w:rPr>
      <w:rFonts w:ascii="Verdana" w:hAnsi="Verdana"/>
      <w:b w:val="0"/>
      <w:bCs/>
      <w:sz w:val="26"/>
      <w:lang w:val="en-GB" w:eastAsia="en-AU"/>
    </w:rPr>
  </w:style>
  <w:style w:type="paragraph" w:styleId="Subtitle">
    <w:name w:val="Subtitle"/>
    <w:basedOn w:val="Normal"/>
    <w:next w:val="Normal"/>
    <w:link w:val="SubtitleChar"/>
    <w:uiPriority w:val="11"/>
    <w:rsid w:val="004777B7"/>
    <w:pPr>
      <w:jc w:val="center"/>
    </w:pPr>
    <w:rPr>
      <w:i/>
      <w:sz w:val="24"/>
      <w:szCs w:val="36"/>
    </w:rPr>
  </w:style>
  <w:style w:type="character" w:customStyle="1" w:styleId="SubtitleChar">
    <w:name w:val="Subtitle Char"/>
    <w:basedOn w:val="DefaultParagraphFont"/>
    <w:link w:val="Subtitle"/>
    <w:uiPriority w:val="11"/>
    <w:rsid w:val="004777B7"/>
    <w:rPr>
      <w:rFonts w:ascii="Verdana" w:hAnsi="Verdana"/>
      <w:i/>
      <w:szCs w:val="36"/>
    </w:rPr>
  </w:style>
  <w:style w:type="paragraph" w:customStyle="1" w:styleId="SummaryandQFS-Text">
    <w:name w:val="Summary and QFS - Text"/>
    <w:basedOn w:val="Normal"/>
    <w:qFormat/>
    <w:rsid w:val="00605BAF"/>
    <w:pPr>
      <w:pBdr>
        <w:top w:val="single" w:sz="4" w:space="10" w:color="auto"/>
        <w:left w:val="single" w:sz="4" w:space="10" w:color="auto"/>
        <w:bottom w:val="single" w:sz="4" w:space="10" w:color="auto"/>
        <w:right w:val="single" w:sz="4" w:space="10" w:color="auto"/>
      </w:pBdr>
      <w:ind w:left="142"/>
    </w:pPr>
  </w:style>
  <w:style w:type="paragraph" w:customStyle="1" w:styleId="Authorname-Minister">
    <w:name w:val="Author name - Minister"/>
    <w:basedOn w:val="Normal"/>
    <w:next w:val="Normal"/>
    <w:rsid w:val="00702B7E"/>
    <w:pPr>
      <w:jc w:val="left"/>
    </w:pPr>
    <w:rPr>
      <w:b/>
      <w:sz w:val="28"/>
      <w:szCs w:val="28"/>
    </w:rPr>
  </w:style>
  <w:style w:type="paragraph" w:customStyle="1" w:styleId="Authortitle-Minister">
    <w:name w:val="Author title - Minister"/>
    <w:basedOn w:val="Normal"/>
    <w:rsid w:val="003A57E0"/>
    <w:pPr>
      <w:spacing w:before="0"/>
      <w:jc w:val="left"/>
    </w:pPr>
    <w:rPr>
      <w:i/>
      <w:szCs w:val="28"/>
    </w:rPr>
  </w:style>
  <w:style w:type="paragraph" w:customStyle="1" w:styleId="InsideCover">
    <w:name w:val="Inside Cover"/>
    <w:basedOn w:val="Normal"/>
    <w:rsid w:val="00177F24"/>
  </w:style>
  <w:style w:type="character" w:styleId="Hyperlink">
    <w:name w:val="Hyperlink"/>
    <w:basedOn w:val="DefaultParagraphFont"/>
    <w:uiPriority w:val="99"/>
    <w:unhideWhenUsed/>
    <w:rsid w:val="00821704"/>
    <w:rPr>
      <w:color w:val="0000FF" w:themeColor="hyperlink"/>
      <w:u w:val="single"/>
    </w:rPr>
  </w:style>
  <w:style w:type="character" w:styleId="UnresolvedMention">
    <w:name w:val="Unresolved Mention"/>
    <w:basedOn w:val="DefaultParagraphFont"/>
    <w:uiPriority w:val="99"/>
    <w:unhideWhenUsed/>
    <w:rsid w:val="00821704"/>
    <w:rPr>
      <w:color w:val="605E5C"/>
      <w:shd w:val="clear" w:color="auto" w:fill="E1DFDD"/>
    </w:rPr>
  </w:style>
  <w:style w:type="paragraph" w:styleId="ListBullet">
    <w:name w:val="List Bullet"/>
    <w:basedOn w:val="ListParagraph"/>
    <w:autoRedefine/>
    <w:uiPriority w:val="99"/>
    <w:unhideWhenUsed/>
    <w:qFormat/>
    <w:rsid w:val="00BB4716"/>
    <w:pPr>
      <w:numPr>
        <w:numId w:val="2"/>
      </w:numPr>
      <w:spacing w:after="200"/>
    </w:pPr>
    <w:rPr>
      <w:szCs w:val="20"/>
    </w:rPr>
  </w:style>
  <w:style w:type="paragraph" w:customStyle="1" w:styleId="Example-Heading2">
    <w:name w:val="Example - Heading 2"/>
    <w:basedOn w:val="Example-Text"/>
    <w:next w:val="Example-Text"/>
    <w:rsid w:val="002B0D19"/>
    <w:pPr>
      <w:jc w:val="left"/>
    </w:pPr>
    <w:rPr>
      <w:b/>
      <w:i/>
    </w:rPr>
  </w:style>
  <w:style w:type="paragraph" w:customStyle="1" w:styleId="Example-Heading3">
    <w:name w:val="Example - Heading 3"/>
    <w:basedOn w:val="Example-Text"/>
    <w:next w:val="Example-Text"/>
    <w:rsid w:val="002B0D19"/>
    <w:pPr>
      <w:jc w:val="left"/>
    </w:pPr>
    <w:rPr>
      <w:i/>
    </w:rPr>
  </w:style>
  <w:style w:type="paragraph" w:styleId="Caption">
    <w:name w:val="caption"/>
    <w:basedOn w:val="Normal"/>
    <w:next w:val="Normal"/>
    <w:link w:val="CaptionChar"/>
    <w:uiPriority w:val="35"/>
    <w:unhideWhenUsed/>
    <w:qFormat/>
    <w:rsid w:val="00A11EA8"/>
    <w:pPr>
      <w:keepNext/>
      <w:spacing w:after="200"/>
      <w:jc w:val="center"/>
    </w:pPr>
    <w:rPr>
      <w:b/>
      <w:szCs w:val="22"/>
    </w:rPr>
  </w:style>
  <w:style w:type="paragraph" w:customStyle="1" w:styleId="Figure">
    <w:name w:val="Figure"/>
    <w:basedOn w:val="Normal"/>
    <w:next w:val="Normal"/>
    <w:rsid w:val="00601A35"/>
    <w:pPr>
      <w:ind w:left="851"/>
      <w:jc w:val="center"/>
    </w:pPr>
  </w:style>
  <w:style w:type="numbering" w:customStyle="1" w:styleId="Table-BulletedList">
    <w:name w:val="Table - Bulleted List"/>
    <w:basedOn w:val="NoList"/>
    <w:rsid w:val="00836DC9"/>
    <w:pPr>
      <w:numPr>
        <w:numId w:val="8"/>
      </w:numPr>
    </w:pPr>
  </w:style>
  <w:style w:type="paragraph" w:customStyle="1" w:styleId="Example-ListBullet1">
    <w:name w:val="Example - List Bullet 1"/>
    <w:basedOn w:val="Example-Text"/>
    <w:qFormat/>
    <w:rsid w:val="006118DB"/>
    <w:pPr>
      <w:numPr>
        <w:numId w:val="4"/>
      </w:numPr>
      <w:tabs>
        <w:tab w:val="left" w:pos="1276"/>
      </w:tabs>
      <w:ind w:left="1276" w:hanging="283"/>
    </w:pPr>
    <w:rPr>
      <w:lang w:eastAsia="en-AU"/>
    </w:rPr>
  </w:style>
  <w:style w:type="character" w:customStyle="1" w:styleId="IntenseQuoteChar">
    <w:name w:val="Intense Quote Char"/>
    <w:basedOn w:val="DefaultParagraphFont"/>
    <w:link w:val="IntenseQuote"/>
    <w:uiPriority w:val="30"/>
    <w:rsid w:val="00E949C5"/>
    <w:rPr>
      <w:rFonts w:ascii="Verdana" w:hAnsi="Verdana"/>
      <w:i/>
      <w:iCs/>
      <w:sz w:val="18"/>
    </w:rPr>
  </w:style>
  <w:style w:type="character" w:styleId="Strong">
    <w:name w:val="Strong"/>
    <w:basedOn w:val="DefaultParagraphFont"/>
    <w:uiPriority w:val="22"/>
    <w:qFormat/>
    <w:rsid w:val="00481032"/>
    <w:rPr>
      <w:b/>
      <w:bCs/>
    </w:rPr>
  </w:style>
  <w:style w:type="character" w:styleId="Emphasis">
    <w:name w:val="Emphasis"/>
    <w:basedOn w:val="DefaultParagraphFont"/>
    <w:uiPriority w:val="20"/>
    <w:qFormat/>
    <w:rsid w:val="00481032"/>
    <w:rPr>
      <w:i/>
      <w:iCs/>
    </w:rPr>
  </w:style>
  <w:style w:type="paragraph" w:styleId="ListBullet2">
    <w:name w:val="List Bullet 2"/>
    <w:basedOn w:val="Normal"/>
    <w:uiPriority w:val="99"/>
    <w:unhideWhenUsed/>
    <w:rsid w:val="00DE5CF2"/>
    <w:pPr>
      <w:numPr>
        <w:ilvl w:val="1"/>
        <w:numId w:val="2"/>
      </w:numPr>
      <w:spacing w:before="120"/>
    </w:pPr>
  </w:style>
  <w:style w:type="paragraph" w:styleId="ListBullet3">
    <w:name w:val="List Bullet 3"/>
    <w:basedOn w:val="Normal"/>
    <w:uiPriority w:val="99"/>
    <w:unhideWhenUsed/>
    <w:rsid w:val="00DE5CF2"/>
    <w:pPr>
      <w:numPr>
        <w:ilvl w:val="2"/>
        <w:numId w:val="2"/>
      </w:numPr>
      <w:spacing w:before="120"/>
    </w:pPr>
  </w:style>
  <w:style w:type="paragraph" w:customStyle="1" w:styleId="Table-Text">
    <w:name w:val="Table - Text"/>
    <w:basedOn w:val="Normal"/>
    <w:qFormat/>
    <w:rsid w:val="00C05317"/>
    <w:pPr>
      <w:tabs>
        <w:tab w:val="left" w:pos="174"/>
      </w:tabs>
      <w:spacing w:before="60" w:after="60"/>
      <w:jc w:val="left"/>
    </w:pPr>
    <w:rPr>
      <w:sz w:val="16"/>
      <w:szCs w:val="16"/>
    </w:rPr>
  </w:style>
  <w:style w:type="paragraph" w:customStyle="1" w:styleId="Table-HeaderRow">
    <w:name w:val="Table - Header Row"/>
    <w:basedOn w:val="Normal"/>
    <w:autoRedefine/>
    <w:qFormat/>
    <w:rsid w:val="00E949C5"/>
    <w:pPr>
      <w:spacing w:before="80" w:after="80"/>
      <w:jc w:val="left"/>
    </w:pPr>
    <w:rPr>
      <w:b/>
      <w:sz w:val="18"/>
      <w:szCs w:val="22"/>
    </w:rPr>
  </w:style>
  <w:style w:type="paragraph" w:styleId="TableofFigures">
    <w:name w:val="table of figures"/>
    <w:basedOn w:val="Normal"/>
    <w:next w:val="Normal"/>
    <w:uiPriority w:val="99"/>
    <w:unhideWhenUsed/>
    <w:rsid w:val="00DD659F"/>
  </w:style>
  <w:style w:type="paragraph" w:customStyle="1" w:styleId="Example-Figure">
    <w:name w:val="Example - Figure"/>
    <w:basedOn w:val="Figure"/>
    <w:next w:val="Example-Text"/>
    <w:rsid w:val="0000036F"/>
    <w:pPr>
      <w:pBdr>
        <w:top w:val="single" w:sz="4" w:space="10" w:color="auto"/>
        <w:left w:val="single" w:sz="4" w:space="4" w:color="auto"/>
        <w:bottom w:val="single" w:sz="4" w:space="10" w:color="auto"/>
        <w:right w:val="single" w:sz="4" w:space="4" w:color="auto"/>
      </w:pBdr>
      <w:tabs>
        <w:tab w:val="center" w:pos="4820"/>
      </w:tabs>
      <w:ind w:left="993"/>
    </w:pPr>
    <w:rPr>
      <w:szCs w:val="20"/>
    </w:rPr>
  </w:style>
  <w:style w:type="numbering" w:customStyle="1" w:styleId="Table-Bullet">
    <w:name w:val="Table - Bullet"/>
    <w:basedOn w:val="NoList"/>
    <w:rsid w:val="00E87D30"/>
    <w:pPr>
      <w:numPr>
        <w:numId w:val="6"/>
      </w:numPr>
    </w:pPr>
  </w:style>
  <w:style w:type="paragraph" w:customStyle="1" w:styleId="Example-Caption">
    <w:name w:val="Example - Caption"/>
    <w:basedOn w:val="Example-Text"/>
    <w:next w:val="Example-Text"/>
    <w:rsid w:val="0000036F"/>
    <w:pPr>
      <w:jc w:val="center"/>
    </w:pPr>
    <w:rPr>
      <w:b/>
      <w:bCs/>
    </w:rPr>
  </w:style>
  <w:style w:type="numbering" w:customStyle="1" w:styleId="Table-Bullet10pt">
    <w:name w:val="Table - Bullet 10pt"/>
    <w:basedOn w:val="NoList"/>
    <w:rsid w:val="00D9392A"/>
    <w:pPr>
      <w:numPr>
        <w:numId w:val="7"/>
      </w:numPr>
    </w:pPr>
  </w:style>
  <w:style w:type="paragraph" w:customStyle="1" w:styleId="NumberedParagraph">
    <w:name w:val="Numbered Paragraph"/>
    <w:basedOn w:val="Normal"/>
    <w:qFormat/>
    <w:rsid w:val="00C057E9"/>
    <w:pPr>
      <w:numPr>
        <w:ilvl w:val="1"/>
        <w:numId w:val="58"/>
      </w:numPr>
      <w:spacing w:before="0" w:after="200"/>
      <w:ind w:left="851" w:hanging="851"/>
    </w:pPr>
    <w:rPr>
      <w:rFonts w:eastAsia="Calibri"/>
      <w:lang w:eastAsia="en-US"/>
    </w:rPr>
  </w:style>
  <w:style w:type="paragraph" w:customStyle="1" w:styleId="NumberedParagraph-BulletL1">
    <w:name w:val="Numbered Paragraph - Bullet L1"/>
    <w:basedOn w:val="NumberedParagraph"/>
    <w:rsid w:val="001248E9"/>
    <w:pPr>
      <w:numPr>
        <w:ilvl w:val="2"/>
      </w:numPr>
      <w:spacing w:after="100"/>
    </w:pPr>
  </w:style>
  <w:style w:type="paragraph" w:customStyle="1" w:styleId="NumberedParagraph-BulletL2">
    <w:name w:val="Numbered Paragraph - Bullet L2"/>
    <w:basedOn w:val="NumberedParagraph"/>
    <w:rsid w:val="00573342"/>
    <w:pPr>
      <w:numPr>
        <w:ilvl w:val="3"/>
      </w:numPr>
      <w:spacing w:before="100"/>
    </w:pPr>
  </w:style>
  <w:style w:type="paragraph" w:customStyle="1" w:styleId="SummaryandQFS-Heading1">
    <w:name w:val="Summary and QFS - Heading 1"/>
    <w:basedOn w:val="SummaryandQFS-Text"/>
    <w:next w:val="SummaryandQFS-Text"/>
    <w:rsid w:val="00E949C5"/>
    <w:pPr>
      <w:spacing w:before="360"/>
      <w:jc w:val="left"/>
    </w:pPr>
    <w:rPr>
      <w:b/>
      <w:bCs/>
    </w:rPr>
  </w:style>
  <w:style w:type="paragraph" w:customStyle="1" w:styleId="SummaryandQFS-BulletL1">
    <w:name w:val="Summary and QFS - Bullet L1"/>
    <w:basedOn w:val="SummaryandQFS-Text"/>
    <w:rsid w:val="00EA6BFF"/>
    <w:pPr>
      <w:numPr>
        <w:numId w:val="12"/>
      </w:numPr>
      <w:tabs>
        <w:tab w:val="center" w:pos="709"/>
      </w:tabs>
      <w:ind w:left="709" w:hanging="567"/>
    </w:pPr>
  </w:style>
  <w:style w:type="paragraph" w:customStyle="1" w:styleId="SummaryandQFS-Heading3">
    <w:name w:val="Summary and QFS - Heading 3"/>
    <w:basedOn w:val="SummaryandQFS-Text"/>
    <w:next w:val="SummaryandQFS-Text"/>
    <w:rsid w:val="00605BAF"/>
    <w:rPr>
      <w:i/>
      <w:iCs/>
    </w:rPr>
  </w:style>
  <w:style w:type="paragraph" w:customStyle="1" w:styleId="SummaryandQFS-Heading2">
    <w:name w:val="Summary and QFS - Heading 2"/>
    <w:basedOn w:val="SummaryandQFS-Text"/>
    <w:next w:val="SummaryandQFS-Text"/>
    <w:rsid w:val="00605BAF"/>
    <w:pPr>
      <w:jc w:val="left"/>
    </w:pPr>
    <w:rPr>
      <w:b/>
      <w:i/>
    </w:rPr>
  </w:style>
  <w:style w:type="paragraph" w:customStyle="1" w:styleId="Heading1-Appendix">
    <w:name w:val="Heading 1 - Appendix"/>
    <w:basedOn w:val="Normal"/>
    <w:next w:val="Normal"/>
    <w:rsid w:val="00534544"/>
    <w:pPr>
      <w:pageBreakBefore/>
      <w:numPr>
        <w:numId w:val="58"/>
      </w:numPr>
      <w:spacing w:before="0" w:after="400" w:line="360" w:lineRule="auto"/>
      <w:jc w:val="center"/>
      <w:outlineLvl w:val="0"/>
    </w:pPr>
    <w:rPr>
      <w:b/>
      <w:bCs/>
      <w:color w:val="0D8390"/>
      <w:sz w:val="24"/>
      <w:szCs w:val="28"/>
    </w:rPr>
  </w:style>
  <w:style w:type="paragraph" w:customStyle="1" w:styleId="Publicationdate-Cover">
    <w:name w:val="Publication date - Cover"/>
    <w:basedOn w:val="Normal"/>
    <w:qFormat/>
    <w:rsid w:val="004777B7"/>
    <w:rPr>
      <w:sz w:val="28"/>
    </w:rPr>
  </w:style>
  <w:style w:type="paragraph" w:customStyle="1" w:styleId="Authorname-Agency">
    <w:name w:val="Author name - Agency"/>
    <w:basedOn w:val="Normal"/>
    <w:rsid w:val="004777B7"/>
    <w:pPr>
      <w:spacing w:before="480"/>
      <w:jc w:val="left"/>
    </w:pPr>
    <w:rPr>
      <w:i/>
      <w:iCs/>
    </w:rPr>
  </w:style>
  <w:style w:type="paragraph" w:customStyle="1" w:styleId="Formula">
    <w:name w:val="Formula"/>
    <w:basedOn w:val="Normal"/>
    <w:rsid w:val="00E949C5"/>
    <w:pPr>
      <w:ind w:left="851"/>
      <w:jc w:val="center"/>
    </w:pPr>
    <w:rPr>
      <w:iCs/>
      <w:sz w:val="18"/>
    </w:rPr>
  </w:style>
  <w:style w:type="paragraph" w:customStyle="1" w:styleId="Example-Forumla">
    <w:name w:val="Example - Forumla"/>
    <w:basedOn w:val="Example-Text"/>
    <w:next w:val="Example-Text"/>
    <w:rsid w:val="005C24C5"/>
    <w:pPr>
      <w:jc w:val="center"/>
    </w:pPr>
    <w:rPr>
      <w:i/>
      <w:iCs/>
    </w:rPr>
  </w:style>
  <w:style w:type="paragraph" w:customStyle="1" w:styleId="Legislation-Text">
    <w:name w:val="Legislation - Text"/>
    <w:basedOn w:val="Normal"/>
    <w:rsid w:val="00282591"/>
    <w:pPr>
      <w:pBdr>
        <w:top w:val="single" w:sz="4" w:space="10" w:color="auto"/>
        <w:left w:val="single" w:sz="4" w:space="6" w:color="auto"/>
        <w:bottom w:val="single" w:sz="4" w:space="10" w:color="auto"/>
        <w:right w:val="single" w:sz="4" w:space="6" w:color="auto"/>
      </w:pBdr>
      <w:ind w:left="993"/>
    </w:pPr>
  </w:style>
  <w:style w:type="paragraph" w:customStyle="1" w:styleId="Legislation">
    <w:name w:val="Legislation"/>
    <w:basedOn w:val="Normal"/>
    <w:rsid w:val="00520CEB"/>
    <w:pPr>
      <w:pBdr>
        <w:top w:val="single" w:sz="4" w:space="10" w:color="auto"/>
        <w:left w:val="single" w:sz="4" w:space="6" w:color="auto"/>
        <w:bottom w:val="single" w:sz="4" w:space="10" w:color="auto"/>
        <w:right w:val="single" w:sz="4" w:space="6" w:color="auto"/>
      </w:pBdr>
      <w:tabs>
        <w:tab w:val="left" w:pos="1560"/>
        <w:tab w:val="left" w:pos="2127"/>
        <w:tab w:val="left" w:pos="2694"/>
        <w:tab w:val="left" w:pos="3261"/>
      </w:tabs>
      <w:ind w:left="993"/>
    </w:pPr>
  </w:style>
  <w:style w:type="paragraph" w:customStyle="1" w:styleId="NumberedParagraph-NumberedLists">
    <w:name w:val="Numbered Paragraph - Numbered Lists"/>
    <w:basedOn w:val="Normal"/>
    <w:autoRedefine/>
    <w:rsid w:val="00021019"/>
    <w:pPr>
      <w:numPr>
        <w:numId w:val="5"/>
      </w:numPr>
      <w:spacing w:before="120"/>
    </w:pPr>
  </w:style>
  <w:style w:type="numbering" w:customStyle="1" w:styleId="NumberedList">
    <w:name w:val="Numbered List"/>
    <w:uiPriority w:val="99"/>
    <w:rsid w:val="00D14F8D"/>
    <w:pPr>
      <w:numPr>
        <w:numId w:val="18"/>
      </w:numPr>
    </w:pPr>
  </w:style>
  <w:style w:type="character" w:customStyle="1" w:styleId="TitleChar">
    <w:name w:val="Title Char"/>
    <w:basedOn w:val="DefaultParagraphFont"/>
    <w:link w:val="Title"/>
    <w:rsid w:val="00D67CE1"/>
    <w:rPr>
      <w:rFonts w:ascii="Verdana" w:hAnsi="Verdana"/>
      <w:color w:val="0D8390"/>
      <w:sz w:val="56"/>
      <w:lang w:eastAsia="en-AU"/>
    </w:rPr>
  </w:style>
  <w:style w:type="paragraph" w:customStyle="1" w:styleId="Example-Separator">
    <w:name w:val="Example - Separator"/>
    <w:basedOn w:val="Normal"/>
    <w:rsid w:val="005F6956"/>
    <w:pPr>
      <w:spacing w:before="0"/>
    </w:pPr>
    <w:rPr>
      <w:sz w:val="8"/>
      <w:szCs w:val="8"/>
    </w:rPr>
  </w:style>
  <w:style w:type="table" w:customStyle="1" w:styleId="TableGrid1">
    <w:name w:val="Table Grid1"/>
    <w:basedOn w:val="TableNormal"/>
    <w:next w:val="TableGrid"/>
    <w:rsid w:val="00916874"/>
    <w:rPr>
      <w:rFonts w:ascii="Verdana" w:eastAsia="Calibri" w:hAnsi="Verdana"/>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272BC"/>
    <w:rPr>
      <w:rFonts w:ascii="Verdana" w:eastAsia="Calibri" w:hAnsi="Verdana"/>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44621"/>
    <w:rPr>
      <w:rFonts w:ascii="Verdana" w:eastAsia="Calibri" w:hAnsi="Verdana"/>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C0C83"/>
    <w:rPr>
      <w:rFonts w:ascii="Verdana" w:eastAsia="Calibri" w:hAnsi="Verdana"/>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F72A91"/>
    <w:rPr>
      <w:rFonts w:ascii="Verdana" w:eastAsia="Calibri" w:hAnsi="Verdana"/>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754852"/>
    <w:rPr>
      <w:rFonts w:ascii="Verdana" w:eastAsia="Calibri" w:hAnsi="Verdana"/>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FC3791"/>
    <w:rPr>
      <w:rFonts w:ascii="Verdana" w:eastAsia="Calibri" w:hAnsi="Verdana"/>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E2BA8"/>
    <w:rPr>
      <w:rFonts w:ascii="Verdana" w:eastAsia="Calibri" w:hAnsi="Verdana"/>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221CD8"/>
    <w:rPr>
      <w:rFonts w:ascii="Verdana" w:eastAsia="Calibri" w:hAnsi="Verdana"/>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09166B"/>
    <w:rPr>
      <w:rFonts w:ascii="Verdana" w:eastAsia="Calibri" w:hAnsi="Verdana"/>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6E0C97"/>
    <w:rPr>
      <w:rFonts w:ascii="Verdana" w:eastAsia="Calibri" w:hAnsi="Verdana"/>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7C42CE"/>
    <w:rPr>
      <w:rFonts w:ascii="Verdana" w:eastAsia="Calibri" w:hAnsi="Verdana"/>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E244D1"/>
    <w:rPr>
      <w:rFonts w:ascii="Verdana" w:eastAsia="Calibri" w:hAnsi="Verdana"/>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614077"/>
    <w:rPr>
      <w:rFonts w:ascii="Verdana" w:eastAsia="Calibri" w:hAnsi="Verdana"/>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14077"/>
  </w:style>
  <w:style w:type="character" w:customStyle="1" w:styleId="italic">
    <w:name w:val="italic"/>
    <w:basedOn w:val="DefaultParagraphFont"/>
    <w:rsid w:val="00614077"/>
  </w:style>
  <w:style w:type="table" w:customStyle="1" w:styleId="TableGrid15">
    <w:name w:val="Table Grid15"/>
    <w:basedOn w:val="TableNormal"/>
    <w:next w:val="TableGrid"/>
    <w:rsid w:val="0011214E"/>
    <w:rPr>
      <w:rFonts w:ascii="Verdana" w:eastAsia="Calibri" w:hAnsi="Verdana"/>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6B2CE5"/>
    <w:rPr>
      <w:rFonts w:ascii="Verdana" w:eastAsia="Calibri" w:hAnsi="Verdana"/>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ExecutiveSummary">
    <w:name w:val="Heading 1 - Executive Summary"/>
    <w:basedOn w:val="Normal"/>
    <w:next w:val="Normal"/>
    <w:qFormat/>
    <w:rsid w:val="00C161A6"/>
    <w:pPr>
      <w:spacing w:before="0" w:after="560"/>
      <w:jc w:val="center"/>
      <w:outlineLvl w:val="0"/>
    </w:pPr>
    <w:rPr>
      <w:rFonts w:eastAsia="Calibri"/>
      <w:b/>
      <w:sz w:val="24"/>
      <w:lang w:eastAsia="en-US"/>
    </w:rPr>
  </w:style>
  <w:style w:type="paragraph" w:styleId="Revision">
    <w:name w:val="Revision"/>
    <w:hidden/>
    <w:uiPriority w:val="99"/>
    <w:semiHidden/>
    <w:rsid w:val="00B80502"/>
    <w:rPr>
      <w:rFonts w:ascii="Verdana" w:hAnsi="Verdana"/>
      <w:sz w:val="20"/>
    </w:rPr>
  </w:style>
  <w:style w:type="paragraph" w:customStyle="1" w:styleId="NumberedParagraph-Appendix">
    <w:name w:val="Numbered Paragraph - Appendix"/>
    <w:basedOn w:val="Normal"/>
    <w:qFormat/>
    <w:rsid w:val="00D87BA8"/>
    <w:pPr>
      <w:tabs>
        <w:tab w:val="left" w:pos="851"/>
      </w:tabs>
    </w:pPr>
    <w:rPr>
      <w:rFonts w:eastAsia="Calibri"/>
      <w:lang w:eastAsia="en-US"/>
    </w:rPr>
  </w:style>
  <w:style w:type="character" w:styleId="FollowedHyperlink">
    <w:name w:val="FollowedHyperlink"/>
    <w:basedOn w:val="DefaultParagraphFont"/>
    <w:uiPriority w:val="99"/>
    <w:semiHidden/>
    <w:unhideWhenUsed/>
    <w:rsid w:val="00464898"/>
    <w:rPr>
      <w:color w:val="800080" w:themeColor="followedHyperlink"/>
      <w:u w:val="single"/>
    </w:rPr>
  </w:style>
  <w:style w:type="paragraph" w:customStyle="1" w:styleId="Caption-table">
    <w:name w:val="Caption - table"/>
    <w:basedOn w:val="Caption"/>
    <w:link w:val="Caption-tableChar"/>
    <w:qFormat/>
    <w:rsid w:val="005C2266"/>
    <w:pPr>
      <w:keepLines/>
      <w:ind w:left="851"/>
    </w:pPr>
    <w:rPr>
      <w:rFonts w:eastAsia="Calibri"/>
      <w:lang w:eastAsia="en-US"/>
    </w:rPr>
  </w:style>
  <w:style w:type="character" w:customStyle="1" w:styleId="CaptionChar">
    <w:name w:val="Caption Char"/>
    <w:basedOn w:val="DefaultParagraphFont"/>
    <w:link w:val="Caption"/>
    <w:uiPriority w:val="35"/>
    <w:rsid w:val="005C2266"/>
    <w:rPr>
      <w:rFonts w:ascii="Verdana" w:hAnsi="Verdana"/>
      <w:b/>
      <w:sz w:val="20"/>
      <w:szCs w:val="22"/>
    </w:rPr>
  </w:style>
  <w:style w:type="character" w:customStyle="1" w:styleId="Caption-tableChar">
    <w:name w:val="Caption - table Char"/>
    <w:basedOn w:val="CaptionChar"/>
    <w:link w:val="Caption-table"/>
    <w:rsid w:val="005C2266"/>
    <w:rPr>
      <w:rFonts w:ascii="Verdana" w:eastAsia="Calibri" w:hAnsi="Verdana"/>
      <w:b/>
      <w:sz w:val="20"/>
      <w:szCs w:val="22"/>
      <w:lang w:eastAsia="en-US"/>
    </w:rPr>
  </w:style>
  <w:style w:type="character" w:customStyle="1" w:styleId="FootnoteTextChar">
    <w:name w:val="Footnote Text Char"/>
    <w:basedOn w:val="DefaultParagraphFont"/>
    <w:link w:val="FootnoteText"/>
    <w:rsid w:val="007756C8"/>
    <w:rPr>
      <w:rFonts w:ascii="Verdana" w:hAnsi="Verdana"/>
      <w:sz w:val="18"/>
    </w:rPr>
  </w:style>
  <w:style w:type="character" w:styleId="Mention">
    <w:name w:val="Mention"/>
    <w:basedOn w:val="DefaultParagraphFont"/>
    <w:uiPriority w:val="99"/>
    <w:unhideWhenUsed/>
    <w:rsid w:val="005F361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0224">
      <w:bodyDiv w:val="1"/>
      <w:marLeft w:val="0"/>
      <w:marRight w:val="0"/>
      <w:marTop w:val="0"/>
      <w:marBottom w:val="0"/>
      <w:divBdr>
        <w:top w:val="none" w:sz="0" w:space="0" w:color="auto"/>
        <w:left w:val="none" w:sz="0" w:space="0" w:color="auto"/>
        <w:bottom w:val="none" w:sz="0" w:space="0" w:color="auto"/>
        <w:right w:val="none" w:sz="0" w:space="0" w:color="auto"/>
      </w:divBdr>
    </w:div>
    <w:div w:id="1329866904">
      <w:bodyDiv w:val="1"/>
      <w:marLeft w:val="0"/>
      <w:marRight w:val="0"/>
      <w:marTop w:val="0"/>
      <w:marBottom w:val="0"/>
      <w:divBdr>
        <w:top w:val="none" w:sz="0" w:space="0" w:color="auto"/>
        <w:left w:val="none" w:sz="0" w:space="0" w:color="auto"/>
        <w:bottom w:val="none" w:sz="0" w:space="0" w:color="auto"/>
        <w:right w:val="none" w:sz="0" w:space="0" w:color="auto"/>
      </w:divBdr>
    </w:div>
    <w:div w:id="1913616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image" Target="media/image6.wmf"/><Relationship Id="rId42" Type="http://schemas.openxmlformats.org/officeDocument/2006/relationships/oleObject" Target="embeddings/oleObject14.bin"/><Relationship Id="rId63" Type="http://schemas.openxmlformats.org/officeDocument/2006/relationships/image" Target="media/image27.wmf"/><Relationship Id="rId84" Type="http://schemas.openxmlformats.org/officeDocument/2006/relationships/oleObject" Target="embeddings/oleObject35.bin"/><Relationship Id="rId138" Type="http://schemas.openxmlformats.org/officeDocument/2006/relationships/hyperlink" Target="https://www.treasury.govt.nz/sites/default/files/2007-11/taxreview2001-report.pdf" TargetMode="External"/><Relationship Id="rId107" Type="http://schemas.openxmlformats.org/officeDocument/2006/relationships/image" Target="media/image49.wmf"/><Relationship Id="rId11" Type="http://schemas.openxmlformats.org/officeDocument/2006/relationships/footer" Target="footer1.xml"/><Relationship Id="rId32" Type="http://schemas.openxmlformats.org/officeDocument/2006/relationships/oleObject" Target="embeddings/oleObject9.bin"/><Relationship Id="rId37" Type="http://schemas.openxmlformats.org/officeDocument/2006/relationships/image" Target="media/image14.wmf"/><Relationship Id="rId53" Type="http://schemas.openxmlformats.org/officeDocument/2006/relationships/image" Target="media/image22.wmf"/><Relationship Id="rId58" Type="http://schemas.openxmlformats.org/officeDocument/2006/relationships/oleObject" Target="embeddings/oleObject22.bin"/><Relationship Id="rId74" Type="http://schemas.openxmlformats.org/officeDocument/2006/relationships/oleObject" Target="embeddings/oleObject30.bin"/><Relationship Id="rId79" Type="http://schemas.openxmlformats.org/officeDocument/2006/relationships/image" Target="media/image35.wmf"/><Relationship Id="rId102" Type="http://schemas.openxmlformats.org/officeDocument/2006/relationships/oleObject" Target="embeddings/oleObject44.bin"/><Relationship Id="rId123" Type="http://schemas.openxmlformats.org/officeDocument/2006/relationships/oleObject" Target="embeddings/oleObject55.bin"/><Relationship Id="rId128" Type="http://schemas.openxmlformats.org/officeDocument/2006/relationships/image" Target="media/image63.wmf"/><Relationship Id="rId5" Type="http://schemas.openxmlformats.org/officeDocument/2006/relationships/webSettings" Target="webSettings.xml"/><Relationship Id="rId90" Type="http://schemas.openxmlformats.org/officeDocument/2006/relationships/oleObject" Target="embeddings/oleObject38.bin"/><Relationship Id="rId95" Type="http://schemas.openxmlformats.org/officeDocument/2006/relationships/image" Target="media/image43.wmf"/><Relationship Id="rId22" Type="http://schemas.openxmlformats.org/officeDocument/2006/relationships/oleObject" Target="embeddings/oleObject4.bin"/><Relationship Id="rId27" Type="http://schemas.openxmlformats.org/officeDocument/2006/relationships/image" Target="media/image9.wmf"/><Relationship Id="rId43" Type="http://schemas.openxmlformats.org/officeDocument/2006/relationships/image" Target="media/image17.wmf"/><Relationship Id="rId48" Type="http://schemas.openxmlformats.org/officeDocument/2006/relationships/oleObject" Target="embeddings/oleObject17.bin"/><Relationship Id="rId64" Type="http://schemas.openxmlformats.org/officeDocument/2006/relationships/oleObject" Target="embeddings/oleObject25.bin"/><Relationship Id="rId69" Type="http://schemas.openxmlformats.org/officeDocument/2006/relationships/image" Target="media/image30.wmf"/><Relationship Id="rId113" Type="http://schemas.openxmlformats.org/officeDocument/2006/relationships/image" Target="media/image52.wmf"/><Relationship Id="rId118" Type="http://schemas.openxmlformats.org/officeDocument/2006/relationships/oleObject" Target="embeddings/oleObject52.bin"/><Relationship Id="rId134" Type="http://schemas.openxmlformats.org/officeDocument/2006/relationships/image" Target="media/image66.wmf"/><Relationship Id="rId139" Type="http://schemas.openxmlformats.org/officeDocument/2006/relationships/fontTable" Target="fontTable.xml"/><Relationship Id="rId80" Type="http://schemas.openxmlformats.org/officeDocument/2006/relationships/oleObject" Target="embeddings/oleObject33.bin"/><Relationship Id="rId85" Type="http://schemas.openxmlformats.org/officeDocument/2006/relationships/image" Target="media/image38.wmf"/><Relationship Id="rId12" Type="http://schemas.openxmlformats.org/officeDocument/2006/relationships/header" Target="header1.xml"/><Relationship Id="rId17" Type="http://schemas.openxmlformats.org/officeDocument/2006/relationships/header" Target="header5.xml"/><Relationship Id="rId33" Type="http://schemas.openxmlformats.org/officeDocument/2006/relationships/image" Target="media/image12.wmf"/><Relationship Id="rId38" Type="http://schemas.openxmlformats.org/officeDocument/2006/relationships/oleObject" Target="embeddings/oleObject12.bin"/><Relationship Id="rId59" Type="http://schemas.openxmlformats.org/officeDocument/2006/relationships/image" Target="media/image25.wmf"/><Relationship Id="rId103" Type="http://schemas.openxmlformats.org/officeDocument/2006/relationships/image" Target="media/image47.wmf"/><Relationship Id="rId108" Type="http://schemas.openxmlformats.org/officeDocument/2006/relationships/oleObject" Target="embeddings/oleObject47.bin"/><Relationship Id="rId124" Type="http://schemas.openxmlformats.org/officeDocument/2006/relationships/image" Target="media/image61.wmf"/><Relationship Id="rId129" Type="http://schemas.openxmlformats.org/officeDocument/2006/relationships/oleObject" Target="embeddings/oleObject62.bin"/><Relationship Id="rId54" Type="http://schemas.openxmlformats.org/officeDocument/2006/relationships/oleObject" Target="embeddings/oleObject20.bin"/><Relationship Id="rId70" Type="http://schemas.openxmlformats.org/officeDocument/2006/relationships/oleObject" Target="embeddings/oleObject28.bin"/><Relationship Id="rId75" Type="http://schemas.openxmlformats.org/officeDocument/2006/relationships/image" Target="media/image33.wmf"/><Relationship Id="rId91" Type="http://schemas.openxmlformats.org/officeDocument/2006/relationships/image" Target="media/image41.wmf"/><Relationship Id="rId96" Type="http://schemas.openxmlformats.org/officeDocument/2006/relationships/oleObject" Target="embeddings/oleObject41.bin"/><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7.wmf"/><Relationship Id="rId28" Type="http://schemas.openxmlformats.org/officeDocument/2006/relationships/oleObject" Target="embeddings/oleObject7.bin"/><Relationship Id="rId49" Type="http://schemas.openxmlformats.org/officeDocument/2006/relationships/image" Target="media/image20.wmf"/><Relationship Id="rId114" Type="http://schemas.openxmlformats.org/officeDocument/2006/relationships/oleObject" Target="embeddings/oleObject50.bin"/><Relationship Id="rId119" Type="http://schemas.openxmlformats.org/officeDocument/2006/relationships/oleObject" Target="embeddings/oleObject53.bin"/><Relationship Id="rId44" Type="http://schemas.openxmlformats.org/officeDocument/2006/relationships/oleObject" Target="embeddings/oleObject15.bin"/><Relationship Id="rId60" Type="http://schemas.openxmlformats.org/officeDocument/2006/relationships/oleObject" Target="embeddings/oleObject23.bin"/><Relationship Id="rId65" Type="http://schemas.openxmlformats.org/officeDocument/2006/relationships/image" Target="media/image28.wmf"/><Relationship Id="rId81" Type="http://schemas.openxmlformats.org/officeDocument/2006/relationships/image" Target="media/image36.wmf"/><Relationship Id="rId86" Type="http://schemas.openxmlformats.org/officeDocument/2006/relationships/oleObject" Target="embeddings/oleObject36.bin"/><Relationship Id="rId130" Type="http://schemas.openxmlformats.org/officeDocument/2006/relationships/image" Target="media/image64.wmf"/><Relationship Id="rId135" Type="http://schemas.openxmlformats.org/officeDocument/2006/relationships/oleObject" Target="embeddings/oleObject65.bin"/><Relationship Id="rId13" Type="http://schemas.openxmlformats.org/officeDocument/2006/relationships/header" Target="header2.xml"/><Relationship Id="rId18" Type="http://schemas.openxmlformats.org/officeDocument/2006/relationships/header" Target="header6.xml"/><Relationship Id="rId39" Type="http://schemas.openxmlformats.org/officeDocument/2006/relationships/image" Target="media/image15.wmf"/><Relationship Id="rId109" Type="http://schemas.openxmlformats.org/officeDocument/2006/relationships/image" Target="media/image50.wmf"/><Relationship Id="rId34" Type="http://schemas.openxmlformats.org/officeDocument/2006/relationships/oleObject" Target="embeddings/oleObject10.bin"/><Relationship Id="rId50" Type="http://schemas.openxmlformats.org/officeDocument/2006/relationships/oleObject" Target="embeddings/oleObject18.bin"/><Relationship Id="rId55" Type="http://schemas.openxmlformats.org/officeDocument/2006/relationships/image" Target="media/image23.wmf"/><Relationship Id="rId76" Type="http://schemas.openxmlformats.org/officeDocument/2006/relationships/oleObject" Target="embeddings/oleObject31.bin"/><Relationship Id="rId97" Type="http://schemas.openxmlformats.org/officeDocument/2006/relationships/image" Target="media/image44.wmf"/><Relationship Id="rId104" Type="http://schemas.openxmlformats.org/officeDocument/2006/relationships/oleObject" Target="embeddings/oleObject45.bin"/><Relationship Id="rId120" Type="http://schemas.openxmlformats.org/officeDocument/2006/relationships/image" Target="media/image55.wmf"/><Relationship Id="rId125" Type="http://schemas.openxmlformats.org/officeDocument/2006/relationships/oleObject" Target="embeddings/oleObject60.bin"/><Relationship Id="rId141" Type="http://schemas.openxmlformats.org/officeDocument/2006/relationships/customXml" Target="../customXml/item2.xml"/><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oleObject" Target="embeddings/oleObject39.bin"/><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oleObject" Target="embeddings/oleObject5.bin"/><Relationship Id="rId40" Type="http://schemas.openxmlformats.org/officeDocument/2006/relationships/oleObject" Target="embeddings/oleObject13.bin"/><Relationship Id="rId45" Type="http://schemas.openxmlformats.org/officeDocument/2006/relationships/image" Target="media/image18.wmf"/><Relationship Id="rId66" Type="http://schemas.openxmlformats.org/officeDocument/2006/relationships/oleObject" Target="embeddings/oleObject26.bin"/><Relationship Id="rId87" Type="http://schemas.openxmlformats.org/officeDocument/2006/relationships/image" Target="media/image39.wmf"/><Relationship Id="rId110" Type="http://schemas.openxmlformats.org/officeDocument/2006/relationships/oleObject" Target="embeddings/oleObject48.bin"/><Relationship Id="rId115" Type="http://schemas.openxmlformats.org/officeDocument/2006/relationships/image" Target="media/image53.wmf"/><Relationship Id="rId131" Type="http://schemas.openxmlformats.org/officeDocument/2006/relationships/oleObject" Target="embeddings/oleObject63.bin"/><Relationship Id="rId136" Type="http://schemas.openxmlformats.org/officeDocument/2006/relationships/hyperlink" Target="https://dx.doi.org/10.1787/a07f9958-en" TargetMode="External"/><Relationship Id="rId61" Type="http://schemas.openxmlformats.org/officeDocument/2006/relationships/image" Target="media/image26.wmf"/><Relationship Id="rId82" Type="http://schemas.openxmlformats.org/officeDocument/2006/relationships/oleObject" Target="embeddings/oleObject34.bin"/><Relationship Id="rId19" Type="http://schemas.openxmlformats.org/officeDocument/2006/relationships/footer" Target="footer3.xml"/><Relationship Id="rId14" Type="http://schemas.openxmlformats.org/officeDocument/2006/relationships/header" Target="header3.xml"/><Relationship Id="rId30" Type="http://schemas.openxmlformats.org/officeDocument/2006/relationships/oleObject" Target="embeddings/oleObject8.bin"/><Relationship Id="rId35" Type="http://schemas.openxmlformats.org/officeDocument/2006/relationships/image" Target="media/image13.wmf"/><Relationship Id="rId56" Type="http://schemas.openxmlformats.org/officeDocument/2006/relationships/oleObject" Target="embeddings/oleObject21.bin"/><Relationship Id="rId77" Type="http://schemas.openxmlformats.org/officeDocument/2006/relationships/image" Target="media/image34.wmf"/><Relationship Id="rId100" Type="http://schemas.openxmlformats.org/officeDocument/2006/relationships/oleObject" Target="embeddings/oleObject43.bin"/><Relationship Id="rId105" Type="http://schemas.openxmlformats.org/officeDocument/2006/relationships/image" Target="media/image48.wmf"/><Relationship Id="rId126" Type="http://schemas.openxmlformats.org/officeDocument/2006/relationships/image" Target="media/image62.wmf"/><Relationship Id="rId8" Type="http://schemas.openxmlformats.org/officeDocument/2006/relationships/image" Target="media/image1.png"/><Relationship Id="rId51" Type="http://schemas.openxmlformats.org/officeDocument/2006/relationships/image" Target="media/image21.wmf"/><Relationship Id="rId72" Type="http://schemas.openxmlformats.org/officeDocument/2006/relationships/oleObject" Target="embeddings/oleObject29.bin"/><Relationship Id="rId93" Type="http://schemas.openxmlformats.org/officeDocument/2006/relationships/image" Target="media/image42.wmf"/><Relationship Id="rId98" Type="http://schemas.openxmlformats.org/officeDocument/2006/relationships/oleObject" Target="embeddings/oleObject42.bin"/><Relationship Id="rId121" Type="http://schemas.openxmlformats.org/officeDocument/2006/relationships/oleObject" Target="embeddings/oleObject54.bin"/><Relationship Id="rId142" Type="http://schemas.openxmlformats.org/officeDocument/2006/relationships/customXml" Target="../customXml/item3.xml"/><Relationship Id="rId3" Type="http://schemas.openxmlformats.org/officeDocument/2006/relationships/styles" Target="styles.xml"/><Relationship Id="rId25" Type="http://schemas.openxmlformats.org/officeDocument/2006/relationships/image" Target="media/image8.wmf"/><Relationship Id="rId46" Type="http://schemas.openxmlformats.org/officeDocument/2006/relationships/oleObject" Target="embeddings/oleObject16.bin"/><Relationship Id="rId67" Type="http://schemas.openxmlformats.org/officeDocument/2006/relationships/image" Target="media/image29.wmf"/><Relationship Id="rId116" Type="http://schemas.openxmlformats.org/officeDocument/2006/relationships/oleObject" Target="embeddings/oleObject51.bin"/><Relationship Id="rId137" Type="http://schemas.openxmlformats.org/officeDocument/2006/relationships/hyperlink" Target="https://taxpolicy.ird.govt.nz/publications/2004/2004-ip-depreciation" TargetMode="External"/><Relationship Id="rId20" Type="http://schemas.openxmlformats.org/officeDocument/2006/relationships/header" Target="header7.xml"/><Relationship Id="rId41" Type="http://schemas.openxmlformats.org/officeDocument/2006/relationships/image" Target="media/image16.wmf"/><Relationship Id="rId62" Type="http://schemas.openxmlformats.org/officeDocument/2006/relationships/oleObject" Target="embeddings/oleObject24.bin"/><Relationship Id="rId83" Type="http://schemas.openxmlformats.org/officeDocument/2006/relationships/image" Target="media/image37.wmf"/><Relationship Id="rId88" Type="http://schemas.openxmlformats.org/officeDocument/2006/relationships/oleObject" Target="embeddings/oleObject37.bin"/><Relationship Id="rId111" Type="http://schemas.openxmlformats.org/officeDocument/2006/relationships/image" Target="media/image51.wmf"/><Relationship Id="rId132" Type="http://schemas.openxmlformats.org/officeDocument/2006/relationships/image" Target="media/image65.wmf"/><Relationship Id="rId15" Type="http://schemas.openxmlformats.org/officeDocument/2006/relationships/header" Target="header4.xml"/><Relationship Id="rId36" Type="http://schemas.openxmlformats.org/officeDocument/2006/relationships/oleObject" Target="embeddings/oleObject11.bin"/><Relationship Id="rId57" Type="http://schemas.openxmlformats.org/officeDocument/2006/relationships/image" Target="media/image24.wmf"/><Relationship Id="rId106" Type="http://schemas.openxmlformats.org/officeDocument/2006/relationships/oleObject" Target="embeddings/oleObject46.bin"/><Relationship Id="rId127" Type="http://schemas.openxmlformats.org/officeDocument/2006/relationships/oleObject" Target="embeddings/oleObject61.bin"/><Relationship Id="rId10" Type="http://schemas.openxmlformats.org/officeDocument/2006/relationships/hyperlink" Target="https://taxpolicy.ird.govt.nz/publications/2022/2022-other-final-ltib" TargetMode="External"/><Relationship Id="rId31" Type="http://schemas.openxmlformats.org/officeDocument/2006/relationships/image" Target="media/image11.wmf"/><Relationship Id="rId52" Type="http://schemas.openxmlformats.org/officeDocument/2006/relationships/oleObject" Target="embeddings/oleObject19.bin"/><Relationship Id="rId73" Type="http://schemas.openxmlformats.org/officeDocument/2006/relationships/image" Target="media/image32.wmf"/><Relationship Id="rId78" Type="http://schemas.openxmlformats.org/officeDocument/2006/relationships/oleObject" Target="embeddings/oleObject32.bin"/><Relationship Id="rId94" Type="http://schemas.openxmlformats.org/officeDocument/2006/relationships/oleObject" Target="embeddings/oleObject40.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image" Target="media/image56.wmf"/><Relationship Id="rId4" Type="http://schemas.openxmlformats.org/officeDocument/2006/relationships/settings" Target="settings.xml"/><Relationship Id="rId9" Type="http://schemas.openxmlformats.org/officeDocument/2006/relationships/image" Target="media/image2.svg"/><Relationship Id="rId26" Type="http://schemas.openxmlformats.org/officeDocument/2006/relationships/oleObject" Target="embeddings/oleObject6.bin"/><Relationship Id="rId47" Type="http://schemas.openxmlformats.org/officeDocument/2006/relationships/image" Target="media/image19.wmf"/><Relationship Id="rId68" Type="http://schemas.openxmlformats.org/officeDocument/2006/relationships/oleObject" Target="embeddings/oleObject27.bin"/><Relationship Id="rId89" Type="http://schemas.openxmlformats.org/officeDocument/2006/relationships/image" Target="media/image40.wmf"/><Relationship Id="rId112" Type="http://schemas.openxmlformats.org/officeDocument/2006/relationships/oleObject" Target="embeddings/oleObject49.bin"/><Relationship Id="rId133" Type="http://schemas.openxmlformats.org/officeDocument/2006/relationships/oleObject" Target="embeddings/oleObject64.bin"/><Relationship Id="rId16"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57.wmf"/><Relationship Id="rId18" Type="http://schemas.openxmlformats.org/officeDocument/2006/relationships/oleObject" Target="embeddings/oleObject58.bin"/><Relationship Id="rId3" Type="http://schemas.openxmlformats.org/officeDocument/2006/relationships/hyperlink" Target="https://stats.oecd.org/" TargetMode="External"/><Relationship Id="rId7" Type="http://schemas.openxmlformats.org/officeDocument/2006/relationships/oleObject" Target="embeddings/oleObject2.bin"/><Relationship Id="rId12" Type="http://schemas.openxmlformats.org/officeDocument/2006/relationships/hyperlink" Target="https://www.treasury.govt.nz/sites/default/files/2007-11/taxreview2001-report.pdf" TargetMode="External"/><Relationship Id="rId17" Type="http://schemas.openxmlformats.org/officeDocument/2006/relationships/image" Target="media/image59.wmf"/><Relationship Id="rId2" Type="http://schemas.openxmlformats.org/officeDocument/2006/relationships/hyperlink" Target="https://taxpolicy.ird.govt.nz/publications/2022/2022-other-draft-ltib" TargetMode="External"/><Relationship Id="rId16" Type="http://schemas.openxmlformats.org/officeDocument/2006/relationships/oleObject" Target="embeddings/oleObject57.bin"/><Relationship Id="rId20" Type="http://schemas.openxmlformats.org/officeDocument/2006/relationships/oleObject" Target="embeddings/oleObject59.bin"/><Relationship Id="rId1" Type="http://schemas.openxmlformats.org/officeDocument/2006/relationships/hyperlink" Target="https://taxpolicy.ird.govt.nz/publications/2022/2022-other-final-ltib" TargetMode="External"/><Relationship Id="rId6" Type="http://schemas.openxmlformats.org/officeDocument/2006/relationships/image" Target="media/image4.wmf"/><Relationship Id="rId11" Type="http://schemas.openxmlformats.org/officeDocument/2006/relationships/hyperlink" Target="https://search.bea.gov/search?affiliate=u.s.bureauofeconomicanalysis&amp;query=depreciation+rates" TargetMode="External"/><Relationship Id="rId5" Type="http://schemas.openxmlformats.org/officeDocument/2006/relationships/oleObject" Target="embeddings/oleObject1.bin"/><Relationship Id="rId15" Type="http://schemas.openxmlformats.org/officeDocument/2006/relationships/image" Target="media/image58.wmf"/><Relationship Id="rId10" Type="http://schemas.openxmlformats.org/officeDocument/2006/relationships/hyperlink" Target="https://taxpolicy.ird.govt.nz/publications/2004/2004-ip-depreciation" TargetMode="External"/><Relationship Id="rId19" Type="http://schemas.openxmlformats.org/officeDocument/2006/relationships/image" Target="media/image60.wmf"/><Relationship Id="rId4" Type="http://schemas.openxmlformats.org/officeDocument/2006/relationships/image" Target="media/image3.wmf"/><Relationship Id="rId9" Type="http://schemas.openxmlformats.org/officeDocument/2006/relationships/oleObject" Target="embeddings/oleObject3.bin"/><Relationship Id="rId14" Type="http://schemas.openxmlformats.org/officeDocument/2006/relationships/oleObject" Target="embeddings/oleObject5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1FB5A4D8CB3714A90B797AC39F80CD6" ma:contentTypeVersion="17" ma:contentTypeDescription="Create a new document." ma:contentTypeScope="" ma:versionID="6eae49b547074f6b624517ee4f3a86c5">
  <xsd:schema xmlns:xsd="http://www.w3.org/2001/XMLSchema" xmlns:xs="http://www.w3.org/2001/XMLSchema" xmlns:p="http://schemas.microsoft.com/office/2006/metadata/properties" xmlns:ns2="a59dc1bb-5b0e-47fe-abe2-b7e0ea38cbdb" xmlns:ns3="c5a873d1-aea3-4488-bc86-b3aeb44b66f3" targetNamespace="http://schemas.microsoft.com/office/2006/metadata/properties" ma:root="true" ma:fieldsID="70a703945fb5bfabe32805e9714c551c" ns2:_="" ns3:_="">
    <xsd:import namespace="a59dc1bb-5b0e-47fe-abe2-b7e0ea38cbdb"/>
    <xsd:import namespace="c5a873d1-aea3-4488-bc86-b3aeb44b66f3"/>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dc1bb-5b0e-47fe-abe2-b7e0ea38cbdb"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5927ce2a-d703-4d88-aeb0-762fc977e67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14fdf27-13f2-4bcc-908f-ba071c849fe8}" ma:internalName="TaxCatchAll" ma:showField="CatchAllData" ma:web="a59dc1bb-5b0e-47fe-abe2-b7e0ea38cbdb">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a873d1-aea3-4488-bc86-b3aeb44b66f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729FD0-CBE8-46EA-98A9-4FB90C115E99}">
  <ds:schemaRefs>
    <ds:schemaRef ds:uri="http://schemas.openxmlformats.org/officeDocument/2006/bibliography"/>
  </ds:schemaRefs>
</ds:datastoreItem>
</file>

<file path=customXml/itemProps2.xml><?xml version="1.0" encoding="utf-8"?>
<ds:datastoreItem xmlns:ds="http://schemas.openxmlformats.org/officeDocument/2006/customXml" ds:itemID="{BE17A231-FED6-4643-829F-FF8C1C8FB1C3}"/>
</file>

<file path=customXml/itemProps3.xml><?xml version="1.0" encoding="utf-8"?>
<ds:datastoreItem xmlns:ds="http://schemas.openxmlformats.org/officeDocument/2006/customXml" ds:itemID="{E455812E-3A73-40EF-B56F-1E65BFCA5D44}"/>
</file>

<file path=docProps/app.xml><?xml version="1.0" encoding="utf-8"?>
<Properties xmlns="http://schemas.openxmlformats.org/officeDocument/2006/extended-properties" xmlns:vt="http://schemas.openxmlformats.org/officeDocument/2006/docPropsVTypes">
  <Template>Normal</Template>
  <TotalTime>0</TotalTime>
  <Pages>45</Pages>
  <Words>17482</Words>
  <Characters>99651</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Tax. foreign investment and productivity - technical appendices to supporet IR's long-term insights briefing</vt:lpstr>
    </vt:vector>
  </TitlesOfParts>
  <Company>Inland Revenue, New Zealand</Company>
  <LinksUpToDate>false</LinksUpToDate>
  <CharactersWithSpaces>116900</CharactersWithSpaces>
  <SharedDoc>false</SharedDoc>
  <HLinks>
    <vt:vector size="186" baseType="variant">
      <vt:variant>
        <vt:i4>5111899</vt:i4>
      </vt:variant>
      <vt:variant>
        <vt:i4>312</vt:i4>
      </vt:variant>
      <vt:variant>
        <vt:i4>0</vt:i4>
      </vt:variant>
      <vt:variant>
        <vt:i4>5</vt:i4>
      </vt:variant>
      <vt:variant>
        <vt:lpwstr>https://www.treasury.govt.nz/sites/default/files/2007-11/taxreview2001-report.pdf</vt:lpwstr>
      </vt:variant>
      <vt:variant>
        <vt:lpwstr/>
      </vt:variant>
      <vt:variant>
        <vt:i4>4849681</vt:i4>
      </vt:variant>
      <vt:variant>
        <vt:i4>309</vt:i4>
      </vt:variant>
      <vt:variant>
        <vt:i4>0</vt:i4>
      </vt:variant>
      <vt:variant>
        <vt:i4>5</vt:i4>
      </vt:variant>
      <vt:variant>
        <vt:lpwstr>https://taxpolicy.ird.govt.nz/publications/2004/2004-ip-depreciation</vt:lpwstr>
      </vt:variant>
      <vt:variant>
        <vt:lpwstr/>
      </vt:variant>
      <vt:variant>
        <vt:i4>6946866</vt:i4>
      </vt:variant>
      <vt:variant>
        <vt:i4>306</vt:i4>
      </vt:variant>
      <vt:variant>
        <vt:i4>0</vt:i4>
      </vt:variant>
      <vt:variant>
        <vt:i4>5</vt:i4>
      </vt:variant>
      <vt:variant>
        <vt:lpwstr>https://dx.doi.org/10.1787/a07f9958-en</vt:lpwstr>
      </vt:variant>
      <vt:variant>
        <vt:lpwstr/>
      </vt:variant>
      <vt:variant>
        <vt:i4>1310773</vt:i4>
      </vt:variant>
      <vt:variant>
        <vt:i4>125</vt:i4>
      </vt:variant>
      <vt:variant>
        <vt:i4>0</vt:i4>
      </vt:variant>
      <vt:variant>
        <vt:i4>5</vt:i4>
      </vt:variant>
      <vt:variant>
        <vt:lpwstr/>
      </vt:variant>
      <vt:variant>
        <vt:lpwstr>_Toc108451965</vt:lpwstr>
      </vt:variant>
      <vt:variant>
        <vt:i4>1310773</vt:i4>
      </vt:variant>
      <vt:variant>
        <vt:i4>119</vt:i4>
      </vt:variant>
      <vt:variant>
        <vt:i4>0</vt:i4>
      </vt:variant>
      <vt:variant>
        <vt:i4>5</vt:i4>
      </vt:variant>
      <vt:variant>
        <vt:lpwstr/>
      </vt:variant>
      <vt:variant>
        <vt:lpwstr>_Toc108451964</vt:lpwstr>
      </vt:variant>
      <vt:variant>
        <vt:i4>1310773</vt:i4>
      </vt:variant>
      <vt:variant>
        <vt:i4>113</vt:i4>
      </vt:variant>
      <vt:variant>
        <vt:i4>0</vt:i4>
      </vt:variant>
      <vt:variant>
        <vt:i4>5</vt:i4>
      </vt:variant>
      <vt:variant>
        <vt:lpwstr/>
      </vt:variant>
      <vt:variant>
        <vt:lpwstr>_Toc108451963</vt:lpwstr>
      </vt:variant>
      <vt:variant>
        <vt:i4>1310773</vt:i4>
      </vt:variant>
      <vt:variant>
        <vt:i4>107</vt:i4>
      </vt:variant>
      <vt:variant>
        <vt:i4>0</vt:i4>
      </vt:variant>
      <vt:variant>
        <vt:i4>5</vt:i4>
      </vt:variant>
      <vt:variant>
        <vt:lpwstr/>
      </vt:variant>
      <vt:variant>
        <vt:lpwstr>_Toc108451962</vt:lpwstr>
      </vt:variant>
      <vt:variant>
        <vt:i4>1310773</vt:i4>
      </vt:variant>
      <vt:variant>
        <vt:i4>101</vt:i4>
      </vt:variant>
      <vt:variant>
        <vt:i4>0</vt:i4>
      </vt:variant>
      <vt:variant>
        <vt:i4>5</vt:i4>
      </vt:variant>
      <vt:variant>
        <vt:lpwstr/>
      </vt:variant>
      <vt:variant>
        <vt:lpwstr>_Toc108451961</vt:lpwstr>
      </vt:variant>
      <vt:variant>
        <vt:i4>1310773</vt:i4>
      </vt:variant>
      <vt:variant>
        <vt:i4>95</vt:i4>
      </vt:variant>
      <vt:variant>
        <vt:i4>0</vt:i4>
      </vt:variant>
      <vt:variant>
        <vt:i4>5</vt:i4>
      </vt:variant>
      <vt:variant>
        <vt:lpwstr/>
      </vt:variant>
      <vt:variant>
        <vt:lpwstr>_Toc108451960</vt:lpwstr>
      </vt:variant>
      <vt:variant>
        <vt:i4>1507381</vt:i4>
      </vt:variant>
      <vt:variant>
        <vt:i4>89</vt:i4>
      </vt:variant>
      <vt:variant>
        <vt:i4>0</vt:i4>
      </vt:variant>
      <vt:variant>
        <vt:i4>5</vt:i4>
      </vt:variant>
      <vt:variant>
        <vt:lpwstr/>
      </vt:variant>
      <vt:variant>
        <vt:lpwstr>_Toc108451959</vt:lpwstr>
      </vt:variant>
      <vt:variant>
        <vt:i4>1507381</vt:i4>
      </vt:variant>
      <vt:variant>
        <vt:i4>83</vt:i4>
      </vt:variant>
      <vt:variant>
        <vt:i4>0</vt:i4>
      </vt:variant>
      <vt:variant>
        <vt:i4>5</vt:i4>
      </vt:variant>
      <vt:variant>
        <vt:lpwstr/>
      </vt:variant>
      <vt:variant>
        <vt:lpwstr>_Toc108451958</vt:lpwstr>
      </vt:variant>
      <vt:variant>
        <vt:i4>1507381</vt:i4>
      </vt:variant>
      <vt:variant>
        <vt:i4>77</vt:i4>
      </vt:variant>
      <vt:variant>
        <vt:i4>0</vt:i4>
      </vt:variant>
      <vt:variant>
        <vt:i4>5</vt:i4>
      </vt:variant>
      <vt:variant>
        <vt:lpwstr/>
      </vt:variant>
      <vt:variant>
        <vt:lpwstr>_Toc108451957</vt:lpwstr>
      </vt:variant>
      <vt:variant>
        <vt:i4>1507381</vt:i4>
      </vt:variant>
      <vt:variant>
        <vt:i4>71</vt:i4>
      </vt:variant>
      <vt:variant>
        <vt:i4>0</vt:i4>
      </vt:variant>
      <vt:variant>
        <vt:i4>5</vt:i4>
      </vt:variant>
      <vt:variant>
        <vt:lpwstr/>
      </vt:variant>
      <vt:variant>
        <vt:lpwstr>_Toc108451956</vt:lpwstr>
      </vt:variant>
      <vt:variant>
        <vt:i4>1507381</vt:i4>
      </vt:variant>
      <vt:variant>
        <vt:i4>65</vt:i4>
      </vt:variant>
      <vt:variant>
        <vt:i4>0</vt:i4>
      </vt:variant>
      <vt:variant>
        <vt:i4>5</vt:i4>
      </vt:variant>
      <vt:variant>
        <vt:lpwstr/>
      </vt:variant>
      <vt:variant>
        <vt:lpwstr>_Toc108451955</vt:lpwstr>
      </vt:variant>
      <vt:variant>
        <vt:i4>1507381</vt:i4>
      </vt:variant>
      <vt:variant>
        <vt:i4>59</vt:i4>
      </vt:variant>
      <vt:variant>
        <vt:i4>0</vt:i4>
      </vt:variant>
      <vt:variant>
        <vt:i4>5</vt:i4>
      </vt:variant>
      <vt:variant>
        <vt:lpwstr/>
      </vt:variant>
      <vt:variant>
        <vt:lpwstr>_Toc108451954</vt:lpwstr>
      </vt:variant>
      <vt:variant>
        <vt:i4>1507381</vt:i4>
      </vt:variant>
      <vt:variant>
        <vt:i4>53</vt:i4>
      </vt:variant>
      <vt:variant>
        <vt:i4>0</vt:i4>
      </vt:variant>
      <vt:variant>
        <vt:i4>5</vt:i4>
      </vt:variant>
      <vt:variant>
        <vt:lpwstr/>
      </vt:variant>
      <vt:variant>
        <vt:lpwstr>_Toc108451953</vt:lpwstr>
      </vt:variant>
      <vt:variant>
        <vt:i4>1507381</vt:i4>
      </vt:variant>
      <vt:variant>
        <vt:i4>47</vt:i4>
      </vt:variant>
      <vt:variant>
        <vt:i4>0</vt:i4>
      </vt:variant>
      <vt:variant>
        <vt:i4>5</vt:i4>
      </vt:variant>
      <vt:variant>
        <vt:lpwstr/>
      </vt:variant>
      <vt:variant>
        <vt:lpwstr>_Toc108451952</vt:lpwstr>
      </vt:variant>
      <vt:variant>
        <vt:i4>1507381</vt:i4>
      </vt:variant>
      <vt:variant>
        <vt:i4>41</vt:i4>
      </vt:variant>
      <vt:variant>
        <vt:i4>0</vt:i4>
      </vt:variant>
      <vt:variant>
        <vt:i4>5</vt:i4>
      </vt:variant>
      <vt:variant>
        <vt:lpwstr/>
      </vt:variant>
      <vt:variant>
        <vt:lpwstr>_Toc108451951</vt:lpwstr>
      </vt:variant>
      <vt:variant>
        <vt:i4>1507381</vt:i4>
      </vt:variant>
      <vt:variant>
        <vt:i4>35</vt:i4>
      </vt:variant>
      <vt:variant>
        <vt:i4>0</vt:i4>
      </vt:variant>
      <vt:variant>
        <vt:i4>5</vt:i4>
      </vt:variant>
      <vt:variant>
        <vt:lpwstr/>
      </vt:variant>
      <vt:variant>
        <vt:lpwstr>_Toc108451950</vt:lpwstr>
      </vt:variant>
      <vt:variant>
        <vt:i4>1441845</vt:i4>
      </vt:variant>
      <vt:variant>
        <vt:i4>29</vt:i4>
      </vt:variant>
      <vt:variant>
        <vt:i4>0</vt:i4>
      </vt:variant>
      <vt:variant>
        <vt:i4>5</vt:i4>
      </vt:variant>
      <vt:variant>
        <vt:lpwstr/>
      </vt:variant>
      <vt:variant>
        <vt:lpwstr>_Toc108451949</vt:lpwstr>
      </vt:variant>
      <vt:variant>
        <vt:i4>1441845</vt:i4>
      </vt:variant>
      <vt:variant>
        <vt:i4>23</vt:i4>
      </vt:variant>
      <vt:variant>
        <vt:i4>0</vt:i4>
      </vt:variant>
      <vt:variant>
        <vt:i4>5</vt:i4>
      </vt:variant>
      <vt:variant>
        <vt:lpwstr/>
      </vt:variant>
      <vt:variant>
        <vt:lpwstr>_Toc108451948</vt:lpwstr>
      </vt:variant>
      <vt:variant>
        <vt:i4>1441845</vt:i4>
      </vt:variant>
      <vt:variant>
        <vt:i4>17</vt:i4>
      </vt:variant>
      <vt:variant>
        <vt:i4>0</vt:i4>
      </vt:variant>
      <vt:variant>
        <vt:i4>5</vt:i4>
      </vt:variant>
      <vt:variant>
        <vt:lpwstr/>
      </vt:variant>
      <vt:variant>
        <vt:lpwstr>_Toc108451947</vt:lpwstr>
      </vt:variant>
      <vt:variant>
        <vt:i4>1441845</vt:i4>
      </vt:variant>
      <vt:variant>
        <vt:i4>11</vt:i4>
      </vt:variant>
      <vt:variant>
        <vt:i4>0</vt:i4>
      </vt:variant>
      <vt:variant>
        <vt:i4>5</vt:i4>
      </vt:variant>
      <vt:variant>
        <vt:lpwstr/>
      </vt:variant>
      <vt:variant>
        <vt:lpwstr>_Toc108451946</vt:lpwstr>
      </vt:variant>
      <vt:variant>
        <vt:i4>1441845</vt:i4>
      </vt:variant>
      <vt:variant>
        <vt:i4>5</vt:i4>
      </vt:variant>
      <vt:variant>
        <vt:i4>0</vt:i4>
      </vt:variant>
      <vt:variant>
        <vt:i4>5</vt:i4>
      </vt:variant>
      <vt:variant>
        <vt:lpwstr/>
      </vt:variant>
      <vt:variant>
        <vt:lpwstr>_Toc108451945</vt:lpwstr>
      </vt:variant>
      <vt:variant>
        <vt:i4>786443</vt:i4>
      </vt:variant>
      <vt:variant>
        <vt:i4>0</vt:i4>
      </vt:variant>
      <vt:variant>
        <vt:i4>0</vt:i4>
      </vt:variant>
      <vt:variant>
        <vt:i4>5</vt:i4>
      </vt:variant>
      <vt:variant>
        <vt:lpwstr>https://taxpolicy.ird.govt.nz/publications/2022/2022-other-final-ltib</vt:lpwstr>
      </vt:variant>
      <vt:variant>
        <vt:lpwstr/>
      </vt:variant>
      <vt:variant>
        <vt:i4>5111899</vt:i4>
      </vt:variant>
      <vt:variant>
        <vt:i4>24</vt:i4>
      </vt:variant>
      <vt:variant>
        <vt:i4>0</vt:i4>
      </vt:variant>
      <vt:variant>
        <vt:i4>5</vt:i4>
      </vt:variant>
      <vt:variant>
        <vt:lpwstr>https://www.treasury.govt.nz/sites/default/files/2007-11/taxreview2001-report.pdf</vt:lpwstr>
      </vt:variant>
      <vt:variant>
        <vt:lpwstr/>
      </vt:variant>
      <vt:variant>
        <vt:i4>6160392</vt:i4>
      </vt:variant>
      <vt:variant>
        <vt:i4>21</vt:i4>
      </vt:variant>
      <vt:variant>
        <vt:i4>0</vt:i4>
      </vt:variant>
      <vt:variant>
        <vt:i4>5</vt:i4>
      </vt:variant>
      <vt:variant>
        <vt:lpwstr>https://search.bea.gov/search?affiliate=u.s.bureauofeconomicanalysis&amp;query=depreciation+rates</vt:lpwstr>
      </vt:variant>
      <vt:variant>
        <vt:lpwstr/>
      </vt:variant>
      <vt:variant>
        <vt:i4>4849681</vt:i4>
      </vt:variant>
      <vt:variant>
        <vt:i4>18</vt:i4>
      </vt:variant>
      <vt:variant>
        <vt:i4>0</vt:i4>
      </vt:variant>
      <vt:variant>
        <vt:i4>5</vt:i4>
      </vt:variant>
      <vt:variant>
        <vt:lpwstr>https://taxpolicy.ird.govt.nz/publications/2004/2004-ip-depreciation</vt:lpwstr>
      </vt:variant>
      <vt:variant>
        <vt:lpwstr/>
      </vt:variant>
      <vt:variant>
        <vt:i4>3539057</vt:i4>
      </vt:variant>
      <vt:variant>
        <vt:i4>6</vt:i4>
      </vt:variant>
      <vt:variant>
        <vt:i4>0</vt:i4>
      </vt:variant>
      <vt:variant>
        <vt:i4>5</vt:i4>
      </vt:variant>
      <vt:variant>
        <vt:lpwstr>https://stats.oecd.org/</vt:lpwstr>
      </vt:variant>
      <vt:variant>
        <vt:lpwstr/>
      </vt:variant>
      <vt:variant>
        <vt:i4>1638423</vt:i4>
      </vt:variant>
      <vt:variant>
        <vt:i4>3</vt:i4>
      </vt:variant>
      <vt:variant>
        <vt:i4>0</vt:i4>
      </vt:variant>
      <vt:variant>
        <vt:i4>5</vt:i4>
      </vt:variant>
      <vt:variant>
        <vt:lpwstr>https://taxpolicy.ird.govt.nz/publications/2022/2022-other-draft-ltib</vt:lpwstr>
      </vt:variant>
      <vt:variant>
        <vt:lpwstr/>
      </vt:variant>
      <vt:variant>
        <vt:i4>786443</vt:i4>
      </vt:variant>
      <vt:variant>
        <vt:i4>0</vt:i4>
      </vt:variant>
      <vt:variant>
        <vt:i4>0</vt:i4>
      </vt:variant>
      <vt:variant>
        <vt:i4>5</vt:i4>
      </vt:variant>
      <vt:variant>
        <vt:lpwstr>https://taxpolicy.ird.govt.nz/publications/2022/2022-other-final-ltib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foreign investment and productivity - technical appendices to supporet IR's long-term insights briefing</dc:title>
  <dc:subject/>
  <dc:creator>Policy and Regulatory Stewardship</dc:creator>
  <cp:keywords/>
  <dc:description/>
  <dcterms:created xsi:type="dcterms:W3CDTF">2022-08-31T05:25:00Z</dcterms:created>
  <dcterms:modified xsi:type="dcterms:W3CDTF">2022-08-31T05:25:00Z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MSIP_Label_993bc26a-ca06-4f83-a49a-54da0c892e4f_Enabled">
    <vt:lpwstr>true</vt:lpwstr>
  </property>
  <property fmtid="{D5CDD505-2E9C-101B-9397-08002B2CF9AE}" pid="4" name="MSIP_Label_993bc26a-ca06-4f83-a49a-54da0c892e4f_SetDate">
    <vt:lpwstr>2022-08-31T05:25:34Z</vt:lpwstr>
  </property>
  <property fmtid="{D5CDD505-2E9C-101B-9397-08002B2CF9AE}" pid="5" name="MSIP_Label_993bc26a-ca06-4f83-a49a-54da0c892e4f_Method">
    <vt:lpwstr>Privileged</vt:lpwstr>
  </property>
  <property fmtid="{D5CDD505-2E9C-101B-9397-08002B2CF9AE}" pid="6" name="MSIP_Label_993bc26a-ca06-4f83-a49a-54da0c892e4f_Name">
    <vt:lpwstr>993bc26a-ca06-4f83-a49a-54da0c892e4f</vt:lpwstr>
  </property>
  <property fmtid="{D5CDD505-2E9C-101B-9397-08002B2CF9AE}" pid="7" name="MSIP_Label_993bc26a-ca06-4f83-a49a-54da0c892e4f_SiteId">
    <vt:lpwstr>fb39e3e9-23a9-404e-93a2-b42a87d94f35</vt:lpwstr>
  </property>
  <property fmtid="{D5CDD505-2E9C-101B-9397-08002B2CF9AE}" pid="8" name="MSIP_Label_993bc26a-ca06-4f83-a49a-54da0c892e4f_ActionId">
    <vt:lpwstr>ec17ad0d-65b8-4b1a-8af2-9e8f268ca65b</vt:lpwstr>
  </property>
  <property fmtid="{D5CDD505-2E9C-101B-9397-08002B2CF9AE}" pid="9" name="MSIP_Label_993bc26a-ca06-4f83-a49a-54da0c892e4f_ContentBits">
    <vt:lpwstr>0</vt:lpwstr>
  </property>
</Properties>
</file>